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6345F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3CC8392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bookmarkStart w:id="0" w:name="_Hlt74728647"/>
            <w:bookmarkEnd w:id="0"/>
            <w:bookmarkStart w:id="1" w:name="_Hlt74729822"/>
            <w:bookmarkEnd w:id="1"/>
            <w:bookmarkStart w:id="2" w:name="_Hlt74707423"/>
            <w:bookmarkEnd w:id="2"/>
            <w:bookmarkStart w:id="3" w:name="_Hlt74649545"/>
            <w:bookmarkEnd w:id="3"/>
            <w:bookmarkStart w:id="4" w:name="第二部分"/>
            <w:bookmarkStart w:id="5" w:name="_Toc91899870"/>
            <w:bookmarkStart w:id="6" w:name="_Toc91899871"/>
          </w:p>
        </w:tc>
      </w:tr>
      <w:tr w14:paraId="542E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174D4C1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萧山区尚德实验学校物业政府采购项目</w:t>
            </w:r>
          </w:p>
        </w:tc>
      </w:tr>
      <w:tr w14:paraId="7F75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5A9B274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60DB3A8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highlight w:val="none"/>
              </w:rPr>
            </w:pPr>
            <w:r>
              <w:rPr>
                <w:rFonts w:hint="eastAsia" w:ascii="宋体" w:hAnsi="宋体" w:cs="宋体"/>
                <w:b/>
                <w:color w:val="auto"/>
                <w:sz w:val="44"/>
                <w:szCs w:val="44"/>
                <w:highlight w:val="none"/>
              </w:rPr>
              <w:t>（电子招投标）</w:t>
            </w:r>
          </w:p>
        </w:tc>
      </w:tr>
      <w:tr w14:paraId="1EAD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6C75CC7">
            <w:pPr>
              <w:pStyle w:val="2"/>
              <w:jc w:val="center"/>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val="en-US" w:eastAsia="zh-CN"/>
              </w:rPr>
              <w:t>XZCG2025-GK-ZCY009</w:t>
            </w:r>
          </w:p>
        </w:tc>
      </w:tr>
      <w:tr w14:paraId="7BC4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375AC0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highlight w:val="none"/>
                <w:vertAlign w:val="baseline"/>
              </w:rPr>
            </w:pPr>
          </w:p>
        </w:tc>
      </w:tr>
      <w:tr w14:paraId="54A7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741AB83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p>
        </w:tc>
      </w:tr>
      <w:tr w14:paraId="1AC6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8440" w:type="dxa"/>
          </w:tcPr>
          <w:p w14:paraId="12DAA2A1">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萧山区尚德实验学校</w:t>
            </w:r>
          </w:p>
          <w:p w14:paraId="598B848D">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杭州市公共资源交易中心萧山分中心</w:t>
            </w:r>
          </w:p>
          <w:p w14:paraId="1E9B5767">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1</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24</w:t>
            </w:r>
            <w:r>
              <w:rPr>
                <w:rFonts w:hint="eastAsia" w:ascii="宋体" w:hAnsi="宋体" w:cs="宋体"/>
                <w:bCs/>
                <w:color w:val="auto"/>
                <w:sz w:val="32"/>
                <w:szCs w:val="32"/>
                <w:highlight w:val="none"/>
              </w:rPr>
              <w:t>日</w:t>
            </w:r>
          </w:p>
        </w:tc>
      </w:tr>
    </w:tbl>
    <w:p w14:paraId="5648441B">
      <w:pPr>
        <w:jc w:val="center"/>
        <w:rPr>
          <w:color w:val="auto"/>
          <w:highlight w:val="none"/>
        </w:rPr>
      </w:pPr>
      <w:bookmarkStart w:id="507" w:name="_GoBack"/>
      <w:bookmarkEnd w:id="507"/>
    </w:p>
    <w:p w14:paraId="6122085E">
      <w:pPr>
        <w:rPr>
          <w:color w:val="auto"/>
          <w:highlight w:val="none"/>
        </w:rPr>
      </w:pPr>
      <w:r>
        <w:rPr>
          <w:rFonts w:hint="eastAsia"/>
          <w:color w:val="auto"/>
          <w:highlight w:val="none"/>
        </w:rPr>
        <w:br w:type="page"/>
      </w:r>
    </w:p>
    <w:p w14:paraId="48EA421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100A9C7">
      <w:pPr>
        <w:spacing w:line="360" w:lineRule="auto"/>
        <w:rPr>
          <w:rFonts w:ascii="宋体" w:hAnsi="宋体" w:cs="宋体"/>
          <w:color w:val="auto"/>
          <w:sz w:val="32"/>
          <w:szCs w:val="32"/>
          <w:highlight w:val="none"/>
        </w:rPr>
      </w:pPr>
    </w:p>
    <w:p w14:paraId="3C6BE4EA">
      <w:pPr>
        <w:spacing w:line="360" w:lineRule="auto"/>
        <w:rPr>
          <w:rFonts w:ascii="宋体" w:hAnsi="宋体" w:cs="宋体"/>
          <w:color w:val="auto"/>
          <w:sz w:val="32"/>
          <w:szCs w:val="32"/>
          <w:highlight w:val="none"/>
        </w:rPr>
      </w:pPr>
    </w:p>
    <w:p w14:paraId="078C4F2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D45ED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0286C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FD324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6C381A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36BE87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08F7CFB">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69CA7E7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07ACAE27">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F9673EE">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萧山区尚德实验学校物业政府采购项目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2</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21</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2137876">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102408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XZCG202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-GK-ZCY009</w:t>
      </w:r>
    </w:p>
    <w:p w14:paraId="42529B2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萧山区尚德实验学校物业政府采购项目</w:t>
      </w:r>
    </w:p>
    <w:p w14:paraId="7A97EA7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rPr>
        <w:t>793000.00</w:t>
      </w:r>
    </w:p>
    <w:p w14:paraId="028DB18D">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rPr>
        <w:t>793000.00</w:t>
      </w:r>
    </w:p>
    <w:p w14:paraId="0A89D1E1">
      <w:pPr>
        <w:pStyle w:val="1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萧山区尚德实验学校物业政府采购项目</w:t>
      </w:r>
      <w:r>
        <w:rPr>
          <w:rFonts w:hint="eastAsia" w:hAnsi="宋体" w:cs="宋体"/>
          <w:bCs/>
          <w:snapToGrid/>
          <w:color w:val="auto"/>
          <w:kern w:val="2"/>
          <w:sz w:val="24"/>
          <w:szCs w:val="24"/>
          <w:highlight w:val="none"/>
          <w:lang w:val="en-US" w:eastAsia="zh-CN"/>
        </w:rPr>
        <w:t xml:space="preserve"> </w:t>
      </w:r>
      <w:r>
        <w:rPr>
          <w:rFonts w:hint="eastAsia" w:hAnsi="宋体" w:cs="宋体"/>
          <w:bCs/>
          <w:snapToGrid/>
          <w:color w:val="auto"/>
          <w:kern w:val="2"/>
          <w:sz w:val="24"/>
          <w:szCs w:val="24"/>
          <w:highlight w:val="none"/>
        </w:rPr>
        <w:t>主要内容：保安、保洁服务。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83913F3">
      <w:pPr>
        <w:pStyle w:val="128"/>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ascii="宋体" w:hAnsi="宋体" w:cs="宋体"/>
          <w:color w:val="auto"/>
          <w:highlight w:val="none"/>
        </w:rPr>
      </w:pPr>
      <w:r>
        <w:rPr>
          <w:rFonts w:hint="eastAsia" w:ascii="宋体" w:hAnsi="宋体" w:cs="宋体"/>
          <w:b/>
          <w:color w:val="auto"/>
          <w:highlight w:val="none"/>
        </w:rPr>
        <w:t>合同履约期限：详见招标文件</w:t>
      </w:r>
    </w:p>
    <w:p w14:paraId="3731F24F">
      <w:pPr>
        <w:pStyle w:val="1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ascii="Wingdings" w:hAnsi="Wingdings"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6B6003C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3013AA1">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0AF992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p>
    <w:p w14:paraId="469C5B3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D2847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A7DFAF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E4C184A">
      <w:pPr>
        <w:keepNext w:val="0"/>
        <w:keepLines w:val="0"/>
        <w:pageBreakBefore w:val="0"/>
        <w:kinsoku/>
        <w:wordWrap/>
        <w:overflowPunct/>
        <w:topLinePunct w:val="0"/>
        <w:autoSpaceDE/>
        <w:autoSpaceDN/>
        <w:bidi w:val="0"/>
        <w:adjustRightInd w:val="0"/>
        <w:snapToGrid w:val="0"/>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02C68BBE">
      <w:pPr>
        <w:keepNext w:val="0"/>
        <w:keepLines w:val="0"/>
        <w:pageBreakBefore w:val="0"/>
        <w:kinsoku/>
        <w:wordWrap/>
        <w:overflowPunct/>
        <w:topLinePunct w:val="0"/>
        <w:autoSpaceDE/>
        <w:autoSpaceDN/>
        <w:bidi w:val="0"/>
        <w:adjustRightInd w:val="0"/>
        <w:snapToGrid w:val="0"/>
        <w:spacing w:line="360" w:lineRule="auto"/>
        <w:ind w:firstLine="897" w:firstLineChars="374"/>
        <w:textAlignment w:val="auto"/>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D742D1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3900B5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46ECED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u w:val="singl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无</w:t>
      </w:r>
      <w:r>
        <w:rPr>
          <w:rFonts w:hint="eastAsia" w:ascii="宋体" w:hAnsi="宋体" w:cs="宋体"/>
          <w:color w:val="auto"/>
          <w:sz w:val="24"/>
          <w:highlight w:val="none"/>
        </w:rPr>
        <w:br w:type="textWrapping"/>
      </w:r>
      <w:sdt>
        <w:sdtPr>
          <w:rPr>
            <w:rFonts w:hint="eastAsia" w:ascii="宋体" w:hAnsi="宋体" w:cs="宋体"/>
            <w:color w:val="auto"/>
            <w:kern w:val="0"/>
            <w:sz w:val="24"/>
            <w:highlight w:val="none"/>
          </w:rPr>
          <w:id w:val="4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52443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12079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71139B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32"/>
          <w:highlight w:val="none"/>
          <w:u w:val="single"/>
        </w:rPr>
        <w:t>202</w:t>
      </w:r>
      <w:r>
        <w:rPr>
          <w:rFonts w:hint="eastAsia" w:ascii="宋体" w:hAnsi="宋体" w:cs="宋体"/>
          <w:color w:val="auto"/>
          <w:sz w:val="24"/>
          <w:szCs w:val="32"/>
          <w:highlight w:val="none"/>
          <w:u w:val="single"/>
          <w:lang w:val="en-US" w:eastAsia="zh-CN"/>
        </w:rPr>
        <w:t>5</w:t>
      </w:r>
      <w:r>
        <w:rPr>
          <w:rFonts w:hint="eastAsia" w:ascii="宋体" w:hAnsi="宋体" w:eastAsia="宋体" w:cs="宋体"/>
          <w:color w:val="auto"/>
          <w:sz w:val="24"/>
          <w:szCs w:val="32"/>
          <w:highlight w:val="none"/>
          <w:u w:val="single"/>
        </w:rPr>
        <w:t>年</w:t>
      </w:r>
      <w:r>
        <w:rPr>
          <w:rFonts w:hint="eastAsia" w:ascii="宋体" w:hAnsi="宋体" w:cs="宋体"/>
          <w:color w:val="auto"/>
          <w:sz w:val="24"/>
          <w:szCs w:val="32"/>
          <w:highlight w:val="none"/>
          <w:u w:val="single"/>
          <w:lang w:val="en-US" w:eastAsia="zh-CN"/>
        </w:rPr>
        <w:t>2</w:t>
      </w:r>
      <w:r>
        <w:rPr>
          <w:rFonts w:hint="eastAsia" w:ascii="宋体" w:hAnsi="宋体" w:eastAsia="宋体" w:cs="宋体"/>
          <w:color w:val="auto"/>
          <w:sz w:val="24"/>
          <w:szCs w:val="32"/>
          <w:highlight w:val="none"/>
          <w:u w:val="single"/>
        </w:rPr>
        <w:t>月</w:t>
      </w:r>
      <w:r>
        <w:rPr>
          <w:rFonts w:hint="eastAsia" w:ascii="宋体" w:hAnsi="宋体" w:cs="宋体"/>
          <w:color w:val="auto"/>
          <w:sz w:val="24"/>
          <w:szCs w:val="32"/>
          <w:highlight w:val="none"/>
          <w:u w:val="single"/>
          <w:lang w:val="en-US" w:eastAsia="zh-CN"/>
        </w:rPr>
        <w:t>21</w:t>
      </w:r>
      <w:r>
        <w:rPr>
          <w:rFonts w:hint="eastAsia" w:ascii="宋体" w:hAnsi="宋体" w:eastAsia="宋体" w:cs="宋体"/>
          <w:color w:val="auto"/>
          <w:sz w:val="24"/>
          <w:szCs w:val="32"/>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23E8F7C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DCC0D3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F8FBFF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r>
        <w:rPr>
          <w:rFonts w:hint="eastAsia" w:ascii="宋体" w:hAnsi="宋体" w:cs="宋体"/>
          <w:color w:val="auto"/>
          <w:sz w:val="24"/>
          <w:highlight w:val="none"/>
        </w:rPr>
        <w:tab/>
      </w:r>
    </w:p>
    <w:p w14:paraId="37FDC7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78DB3F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1DECA3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52119A5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AB50A0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CBBFB1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b/>
          <w:color w:val="auto"/>
          <w:sz w:val="24"/>
          <w:highlight w:val="none"/>
        </w:rPr>
        <w:t>五、公告期限</w:t>
      </w:r>
    </w:p>
    <w:p w14:paraId="79120E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0185E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327B0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97020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E1D2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30DD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5DD08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80A99E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采购人信息</w:t>
      </w:r>
    </w:p>
    <w:p w14:paraId="516C21C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名    称：萧山区尚德实验学校</w:t>
      </w:r>
    </w:p>
    <w:p w14:paraId="7AA4866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地    址：宁围街道攀高路369号</w:t>
      </w:r>
    </w:p>
    <w:p w14:paraId="7EAB7C9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5825F2D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项目联系人（询问）：胡进辉</w:t>
      </w:r>
    </w:p>
    <w:p w14:paraId="0E5AECD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项目联系方式（询问）：19012892024</w:t>
      </w:r>
    </w:p>
    <w:p w14:paraId="006695A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质疑联系人：李镓丞</w:t>
      </w:r>
    </w:p>
    <w:p w14:paraId="60CBB2E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质疑联系方式：13059701193</w:t>
      </w:r>
    </w:p>
    <w:p w14:paraId="634E7A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采购代理机构信息</w:t>
      </w:r>
    </w:p>
    <w:p w14:paraId="290AC37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名    称：杭州市公共资源交易中心萧山分中心</w:t>
      </w:r>
    </w:p>
    <w:p w14:paraId="68CBA5D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地    址：杭州市萧山区博学路618号政务服务中心4楼</w:t>
      </w:r>
    </w:p>
    <w:p w14:paraId="4D28C61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2110EF9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吴工</w:t>
      </w:r>
    </w:p>
    <w:p w14:paraId="49F94A4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0571-89615409</w:t>
      </w:r>
    </w:p>
    <w:p w14:paraId="464C10A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何女士</w:t>
      </w:r>
    </w:p>
    <w:p w14:paraId="05DF3F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质疑联系方式：0571-8</w:t>
      </w:r>
      <w:r>
        <w:rPr>
          <w:rFonts w:hint="eastAsia" w:ascii="宋体" w:hAnsi="宋体" w:cs="宋体"/>
          <w:color w:val="auto"/>
          <w:sz w:val="24"/>
          <w:highlight w:val="none"/>
          <w:lang w:val="en-US" w:eastAsia="zh-CN"/>
        </w:rPr>
        <w:t>9615430</w:t>
      </w:r>
    </w:p>
    <w:p w14:paraId="4435801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同级政府采购监督管理部门</w:t>
      </w:r>
    </w:p>
    <w:p w14:paraId="2DAF7E2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名    称：萧山区财政局、浙江省政府采购行政裁决服务中心（杭州）</w:t>
      </w:r>
    </w:p>
    <w:p w14:paraId="436C6DA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41642FE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103A910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联系人：朱女士/王女士</w:t>
      </w:r>
    </w:p>
    <w:p w14:paraId="44281BA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监督投诉电话：0571-87227671,0571-87800218</w:t>
      </w:r>
    </w:p>
    <w:p w14:paraId="5AE6E2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政策咨询电话：0571-82756122（汤先生）</w:t>
      </w:r>
    </w:p>
    <w:p w14:paraId="36E004B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ABFCC3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highlight w:val="none"/>
        </w:rPr>
      </w:pPr>
      <w:r>
        <w:rPr>
          <w:rFonts w:hint="eastAsia" w:ascii="宋体" w:hAnsi="宋体" w:eastAsia="宋体" w:cs="宋体"/>
          <w:color w:val="auto"/>
          <w:sz w:val="24"/>
          <w:highlight w:val="none"/>
          <w:lang w:val="en-US" w:eastAsia="zh-CN"/>
        </w:rPr>
        <w:t>CA问题联系电话（人工）：汇信CA 400-888-4636；天谷CA 400-087-8198</w:t>
      </w:r>
      <w:r>
        <w:rPr>
          <w:rFonts w:hint="eastAsia" w:ascii="宋体" w:hAnsi="宋体" w:cs="宋体"/>
          <w:color w:val="auto"/>
          <w:sz w:val="24"/>
          <w:highlight w:val="none"/>
        </w:rPr>
        <w:t>。</w:t>
      </w:r>
    </w:p>
    <w:p w14:paraId="4D7FD1F4">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528227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5A32378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AAB7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D37093">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936126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CFFB8E3">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本项目的特别规定</w:t>
            </w:r>
          </w:p>
        </w:tc>
      </w:tr>
      <w:tr w14:paraId="4A980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F64F60">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50A618A">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DF7381">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服务类。</w:t>
            </w:r>
          </w:p>
        </w:tc>
      </w:tr>
      <w:tr w14:paraId="25D14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A37D0B">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E465A8">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EA5397D">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（1）标的：</w:t>
            </w:r>
            <w:r>
              <w:rPr>
                <w:rFonts w:hint="eastAsia" w:ascii="宋体" w:hAnsi="宋体" w:cs="宋体"/>
                <w:color w:val="auto"/>
                <w:sz w:val="24"/>
                <w:szCs w:val="24"/>
                <w:highlight w:val="none"/>
                <w:u w:val="single"/>
                <w:lang w:val="en-US" w:eastAsia="zh-CN"/>
              </w:rPr>
              <w:t>物业管理服务</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lang w:val="en-US" w:eastAsia="zh-CN"/>
              </w:rPr>
              <w:t>物业管理</w:t>
            </w:r>
            <w:r>
              <w:rPr>
                <w:rFonts w:hint="eastAsia" w:ascii="宋体" w:hAnsi="宋体" w:cs="宋体"/>
                <w:color w:val="auto"/>
                <w:sz w:val="24"/>
                <w:szCs w:val="24"/>
                <w:highlight w:val="none"/>
              </w:rPr>
              <w:t>行业；</w:t>
            </w:r>
          </w:p>
          <w:p w14:paraId="7CEE0AC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hint="eastAsia" w:ascii="宋体" w:hAnsi="宋体" w:cs="宋体"/>
                <w:color w:val="auto"/>
                <w:sz w:val="22"/>
                <w:szCs w:val="22"/>
                <w:highlight w:val="none"/>
              </w:rPr>
              <w:t>《关于印发中小企业划型标准规定的通知》工信部联企业〔2011〕300号</w:t>
            </w:r>
          </w:p>
        </w:tc>
      </w:tr>
      <w:tr w14:paraId="6591A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B2348F">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57B00DF">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35CFD8">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582C604F">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color w:val="auto"/>
                <w:sz w:val="24"/>
                <w:szCs w:val="24"/>
                <w:highlight w:val="none"/>
              </w:rPr>
              <w:t>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39514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55FA49">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DC08913">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D9CD022">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四害消杀</w:t>
            </w:r>
            <w:r>
              <w:rPr>
                <w:rFonts w:hint="eastAsia" w:ascii="宋体" w:hAnsi="宋体" w:cs="宋体"/>
                <w:color w:val="auto"/>
                <w:sz w:val="24"/>
                <w:szCs w:val="24"/>
                <w:highlight w:val="none"/>
              </w:rPr>
              <w:t>工作分包。</w:t>
            </w:r>
          </w:p>
          <w:p w14:paraId="607B48E9">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B</w:t>
            </w:r>
            <w:r>
              <w:rPr>
                <w:rFonts w:hint="eastAsia" w:ascii="宋体" w:hAnsi="宋体" w:cs="宋体"/>
                <w:color w:val="auto"/>
                <w:sz w:val="24"/>
                <w:szCs w:val="24"/>
                <w:highlight w:val="none"/>
              </w:rPr>
              <w:t>不同意分包。</w:t>
            </w:r>
          </w:p>
          <w:p w14:paraId="2EF4EC77">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467C3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7EF810">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F27DC4C">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4691D2">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2"/>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eastAsia="MS Gothic" w:cs="宋体"/>
                    <w:color w:val="auto"/>
                    <w:kern w:val="0"/>
                    <w:sz w:val="24"/>
                    <w:szCs w:val="24"/>
                    <w:highlight w:val="none"/>
                  </w:rPr>
                  <w:t></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14:paraId="0C9C8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0D4640">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69372F7">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1FBC2B5">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ascii="Wingdings" w:hAnsi="Wingdings"/>
                    <w:color w:val="auto"/>
                    <w:sz w:val="24"/>
                    <w:szCs w:val="24"/>
                    <w:highlight w:val="none"/>
                  </w:rPr>
                  <w:t></w:t>
                </w:r>
              </w:sdtContent>
            </w:sdt>
            <w:r>
              <w:rPr>
                <w:rFonts w:hint="eastAsia" w:ascii="宋体" w:hAnsi="宋体" w:eastAsia="宋体" w:cs="宋体"/>
                <w:color w:val="auto"/>
                <w:kern w:val="0"/>
                <w:sz w:val="24"/>
                <w:szCs w:val="24"/>
                <w:highlight w:val="none"/>
              </w:rPr>
              <w:t>A</w:t>
            </w:r>
            <w:r>
              <w:rPr>
                <w:rFonts w:hint="eastAsia"/>
                <w:color w:val="auto"/>
                <w:sz w:val="24"/>
                <w:szCs w:val="24"/>
                <w:highlight w:val="none"/>
              </w:rPr>
              <w:t>不要求提供。</w:t>
            </w:r>
          </w:p>
        </w:tc>
      </w:tr>
      <w:tr w14:paraId="1B082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6D978F">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B336C0">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42BDE72">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1AB6B572">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kern w:val="0"/>
                <w:sz w:val="24"/>
                <w:szCs w:val="24"/>
                <w:highlight w:val="none"/>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7B199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 w:hRule="atLeast"/>
          <w:tblHeader/>
        </w:trPr>
        <w:tc>
          <w:tcPr>
            <w:tcW w:w="629" w:type="dxa"/>
            <w:vMerge w:val="restart"/>
            <w:tcBorders>
              <w:top w:val="single" w:color="auto" w:sz="4" w:space="0"/>
              <w:left w:val="single" w:color="auto" w:sz="4" w:space="0"/>
              <w:right w:val="single" w:color="auto" w:sz="4" w:space="0"/>
            </w:tcBorders>
            <w:vAlign w:val="center"/>
          </w:tcPr>
          <w:p w14:paraId="5E33625E">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0FB7AD6">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08535E3">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79EEE878">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02ED3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 w:hRule="atLeast"/>
          <w:tblHeader/>
        </w:trPr>
        <w:tc>
          <w:tcPr>
            <w:tcW w:w="629" w:type="dxa"/>
            <w:vMerge w:val="continue"/>
            <w:tcBorders>
              <w:left w:val="single" w:color="auto" w:sz="4" w:space="0"/>
              <w:bottom w:val="single" w:color="auto" w:sz="4" w:space="0"/>
              <w:right w:val="single" w:color="auto" w:sz="4" w:space="0"/>
            </w:tcBorders>
            <w:vAlign w:val="center"/>
          </w:tcPr>
          <w:p w14:paraId="76B9B6D2">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2C35410">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CD0A895">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p>
        </w:tc>
      </w:tr>
      <w:tr w14:paraId="43D3E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10D485">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CA83F66">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74A28C3">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kern w:val="0"/>
                <w:sz w:val="24"/>
                <w:szCs w:val="24"/>
                <w:highlight w:val="none"/>
                <w:lang w:val="zh-CN"/>
              </w:rPr>
            </w:pPr>
            <w:sdt>
              <w:sdtPr>
                <w:rPr>
                  <w:rFonts w:hint="eastAsia" w:ascii="宋体" w:hAnsi="宋体" w:cs="宋体"/>
                  <w:color w:val="auto"/>
                  <w:kern w:val="0"/>
                  <w:sz w:val="24"/>
                  <w:szCs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lang w:val="zh-CN"/>
                </w:rPr>
              </w:sdtEndPr>
              <w:sdtContent>
                <w:r>
                  <w:rPr>
                    <w:rFonts w:hint="eastAsia" w:ascii="MS Gothic" w:hAnsi="MS Gothic" w:cs="宋体"/>
                    <w:color w:val="auto"/>
                    <w:kern w:val="0"/>
                    <w:sz w:val="24"/>
                    <w:szCs w:val="24"/>
                    <w:highlight w:val="none"/>
                    <w:lang w:val="zh-CN"/>
                  </w:rPr>
                  <w:t>☐</w:t>
                </w:r>
              </w:sdtContent>
            </w:sdt>
            <w:r>
              <w:rPr>
                <w:rFonts w:hint="eastAsia" w:ascii="宋体" w:hAnsi="宋体" w:cs="宋体"/>
                <w:color w:val="auto"/>
                <w:kern w:val="0"/>
                <w:sz w:val="24"/>
                <w:szCs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b/>
                <w:bCs/>
                <w:color w:val="auto"/>
                <w:kern w:val="0"/>
                <w:sz w:val="24"/>
                <w:szCs w:val="24"/>
                <w:highlight w:val="none"/>
                <w:u w:val="single"/>
                <w:shd w:val="pct10" w:color="auto" w:fill="FFFFFF"/>
                <w:lang w:val="zh-CN"/>
              </w:rPr>
              <w:t>产品名称XXX</w:t>
            </w:r>
            <w:r>
              <w:rPr>
                <w:rFonts w:hint="eastAsia" w:ascii="宋体" w:hAnsi="宋体" w:cs="宋体"/>
                <w:color w:val="auto"/>
                <w:kern w:val="0"/>
                <w:sz w:val="24"/>
                <w:szCs w:val="24"/>
                <w:highlight w:val="none"/>
                <w:lang w:val="zh-CN"/>
              </w:rPr>
              <w:t>实施政府优先采购，</w:t>
            </w:r>
            <w:r>
              <w:rPr>
                <w:rFonts w:hint="eastAsia" w:ascii="宋体" w:hAnsi="宋体" w:cs="宋体"/>
                <w:color w:val="auto"/>
                <w:kern w:val="0"/>
                <w:sz w:val="24"/>
                <w:szCs w:val="24"/>
                <w:highlight w:val="none"/>
              </w:rPr>
              <w:t>详</w:t>
            </w:r>
            <w:r>
              <w:rPr>
                <w:rFonts w:hint="eastAsia" w:ascii="宋体" w:hAnsi="宋体" w:cs="宋体"/>
                <w:color w:val="auto"/>
                <w:kern w:val="0"/>
                <w:sz w:val="24"/>
                <w:szCs w:val="24"/>
                <w:highlight w:val="none"/>
                <w:lang w:val="zh-CN"/>
              </w:rPr>
              <w:t>见</w:t>
            </w:r>
            <w:r>
              <w:rPr>
                <w:rFonts w:hint="eastAsia" w:ascii="宋体" w:hAnsi="宋体" w:cs="宋体"/>
                <w:color w:val="auto"/>
                <w:kern w:val="0"/>
                <w:sz w:val="24"/>
                <w:szCs w:val="24"/>
                <w:highlight w:val="none"/>
                <w:u w:val="single"/>
                <w:lang w:val="zh-CN"/>
              </w:rPr>
              <w:t>评分标准</w:t>
            </w:r>
            <w:r>
              <w:rPr>
                <w:rFonts w:hint="eastAsia" w:ascii="宋体" w:hAnsi="宋体" w:cs="宋体"/>
                <w:color w:val="auto"/>
                <w:kern w:val="0"/>
                <w:sz w:val="24"/>
                <w:szCs w:val="24"/>
                <w:highlight w:val="none"/>
                <w:lang w:val="zh-CN"/>
              </w:rPr>
              <w:t>；</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对</w:t>
            </w:r>
            <w:r>
              <w:rPr>
                <w:rFonts w:hint="eastAsia" w:ascii="宋体" w:hAnsi="宋体" w:cs="宋体"/>
                <w:b/>
                <w:bCs/>
                <w:color w:val="auto"/>
                <w:kern w:val="0"/>
                <w:sz w:val="24"/>
                <w:szCs w:val="24"/>
                <w:highlight w:val="none"/>
                <w:u w:val="single"/>
                <w:shd w:val="pct10" w:color="auto" w:fill="FFFFFF"/>
                <w:lang w:val="zh-CN"/>
              </w:rPr>
              <w:t>产品名称XXX</w:t>
            </w:r>
            <w:r>
              <w:rPr>
                <w:rFonts w:hint="eastAsia" w:ascii="宋体" w:hAnsi="宋体" w:cs="宋体"/>
                <w:color w:val="auto"/>
                <w:kern w:val="0"/>
                <w:sz w:val="24"/>
                <w:szCs w:val="24"/>
                <w:highlight w:val="none"/>
                <w:lang w:val="zh-CN"/>
              </w:rPr>
              <w:t>实施政府强制采购，</w:t>
            </w:r>
            <w:r>
              <w:rPr>
                <w:rFonts w:hint="eastAsia" w:ascii="宋体" w:hAnsi="宋体" w:cs="宋体"/>
                <w:b/>
                <w:bCs/>
                <w:color w:val="auto"/>
                <w:kern w:val="0"/>
                <w:sz w:val="24"/>
                <w:szCs w:val="24"/>
                <w:highlight w:val="none"/>
                <w:lang w:val="zh-CN"/>
              </w:rPr>
              <w:t>投标人</w:t>
            </w:r>
            <w:r>
              <w:rPr>
                <w:rFonts w:hint="eastAsia" w:ascii="宋体" w:hAnsi="宋体" w:cs="宋体"/>
                <w:b/>
                <w:bCs/>
                <w:color w:val="auto"/>
                <w:kern w:val="0"/>
                <w:sz w:val="24"/>
                <w:szCs w:val="24"/>
                <w:highlight w:val="none"/>
              </w:rPr>
              <w:t>就</w:t>
            </w:r>
            <w:r>
              <w:rPr>
                <w:rFonts w:hint="eastAsia" w:ascii="宋体" w:hAnsi="宋体" w:cs="宋体"/>
                <w:b/>
                <w:bCs/>
                <w:color w:val="auto"/>
                <w:kern w:val="0"/>
                <w:sz w:val="24"/>
                <w:szCs w:val="24"/>
                <w:highlight w:val="none"/>
                <w:lang w:val="zh-CN"/>
              </w:rPr>
              <w:t>相应的投标产品未</w:t>
            </w:r>
            <w:r>
              <w:rPr>
                <w:rFonts w:hint="eastAsia" w:ascii="宋体" w:hAnsi="宋体" w:cs="宋体"/>
                <w:b/>
                <w:bCs/>
                <w:color w:val="auto"/>
                <w:kern w:val="0"/>
                <w:sz w:val="24"/>
                <w:szCs w:val="24"/>
                <w:highlight w:val="none"/>
              </w:rPr>
              <w:t>提供</w:t>
            </w:r>
            <w:r>
              <w:rPr>
                <w:rFonts w:hint="eastAsia" w:ascii="宋体" w:hAnsi="宋体" w:cs="宋体"/>
                <w:b/>
                <w:bCs/>
                <w:color w:val="auto"/>
                <w:kern w:val="0"/>
                <w:sz w:val="24"/>
                <w:szCs w:val="24"/>
                <w:highlight w:val="none"/>
                <w:lang w:val="zh-CN"/>
              </w:rPr>
              <w:t>国家确定的认证机构出具的、处于有效期之内的节能产品认证证书的，投标无效</w:t>
            </w:r>
            <w:r>
              <w:rPr>
                <w:rFonts w:hint="eastAsia" w:ascii="宋体" w:hAnsi="宋体" w:cs="宋体"/>
                <w:color w:val="auto"/>
                <w:kern w:val="0"/>
                <w:sz w:val="24"/>
                <w:szCs w:val="24"/>
                <w:highlight w:val="none"/>
                <w:lang w:val="zh-CN"/>
              </w:rPr>
              <w:t>。</w:t>
            </w:r>
          </w:p>
          <w:p w14:paraId="57A184D0">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kern w:val="0"/>
                <w:sz w:val="24"/>
                <w:szCs w:val="24"/>
                <w:highlight w:val="none"/>
                <w:lang w:val="zh-CN"/>
              </w:rPr>
            </w:pPr>
            <w:sdt>
              <w:sdtPr>
                <w:rPr>
                  <w:rFonts w:hint="eastAsia" w:ascii="宋体" w:hAnsi="宋体" w:cs="宋体"/>
                  <w:color w:val="auto"/>
                  <w:kern w:val="0"/>
                  <w:sz w:val="24"/>
                  <w:szCs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lang w:val="zh-CN"/>
                </w:rPr>
              </w:sdtEndPr>
              <w:sdtContent>
                <w:r>
                  <w:rPr>
                    <w:rFonts w:hint="eastAsia" w:ascii="宋体" w:hAnsi="宋体" w:cs="宋体"/>
                    <w:color w:val="auto"/>
                    <w:kern w:val="0"/>
                    <w:sz w:val="24"/>
                    <w:szCs w:val="24"/>
                    <w:highlight w:val="none"/>
                    <w:lang w:val="zh-CN"/>
                  </w:rPr>
                  <w:t>☐</w:t>
                </w:r>
              </w:sdtContent>
            </w:sdt>
            <w:r>
              <w:rPr>
                <w:rFonts w:hint="eastAsia" w:ascii="宋体" w:hAnsi="宋体" w:cs="宋体"/>
                <w:color w:val="auto"/>
                <w:kern w:val="0"/>
                <w:sz w:val="24"/>
                <w:szCs w:val="24"/>
                <w:highlight w:val="none"/>
                <w:lang w:val="zh-CN"/>
              </w:rPr>
              <w:t>依据国家确定的认证机构出具的、处于有效期之内的环境标志产品认证证书，对获得证书的</w:t>
            </w:r>
            <w:r>
              <w:rPr>
                <w:rFonts w:hint="eastAsia" w:ascii="宋体" w:hAnsi="宋体" w:cs="宋体"/>
                <w:b/>
                <w:bCs/>
                <w:color w:val="auto"/>
                <w:kern w:val="0"/>
                <w:sz w:val="24"/>
                <w:szCs w:val="24"/>
                <w:highlight w:val="none"/>
                <w:u w:val="single"/>
                <w:shd w:val="pct10" w:color="auto" w:fill="FFFFFF"/>
                <w:lang w:val="zh-CN"/>
              </w:rPr>
              <w:t>产品名称XXX</w:t>
            </w:r>
            <w:r>
              <w:rPr>
                <w:rFonts w:hint="eastAsia" w:ascii="宋体" w:hAnsi="宋体" w:cs="宋体"/>
                <w:color w:val="auto"/>
                <w:kern w:val="0"/>
                <w:sz w:val="24"/>
                <w:szCs w:val="24"/>
                <w:highlight w:val="none"/>
                <w:lang w:val="zh-CN"/>
              </w:rPr>
              <w:t>实施政府优先采购，</w:t>
            </w:r>
            <w:r>
              <w:rPr>
                <w:rFonts w:hint="eastAsia" w:ascii="宋体" w:hAnsi="宋体" w:cs="宋体"/>
                <w:color w:val="auto"/>
                <w:kern w:val="0"/>
                <w:sz w:val="24"/>
                <w:szCs w:val="24"/>
                <w:highlight w:val="none"/>
              </w:rPr>
              <w:t>详</w:t>
            </w:r>
            <w:r>
              <w:rPr>
                <w:rFonts w:hint="eastAsia" w:ascii="宋体" w:hAnsi="宋体" w:cs="宋体"/>
                <w:color w:val="auto"/>
                <w:kern w:val="0"/>
                <w:sz w:val="24"/>
                <w:szCs w:val="24"/>
                <w:highlight w:val="none"/>
                <w:lang w:val="zh-CN"/>
              </w:rPr>
              <w:t>见</w:t>
            </w:r>
            <w:r>
              <w:rPr>
                <w:rFonts w:hint="eastAsia" w:ascii="宋体" w:hAnsi="宋体" w:cs="宋体"/>
                <w:color w:val="auto"/>
                <w:kern w:val="0"/>
                <w:sz w:val="24"/>
                <w:szCs w:val="24"/>
                <w:highlight w:val="none"/>
                <w:u w:val="single"/>
                <w:lang w:val="zh-CN"/>
              </w:rPr>
              <w:t>评分标准</w:t>
            </w:r>
            <w:r>
              <w:rPr>
                <w:rFonts w:hint="eastAsia" w:ascii="宋体" w:hAnsi="宋体" w:cs="宋体"/>
                <w:color w:val="auto"/>
                <w:kern w:val="0"/>
                <w:sz w:val="24"/>
                <w:szCs w:val="24"/>
                <w:highlight w:val="none"/>
                <w:lang w:val="zh-CN"/>
              </w:rPr>
              <w:t>。</w:t>
            </w:r>
          </w:p>
          <w:p w14:paraId="16E580EE">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无。</w:t>
            </w:r>
          </w:p>
        </w:tc>
      </w:tr>
      <w:tr w14:paraId="31D66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950D15">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AD19894">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92FEFEC">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15364C03">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3695B9CA">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741A7370">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0A97F2AC">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2E53CD23">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7615B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2" w:hRule="atLeast"/>
          <w:tblHeader/>
        </w:trPr>
        <w:tc>
          <w:tcPr>
            <w:tcW w:w="629" w:type="dxa"/>
            <w:tcBorders>
              <w:top w:val="single" w:color="auto" w:sz="4" w:space="0"/>
              <w:left w:val="single" w:color="000000" w:sz="8" w:space="0"/>
              <w:right w:val="single" w:color="000000" w:sz="2" w:space="0"/>
            </w:tcBorders>
            <w:vAlign w:val="center"/>
          </w:tcPr>
          <w:p w14:paraId="11851A91">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7BA8484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6A06C2C">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74316EF">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3FD83702">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0EBF6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7BD199">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7D8959E">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C8ABBEC">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color w:val="auto"/>
                <w:sz w:val="24"/>
                <w:szCs w:val="24"/>
                <w:highlight w:val="none"/>
              </w:rPr>
            </w:pPr>
            <w:r>
              <w:rPr>
                <w:rFonts w:hint="eastAsia" w:hAnsi="宋体" w:cs="宋体"/>
                <w:color w:val="auto"/>
                <w:kern w:val="28"/>
                <w:sz w:val="24"/>
                <w:szCs w:val="24"/>
                <w:highlight w:val="none"/>
              </w:rPr>
              <w:t>本项目备份文件是否收取：不收取</w:t>
            </w:r>
          </w:p>
          <w:p w14:paraId="4CCC7705">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color w:val="auto"/>
                <w:kern w:val="28"/>
                <w:sz w:val="24"/>
                <w:szCs w:val="24"/>
                <w:highlight w:val="none"/>
              </w:rPr>
            </w:pPr>
            <w:r>
              <w:rPr>
                <w:rFonts w:hint="eastAsia" w:hAnsi="宋体" w:cs="宋体"/>
                <w:b/>
                <w:color w:val="auto"/>
                <w:sz w:val="24"/>
                <w:szCs w:val="24"/>
                <w:highlight w:val="none"/>
              </w:rPr>
              <w:t>采购人、采购代理机构不强制或变相强制投标人提交备份投标文件。</w:t>
            </w:r>
          </w:p>
        </w:tc>
      </w:tr>
      <w:tr w14:paraId="7E802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F2D47C">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AE77E">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207D161">
            <w:pPr>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color w:val="auto"/>
                <w:kern w:val="28"/>
                <w:sz w:val="24"/>
                <w:szCs w:val="24"/>
                <w:highlight w:val="none"/>
              </w:rPr>
            </w:pPr>
            <w:r>
              <w:rPr>
                <w:rFonts w:hint="eastAsia"/>
                <w:color w:val="auto"/>
                <w:sz w:val="24"/>
                <w:szCs w:val="24"/>
                <w:highlight w:val="none"/>
              </w:rPr>
              <w:t>无。</w:t>
            </w:r>
          </w:p>
        </w:tc>
      </w:tr>
      <w:tr w14:paraId="332FD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370155">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D5C6FC3">
            <w:pPr>
              <w:pageBreakBefore w:val="0"/>
              <w:widowControl w:val="0"/>
              <w:kinsoku/>
              <w:wordWrap/>
              <w:overflowPunct/>
              <w:topLinePunct w:val="0"/>
              <w:autoSpaceDE/>
              <w:autoSpaceDN/>
              <w:bidi w:val="0"/>
              <w:snapToGrid w:val="0"/>
              <w:spacing w:line="240" w:lineRule="auto"/>
              <w:jc w:val="center"/>
              <w:textAlignment w:val="auto"/>
              <w:rPr>
                <w:color w:val="auto"/>
                <w:sz w:val="24"/>
                <w:szCs w:val="24"/>
                <w:highlight w:val="none"/>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B9D2D7B">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6ECC8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E7749F">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8B3CC31">
            <w:pPr>
              <w:pageBreakBefore w:val="0"/>
              <w:widowControl w:val="0"/>
              <w:kinsoku/>
              <w:wordWrap/>
              <w:overflowPunct/>
              <w:topLinePunct w:val="0"/>
              <w:autoSpaceDE/>
              <w:autoSpaceDN/>
              <w:bidi w:val="0"/>
              <w:snapToGrid w:val="0"/>
              <w:spacing w:line="240" w:lineRule="auto"/>
              <w:jc w:val="center"/>
              <w:textAlignment w:val="auto"/>
              <w:rPr>
                <w:rFonts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74E1FBB">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6FDBAB38">
            <w:pPr>
              <w:keepNext w:val="0"/>
              <w:keepLines w:val="0"/>
              <w:pageBreakBefore w:val="0"/>
              <w:widowControl w:val="0"/>
              <w:kinsoku/>
              <w:wordWrap/>
              <w:overflowPunct/>
              <w:topLinePunct w:val="0"/>
              <w:autoSpaceDE/>
              <w:autoSpaceDN/>
              <w:bidi w:val="0"/>
              <w:snapToGrid w:val="0"/>
              <w:spacing w:line="360" w:lineRule="auto"/>
              <w:jc w:val="both"/>
              <w:textAlignment w:val="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1F2F8963">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1575616D">
            <w:pPr>
              <w:keepNext w:val="0"/>
              <w:keepLines w:val="0"/>
              <w:pageBreakBefore w:val="0"/>
              <w:widowControl w:val="0"/>
              <w:kinsoku/>
              <w:wordWrap/>
              <w:overflowPunct/>
              <w:topLinePunct w:val="0"/>
              <w:autoSpaceDE/>
              <w:autoSpaceDN/>
              <w:bidi w:val="0"/>
              <w:snapToGrid w:val="0"/>
              <w:spacing w:line="360" w:lineRule="auto"/>
              <w:jc w:val="both"/>
              <w:textAlignment w:val="auto"/>
              <w:rPr>
                <w:rFonts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采购代理</w:t>
            </w:r>
            <w:r>
              <w:rPr>
                <w:b/>
                <w:bCs/>
                <w:color w:val="auto"/>
                <w:sz w:val="24"/>
                <w:szCs w:val="24"/>
                <w:highlight w:val="none"/>
              </w:rPr>
              <w:t>机构</w:t>
            </w:r>
            <w:r>
              <w:rPr>
                <w:color w:val="auto"/>
                <w:sz w:val="24"/>
                <w:szCs w:val="24"/>
                <w:highlight w:val="none"/>
              </w:rPr>
              <w:t>进行答复。</w:t>
            </w:r>
          </w:p>
        </w:tc>
      </w:tr>
      <w:tr w14:paraId="62DCA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015CC3">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49610E5">
            <w:pPr>
              <w:pageBreakBefore w:val="0"/>
              <w:widowControl w:val="0"/>
              <w:kinsoku/>
              <w:wordWrap/>
              <w:overflowPunct/>
              <w:topLinePunct w:val="0"/>
              <w:autoSpaceDE/>
              <w:autoSpaceDN/>
              <w:bidi w:val="0"/>
              <w:snapToGrid w:val="0"/>
              <w:spacing w:line="240" w:lineRule="auto"/>
              <w:jc w:val="center"/>
              <w:textAlignment w:val="auto"/>
              <w:rPr>
                <w:rFonts w:cs="仿宋"/>
                <w:b/>
                <w:color w:val="auto"/>
                <w:sz w:val="24"/>
                <w:szCs w:val="24"/>
                <w:highlight w:val="none"/>
              </w:rPr>
            </w:pPr>
            <w:r>
              <w:rPr>
                <w:rFonts w:hint="eastAsia" w:cs="仿宋"/>
                <w:b/>
                <w:color w:val="auto"/>
                <w:sz w:val="24"/>
                <w:szCs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ADF0615">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r>
              <w:rPr>
                <w:rFonts w:hint="eastAsia"/>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rPr>
              <w:br w:type="textWrapping"/>
            </w:r>
            <w:r>
              <w:rPr>
                <w:rFonts w:hint="eastAsia" w:ascii="宋体" w:hAnsi="宋体" w:eastAsia="宋体" w:cs="宋体"/>
                <w:color w:val="auto"/>
                <w:sz w:val="24"/>
                <w:szCs w:val="24"/>
                <w:highlight w:val="none"/>
              </w:rPr>
              <w:t>联系电话: 0571-83587785/0571-82816012 联系地址: 萧山区通惠北路2-1号304室</w:t>
            </w:r>
          </w:p>
        </w:tc>
      </w:tr>
      <w:tr w14:paraId="2F5EE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7" w:hRule="atLeast"/>
          <w:tblHeader/>
        </w:trPr>
        <w:tc>
          <w:tcPr>
            <w:tcW w:w="629" w:type="dxa"/>
            <w:vMerge w:val="restart"/>
            <w:tcBorders>
              <w:top w:val="single" w:color="auto" w:sz="4" w:space="0"/>
              <w:left w:val="single" w:color="000000" w:sz="8" w:space="0"/>
              <w:right w:val="single" w:color="000000" w:sz="2" w:space="0"/>
            </w:tcBorders>
            <w:vAlign w:val="center"/>
          </w:tcPr>
          <w:p w14:paraId="64A57315">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251D2992">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8C8AC29">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036DD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2" w:hRule="atLeast"/>
          <w:tblHeader/>
        </w:trPr>
        <w:tc>
          <w:tcPr>
            <w:tcW w:w="629" w:type="dxa"/>
            <w:vMerge w:val="continue"/>
            <w:tcBorders>
              <w:left w:val="single" w:color="000000" w:sz="8" w:space="0"/>
              <w:right w:val="single" w:color="000000" w:sz="2" w:space="0"/>
            </w:tcBorders>
            <w:vAlign w:val="center"/>
          </w:tcPr>
          <w:p w14:paraId="748D2D30">
            <w:pPr>
              <w:pStyle w:val="2"/>
              <w:keepNext w:val="0"/>
              <w:keepLines w:val="0"/>
              <w:pageBreakBefore w:val="0"/>
              <w:widowControl w:val="0"/>
              <w:kinsoku/>
              <w:wordWrap/>
              <w:overflowPunct/>
              <w:topLinePunct w:val="0"/>
              <w:autoSpaceDE/>
              <w:autoSpaceDN/>
              <w:bidi w:val="0"/>
              <w:snapToGrid w:val="0"/>
              <w:spacing w:line="360" w:lineRule="auto"/>
              <w:ind w:left="0" w:firstLine="0"/>
              <w:jc w:val="both"/>
              <w:textAlignment w:val="auto"/>
              <w:rPr>
                <w:color w:val="auto"/>
                <w:highlight w:val="none"/>
              </w:rPr>
            </w:pPr>
          </w:p>
        </w:tc>
        <w:tc>
          <w:tcPr>
            <w:tcW w:w="1843" w:type="dxa"/>
            <w:vMerge w:val="continue"/>
            <w:tcBorders>
              <w:left w:val="single" w:color="000000" w:sz="2" w:space="0"/>
              <w:right w:val="single" w:color="000000" w:sz="8" w:space="0"/>
            </w:tcBorders>
            <w:vAlign w:val="center"/>
          </w:tcPr>
          <w:p w14:paraId="30A64BA4">
            <w:pPr>
              <w:pStyle w:val="2"/>
              <w:keepNext w:val="0"/>
              <w:keepLines w:val="0"/>
              <w:pageBreakBefore w:val="0"/>
              <w:widowControl w:val="0"/>
              <w:kinsoku/>
              <w:wordWrap/>
              <w:overflowPunct/>
              <w:topLinePunct w:val="0"/>
              <w:autoSpaceDE/>
              <w:autoSpaceDN/>
              <w:bidi w:val="0"/>
              <w:snapToGrid w:val="0"/>
              <w:spacing w:line="360" w:lineRule="auto"/>
              <w:ind w:left="0" w:firstLine="0"/>
              <w:jc w:val="both"/>
              <w:textAlignment w:val="auto"/>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7C8970F">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sdt>
              <w:sdtPr>
                <w:rPr>
                  <w:rFonts w:hint="eastAsia"/>
                  <w:color w:val="auto"/>
                  <w:sz w:val="24"/>
                  <w:szCs w:val="24"/>
                  <w:highlight w:val="none"/>
                </w:rPr>
                <w:id w:val="147473221"/>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5F807FAF">
            <w:pPr>
              <w:pStyle w:val="2"/>
              <w:keepNext w:val="0"/>
              <w:keepLines w:val="0"/>
              <w:pageBreakBefore w:val="0"/>
              <w:widowControl w:val="0"/>
              <w:kinsoku/>
              <w:wordWrap/>
              <w:overflowPunct/>
              <w:topLinePunct w:val="0"/>
              <w:autoSpaceDE/>
              <w:autoSpaceDN/>
              <w:bidi w:val="0"/>
              <w:snapToGrid w:val="0"/>
              <w:spacing w:line="360" w:lineRule="auto"/>
              <w:ind w:left="0" w:firstLine="0"/>
              <w:jc w:val="both"/>
              <w:textAlignment w:val="auto"/>
              <w:rPr>
                <w:rFonts w:hint="eastAsia"/>
                <w:color w:val="auto"/>
                <w:sz w:val="24"/>
                <w:szCs w:val="24"/>
                <w:highlight w:val="none"/>
              </w:rPr>
            </w:pPr>
            <w:sdt>
              <w:sdtPr>
                <w:rPr>
                  <w:rFonts w:hint="eastAsia"/>
                  <w:color w:val="auto"/>
                  <w:sz w:val="24"/>
                  <w:szCs w:val="24"/>
                  <w:highlight w:val="none"/>
                </w:rPr>
                <w:id w:val="147454844"/>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487E0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2" w:hRule="atLeast"/>
          <w:tblHeader/>
        </w:trPr>
        <w:tc>
          <w:tcPr>
            <w:tcW w:w="629" w:type="dxa"/>
            <w:vMerge w:val="continue"/>
            <w:tcBorders>
              <w:left w:val="single" w:color="000000" w:sz="8" w:space="0"/>
              <w:right w:val="single" w:color="000000" w:sz="2" w:space="0"/>
            </w:tcBorders>
            <w:vAlign w:val="center"/>
          </w:tcPr>
          <w:p w14:paraId="0EF194C7">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szCs w:val="24"/>
                <w:highlight w:val="none"/>
              </w:rPr>
            </w:pPr>
          </w:p>
        </w:tc>
        <w:tc>
          <w:tcPr>
            <w:tcW w:w="1843" w:type="dxa"/>
            <w:vMerge w:val="continue"/>
            <w:tcBorders>
              <w:left w:val="single" w:color="000000" w:sz="2" w:space="0"/>
              <w:right w:val="single" w:color="000000" w:sz="8" w:space="0"/>
            </w:tcBorders>
            <w:vAlign w:val="center"/>
          </w:tcPr>
          <w:p w14:paraId="2F40B50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D7CFD95">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r>
              <w:rPr>
                <w:rFonts w:hint="eastAsia" w:cs="Arial" w:asciiTheme="minorEastAsia" w:hAnsiTheme="minorEastAsia" w:eastAsiaTheme="minorEastAsia"/>
                <w:color w:val="auto"/>
                <w:kern w:val="0"/>
                <w:sz w:val="24"/>
                <w:szCs w:val="24"/>
                <w:highlight w:val="none"/>
              </w:rPr>
              <w:t>评审因素对应的要求视为采购需求的一部分。</w:t>
            </w:r>
          </w:p>
          <w:p w14:paraId="5B97BAB1">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r>
              <w:rPr>
                <w:rFonts w:hint="eastAsia"/>
                <w:color w:val="auto"/>
                <w:sz w:val="24"/>
                <w:szCs w:val="24"/>
                <w:highlight w:val="none"/>
              </w:rPr>
              <w:t>本项目通用总则条款与前附表等专用特别规定有冲突之处，以专用条款（特别规定）为准</w:t>
            </w:r>
          </w:p>
        </w:tc>
      </w:tr>
      <w:tr w14:paraId="3F7CE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 w:hRule="atLeast"/>
          <w:tblHeader/>
        </w:trPr>
        <w:tc>
          <w:tcPr>
            <w:tcW w:w="629" w:type="dxa"/>
            <w:vMerge w:val="continue"/>
            <w:tcBorders>
              <w:left w:val="single" w:color="000000" w:sz="8" w:space="0"/>
              <w:bottom w:val="single" w:color="auto" w:sz="4" w:space="0"/>
              <w:right w:val="single" w:color="000000" w:sz="2" w:space="0"/>
            </w:tcBorders>
            <w:vAlign w:val="center"/>
          </w:tcPr>
          <w:p w14:paraId="229DBBA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B122D00">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6EEF971">
            <w:pPr>
              <w:keepNext w:val="0"/>
              <w:keepLines w:val="0"/>
              <w:pageBreakBefore w:val="0"/>
              <w:widowControl w:val="0"/>
              <w:kinsoku/>
              <w:wordWrap/>
              <w:overflowPunct/>
              <w:topLinePunct w:val="0"/>
              <w:autoSpaceDE/>
              <w:autoSpaceDN/>
              <w:bidi w:val="0"/>
              <w:snapToGrid w:val="0"/>
              <w:spacing w:line="360" w:lineRule="auto"/>
              <w:jc w:val="both"/>
              <w:textAlignment w:val="auto"/>
              <w:rPr>
                <w:b/>
                <w:bCs/>
                <w:color w:val="auto"/>
                <w:sz w:val="24"/>
                <w:szCs w:val="24"/>
                <w:highlight w:val="none"/>
              </w:rPr>
            </w:pPr>
            <w:r>
              <w:rPr>
                <w:rFonts w:hint="eastAsia"/>
                <w:color w:val="auto"/>
                <w:sz w:val="24"/>
                <w:szCs w:val="24"/>
                <w:highlight w:val="none"/>
              </w:rPr>
              <w:t>本项目每个标项推荐中标候选人数量：1</w:t>
            </w:r>
          </w:p>
        </w:tc>
      </w:tr>
      <w:bookmarkEnd w:id="6"/>
    </w:tbl>
    <w:p w14:paraId="05A3AF55">
      <w:pPr>
        <w:rPr>
          <w:rFonts w:ascii="宋体" w:hAnsi="宋体" w:cs="宋体"/>
          <w:b/>
          <w:color w:val="auto"/>
          <w:sz w:val="32"/>
          <w:szCs w:val="20"/>
          <w:highlight w:val="none"/>
        </w:rPr>
      </w:pPr>
      <w:bookmarkStart w:id="7" w:name="第三部分"/>
      <w:bookmarkStart w:id="8" w:name="_Toc164416483"/>
      <w:r>
        <w:rPr>
          <w:rFonts w:hint="eastAsia" w:ascii="宋体" w:hAnsi="宋体" w:cs="宋体"/>
          <w:b/>
          <w:color w:val="auto"/>
          <w:sz w:val="32"/>
          <w:szCs w:val="20"/>
          <w:highlight w:val="none"/>
        </w:rPr>
        <w:br w:type="page"/>
      </w:r>
    </w:p>
    <w:p w14:paraId="51C7B261">
      <w:pPr>
        <w:keepNext w:val="0"/>
        <w:keepLines w:val="0"/>
        <w:pageBreakBefore w:val="0"/>
        <w:kinsoku/>
        <w:wordWrap/>
        <w:overflowPunct/>
        <w:topLinePunct w:val="0"/>
        <w:bidi w:val="0"/>
        <w:adjustRightInd/>
        <w:snapToGrid w:val="0"/>
        <w:spacing w:beforeAutospacing="0" w:line="360" w:lineRule="auto"/>
        <w:ind w:firstLine="3845" w:firstLineChars="1197"/>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591AA06F">
      <w:pPr>
        <w:keepNext w:val="0"/>
        <w:keepLines w:val="0"/>
        <w:pageBreakBefore w:val="0"/>
        <w:kinsoku/>
        <w:wordWrap/>
        <w:overflowPunct/>
        <w:topLinePunct w:val="0"/>
        <w:bidi w:val="0"/>
        <w:snapToGrid w:val="0"/>
        <w:spacing w:beforeAutospacing="0" w:line="360" w:lineRule="auto"/>
        <w:jc w:val="left"/>
        <w:textAlignment w:val="auto"/>
        <w:outlineLvl w:val="1"/>
        <w:rPr>
          <w:rFonts w:hint="eastAsia" w:ascii="宋体" w:hAnsi="宋体" w:eastAsia="宋体" w:cs="宋体"/>
          <w:b/>
          <w:color w:val="auto"/>
          <w:sz w:val="24"/>
          <w:highlight w:val="none"/>
        </w:rPr>
      </w:pPr>
      <w:bookmarkStart w:id="9" w:name="_Toc91899903"/>
      <w:r>
        <w:rPr>
          <w:rFonts w:hint="eastAsia" w:ascii="宋体" w:hAnsi="宋体" w:eastAsia="宋体" w:cs="宋体"/>
          <w:b/>
          <w:color w:val="auto"/>
          <w:sz w:val="24"/>
          <w:highlight w:val="none"/>
        </w:rPr>
        <w:t>1. 适用范围</w:t>
      </w:r>
    </w:p>
    <w:p w14:paraId="5FD88280">
      <w:pPr>
        <w:keepNext w:val="0"/>
        <w:keepLines w:val="0"/>
        <w:pageBreakBefore w:val="0"/>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3B46181">
      <w:pPr>
        <w:keepNext w:val="0"/>
        <w:keepLines w:val="0"/>
        <w:pageBreakBefore w:val="0"/>
        <w:numPr>
          <w:ilvl w:val="0"/>
          <w:numId w:val="0"/>
        </w:numPr>
        <w:kinsoku/>
        <w:wordWrap/>
        <w:overflowPunct/>
        <w:topLinePunct w:val="0"/>
        <w:bidi w:val="0"/>
        <w:adjustRightInd/>
        <w:snapToGrid w:val="0"/>
        <w:spacing w:beforeAutospacing="0" w:line="360" w:lineRule="auto"/>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 </w:t>
      </w:r>
      <w:r>
        <w:rPr>
          <w:rFonts w:hint="eastAsia" w:ascii="宋体" w:hAnsi="宋体" w:eastAsia="宋体" w:cs="宋体"/>
          <w:b/>
          <w:color w:val="auto"/>
          <w:sz w:val="24"/>
          <w:highlight w:val="none"/>
        </w:rPr>
        <w:t>定义</w:t>
      </w:r>
    </w:p>
    <w:p w14:paraId="572F54A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5C677EA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2720536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4B89C06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7E121A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A02282E">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0FFF6720">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4C39E9B1">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6524EF61">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07BC340D">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73C2C831">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49A628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7495F5E">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31FB637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6647AF70">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支持中小企业发展</w:t>
      </w:r>
    </w:p>
    <w:p w14:paraId="770A937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7991B0">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74B9F45">
      <w:pPr>
        <w:keepNext w:val="0"/>
        <w:keepLines w:val="0"/>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29683C9">
      <w:pPr>
        <w:keepNext w:val="0"/>
        <w:keepLines w:val="0"/>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28FCA231">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1"/>
      <w:r>
        <w:rPr>
          <w:rFonts w:hint="eastAsia" w:ascii="宋体" w:hAnsi="宋体" w:eastAsia="宋体" w:cs="宋体"/>
          <w:color w:val="auto"/>
          <w:sz w:val="24"/>
          <w:highlight w:val="none"/>
        </w:rPr>
        <w:t>，对联合体或者大中型企业的报价给予4%-6%（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13E6B4F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D05BD2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FD5CE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91D5CB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255F54C4">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 </w:t>
      </w:r>
      <w:r>
        <w:rPr>
          <w:rFonts w:hint="eastAsia" w:ascii="宋体" w:hAnsi="宋体" w:eastAsia="宋体" w:cs="宋体"/>
          <w:bCs/>
          <w:color w:val="auto"/>
          <w:sz w:val="24"/>
          <w:highlight w:val="none"/>
        </w:rPr>
        <w:t>支持创新发展</w:t>
      </w:r>
    </w:p>
    <w:p w14:paraId="38EE38C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09B083FC">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33F765C">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平等对待内外资企业和符合条件的破产重整企业</w:t>
      </w:r>
    </w:p>
    <w:p w14:paraId="4BD4720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5D2AAC7D">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highlight w:val="none"/>
        </w:rPr>
      </w:pPr>
      <w:r>
        <w:rPr>
          <w:rFonts w:hint="eastAsia" w:ascii="宋体" w:hAnsi="宋体" w:eastAsia="宋体" w:cs="宋体"/>
          <w:b/>
          <w:color w:val="auto"/>
          <w:sz w:val="24"/>
          <w:highlight w:val="none"/>
        </w:rPr>
        <w:t>4. 询问、质疑、投诉</w:t>
      </w:r>
    </w:p>
    <w:p w14:paraId="3FE4CB4D">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在线询问、质疑、投诉</w:t>
      </w:r>
    </w:p>
    <w:p w14:paraId="7C0E01EF">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2FFCED">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供应商询问</w:t>
      </w:r>
    </w:p>
    <w:p w14:paraId="42354C62">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F29D7A">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供应商质疑</w:t>
      </w:r>
    </w:p>
    <w:p w14:paraId="1E45937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2EF18B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71011B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769806E0">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F156A4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0FDD644">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5E5252E5">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204B4ADE">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7FA6E5DC">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4DF5AB09">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05A0E98C">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5B7B98C6">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highlight w:val="none"/>
        </w:rPr>
      </w:pPr>
      <w:r>
        <w:rPr>
          <w:rFonts w:hint="eastAsia" w:ascii="宋体" w:hAnsi="宋体" w:eastAsia="宋体" w:cs="宋体"/>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653A1DD">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2CFAFA5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B06F54C">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03228AA6">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供应商投诉</w:t>
      </w:r>
    </w:p>
    <w:p w14:paraId="79914E71">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005912FD">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4.4.2供应商投诉的事项不得超出已质疑事项的范围，基于质疑答复内容提出的投诉事项除外。</w:t>
      </w:r>
    </w:p>
    <w:p w14:paraId="2FBA3B1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4.4.3供应商投诉应当有明确的请求和必要的证明材料。</w:t>
      </w:r>
    </w:p>
    <w:p w14:paraId="712F826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4.4.4 以联合体形式参加政府采购活动的，其投诉应当由组成联合体的所有供应商共同提出。</w:t>
      </w:r>
    </w:p>
    <w:p w14:paraId="5DDCB2B1">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投诉书范本及制作说明详见附件3。</w:t>
      </w:r>
    </w:p>
    <w:p w14:paraId="1C3D72EC">
      <w:pPr>
        <w:keepNext w:val="0"/>
        <w:keepLines w:val="0"/>
        <w:pageBreakBefore w:val="0"/>
        <w:kinsoku/>
        <w:wordWrap/>
        <w:overflowPunct/>
        <w:topLinePunct w:val="0"/>
        <w:bidi w:val="0"/>
        <w:adjustRightInd/>
        <w:snapToGrid w:val="0"/>
        <w:spacing w:beforeAutospacing="0" w:line="36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0B898003">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招标文件的构成</w:t>
      </w:r>
    </w:p>
    <w:p w14:paraId="4F4E4645">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12123206">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napToGrid/>
          <w:color w:val="auto"/>
          <w:sz w:val="24"/>
          <w:szCs w:val="24"/>
          <w:highlight w:val="none"/>
          <w:lang w:val="zh-CN"/>
        </w:rPr>
      </w:pPr>
      <w:r>
        <w:rPr>
          <w:rFonts w:hint="eastAsia" w:ascii="宋体" w:hAnsi="宋体" w:eastAsia="宋体" w:cs="宋体"/>
          <w:snapToGrid/>
          <w:color w:val="auto"/>
          <w:sz w:val="24"/>
          <w:szCs w:val="24"/>
          <w:highlight w:val="none"/>
          <w:lang w:val="zh-CN"/>
        </w:rPr>
        <w:t>5.1.1招标公告；</w:t>
      </w:r>
    </w:p>
    <w:p w14:paraId="2B707055">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snapToGrid/>
          <w:color w:val="auto"/>
          <w:sz w:val="24"/>
          <w:szCs w:val="24"/>
          <w:highlight w:val="none"/>
          <w:lang w:val="zh-CN"/>
        </w:rPr>
        <w:t>.1.2投标人须知</w:t>
      </w:r>
      <w:r>
        <w:rPr>
          <w:rFonts w:hint="eastAsia" w:ascii="宋体" w:hAnsi="宋体" w:eastAsia="宋体" w:cs="宋体"/>
          <w:color w:val="auto"/>
          <w:sz w:val="24"/>
          <w:szCs w:val="24"/>
          <w:highlight w:val="none"/>
        </w:rPr>
        <w:t>；</w:t>
      </w:r>
    </w:p>
    <w:p w14:paraId="743ABC1C">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9D4BD77">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6A457BEF">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1B4B15D">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D7D0C5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4486C6A6">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F72B28E">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2B31BE4F">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611E41">
      <w:pPr>
        <w:keepNext w:val="0"/>
        <w:keepLines w:val="0"/>
        <w:pageBreakBefore w:val="0"/>
        <w:kinsoku/>
        <w:wordWrap/>
        <w:overflowPunct/>
        <w:topLinePunct w:val="0"/>
        <w:bidi w:val="0"/>
        <w:adjustRightInd/>
        <w:snapToGrid w:val="0"/>
        <w:spacing w:beforeAutospacing="0" w:line="360" w:lineRule="auto"/>
        <w:jc w:val="center"/>
        <w:textAlignment w:val="auto"/>
        <w:outlineLvl w:val="0"/>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rPr>
        <w:t>三、投标</w:t>
      </w:r>
    </w:p>
    <w:p w14:paraId="338791C4">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790001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3557905A">
      <w:pPr>
        <w:pStyle w:val="32"/>
        <w:keepNext w:val="0"/>
        <w:keepLines w:val="0"/>
        <w:pageBreakBefore w:val="0"/>
        <w:numPr>
          <w:ilvl w:val="0"/>
          <w:numId w:val="1"/>
        </w:numPr>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30BA96B5">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BD518DD">
      <w:pPr>
        <w:pStyle w:val="32"/>
        <w:keepNext w:val="0"/>
        <w:keepLines w:val="0"/>
        <w:pageBreakBefore w:val="0"/>
        <w:numPr>
          <w:ilvl w:val="0"/>
          <w:numId w:val="1"/>
        </w:numPr>
        <w:kinsoku/>
        <w:wordWrap/>
        <w:overflowPunct/>
        <w:topLinePunct w:val="0"/>
        <w:bidi w:val="0"/>
        <w:snapToGrid w:val="0"/>
        <w:spacing w:beforeAutospacing="0" w:line="360" w:lineRule="auto"/>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投标保证金</w:t>
      </w:r>
    </w:p>
    <w:p w14:paraId="6F6E4E5F">
      <w:pPr>
        <w:pStyle w:val="15"/>
        <w:keepNext w:val="0"/>
        <w:keepLines w:val="0"/>
        <w:pageBreakBefore w:val="0"/>
        <w:kinsoku/>
        <w:wordWrap/>
        <w:overflowPunct/>
        <w:topLinePunct w:val="0"/>
        <w:bidi w:val="0"/>
        <w:snapToGrid w:val="0"/>
        <w:spacing w:beforeAutospacing="0" w:line="36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D24FDF5">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9D49C7C">
      <w:pPr>
        <w:keepNext w:val="0"/>
        <w:keepLines w:val="0"/>
        <w:pageBreakBefore w:val="0"/>
        <w:kinsoku/>
        <w:wordWrap/>
        <w:overflowPunct/>
        <w:topLinePunct w:val="0"/>
        <w:autoSpaceDE w:val="0"/>
        <w:autoSpaceDN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1442EDE4">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44D4B12D">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6006DF93">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4BFE42A6">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2" w:name="_Hlk101259339"/>
      <w:r>
        <w:rPr>
          <w:rFonts w:hint="eastAsia" w:ascii="宋体" w:hAnsi="宋体" w:eastAsia="宋体" w:cs="宋体"/>
          <w:snapToGrid w:val="0"/>
          <w:color w:val="auto"/>
          <w:kern w:val="28"/>
          <w:sz w:val="24"/>
          <w:szCs w:val="20"/>
          <w:highlight w:val="none"/>
        </w:rPr>
        <w:t>联合协议</w:t>
      </w:r>
      <w:bookmarkEnd w:id="12"/>
      <w:r>
        <w:rPr>
          <w:rFonts w:hint="eastAsia" w:ascii="宋体" w:hAnsi="宋体" w:eastAsia="宋体" w:cs="宋体"/>
          <w:snapToGrid w:val="0"/>
          <w:color w:val="auto"/>
          <w:kern w:val="28"/>
          <w:sz w:val="24"/>
          <w:szCs w:val="20"/>
          <w:highlight w:val="none"/>
        </w:rPr>
        <w:t>（如果有)；</w:t>
      </w:r>
    </w:p>
    <w:p w14:paraId="4E377C6C">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2521CF7">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C340368">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3E71C6B0">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17794D29">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56DE75D">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F780522">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3946E89">
      <w:pPr>
        <w:keepNext w:val="0"/>
        <w:keepLines w:val="0"/>
        <w:pageBreakBefore w:val="0"/>
        <w:kinsoku/>
        <w:wordWrap/>
        <w:overflowPunct/>
        <w:topLinePunct w:val="0"/>
        <w:bidi w:val="0"/>
        <w:snapToGrid w:val="0"/>
        <w:spacing w:beforeAutospacing="0" w:line="36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05AEACA6">
      <w:pPr>
        <w:keepNext w:val="0"/>
        <w:keepLines w:val="0"/>
        <w:pageBreakBefore w:val="0"/>
        <w:kinsoku/>
        <w:wordWrap/>
        <w:overflowPunct/>
        <w:topLinePunct w:val="0"/>
        <w:bidi w:val="0"/>
        <w:snapToGrid w:val="0"/>
        <w:spacing w:beforeAutospacing="0" w:line="36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07D5CBFD">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76ADDFC1">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33DDCD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D77D1B9">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539527DD">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3903B64D">
      <w:pPr>
        <w:keepNext w:val="0"/>
        <w:keepLines w:val="0"/>
        <w:pageBreakBefore w:val="0"/>
        <w:kinsoku/>
        <w:wordWrap/>
        <w:overflowPunct/>
        <w:topLinePunct w:val="0"/>
        <w:bidi w:val="0"/>
        <w:snapToGrid w:val="0"/>
        <w:spacing w:beforeAutospacing="0" w:line="360" w:lineRule="auto"/>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52443E41">
      <w:pPr>
        <w:keepNext w:val="0"/>
        <w:keepLines w:val="0"/>
        <w:pageBreakBefore w:val="0"/>
        <w:kinsoku/>
        <w:wordWrap/>
        <w:overflowPunct/>
        <w:topLinePunct w:val="0"/>
        <w:bidi w:val="0"/>
        <w:snapToGrid w:val="0"/>
        <w:spacing w:beforeAutospacing="0" w:line="360" w:lineRule="auto"/>
        <w:ind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29BFD2B2">
      <w:pPr>
        <w:pStyle w:val="128"/>
        <w:keepNext w:val="0"/>
        <w:keepLines w:val="0"/>
        <w:pageBreakBefore w:val="0"/>
        <w:kinsoku/>
        <w:wordWrap/>
        <w:overflowPunct/>
        <w:topLinePunct w:val="0"/>
        <w:bidi w:val="0"/>
        <w:snapToGrid w:val="0"/>
        <w:spacing w:before="0" w:beforeAutospacing="0"/>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1ECDC9D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9652A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F227E8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B6D083B">
      <w:pPr>
        <w:keepNext w:val="0"/>
        <w:keepLines w:val="0"/>
        <w:pageBreakBefore w:val="0"/>
        <w:numPr>
          <w:ilvl w:val="0"/>
          <w:numId w:val="0"/>
        </w:numPr>
        <w:kinsoku/>
        <w:wordWrap/>
        <w:overflowPunct/>
        <w:topLinePunct w:val="0"/>
        <w:bidi w:val="0"/>
        <w:snapToGrid w:val="0"/>
        <w:spacing w:beforeAutospacing="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Cs w:val="24"/>
          <w:highlight w:val="none"/>
        </w:rPr>
        <w:t xml:space="preserve"> </w:t>
      </w:r>
      <w:r>
        <w:rPr>
          <w:rFonts w:hint="eastAsia" w:ascii="宋体" w:hAnsi="宋体" w:eastAsia="宋体" w:cs="宋体"/>
          <w:b/>
          <w:color w:val="auto"/>
          <w:sz w:val="24"/>
          <w:highlight w:val="none"/>
        </w:rPr>
        <w:t>投标文件的签署、盖章</w:t>
      </w:r>
    </w:p>
    <w:p w14:paraId="00EA7219">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14645687">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DC84B69">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80A6E4B">
      <w:pPr>
        <w:pStyle w:val="128"/>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0D4EDE5">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E55620D">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6FFCB71">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7D6CD3E">
      <w:pPr>
        <w:pStyle w:val="32"/>
        <w:keepNext w:val="0"/>
        <w:keepLines w:val="0"/>
        <w:pageBreakBefore w:val="0"/>
        <w:numPr>
          <w:ilvl w:val="0"/>
          <w:numId w:val="0"/>
        </w:numPr>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15. </w:t>
      </w:r>
      <w:r>
        <w:rPr>
          <w:rFonts w:hint="eastAsia" w:ascii="宋体" w:hAnsi="宋体" w:eastAsia="宋体" w:cs="宋体"/>
          <w:b/>
          <w:color w:val="auto"/>
          <w:sz w:val="24"/>
          <w:szCs w:val="24"/>
          <w:highlight w:val="none"/>
        </w:rPr>
        <w:t>备份投标文件</w:t>
      </w:r>
    </w:p>
    <w:p w14:paraId="01948541">
      <w:pPr>
        <w:pStyle w:val="32"/>
        <w:keepNext w:val="0"/>
        <w:keepLines w:val="0"/>
        <w:pageBreakBefore w:val="0"/>
        <w:kinsoku/>
        <w:wordWrap/>
        <w:overflowPunct/>
        <w:topLinePunct w:val="0"/>
        <w:bidi w:val="0"/>
        <w:snapToGrid w:val="0"/>
        <w:spacing w:beforeAutospacing="0"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7B6F53E8">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27F0E8BC">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A30825D">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96C33CF">
      <w:pPr>
        <w:pStyle w:val="32"/>
        <w:keepNext w:val="0"/>
        <w:keepLines w:val="0"/>
        <w:pageBreakBefore w:val="0"/>
        <w:kinsoku/>
        <w:wordWrap/>
        <w:overflowPunct/>
        <w:topLinePunct w:val="0"/>
        <w:bidi w:val="0"/>
        <w:snapToGrid w:val="0"/>
        <w:spacing w:beforeAutospacing="0"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602E5B9E">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 xml:space="preserve">16. </w:t>
      </w:r>
      <w:r>
        <w:rPr>
          <w:rFonts w:hint="eastAsia" w:ascii="宋体" w:hAnsi="宋体" w:eastAsia="宋体" w:cs="宋体"/>
          <w:b/>
          <w:color w:val="auto"/>
          <w:szCs w:val="24"/>
          <w:highlight w:val="none"/>
        </w:rPr>
        <w:t>投标文件的无效处理</w:t>
      </w:r>
    </w:p>
    <w:p w14:paraId="31E1AD4E">
      <w:pPr>
        <w:pStyle w:val="24"/>
        <w:keepNext w:val="0"/>
        <w:keepLines w:val="0"/>
        <w:pageBreakBefore w:val="0"/>
        <w:kinsoku/>
        <w:wordWrap/>
        <w:overflowPunct/>
        <w:topLinePunct w:val="0"/>
        <w:bidi w:val="0"/>
        <w:snapToGrid w:val="0"/>
        <w:spacing w:beforeAutospacing="0" w:line="360" w:lineRule="auto"/>
        <w:ind w:firstLine="360"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0806960D">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 xml:space="preserve">17. </w:t>
      </w:r>
      <w:r>
        <w:rPr>
          <w:rFonts w:hint="eastAsia" w:ascii="宋体" w:hAnsi="宋体" w:eastAsia="宋体" w:cs="宋体"/>
          <w:b/>
          <w:color w:val="auto"/>
          <w:szCs w:val="24"/>
          <w:highlight w:val="none"/>
        </w:rPr>
        <w:t>投标有效期</w:t>
      </w:r>
    </w:p>
    <w:p w14:paraId="593479AD">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1F6CD9B0">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38972C7">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24A61BB">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17.4在投标截止时间起至投标有效期届满，供应商投标文件不可撤销。</w:t>
      </w:r>
    </w:p>
    <w:p w14:paraId="342B2D22">
      <w:pPr>
        <w:pStyle w:val="128"/>
        <w:keepNext w:val="0"/>
        <w:keepLines w:val="0"/>
        <w:pageBreakBefore w:val="0"/>
        <w:kinsoku/>
        <w:wordWrap/>
        <w:overflowPunct/>
        <w:topLinePunct w:val="0"/>
        <w:bidi w:val="0"/>
        <w:snapToGrid w:val="0"/>
        <w:spacing w:before="0" w:beforeAutospacing="0"/>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B9B3546">
      <w:pPr>
        <w:pStyle w:val="554"/>
        <w:keepNext w:val="0"/>
        <w:keepLines w:val="0"/>
        <w:pageBreakBefore w:val="0"/>
        <w:kinsoku/>
        <w:wordWrap/>
        <w:overflowPunct/>
        <w:topLinePunct w:val="0"/>
        <w:bidi w:val="0"/>
        <w:snapToGrid w:val="0"/>
        <w:spacing w:before="0" w:beforeAutospacing="0" w:line="36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 开标</w:t>
      </w:r>
      <w:r>
        <w:rPr>
          <w:rFonts w:hint="eastAsia" w:ascii="宋体" w:hAnsi="宋体" w:eastAsia="宋体" w:cs="宋体"/>
          <w:color w:val="auto"/>
          <w:sz w:val="24"/>
          <w:highlight w:val="none"/>
        </w:rPr>
        <w:t xml:space="preserve"> </w:t>
      </w:r>
    </w:p>
    <w:p w14:paraId="2508A24E">
      <w:pPr>
        <w:pStyle w:val="554"/>
        <w:keepNext w:val="0"/>
        <w:keepLines w:val="0"/>
        <w:pageBreakBefore w:val="0"/>
        <w:kinsoku/>
        <w:wordWrap/>
        <w:overflowPunct/>
        <w:topLinePunct w:val="0"/>
        <w:bidi w:val="0"/>
        <w:snapToGrid w:val="0"/>
        <w:spacing w:before="0" w:beforeAutospacing="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4E54EC50">
      <w:pPr>
        <w:pStyle w:val="554"/>
        <w:keepNext w:val="0"/>
        <w:keepLines w:val="0"/>
        <w:pageBreakBefore w:val="0"/>
        <w:kinsoku/>
        <w:wordWrap/>
        <w:overflowPunct/>
        <w:topLinePunct w:val="0"/>
        <w:bidi w:val="0"/>
        <w:snapToGrid w:val="0"/>
        <w:spacing w:before="0" w:beforeAutospacing="0" w:line="360" w:lineRule="auto"/>
        <w:ind w:left="0" w:leftChars="0" w:firstLine="422" w:firstLineChars="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55124D6D">
      <w:pPr>
        <w:pStyle w:val="554"/>
        <w:keepNext w:val="0"/>
        <w:keepLines w:val="0"/>
        <w:pageBreakBefore w:val="0"/>
        <w:kinsoku/>
        <w:wordWrap/>
        <w:overflowPunct/>
        <w:topLinePunct w:val="0"/>
        <w:bidi w:val="0"/>
        <w:snapToGrid w:val="0"/>
        <w:spacing w:before="0" w:beforeAutospacing="0" w:line="360" w:lineRule="auto"/>
        <w:ind w:left="0" w:leftChars="0" w:firstLine="422" w:firstLineChars="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C1D4638">
      <w:pPr>
        <w:keepNext w:val="0"/>
        <w:keepLines w:val="0"/>
        <w:pageBreakBefore w:val="0"/>
        <w:widowControl/>
        <w:numPr>
          <w:ilvl w:val="0"/>
          <w:numId w:val="0"/>
        </w:numPr>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lang w:val="en-US" w:eastAsia="zh-CN"/>
        </w:rPr>
        <w:t xml:space="preserve">19. </w:t>
      </w:r>
      <w:r>
        <w:rPr>
          <w:rFonts w:hint="eastAsia" w:ascii="宋体" w:hAnsi="宋体" w:eastAsia="宋体" w:cs="宋体"/>
          <w:b/>
          <w:color w:val="auto"/>
          <w:sz w:val="24"/>
          <w:szCs w:val="20"/>
          <w:highlight w:val="none"/>
        </w:rPr>
        <w:t>资格审查</w:t>
      </w:r>
    </w:p>
    <w:p w14:paraId="056E94C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0E1C070A">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278DF32">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66B099D6">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281ED881">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color w:val="auto"/>
          <w:szCs w:val="24"/>
          <w:highlight w:val="none"/>
        </w:rPr>
      </w:pPr>
      <w:r>
        <w:rPr>
          <w:rFonts w:hint="eastAsia" w:ascii="宋体" w:hAnsi="宋体" w:eastAsia="宋体" w:cs="宋体"/>
          <w:b/>
          <w:color w:val="auto"/>
          <w:kern w:val="2"/>
          <w:sz w:val="24"/>
          <w:szCs w:val="20"/>
          <w:highlight w:val="none"/>
          <w:lang w:val="en-US" w:eastAsia="zh-CN" w:bidi="ar-SA"/>
        </w:rPr>
        <w:t>20. 信用</w:t>
      </w:r>
      <w:r>
        <w:rPr>
          <w:rFonts w:hint="eastAsia" w:ascii="宋体" w:hAnsi="宋体" w:eastAsia="宋体" w:cs="宋体"/>
          <w:b/>
          <w:color w:val="auto"/>
          <w:szCs w:val="24"/>
          <w:highlight w:val="none"/>
        </w:rPr>
        <w:t>信息查询</w:t>
      </w:r>
    </w:p>
    <w:p w14:paraId="14B8BD3C">
      <w:pPr>
        <w:pStyle w:val="128"/>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6C110D32">
      <w:pPr>
        <w:pStyle w:val="128"/>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3517204">
      <w:pPr>
        <w:pStyle w:val="128"/>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D91DB6D">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67E320C">
      <w:pPr>
        <w:keepNext w:val="0"/>
        <w:keepLines w:val="0"/>
        <w:pageBreakBefore w:val="0"/>
        <w:kinsoku/>
        <w:wordWrap/>
        <w:overflowPunct/>
        <w:topLinePunct w:val="0"/>
        <w:bidi w:val="0"/>
        <w:snapToGrid w:val="0"/>
        <w:spacing w:beforeAutospacing="0"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五、评标</w:t>
      </w:r>
    </w:p>
    <w:p w14:paraId="3228960A">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C0AE3AA">
      <w:pPr>
        <w:keepNext w:val="0"/>
        <w:keepLines w:val="0"/>
        <w:pageBreakBefore w:val="0"/>
        <w:kinsoku/>
        <w:wordWrap/>
        <w:overflowPunct/>
        <w:topLinePunct w:val="0"/>
        <w:bidi w:val="0"/>
        <w:snapToGrid w:val="0"/>
        <w:spacing w:beforeAutospacing="0"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六、定标</w:t>
      </w:r>
    </w:p>
    <w:p w14:paraId="3E1B99CD">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74EDCA83">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5152449">
      <w:pPr>
        <w:pStyle w:val="128"/>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248FB79C">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AFC0D45">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50FAC07">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59212630">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E0CDFC3">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7035BC90">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2743BB12">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7182D40">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661DFA7">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03E9F1A0">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25E5463">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1EEB8608">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640D1862">
      <w:pPr>
        <w:keepNext w:val="0"/>
        <w:keepLines w:val="0"/>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A00ADCF">
      <w:pPr>
        <w:keepNext w:val="0"/>
        <w:keepLines w:val="0"/>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E95799">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27. </w:t>
      </w:r>
      <w:r>
        <w:rPr>
          <w:rFonts w:hint="eastAsia" w:ascii="宋体" w:hAnsi="宋体" w:eastAsia="宋体" w:cs="宋体"/>
          <w:b/>
          <w:color w:val="auto"/>
          <w:highlight w:val="none"/>
          <w:lang w:val="en-US"/>
        </w:rPr>
        <w:t>预付款</w:t>
      </w:r>
    </w:p>
    <w:p w14:paraId="5CCE9CCE">
      <w:pPr>
        <w:keepNext w:val="0"/>
        <w:keepLines w:val="0"/>
        <w:pageBreakBefore w:val="0"/>
        <w:kinsoku/>
        <w:wordWrap/>
        <w:overflowPunct/>
        <w:topLinePunct w:val="0"/>
        <w:bidi w:val="0"/>
        <w:adjustRightInd/>
        <w:snapToGrid w:val="0"/>
        <w:spacing w:before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D7B7A55">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D4F74AE">
      <w:pPr>
        <w:pStyle w:val="128"/>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44307AE1">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7F85EE00">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59063011">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61EB0B1A">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6E1D709F">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54E8F0F2">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 xml:space="preserve">29. </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370D989">
      <w:pPr>
        <w:keepNext w:val="0"/>
        <w:keepLines w:val="0"/>
        <w:pageBreakBefore w:val="0"/>
        <w:kinsoku/>
        <w:wordWrap/>
        <w:overflowPunct/>
        <w:topLinePunct w:val="0"/>
        <w:bidi w:val="0"/>
        <w:snapToGrid w:val="0"/>
        <w:spacing w:beforeAutospacing="0" w:line="36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7D8F47AE">
      <w:pPr>
        <w:pStyle w:val="24"/>
        <w:keepNext w:val="0"/>
        <w:keepLines w:val="0"/>
        <w:pageBreakBefore w:val="0"/>
        <w:kinsoku/>
        <w:wordWrap/>
        <w:overflowPunct/>
        <w:topLinePunct w:val="0"/>
        <w:bidi w:val="0"/>
        <w:snapToGrid w:val="0"/>
        <w:spacing w:beforeAutospacing="0" w:line="360" w:lineRule="auto"/>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30. 验收</w:t>
      </w:r>
    </w:p>
    <w:p w14:paraId="79A95ACD">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759704">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C66A6B0">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607F00">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52DF8274">
      <w:pPr>
        <w:widowControl/>
        <w:adjustRightInd/>
        <w:jc w:val="left"/>
        <w:rPr>
          <w:rFonts w:ascii="宋体" w:hAnsi="宋体" w:cs="宋体"/>
          <w:color w:val="auto"/>
          <w:kern w:val="0"/>
          <w:sz w:val="24"/>
          <w:highlight w:val="none"/>
        </w:rPr>
      </w:pPr>
      <w:bookmarkStart w:id="13" w:name="_Hlt74714665"/>
      <w:bookmarkEnd w:id="13"/>
      <w:bookmarkStart w:id="14" w:name="_Hlt68072998"/>
      <w:bookmarkEnd w:id="14"/>
      <w:bookmarkStart w:id="15" w:name="_Hlt75236101"/>
      <w:bookmarkEnd w:id="15"/>
      <w:bookmarkStart w:id="16" w:name="_Hlt74707468"/>
      <w:bookmarkEnd w:id="16"/>
      <w:bookmarkStart w:id="17" w:name="_Hlt74729768"/>
      <w:bookmarkEnd w:id="17"/>
      <w:bookmarkStart w:id="18" w:name="_Hlt68072990"/>
      <w:bookmarkEnd w:id="18"/>
      <w:bookmarkStart w:id="19" w:name="_Hlt74730295"/>
      <w:bookmarkEnd w:id="19"/>
      <w:bookmarkStart w:id="20" w:name="_Hlt68073093"/>
      <w:bookmarkEnd w:id="20"/>
      <w:bookmarkStart w:id="21" w:name="_Hlt68057669"/>
      <w:bookmarkEnd w:id="21"/>
      <w:bookmarkStart w:id="22" w:name="_Hlt75236290"/>
      <w:bookmarkEnd w:id="22"/>
      <w:bookmarkStart w:id="23" w:name="_Hlt75236011"/>
      <w:bookmarkEnd w:id="23"/>
      <w:bookmarkStart w:id="24" w:name="_Hlt68403820"/>
      <w:bookmarkEnd w:id="24"/>
      <w:bookmarkStart w:id="25" w:name="第四部分"/>
      <w:r>
        <w:rPr>
          <w:rFonts w:ascii="宋体" w:hAnsi="宋体" w:cs="宋体"/>
          <w:color w:val="auto"/>
          <w:kern w:val="0"/>
          <w:sz w:val="24"/>
          <w:highlight w:val="none"/>
        </w:rPr>
        <w:br w:type="page"/>
      </w:r>
    </w:p>
    <w:p w14:paraId="0D3E9EA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355C948D">
      <w:pPr>
        <w:snapToGrid w:val="0"/>
        <w:rPr>
          <w:rStyle w:val="962"/>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25A5B169">
      <w:pPr>
        <w:pStyle w:val="2"/>
        <w:numPr>
          <w:ilvl w:val="0"/>
          <w:numId w:val="0"/>
        </w:numPr>
        <w:ind w:lef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一、</w:t>
      </w:r>
      <w:r>
        <w:rPr>
          <w:rFonts w:hint="eastAsia" w:asciiTheme="minorEastAsia" w:hAnsiTheme="minorEastAsia" w:eastAsiaTheme="minorEastAsia" w:cstheme="minorEastAsia"/>
          <w:color w:val="auto"/>
          <w:highlight w:val="none"/>
        </w:rPr>
        <w:t>招标一览表</w:t>
      </w:r>
    </w:p>
    <w:p w14:paraId="23AA9656">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标项一：萧山区尚德实验学校物业政府采购项目 </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957"/>
        <w:gridCol w:w="480"/>
        <w:gridCol w:w="468"/>
        <w:gridCol w:w="1008"/>
        <w:gridCol w:w="2760"/>
        <w:gridCol w:w="1483"/>
      </w:tblGrid>
      <w:tr w14:paraId="2C7A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2BFF9D40">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957" w:type="dxa"/>
            <w:tcMar>
              <w:top w:w="15" w:type="dxa"/>
              <w:left w:w="15" w:type="dxa"/>
              <w:bottom w:w="0" w:type="dxa"/>
              <w:right w:w="15" w:type="dxa"/>
            </w:tcMar>
            <w:vAlign w:val="center"/>
          </w:tcPr>
          <w:p w14:paraId="24E9BE4B">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p>
        </w:tc>
        <w:tc>
          <w:tcPr>
            <w:tcW w:w="480" w:type="dxa"/>
            <w:tcMar>
              <w:top w:w="15" w:type="dxa"/>
              <w:left w:w="15" w:type="dxa"/>
              <w:bottom w:w="0" w:type="dxa"/>
              <w:right w:w="15" w:type="dxa"/>
            </w:tcMar>
            <w:vAlign w:val="center"/>
          </w:tcPr>
          <w:p w14:paraId="4BD65074">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468" w:type="dxa"/>
            <w:tcMar>
              <w:top w:w="15" w:type="dxa"/>
              <w:left w:w="15" w:type="dxa"/>
              <w:bottom w:w="0" w:type="dxa"/>
              <w:right w:w="15" w:type="dxa"/>
            </w:tcMar>
            <w:vAlign w:val="center"/>
          </w:tcPr>
          <w:p w14:paraId="3FE6DF26">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1008" w:type="dxa"/>
            <w:vAlign w:val="center"/>
          </w:tcPr>
          <w:p w14:paraId="0DBA3BB5">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预算（元）</w:t>
            </w:r>
          </w:p>
        </w:tc>
        <w:tc>
          <w:tcPr>
            <w:tcW w:w="2760" w:type="dxa"/>
            <w:vAlign w:val="center"/>
          </w:tcPr>
          <w:p w14:paraId="76D22507">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简要规格描述或基本情况介绍</w:t>
            </w:r>
          </w:p>
        </w:tc>
        <w:tc>
          <w:tcPr>
            <w:tcW w:w="1483" w:type="dxa"/>
            <w:vAlign w:val="center"/>
          </w:tcPr>
          <w:p w14:paraId="2F84D429">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最高限价（元）</w:t>
            </w:r>
          </w:p>
        </w:tc>
      </w:tr>
      <w:tr w14:paraId="4963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2AEEF0DD">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57" w:type="dxa"/>
            <w:shd w:val="clear" w:color="auto" w:fill="auto"/>
            <w:tcMar>
              <w:top w:w="15" w:type="dxa"/>
              <w:left w:w="15" w:type="dxa"/>
              <w:bottom w:w="0" w:type="dxa"/>
              <w:right w:w="15" w:type="dxa"/>
            </w:tcMar>
            <w:vAlign w:val="center"/>
          </w:tcPr>
          <w:p w14:paraId="4FB169B3">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萧山区尚德实验学校物业政府采购项目</w:t>
            </w:r>
          </w:p>
        </w:tc>
        <w:tc>
          <w:tcPr>
            <w:tcW w:w="480" w:type="dxa"/>
            <w:shd w:val="clear" w:color="auto" w:fill="auto"/>
            <w:tcMar>
              <w:top w:w="15" w:type="dxa"/>
              <w:left w:w="15" w:type="dxa"/>
              <w:bottom w:w="0" w:type="dxa"/>
              <w:right w:w="15" w:type="dxa"/>
            </w:tcMar>
            <w:vAlign w:val="center"/>
          </w:tcPr>
          <w:p w14:paraId="7B790675">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1</w:t>
            </w:r>
          </w:p>
        </w:tc>
        <w:tc>
          <w:tcPr>
            <w:tcW w:w="468" w:type="dxa"/>
            <w:shd w:val="clear" w:color="auto" w:fill="auto"/>
            <w:tcMar>
              <w:top w:w="15" w:type="dxa"/>
              <w:left w:w="15" w:type="dxa"/>
              <w:bottom w:w="0" w:type="dxa"/>
              <w:right w:w="15" w:type="dxa"/>
            </w:tcMar>
            <w:vAlign w:val="center"/>
          </w:tcPr>
          <w:p w14:paraId="78A3D7CD">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eastAsia="zh-CN"/>
              </w:rPr>
              <w:t>年</w:t>
            </w:r>
          </w:p>
        </w:tc>
        <w:tc>
          <w:tcPr>
            <w:tcW w:w="1008" w:type="dxa"/>
            <w:shd w:val="clear" w:color="auto" w:fill="auto"/>
            <w:vAlign w:val="center"/>
          </w:tcPr>
          <w:p w14:paraId="4E035688">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793000</w:t>
            </w:r>
          </w:p>
        </w:tc>
        <w:tc>
          <w:tcPr>
            <w:tcW w:w="2760" w:type="dxa"/>
            <w:shd w:val="clear" w:color="auto" w:fill="auto"/>
            <w:vAlign w:val="center"/>
          </w:tcPr>
          <w:p w14:paraId="4374957A">
            <w:pPr>
              <w:tabs>
                <w:tab w:val="left" w:pos="0"/>
              </w:tabs>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eastAsia="zh-CN"/>
              </w:rPr>
              <w:t>详见二、招标文件</w:t>
            </w:r>
          </w:p>
        </w:tc>
        <w:tc>
          <w:tcPr>
            <w:tcW w:w="1483" w:type="dxa"/>
            <w:shd w:val="clear" w:color="auto" w:fill="auto"/>
            <w:vAlign w:val="center"/>
          </w:tcPr>
          <w:p w14:paraId="2AD77474">
            <w:pPr>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793000</w:t>
            </w:r>
          </w:p>
        </w:tc>
      </w:tr>
    </w:tbl>
    <w:p w14:paraId="649C730C">
      <w:pP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注：▲投标人需在投标（开标）一览表中明确投标报价（总价），总价不得超过最高限价。</w:t>
      </w:r>
    </w:p>
    <w:p w14:paraId="624F7C6D">
      <w:pPr>
        <w:rPr>
          <w:rFonts w:hint="eastAsia" w:asciiTheme="minorEastAsia" w:hAnsiTheme="minorEastAsia" w:eastAsiaTheme="minorEastAsia" w:cstheme="minorEastAsia"/>
          <w:color w:val="auto"/>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p>
    <w:p w14:paraId="357D601F">
      <w:pPr>
        <w:pStyle w:val="2"/>
        <w:keepNext/>
        <w:keepLines/>
        <w:pageBreakBefore w:val="0"/>
        <w:widowControl w:val="0"/>
        <w:numPr>
          <w:ilvl w:val="0"/>
          <w:numId w:val="0"/>
        </w:numPr>
        <w:kinsoku/>
        <w:wordWrap/>
        <w:overflowPunct/>
        <w:topLinePunct w:val="0"/>
        <w:autoSpaceDE/>
        <w:autoSpaceDN/>
        <w:bidi w:val="0"/>
        <w:adjustRightInd/>
        <w:snapToGrid w:val="0"/>
        <w:ind w:left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二、招标</w:t>
      </w:r>
      <w:r>
        <w:rPr>
          <w:rFonts w:hint="eastAsia" w:asciiTheme="minorEastAsia" w:hAnsiTheme="minorEastAsia" w:eastAsiaTheme="minorEastAsia" w:cstheme="minorEastAsia"/>
          <w:color w:val="auto"/>
          <w:highlight w:val="none"/>
        </w:rPr>
        <w:t>需求</w:t>
      </w:r>
    </w:p>
    <w:p w14:paraId="3D80F501">
      <w:pPr>
        <w:keepNext w:val="0"/>
        <w:keepLines w:val="0"/>
        <w:pageBreakBefore w:val="0"/>
        <w:widowControl w:val="0"/>
        <w:tabs>
          <w:tab w:val="left" w:pos="2340"/>
        </w:tabs>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（一）项目基本情况</w:t>
      </w:r>
    </w:p>
    <w:p w14:paraId="60012745">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u w:val="none"/>
          <w:lang w:val="en-US" w:eastAsia="zh-CN" w:bidi="ar-SA"/>
        </w:rPr>
        <w:t>物业管理服务包括基本服务、保安服务、保洁服务。</w:t>
      </w:r>
    </w:p>
    <w:tbl>
      <w:tblPr>
        <w:tblStyle w:val="62"/>
        <w:tblW w:w="14173" w:type="dxa"/>
        <w:jc w:val="center"/>
        <w:tblLayout w:type="fixed"/>
        <w:tblCellMar>
          <w:top w:w="0" w:type="dxa"/>
          <w:left w:w="108" w:type="dxa"/>
          <w:bottom w:w="0" w:type="dxa"/>
          <w:right w:w="108" w:type="dxa"/>
        </w:tblCellMar>
      </w:tblPr>
      <w:tblGrid>
        <w:gridCol w:w="3945"/>
        <w:gridCol w:w="3184"/>
        <w:gridCol w:w="1712"/>
        <w:gridCol w:w="1792"/>
        <w:gridCol w:w="1748"/>
        <w:gridCol w:w="1792"/>
      </w:tblGrid>
      <w:tr w14:paraId="6637C365">
        <w:tblPrEx>
          <w:tblCellMar>
            <w:top w:w="0" w:type="dxa"/>
            <w:left w:w="108" w:type="dxa"/>
            <w:bottom w:w="0" w:type="dxa"/>
            <w:right w:w="108" w:type="dxa"/>
          </w:tblCellMar>
        </w:tblPrEx>
        <w:trPr>
          <w:trHeight w:val="567" w:hRule="exact"/>
          <w:jc w:val="center"/>
        </w:trPr>
        <w:tc>
          <w:tcPr>
            <w:tcW w:w="14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261D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1.1</w:t>
            </w:r>
            <w:r>
              <w:rPr>
                <w:rFonts w:hint="eastAsia" w:ascii="宋体" w:hAnsi="宋体" w:eastAsia="宋体" w:cs="宋体"/>
                <w:b/>
                <w:bCs/>
                <w:color w:val="auto"/>
                <w:kern w:val="0"/>
                <w:sz w:val="24"/>
                <w:szCs w:val="24"/>
                <w:highlight w:val="none"/>
                <w:lang w:eastAsia="zh-CN"/>
              </w:rPr>
              <w:t>物业服务涉及内容清单</w:t>
            </w:r>
          </w:p>
        </w:tc>
      </w:tr>
      <w:tr w14:paraId="760CC7DB">
        <w:tblPrEx>
          <w:tblCellMar>
            <w:top w:w="0" w:type="dxa"/>
            <w:left w:w="108" w:type="dxa"/>
            <w:bottom w:w="0" w:type="dxa"/>
            <w:right w:w="108" w:type="dxa"/>
          </w:tblCellMar>
        </w:tblPrEx>
        <w:trPr>
          <w:trHeight w:val="567" w:hRule="exact"/>
          <w:jc w:val="center"/>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B2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总面积</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44D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57017m</w:t>
            </w:r>
            <w:r>
              <w:rPr>
                <w:rFonts w:hint="eastAsia" w:ascii="宋体" w:hAnsi="宋体" w:cs="宋体"/>
                <w:b w:val="0"/>
                <w:bCs w:val="0"/>
                <w:color w:val="auto"/>
                <w:sz w:val="24"/>
                <w:szCs w:val="24"/>
                <w:highlight w:val="none"/>
                <w:vertAlign w:val="superscript"/>
                <w:lang w:val="en-US" w:eastAsia="zh-CN"/>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DD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给排水</w:t>
            </w:r>
            <w:r>
              <w:rPr>
                <w:rFonts w:hint="eastAsia" w:ascii="宋体" w:hAnsi="宋体" w:eastAsia="宋体" w:cs="宋体"/>
                <w:b w:val="0"/>
                <w:bCs w:val="0"/>
                <w:color w:val="auto"/>
                <w:kern w:val="0"/>
                <w:sz w:val="24"/>
                <w:szCs w:val="24"/>
                <w:highlight w:val="none"/>
                <w:lang w:eastAsia="zh-CN"/>
              </w:rPr>
              <w:t>系统</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6DD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36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办公室间数</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639D">
            <w:pPr>
              <w:keepNext w:val="0"/>
              <w:keepLines w:val="0"/>
              <w:pageBreakBefore w:val="0"/>
              <w:widowControl/>
              <w:tabs>
                <w:tab w:val="left" w:pos="517"/>
              </w:tabs>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50</w:t>
            </w:r>
          </w:p>
        </w:tc>
      </w:tr>
      <w:tr w14:paraId="706AA7BF">
        <w:tblPrEx>
          <w:tblCellMar>
            <w:top w:w="0" w:type="dxa"/>
            <w:left w:w="108" w:type="dxa"/>
            <w:bottom w:w="0" w:type="dxa"/>
            <w:right w:w="108" w:type="dxa"/>
          </w:tblCellMar>
        </w:tblPrEx>
        <w:trPr>
          <w:trHeight w:val="567" w:hRule="exact"/>
          <w:jc w:val="center"/>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97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建筑面积</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3AB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91919m</w:t>
            </w:r>
            <w:r>
              <w:rPr>
                <w:rFonts w:hint="eastAsia" w:ascii="宋体" w:hAnsi="宋体" w:cs="宋体"/>
                <w:b w:val="0"/>
                <w:bCs w:val="0"/>
                <w:color w:val="auto"/>
                <w:sz w:val="24"/>
                <w:szCs w:val="24"/>
                <w:highlight w:val="none"/>
                <w:vertAlign w:val="superscript"/>
                <w:lang w:val="en-US" w:eastAsia="zh-CN"/>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7B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供电</w:t>
            </w:r>
            <w:r>
              <w:rPr>
                <w:rFonts w:hint="eastAsia" w:ascii="宋体" w:hAnsi="宋体" w:eastAsia="宋体" w:cs="宋体"/>
                <w:b w:val="0"/>
                <w:bCs w:val="0"/>
                <w:color w:val="auto"/>
                <w:kern w:val="0"/>
                <w:sz w:val="24"/>
                <w:szCs w:val="24"/>
                <w:highlight w:val="none"/>
                <w:lang w:eastAsia="zh-CN"/>
              </w:rPr>
              <w:t>系统</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CB9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D0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会议室个数</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3DA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5</w:t>
            </w:r>
          </w:p>
        </w:tc>
      </w:tr>
      <w:tr w14:paraId="7271E51E">
        <w:tblPrEx>
          <w:tblCellMar>
            <w:top w:w="0" w:type="dxa"/>
            <w:left w:w="108" w:type="dxa"/>
            <w:bottom w:w="0" w:type="dxa"/>
            <w:right w:w="108" w:type="dxa"/>
          </w:tblCellMar>
        </w:tblPrEx>
        <w:trPr>
          <w:trHeight w:val="567" w:hRule="exact"/>
          <w:jc w:val="center"/>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FE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室外面积</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21F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50000m</w:t>
            </w:r>
            <w:r>
              <w:rPr>
                <w:rFonts w:hint="eastAsia" w:ascii="宋体" w:hAnsi="宋体" w:cs="宋体"/>
                <w:b w:val="0"/>
                <w:bCs w:val="0"/>
                <w:color w:val="auto"/>
                <w:sz w:val="24"/>
                <w:szCs w:val="24"/>
                <w:highlight w:val="none"/>
                <w:vertAlign w:val="superscript"/>
                <w:lang w:val="en-US" w:eastAsia="zh-CN"/>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3B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中央空调系统</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E68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74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高配房个数</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03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w:t>
            </w:r>
          </w:p>
        </w:tc>
      </w:tr>
      <w:tr w14:paraId="3E92872E">
        <w:tblPrEx>
          <w:tblCellMar>
            <w:top w:w="0" w:type="dxa"/>
            <w:left w:w="108" w:type="dxa"/>
            <w:bottom w:w="0" w:type="dxa"/>
            <w:right w:w="108" w:type="dxa"/>
          </w:tblCellMar>
        </w:tblPrEx>
        <w:trPr>
          <w:trHeight w:val="567" w:hRule="exact"/>
          <w:jc w:val="center"/>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C2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地下室面积</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9FE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32089m</w:t>
            </w:r>
            <w:r>
              <w:rPr>
                <w:rFonts w:hint="eastAsia" w:ascii="宋体" w:hAnsi="宋体" w:cs="宋体"/>
                <w:b w:val="0"/>
                <w:bCs w:val="0"/>
                <w:color w:val="auto"/>
                <w:sz w:val="24"/>
                <w:szCs w:val="24"/>
                <w:highlight w:val="none"/>
                <w:vertAlign w:val="superscript"/>
                <w:lang w:val="en-US" w:eastAsia="zh-CN"/>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A4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照明系统</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8E2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18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消控室个数</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DC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w:t>
            </w:r>
          </w:p>
        </w:tc>
      </w:tr>
      <w:tr w14:paraId="4F05C61A">
        <w:tblPrEx>
          <w:tblCellMar>
            <w:top w:w="0" w:type="dxa"/>
            <w:left w:w="108" w:type="dxa"/>
            <w:bottom w:w="0" w:type="dxa"/>
            <w:right w:w="108" w:type="dxa"/>
          </w:tblCellMar>
        </w:tblPrEx>
        <w:trPr>
          <w:trHeight w:val="567" w:hRule="exact"/>
          <w:jc w:val="center"/>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13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绿化面积</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5E1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20000m</w:t>
            </w:r>
            <w:r>
              <w:rPr>
                <w:rFonts w:hint="eastAsia" w:ascii="宋体" w:hAnsi="宋体" w:cs="宋体"/>
                <w:b w:val="0"/>
                <w:bCs w:val="0"/>
                <w:color w:val="auto"/>
                <w:sz w:val="24"/>
                <w:szCs w:val="24"/>
                <w:highlight w:val="none"/>
                <w:vertAlign w:val="superscript"/>
                <w:lang w:val="en-US" w:eastAsia="zh-CN"/>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1A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道闸系统</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79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A9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公共洗手间数</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F45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50</w:t>
            </w:r>
          </w:p>
        </w:tc>
      </w:tr>
      <w:tr w14:paraId="6DBE2419">
        <w:tblPrEx>
          <w:tblCellMar>
            <w:top w:w="0" w:type="dxa"/>
            <w:left w:w="108" w:type="dxa"/>
            <w:bottom w:w="0" w:type="dxa"/>
            <w:right w:w="108" w:type="dxa"/>
          </w:tblCellMar>
        </w:tblPrEx>
        <w:trPr>
          <w:trHeight w:val="567" w:hRule="exact"/>
          <w:jc w:val="center"/>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3F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环境卫生（保洁）面积</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F78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50000m</w:t>
            </w:r>
            <w:r>
              <w:rPr>
                <w:rFonts w:hint="eastAsia" w:ascii="宋体" w:hAnsi="宋体" w:cs="宋体"/>
                <w:b w:val="0"/>
                <w:bCs w:val="0"/>
                <w:color w:val="auto"/>
                <w:sz w:val="24"/>
                <w:szCs w:val="24"/>
                <w:highlight w:val="none"/>
                <w:vertAlign w:val="superscript"/>
                <w:lang w:val="en-US" w:eastAsia="zh-CN"/>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7F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防雷系统</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21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2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电梯个数</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1A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w:t>
            </w:r>
          </w:p>
        </w:tc>
      </w:tr>
      <w:tr w14:paraId="3590B6CD">
        <w:tblPrEx>
          <w:tblCellMar>
            <w:top w:w="0" w:type="dxa"/>
            <w:left w:w="108" w:type="dxa"/>
            <w:bottom w:w="0" w:type="dxa"/>
            <w:right w:w="108" w:type="dxa"/>
          </w:tblCellMar>
        </w:tblPrEx>
        <w:trPr>
          <w:trHeight w:val="567" w:hRule="exact"/>
          <w:jc w:val="center"/>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06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附属房楼宇环境卫生（保洁）面积</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64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1B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化粪池</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784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4个</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0C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空调设备个数</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35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w:t>
            </w:r>
          </w:p>
        </w:tc>
      </w:tr>
      <w:tr w14:paraId="52F8E9EE">
        <w:tblPrEx>
          <w:tblCellMar>
            <w:top w:w="0" w:type="dxa"/>
            <w:left w:w="108" w:type="dxa"/>
            <w:bottom w:w="0" w:type="dxa"/>
            <w:right w:w="108" w:type="dxa"/>
          </w:tblCellMar>
        </w:tblPrEx>
        <w:trPr>
          <w:trHeight w:val="567" w:hRule="exact"/>
          <w:jc w:val="center"/>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99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地下停车场（保洁）面积</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7A8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16000m</w:t>
            </w:r>
            <w:r>
              <w:rPr>
                <w:rFonts w:hint="eastAsia" w:ascii="宋体" w:hAnsi="宋体" w:cs="宋体"/>
                <w:b w:val="0"/>
                <w:bCs w:val="0"/>
                <w:color w:val="auto"/>
                <w:sz w:val="24"/>
                <w:szCs w:val="24"/>
                <w:highlight w:val="none"/>
                <w:vertAlign w:val="superscript"/>
                <w:lang w:val="en-US" w:eastAsia="zh-CN"/>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8F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eastAsia="zh-CN"/>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B4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88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FD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rPr>
            </w:pPr>
          </w:p>
        </w:tc>
      </w:tr>
    </w:tbl>
    <w:p w14:paraId="2F06A8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color w:val="auto"/>
          <w:highlight w:val="none"/>
          <w:lang w:val="en-US" w:eastAsia="zh-CN"/>
        </w:rPr>
      </w:pPr>
      <w:r>
        <w:rPr>
          <w:rFonts w:hint="eastAsia" w:ascii="楷体" w:hAnsi="楷体" w:eastAsia="楷体" w:cs="楷体"/>
          <w:b w:val="0"/>
          <w:bCs w:val="0"/>
          <w:color w:val="auto"/>
          <w:sz w:val="24"/>
          <w:szCs w:val="24"/>
          <w:highlight w:val="none"/>
          <w:lang w:val="en-US" w:eastAsia="zh-CN"/>
        </w:rPr>
        <w:t>本部分的概况和设备设施数据仅供参考，实际情况以现场为准。</w:t>
      </w:r>
    </w:p>
    <w:tbl>
      <w:tblPr>
        <w:tblStyle w:val="62"/>
        <w:tblW w:w="14173" w:type="dxa"/>
        <w:jc w:val="center"/>
        <w:tblLayout w:type="fixed"/>
        <w:tblCellMar>
          <w:top w:w="0" w:type="dxa"/>
          <w:left w:w="108" w:type="dxa"/>
          <w:bottom w:w="0" w:type="dxa"/>
          <w:right w:w="108" w:type="dxa"/>
        </w:tblCellMar>
      </w:tblPr>
      <w:tblGrid>
        <w:gridCol w:w="3949"/>
        <w:gridCol w:w="10224"/>
      </w:tblGrid>
      <w:tr w14:paraId="3A100ECE">
        <w:tblPrEx>
          <w:tblCellMar>
            <w:top w:w="0" w:type="dxa"/>
            <w:left w:w="108" w:type="dxa"/>
            <w:bottom w:w="0" w:type="dxa"/>
            <w:right w:w="108" w:type="dxa"/>
          </w:tblCellMar>
        </w:tblPrEx>
        <w:trPr>
          <w:trHeight w:val="485" w:hRule="exact"/>
          <w:jc w:val="center"/>
        </w:trPr>
        <w:tc>
          <w:tcPr>
            <w:tcW w:w="14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01E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1.2采购人提供供应商使用的场地、设施、设备、材料等</w:t>
            </w:r>
          </w:p>
        </w:tc>
      </w:tr>
      <w:tr w14:paraId="6ED30C55">
        <w:tblPrEx>
          <w:tblCellMar>
            <w:top w:w="0" w:type="dxa"/>
            <w:left w:w="108" w:type="dxa"/>
            <w:bottom w:w="0" w:type="dxa"/>
            <w:right w:w="108" w:type="dxa"/>
          </w:tblCellMar>
        </w:tblPrEx>
        <w:trPr>
          <w:trHeight w:val="567" w:hRule="exact"/>
          <w:jc w:val="center"/>
        </w:trPr>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42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0"/>
                <w:sz w:val="24"/>
                <w:szCs w:val="24"/>
                <w:highlight w:val="none"/>
                <w:lang w:eastAsia="zh-CN"/>
              </w:rPr>
              <w:t>办公室</w:t>
            </w:r>
          </w:p>
        </w:tc>
        <w:tc>
          <w:tcPr>
            <w:tcW w:w="10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7892">
            <w:pPr>
              <w:keepNext w:val="0"/>
              <w:keepLines w:val="0"/>
              <w:pageBreakBefore w:val="0"/>
              <w:widowControl/>
              <w:tabs>
                <w:tab w:val="left" w:pos="1115"/>
              </w:tabs>
              <w:kinsoku/>
              <w:wordWrap/>
              <w:overflowPunct/>
              <w:topLinePunct w:val="0"/>
              <w:autoSpaceDE/>
              <w:autoSpaceDN/>
              <w:bidi w:val="0"/>
              <w:adjustRightInd w:val="0"/>
              <w:snapToGrid w:val="0"/>
              <w:jc w:val="both"/>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不提供</w:t>
            </w:r>
          </w:p>
        </w:tc>
      </w:tr>
      <w:tr w14:paraId="0AEEE510">
        <w:tblPrEx>
          <w:tblCellMar>
            <w:top w:w="0" w:type="dxa"/>
            <w:left w:w="108" w:type="dxa"/>
            <w:bottom w:w="0" w:type="dxa"/>
            <w:right w:w="108" w:type="dxa"/>
          </w:tblCellMar>
        </w:tblPrEx>
        <w:trPr>
          <w:trHeight w:val="567" w:hRule="exact"/>
          <w:jc w:val="center"/>
        </w:trPr>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FB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kern w:val="2"/>
                <w:sz w:val="24"/>
                <w:szCs w:val="24"/>
                <w:highlight w:val="none"/>
                <w:u w:val="none"/>
                <w:lang w:val="en-US" w:eastAsia="zh-CN" w:bidi="ar-SA"/>
              </w:rPr>
              <w:t>食堂</w:t>
            </w:r>
          </w:p>
        </w:tc>
        <w:tc>
          <w:tcPr>
            <w:tcW w:w="10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D9C5">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b w:val="0"/>
                <w:bCs w:val="0"/>
                <w:color w:val="auto"/>
                <w:sz w:val="24"/>
                <w:szCs w:val="24"/>
                <w:highlight w:val="none"/>
              </w:rPr>
            </w:pPr>
            <w:r>
              <w:rPr>
                <w:rFonts w:hint="eastAsia" w:ascii="宋体" w:hAnsi="宋体" w:cs="宋体"/>
                <w:color w:val="auto"/>
                <w:kern w:val="2"/>
                <w:sz w:val="24"/>
                <w:szCs w:val="24"/>
                <w:highlight w:val="none"/>
                <w:u w:val="none"/>
                <w:lang w:val="en-US" w:eastAsia="zh-CN" w:bidi="ar-SA"/>
              </w:rPr>
              <w:t>有食堂，</w:t>
            </w:r>
            <w:r>
              <w:rPr>
                <w:rFonts w:hint="eastAsia" w:ascii="宋体" w:hAnsi="宋体" w:eastAsia="宋体" w:cs="宋体"/>
                <w:color w:val="auto"/>
                <w:kern w:val="2"/>
                <w:sz w:val="24"/>
                <w:szCs w:val="24"/>
                <w:highlight w:val="none"/>
                <w:u w:val="none"/>
                <w:lang w:val="en-US" w:eastAsia="zh-CN" w:bidi="ar-SA"/>
              </w:rPr>
              <w:t>餐费由供应商自理</w:t>
            </w:r>
          </w:p>
        </w:tc>
      </w:tr>
      <w:tr w14:paraId="2EA95D2A">
        <w:tblPrEx>
          <w:tblCellMar>
            <w:top w:w="0" w:type="dxa"/>
            <w:left w:w="108" w:type="dxa"/>
            <w:bottom w:w="0" w:type="dxa"/>
            <w:right w:w="108" w:type="dxa"/>
          </w:tblCellMar>
        </w:tblPrEx>
        <w:trPr>
          <w:trHeight w:val="567" w:hRule="exact"/>
          <w:jc w:val="center"/>
        </w:trPr>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4D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kern w:val="2"/>
                <w:sz w:val="24"/>
                <w:szCs w:val="24"/>
                <w:highlight w:val="none"/>
                <w:u w:val="none"/>
                <w:lang w:val="en-US" w:eastAsia="zh-CN" w:bidi="ar-SA"/>
              </w:rPr>
              <w:t>住宿</w:t>
            </w:r>
          </w:p>
        </w:tc>
        <w:tc>
          <w:tcPr>
            <w:tcW w:w="10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9B09">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不提供</w:t>
            </w:r>
          </w:p>
        </w:tc>
      </w:tr>
      <w:tr w14:paraId="1D9DC9D5">
        <w:tblPrEx>
          <w:tblCellMar>
            <w:top w:w="0" w:type="dxa"/>
            <w:left w:w="108" w:type="dxa"/>
            <w:bottom w:w="0" w:type="dxa"/>
            <w:right w:w="108" w:type="dxa"/>
          </w:tblCellMar>
        </w:tblPrEx>
        <w:trPr>
          <w:trHeight w:val="567" w:hRule="exact"/>
          <w:jc w:val="center"/>
        </w:trPr>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22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零星维修材料</w:t>
            </w:r>
          </w:p>
        </w:tc>
        <w:tc>
          <w:tcPr>
            <w:tcW w:w="10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45BD">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不提供</w:t>
            </w:r>
          </w:p>
        </w:tc>
      </w:tr>
      <w:tr w14:paraId="112C1BD2">
        <w:tblPrEx>
          <w:tblCellMar>
            <w:top w:w="0" w:type="dxa"/>
            <w:left w:w="108" w:type="dxa"/>
            <w:bottom w:w="0" w:type="dxa"/>
            <w:right w:w="108" w:type="dxa"/>
          </w:tblCellMar>
        </w:tblPrEx>
        <w:trPr>
          <w:trHeight w:val="499" w:hRule="exact"/>
          <w:jc w:val="center"/>
        </w:trPr>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7A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客耗品</w:t>
            </w:r>
          </w:p>
        </w:tc>
        <w:tc>
          <w:tcPr>
            <w:tcW w:w="10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0ED0">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不提供</w:t>
            </w:r>
          </w:p>
        </w:tc>
      </w:tr>
    </w:tbl>
    <w:p w14:paraId="2E7F4491">
      <w:pPr>
        <w:pageBreakBefore w:val="0"/>
        <w:widowControl w:val="0"/>
        <w:tabs>
          <w:tab w:val="left" w:pos="2340"/>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供应商应当承担除以上所列</w:t>
      </w:r>
      <w:r>
        <w:rPr>
          <w:rFonts w:hint="eastAsia" w:asciiTheme="minorEastAsia" w:hAnsiTheme="minorEastAsia" w:eastAsiaTheme="minorEastAsia" w:cstheme="minorEastAsia"/>
          <w:color w:val="auto"/>
          <w:kern w:val="2"/>
          <w:sz w:val="24"/>
          <w:szCs w:val="24"/>
          <w:highlight w:val="none"/>
          <w:u w:val="none"/>
          <w:lang w:val="en-US" w:eastAsia="zh-CN" w:bidi="ar-SA"/>
        </w:rPr>
        <w:t>场地、设施、设备、材料</w:t>
      </w:r>
      <w:r>
        <w:rPr>
          <w:rFonts w:hint="eastAsia" w:asciiTheme="minorEastAsia" w:hAnsiTheme="minorEastAsia" w:eastAsiaTheme="minorEastAsia" w:cstheme="minorEastAsia"/>
          <w:color w:val="auto"/>
          <w:sz w:val="24"/>
          <w:szCs w:val="24"/>
          <w:highlight w:val="none"/>
          <w:lang w:val="en-US" w:eastAsia="zh-CN"/>
        </w:rPr>
        <w:t>外，与物业管理服务有关的其他</w:t>
      </w:r>
      <w:r>
        <w:rPr>
          <w:rFonts w:hint="eastAsia" w:asciiTheme="minorEastAsia" w:hAnsiTheme="minorEastAsia" w:eastAsiaTheme="minorEastAsia" w:cstheme="minorEastAsia"/>
          <w:color w:val="auto"/>
          <w:kern w:val="2"/>
          <w:sz w:val="24"/>
          <w:szCs w:val="24"/>
          <w:highlight w:val="none"/>
          <w:u w:val="none"/>
          <w:lang w:val="en-US" w:eastAsia="zh-CN" w:bidi="ar-SA"/>
        </w:rPr>
        <w:t>设施、设备、材料等。</w:t>
      </w:r>
    </w:p>
    <w:p w14:paraId="429EAC6B">
      <w:pPr>
        <w:pageBreakBefore w:val="0"/>
        <w:widowControl w:val="0"/>
        <w:tabs>
          <w:tab w:val="left" w:pos="2340"/>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val="0"/>
          <w:color w:val="auto"/>
          <w:sz w:val="24"/>
          <w:szCs w:val="32"/>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）供应商履行合同所需的设备</w:t>
      </w:r>
      <w:r>
        <w:rPr>
          <w:rFonts w:hint="eastAsia" w:ascii="宋体" w:hAnsi="宋体" w:cs="宋体"/>
          <w:b/>
          <w:color w:val="auto"/>
          <w:sz w:val="24"/>
          <w:szCs w:val="24"/>
          <w:highlight w:val="none"/>
          <w:lang w:eastAsia="zh-CN"/>
        </w:rPr>
        <w:t>：</w:t>
      </w:r>
      <w:r>
        <w:rPr>
          <w:rFonts w:hint="eastAsia" w:ascii="宋体" w:hAnsi="宋体" w:cs="宋体"/>
          <w:b w:val="0"/>
          <w:bCs w:val="0"/>
          <w:color w:val="auto"/>
          <w:sz w:val="24"/>
          <w:szCs w:val="24"/>
          <w:highlight w:val="none"/>
          <w:lang w:val="en-US" w:eastAsia="zh-CN"/>
        </w:rPr>
        <w:t>无强制要求，投标人可基于对本项目理解提供必要设备。</w:t>
      </w:r>
    </w:p>
    <w:p w14:paraId="681BD04E">
      <w:pPr>
        <w:pageBreakBefore w:val="0"/>
        <w:widowControl w:val="0"/>
        <w:numPr>
          <w:ilvl w:val="0"/>
          <w:numId w:val="0"/>
        </w:numPr>
        <w:tabs>
          <w:tab w:val="left" w:pos="2340"/>
        </w:tabs>
        <w:kinsoku/>
        <w:wordWrap/>
        <w:overflowPunct/>
        <w:topLinePunct w:val="0"/>
        <w:autoSpaceDE/>
        <w:autoSpaceDN/>
        <w:bidi w:val="0"/>
        <w:snapToGrid w:val="0"/>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人员团队最低要求</w:t>
      </w:r>
    </w:p>
    <w:p w14:paraId="2F8A193E">
      <w:pPr>
        <w:pStyle w:val="2"/>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物业管理服务人员需求</w:t>
      </w:r>
    </w:p>
    <w:tbl>
      <w:tblPr>
        <w:tblStyle w:val="63"/>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593"/>
        <w:gridCol w:w="1013"/>
        <w:gridCol w:w="1312"/>
        <w:gridCol w:w="5645"/>
        <w:gridCol w:w="2817"/>
      </w:tblGrid>
      <w:tr w14:paraId="667D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1" w:type="dxa"/>
            <w:noWrap w:val="0"/>
            <w:vAlign w:val="center"/>
          </w:tcPr>
          <w:p w14:paraId="3E04C359">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部门</w:t>
            </w:r>
            <w:r>
              <w:rPr>
                <w:rFonts w:hint="eastAsia" w:ascii="宋体" w:hAnsi="宋体" w:eastAsia="宋体" w:cs="宋体"/>
                <w:b/>
                <w:bCs w:val="0"/>
                <w:color w:val="auto"/>
                <w:sz w:val="24"/>
                <w:szCs w:val="24"/>
                <w:highlight w:val="none"/>
                <w:lang w:eastAsia="zh-CN"/>
              </w:rPr>
              <w:t>职能</w:t>
            </w:r>
          </w:p>
        </w:tc>
        <w:tc>
          <w:tcPr>
            <w:tcW w:w="1593" w:type="dxa"/>
            <w:noWrap w:val="0"/>
            <w:vAlign w:val="center"/>
          </w:tcPr>
          <w:p w14:paraId="1BCFE506">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岗位</w:t>
            </w:r>
          </w:p>
        </w:tc>
        <w:tc>
          <w:tcPr>
            <w:tcW w:w="1013" w:type="dxa"/>
            <w:noWrap w:val="0"/>
            <w:vAlign w:val="center"/>
          </w:tcPr>
          <w:p w14:paraId="27A6D4F0">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同时在岗人数</w:t>
            </w:r>
          </w:p>
        </w:tc>
        <w:tc>
          <w:tcPr>
            <w:tcW w:w="1312" w:type="dxa"/>
            <w:noWrap w:val="0"/>
            <w:vAlign w:val="center"/>
          </w:tcPr>
          <w:p w14:paraId="7025CDF8">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岗位所需总人数</w:t>
            </w:r>
          </w:p>
        </w:tc>
        <w:tc>
          <w:tcPr>
            <w:tcW w:w="5646" w:type="dxa"/>
            <w:noWrap w:val="0"/>
            <w:vAlign w:val="center"/>
          </w:tcPr>
          <w:p w14:paraId="57DEE143">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岗位需求</w:t>
            </w:r>
          </w:p>
          <w:p w14:paraId="11687B0B">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（岗位所需服务时长或时段、需具备的上岗资格证</w:t>
            </w:r>
            <w:r>
              <w:rPr>
                <w:rFonts w:hint="eastAsia" w:ascii="宋体" w:hAnsi="宋体" w:eastAsia="宋体" w:cs="宋体"/>
                <w:b/>
                <w:bCs w:val="0"/>
                <w:color w:val="auto"/>
                <w:sz w:val="24"/>
                <w:szCs w:val="24"/>
                <w:highlight w:val="none"/>
                <w:lang w:eastAsia="zh-CN"/>
              </w:rPr>
              <w:t>、人员学历、</w:t>
            </w:r>
            <w:r>
              <w:rPr>
                <w:rFonts w:hint="eastAsia" w:ascii="宋体" w:hAnsi="宋体" w:cs="宋体"/>
                <w:b/>
                <w:bCs w:val="0"/>
                <w:color w:val="auto"/>
                <w:sz w:val="24"/>
                <w:szCs w:val="24"/>
                <w:highlight w:val="none"/>
                <w:lang w:val="en-US" w:eastAsia="zh-CN"/>
              </w:rPr>
              <w:t>年龄、</w:t>
            </w:r>
            <w:r>
              <w:rPr>
                <w:rFonts w:hint="eastAsia" w:ascii="宋体" w:hAnsi="宋体" w:eastAsia="宋体" w:cs="宋体"/>
                <w:b/>
                <w:bCs w:val="0"/>
                <w:color w:val="auto"/>
                <w:sz w:val="24"/>
                <w:szCs w:val="24"/>
                <w:highlight w:val="none"/>
                <w:lang w:eastAsia="zh-CN"/>
              </w:rPr>
              <w:t>工作经验</w:t>
            </w:r>
            <w:r>
              <w:rPr>
                <w:rFonts w:hint="eastAsia" w:ascii="宋体" w:hAnsi="宋体" w:eastAsia="宋体" w:cs="宋体"/>
                <w:b/>
                <w:bCs w:val="0"/>
                <w:color w:val="auto"/>
                <w:sz w:val="24"/>
                <w:szCs w:val="24"/>
                <w:highlight w:val="none"/>
              </w:rPr>
              <w:t>等</w:t>
            </w:r>
            <w:r>
              <w:rPr>
                <w:rFonts w:hint="eastAsia" w:ascii="宋体" w:hAnsi="宋体" w:eastAsia="宋体" w:cs="宋体"/>
                <w:b/>
                <w:bCs w:val="0"/>
                <w:color w:val="auto"/>
                <w:sz w:val="24"/>
                <w:szCs w:val="24"/>
                <w:highlight w:val="none"/>
                <w:lang w:eastAsia="zh-CN"/>
              </w:rPr>
              <w:t>要求</w:t>
            </w:r>
            <w:r>
              <w:rPr>
                <w:rFonts w:hint="eastAsia" w:ascii="宋体" w:hAnsi="宋体" w:eastAsia="宋体" w:cs="宋体"/>
                <w:b/>
                <w:bCs w:val="0"/>
                <w:color w:val="auto"/>
                <w:sz w:val="24"/>
                <w:szCs w:val="24"/>
                <w:highlight w:val="none"/>
              </w:rPr>
              <w:t>）</w:t>
            </w:r>
          </w:p>
        </w:tc>
        <w:tc>
          <w:tcPr>
            <w:tcW w:w="2817" w:type="dxa"/>
            <w:noWrap w:val="0"/>
            <w:vAlign w:val="center"/>
          </w:tcPr>
          <w:p w14:paraId="2ACD5442">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重点需求</w:t>
            </w:r>
          </w:p>
        </w:tc>
      </w:tr>
      <w:tr w14:paraId="14C6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noWrap w:val="0"/>
            <w:vAlign w:val="center"/>
          </w:tcPr>
          <w:p w14:paraId="5148195A">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项目负责人</w:t>
            </w:r>
          </w:p>
        </w:tc>
        <w:tc>
          <w:tcPr>
            <w:tcW w:w="1593" w:type="dxa"/>
            <w:noWrap w:val="0"/>
            <w:vAlign w:val="center"/>
          </w:tcPr>
          <w:p w14:paraId="19AB62B0">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项目经理</w:t>
            </w:r>
          </w:p>
        </w:tc>
        <w:tc>
          <w:tcPr>
            <w:tcW w:w="1013" w:type="dxa"/>
            <w:noWrap w:val="0"/>
            <w:vAlign w:val="center"/>
          </w:tcPr>
          <w:p w14:paraId="223B3710">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1312" w:type="dxa"/>
            <w:noWrap w:val="0"/>
            <w:vAlign w:val="center"/>
          </w:tcPr>
          <w:p w14:paraId="2988BD7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646" w:type="dxa"/>
            <w:noWrap w:val="0"/>
            <w:vAlign w:val="center"/>
          </w:tcPr>
          <w:p w14:paraId="04966137">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统筹物业服务工作，落实采购人交办的工作，协助采购人做好校园管理。</w:t>
            </w:r>
          </w:p>
          <w:p w14:paraId="46B1C4F2">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eastAsia="zh-CN"/>
              </w:rPr>
              <w:t>基本条件：</w:t>
            </w:r>
            <w:r>
              <w:rPr>
                <w:rFonts w:hint="eastAsia" w:ascii="宋体" w:hAnsi="宋体" w:cs="宋体"/>
                <w:bCs/>
                <w:color w:val="auto"/>
                <w:sz w:val="24"/>
                <w:szCs w:val="24"/>
                <w:highlight w:val="none"/>
                <w:lang w:val="en-US" w:eastAsia="zh-CN"/>
              </w:rPr>
              <w:t>50周岁以下，具备不少于3年物业管理工作经验，专科以上学历。</w:t>
            </w:r>
          </w:p>
          <w:p w14:paraId="50B02DEE">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优于上述要求者优先。</w:t>
            </w:r>
          </w:p>
        </w:tc>
        <w:tc>
          <w:tcPr>
            <w:tcW w:w="2817" w:type="dxa"/>
            <w:noWrap w:val="0"/>
            <w:vAlign w:val="center"/>
          </w:tcPr>
          <w:p w14:paraId="050F8463">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Cs/>
                <w:color w:val="auto"/>
                <w:sz w:val="24"/>
                <w:szCs w:val="24"/>
                <w:highlight w:val="none"/>
              </w:rPr>
            </w:pPr>
          </w:p>
        </w:tc>
      </w:tr>
      <w:tr w14:paraId="56FD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1" w:type="dxa"/>
            <w:vMerge w:val="restart"/>
            <w:shd w:val="clear" w:color="auto" w:fill="auto"/>
            <w:noWrap w:val="0"/>
            <w:vAlign w:val="center"/>
          </w:tcPr>
          <w:p w14:paraId="0E752698">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保安服务</w:t>
            </w:r>
          </w:p>
        </w:tc>
        <w:tc>
          <w:tcPr>
            <w:tcW w:w="1593" w:type="dxa"/>
            <w:shd w:val="clear" w:color="auto" w:fill="auto"/>
            <w:noWrap w:val="0"/>
            <w:vAlign w:val="center"/>
          </w:tcPr>
          <w:p w14:paraId="35A321E3">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主管</w:t>
            </w:r>
          </w:p>
        </w:tc>
        <w:tc>
          <w:tcPr>
            <w:tcW w:w="1013" w:type="dxa"/>
            <w:shd w:val="clear" w:color="auto" w:fill="auto"/>
            <w:noWrap w:val="0"/>
            <w:vAlign w:val="center"/>
          </w:tcPr>
          <w:p w14:paraId="3759DA56">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w:t>
            </w:r>
          </w:p>
        </w:tc>
        <w:tc>
          <w:tcPr>
            <w:tcW w:w="1312" w:type="dxa"/>
            <w:shd w:val="clear" w:color="auto" w:fill="auto"/>
            <w:noWrap w:val="0"/>
            <w:vAlign w:val="center"/>
          </w:tcPr>
          <w:p w14:paraId="34F94FF2">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w:t>
            </w:r>
          </w:p>
        </w:tc>
        <w:tc>
          <w:tcPr>
            <w:tcW w:w="5646" w:type="dxa"/>
            <w:shd w:val="clear" w:color="auto" w:fill="auto"/>
            <w:noWrap w:val="0"/>
            <w:vAlign w:val="center"/>
          </w:tcPr>
          <w:p w14:paraId="1985D14D">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统筹保安部门工作，落实采购人交办的工作。</w:t>
            </w:r>
          </w:p>
          <w:p w14:paraId="40CA463B">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eastAsia="zh-CN"/>
              </w:rPr>
              <w:t>基本条件：</w:t>
            </w:r>
            <w:r>
              <w:rPr>
                <w:rFonts w:hint="eastAsia" w:ascii="宋体" w:hAnsi="宋体" w:cs="宋体"/>
                <w:bCs/>
                <w:color w:val="auto"/>
                <w:sz w:val="24"/>
                <w:szCs w:val="24"/>
                <w:highlight w:val="none"/>
                <w:lang w:val="en-US" w:eastAsia="zh-CN"/>
              </w:rPr>
              <w:t>50周岁以下，具备不少于3年物业保安服务工作经验，专科以上学历。</w:t>
            </w:r>
            <w:r>
              <w:rPr>
                <w:rFonts w:hint="eastAsia" w:ascii="宋体" w:hAnsi="宋体" w:cs="宋体"/>
                <w:bCs/>
                <w:color w:val="auto"/>
                <w:kern w:val="2"/>
                <w:sz w:val="24"/>
                <w:szCs w:val="24"/>
                <w:highlight w:val="none"/>
                <w:lang w:val="en-US" w:eastAsia="zh-CN" w:bidi="ar-SA"/>
              </w:rPr>
              <w:t>上岗时需持保安证。</w:t>
            </w:r>
          </w:p>
          <w:p w14:paraId="4C053C47">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优于上述要求者优先。</w:t>
            </w:r>
          </w:p>
        </w:tc>
        <w:tc>
          <w:tcPr>
            <w:tcW w:w="2817" w:type="dxa"/>
            <w:shd w:val="clear" w:color="auto" w:fill="auto"/>
            <w:noWrap w:val="0"/>
            <w:vAlign w:val="center"/>
          </w:tcPr>
          <w:p w14:paraId="432FDAD2">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p>
        </w:tc>
      </w:tr>
      <w:tr w14:paraId="0320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1" w:type="dxa"/>
            <w:vMerge w:val="continue"/>
            <w:noWrap w:val="0"/>
            <w:vAlign w:val="center"/>
          </w:tcPr>
          <w:p w14:paraId="670FD134">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eastAsia="zh-CN"/>
              </w:rPr>
            </w:pPr>
          </w:p>
        </w:tc>
        <w:tc>
          <w:tcPr>
            <w:tcW w:w="1593" w:type="dxa"/>
            <w:shd w:val="clear" w:color="auto" w:fill="auto"/>
            <w:noWrap w:val="0"/>
            <w:vAlign w:val="center"/>
          </w:tcPr>
          <w:p w14:paraId="19BBE925">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门岗</w:t>
            </w:r>
            <w:r>
              <w:rPr>
                <w:rFonts w:hint="eastAsia" w:ascii="宋体" w:hAnsi="宋体" w:cs="宋体"/>
                <w:bCs/>
                <w:color w:val="auto"/>
                <w:sz w:val="24"/>
                <w:szCs w:val="24"/>
                <w:highlight w:val="none"/>
                <w:lang w:val="en-US" w:eastAsia="zh-CN"/>
              </w:rPr>
              <w:t>兼巡逻</w:t>
            </w:r>
          </w:p>
        </w:tc>
        <w:tc>
          <w:tcPr>
            <w:tcW w:w="1013" w:type="dxa"/>
            <w:shd w:val="clear" w:color="auto" w:fill="auto"/>
            <w:noWrap w:val="0"/>
            <w:vAlign w:val="center"/>
          </w:tcPr>
          <w:p w14:paraId="79EC4415">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2</w:t>
            </w:r>
          </w:p>
        </w:tc>
        <w:tc>
          <w:tcPr>
            <w:tcW w:w="1312" w:type="dxa"/>
            <w:shd w:val="clear" w:color="auto" w:fill="auto"/>
            <w:noWrap w:val="0"/>
            <w:vAlign w:val="center"/>
          </w:tcPr>
          <w:p w14:paraId="6B3EFF74">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2</w:t>
            </w:r>
          </w:p>
        </w:tc>
        <w:tc>
          <w:tcPr>
            <w:tcW w:w="5646" w:type="dxa"/>
            <w:shd w:val="clear" w:color="auto" w:fill="auto"/>
            <w:noWrap w:val="0"/>
            <w:vAlign w:val="center"/>
          </w:tcPr>
          <w:p w14:paraId="6D145790">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统筹保安部门工作，落实采购人交办的工作。</w:t>
            </w:r>
          </w:p>
          <w:p w14:paraId="3AB47F97">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eastAsia="zh-CN"/>
              </w:rPr>
              <w:t>基本条件：</w:t>
            </w:r>
            <w:r>
              <w:rPr>
                <w:rFonts w:hint="eastAsia" w:ascii="宋体" w:hAnsi="宋体" w:cs="宋体"/>
                <w:bCs/>
                <w:color w:val="auto"/>
                <w:sz w:val="24"/>
                <w:szCs w:val="24"/>
                <w:highlight w:val="none"/>
                <w:lang w:val="en-US" w:eastAsia="zh-CN"/>
              </w:rPr>
              <w:t>50周岁以下，具备不少于1年物业保安服务工作经验。</w:t>
            </w:r>
            <w:r>
              <w:rPr>
                <w:rFonts w:hint="eastAsia" w:ascii="宋体" w:hAnsi="宋体" w:cs="宋体"/>
                <w:bCs/>
                <w:color w:val="auto"/>
                <w:kern w:val="2"/>
                <w:sz w:val="24"/>
                <w:szCs w:val="24"/>
                <w:highlight w:val="none"/>
                <w:lang w:val="en-US" w:eastAsia="zh-CN" w:bidi="ar-SA"/>
              </w:rPr>
              <w:t>上岗时需持保安证。</w:t>
            </w:r>
          </w:p>
          <w:p w14:paraId="30E20945">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优于上述要求者优先。</w:t>
            </w:r>
          </w:p>
        </w:tc>
        <w:tc>
          <w:tcPr>
            <w:tcW w:w="2817" w:type="dxa"/>
            <w:shd w:val="clear" w:color="auto" w:fill="auto"/>
            <w:noWrap w:val="0"/>
            <w:vAlign w:val="center"/>
          </w:tcPr>
          <w:p w14:paraId="4794C39A">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u w:val="none"/>
                <w:lang w:val="en-US" w:eastAsia="zh-CN" w:bidi="ar-SA"/>
              </w:rPr>
            </w:pPr>
          </w:p>
        </w:tc>
      </w:tr>
      <w:tr w14:paraId="69FC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1" w:type="dxa"/>
            <w:vMerge w:val="continue"/>
            <w:noWrap w:val="0"/>
            <w:vAlign w:val="center"/>
          </w:tcPr>
          <w:p w14:paraId="18D27B8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eastAsia="zh-CN"/>
              </w:rPr>
            </w:pPr>
          </w:p>
        </w:tc>
        <w:tc>
          <w:tcPr>
            <w:tcW w:w="1593" w:type="dxa"/>
            <w:shd w:val="clear" w:color="auto" w:fill="auto"/>
            <w:noWrap w:val="0"/>
            <w:vAlign w:val="center"/>
          </w:tcPr>
          <w:p w14:paraId="54BC92A6">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消控岗</w:t>
            </w:r>
          </w:p>
        </w:tc>
        <w:tc>
          <w:tcPr>
            <w:tcW w:w="1013" w:type="dxa"/>
            <w:shd w:val="clear" w:color="auto" w:fill="auto"/>
            <w:noWrap w:val="0"/>
            <w:vAlign w:val="center"/>
          </w:tcPr>
          <w:p w14:paraId="419176F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w:t>
            </w:r>
          </w:p>
        </w:tc>
        <w:tc>
          <w:tcPr>
            <w:tcW w:w="1312" w:type="dxa"/>
            <w:shd w:val="clear" w:color="auto" w:fill="auto"/>
            <w:noWrap w:val="0"/>
            <w:vAlign w:val="center"/>
          </w:tcPr>
          <w:p w14:paraId="47CCA55F">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2</w:t>
            </w:r>
          </w:p>
        </w:tc>
        <w:tc>
          <w:tcPr>
            <w:tcW w:w="5646" w:type="dxa"/>
            <w:shd w:val="clear" w:color="auto" w:fill="auto"/>
            <w:noWrap w:val="0"/>
            <w:vAlign w:val="center"/>
          </w:tcPr>
          <w:p w14:paraId="1DF3B84E">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eastAsia="zh-CN"/>
              </w:rPr>
              <w:t>需</w:t>
            </w:r>
            <w:r>
              <w:rPr>
                <w:rFonts w:hint="eastAsia" w:ascii="宋体" w:hAnsi="宋体" w:eastAsia="宋体" w:cs="宋体"/>
                <w:bCs/>
                <w:color w:val="auto"/>
                <w:sz w:val="24"/>
                <w:szCs w:val="24"/>
                <w:highlight w:val="none"/>
              </w:rPr>
              <w:t>24小时</w:t>
            </w:r>
            <w:r>
              <w:rPr>
                <w:rFonts w:hint="eastAsia" w:ascii="宋体" w:hAnsi="宋体" w:cs="宋体"/>
                <w:bCs/>
                <w:color w:val="auto"/>
                <w:sz w:val="24"/>
                <w:szCs w:val="24"/>
                <w:highlight w:val="none"/>
                <w:lang w:eastAsia="zh-CN"/>
              </w:rPr>
              <w:t>有人在岗，统筹学校消监控等相关工作。</w:t>
            </w:r>
            <w:r>
              <w:rPr>
                <w:rFonts w:hint="eastAsia" w:ascii="宋体" w:hAnsi="宋体" w:cs="宋体"/>
                <w:bCs/>
                <w:color w:val="auto"/>
                <w:sz w:val="24"/>
                <w:szCs w:val="24"/>
                <w:highlight w:val="none"/>
                <w:lang w:val="en-US" w:eastAsia="zh-CN"/>
              </w:rPr>
              <w:t>具备不少于1年消控室或消控岗工作经验。</w:t>
            </w:r>
          </w:p>
        </w:tc>
        <w:tc>
          <w:tcPr>
            <w:tcW w:w="2817" w:type="dxa"/>
            <w:shd w:val="clear" w:color="auto" w:fill="auto"/>
            <w:noWrap w:val="0"/>
            <w:vAlign w:val="center"/>
          </w:tcPr>
          <w:p w14:paraId="5DC64C3C">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人员需持有效消控证</w:t>
            </w:r>
          </w:p>
        </w:tc>
      </w:tr>
      <w:tr w14:paraId="03B6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1" w:type="dxa"/>
            <w:vMerge w:val="restart"/>
            <w:shd w:val="clear" w:color="auto" w:fill="auto"/>
            <w:noWrap w:val="0"/>
            <w:vAlign w:val="center"/>
          </w:tcPr>
          <w:p w14:paraId="0009B6E4">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保洁服务</w:t>
            </w:r>
          </w:p>
        </w:tc>
        <w:tc>
          <w:tcPr>
            <w:tcW w:w="1593" w:type="dxa"/>
            <w:shd w:val="clear" w:color="auto" w:fill="auto"/>
            <w:noWrap w:val="0"/>
            <w:vAlign w:val="center"/>
          </w:tcPr>
          <w:p w14:paraId="226186D5">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主管</w:t>
            </w:r>
          </w:p>
        </w:tc>
        <w:tc>
          <w:tcPr>
            <w:tcW w:w="1013" w:type="dxa"/>
            <w:shd w:val="clear" w:color="auto" w:fill="auto"/>
            <w:noWrap w:val="0"/>
            <w:vAlign w:val="center"/>
          </w:tcPr>
          <w:p w14:paraId="698B9237">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w:t>
            </w:r>
          </w:p>
        </w:tc>
        <w:tc>
          <w:tcPr>
            <w:tcW w:w="1312" w:type="dxa"/>
            <w:shd w:val="clear" w:color="auto" w:fill="auto"/>
            <w:noWrap w:val="0"/>
            <w:vAlign w:val="center"/>
          </w:tcPr>
          <w:p w14:paraId="7EE97108">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w:t>
            </w:r>
          </w:p>
        </w:tc>
        <w:tc>
          <w:tcPr>
            <w:tcW w:w="5646" w:type="dxa"/>
            <w:shd w:val="clear" w:color="auto" w:fill="auto"/>
            <w:noWrap w:val="0"/>
            <w:vAlign w:val="center"/>
          </w:tcPr>
          <w:p w14:paraId="01BAFBA1">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统筹保洁部门工作，落实采购人交办的工作。</w:t>
            </w:r>
          </w:p>
          <w:p w14:paraId="4837CA39">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eastAsia="zh-CN"/>
              </w:rPr>
              <w:t>基本条件：</w:t>
            </w:r>
            <w:r>
              <w:rPr>
                <w:rFonts w:hint="eastAsia" w:ascii="宋体" w:hAnsi="宋体" w:cs="宋体"/>
                <w:bCs/>
                <w:color w:val="auto"/>
                <w:sz w:val="24"/>
                <w:szCs w:val="24"/>
                <w:highlight w:val="none"/>
                <w:lang w:val="en-US" w:eastAsia="zh-CN"/>
              </w:rPr>
              <w:t>50周岁以下，具备不少于3年物业保洁服务工作经验</w:t>
            </w:r>
            <w:r>
              <w:rPr>
                <w:rFonts w:hint="eastAsia" w:ascii="宋体" w:hAnsi="宋体" w:cs="宋体"/>
                <w:bCs/>
                <w:color w:val="auto"/>
                <w:kern w:val="2"/>
                <w:sz w:val="24"/>
                <w:szCs w:val="24"/>
                <w:highlight w:val="none"/>
                <w:lang w:val="en-US" w:eastAsia="zh-CN" w:bidi="ar-SA"/>
              </w:rPr>
              <w:t>。</w:t>
            </w:r>
          </w:p>
          <w:p w14:paraId="35FF125D">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优于上述要求者优先。</w:t>
            </w:r>
          </w:p>
        </w:tc>
        <w:tc>
          <w:tcPr>
            <w:tcW w:w="2817" w:type="dxa"/>
            <w:shd w:val="clear" w:color="auto" w:fill="auto"/>
            <w:noWrap w:val="0"/>
            <w:vAlign w:val="center"/>
          </w:tcPr>
          <w:p w14:paraId="3CFD54CC">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p>
        </w:tc>
      </w:tr>
      <w:tr w14:paraId="32C9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1" w:type="dxa"/>
            <w:vMerge w:val="continue"/>
            <w:noWrap w:val="0"/>
            <w:vAlign w:val="center"/>
          </w:tcPr>
          <w:p w14:paraId="47F7BF8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eastAsia="zh-CN"/>
              </w:rPr>
            </w:pPr>
          </w:p>
        </w:tc>
        <w:tc>
          <w:tcPr>
            <w:tcW w:w="1593" w:type="dxa"/>
            <w:shd w:val="clear" w:color="auto" w:fill="auto"/>
            <w:noWrap w:val="0"/>
            <w:vAlign w:val="center"/>
          </w:tcPr>
          <w:p w14:paraId="5F9EA781">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室内</w:t>
            </w:r>
            <w:r>
              <w:rPr>
                <w:rFonts w:hint="eastAsia" w:ascii="宋体" w:hAnsi="宋体" w:eastAsia="宋体" w:cs="宋体"/>
                <w:bCs/>
                <w:color w:val="auto"/>
                <w:sz w:val="24"/>
                <w:szCs w:val="24"/>
                <w:highlight w:val="none"/>
              </w:rPr>
              <w:t>保洁员</w:t>
            </w:r>
          </w:p>
        </w:tc>
        <w:tc>
          <w:tcPr>
            <w:tcW w:w="1013" w:type="dxa"/>
            <w:shd w:val="clear" w:color="auto" w:fill="auto"/>
            <w:noWrap w:val="0"/>
            <w:vAlign w:val="center"/>
          </w:tcPr>
          <w:p w14:paraId="02F5B8F0">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4</w:t>
            </w:r>
          </w:p>
        </w:tc>
        <w:tc>
          <w:tcPr>
            <w:tcW w:w="1312" w:type="dxa"/>
            <w:shd w:val="clear" w:color="auto" w:fill="auto"/>
            <w:noWrap w:val="0"/>
            <w:vAlign w:val="center"/>
          </w:tcPr>
          <w:p w14:paraId="56090B05">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4</w:t>
            </w:r>
          </w:p>
        </w:tc>
        <w:tc>
          <w:tcPr>
            <w:tcW w:w="5646" w:type="dxa"/>
            <w:shd w:val="clear" w:color="auto" w:fill="auto"/>
            <w:noWrap w:val="0"/>
            <w:vAlign w:val="center"/>
          </w:tcPr>
          <w:p w14:paraId="40FF3E54">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统筹保洁部门工作，落实采购人交办的工作。</w:t>
            </w:r>
          </w:p>
          <w:p w14:paraId="1157324C">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eastAsia="zh-CN"/>
              </w:rPr>
              <w:t>基本条件：</w:t>
            </w:r>
            <w:r>
              <w:rPr>
                <w:rFonts w:hint="eastAsia" w:ascii="宋体" w:hAnsi="宋体" w:cs="宋体"/>
                <w:bCs/>
                <w:color w:val="auto"/>
                <w:sz w:val="24"/>
                <w:szCs w:val="24"/>
                <w:highlight w:val="none"/>
                <w:lang w:val="en-US" w:eastAsia="zh-CN"/>
              </w:rPr>
              <w:t>50周岁以下，具备不少于1年物业保洁服务工作经验</w:t>
            </w:r>
            <w:r>
              <w:rPr>
                <w:rFonts w:hint="eastAsia" w:ascii="宋体" w:hAnsi="宋体" w:cs="宋体"/>
                <w:bCs/>
                <w:color w:val="auto"/>
                <w:kern w:val="2"/>
                <w:sz w:val="24"/>
                <w:szCs w:val="24"/>
                <w:highlight w:val="none"/>
                <w:lang w:val="en-US" w:eastAsia="zh-CN" w:bidi="ar-SA"/>
              </w:rPr>
              <w:t>。</w:t>
            </w:r>
          </w:p>
          <w:p w14:paraId="6588363C">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女性优先，优于上述要求者优先。</w:t>
            </w:r>
          </w:p>
        </w:tc>
        <w:tc>
          <w:tcPr>
            <w:tcW w:w="2817" w:type="dxa"/>
            <w:shd w:val="clear" w:color="auto" w:fill="auto"/>
            <w:noWrap w:val="0"/>
            <w:vAlign w:val="center"/>
          </w:tcPr>
          <w:p w14:paraId="39ACC02C">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p>
        </w:tc>
      </w:tr>
      <w:tr w14:paraId="5ECF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1" w:type="dxa"/>
            <w:vMerge w:val="continue"/>
            <w:noWrap w:val="0"/>
            <w:vAlign w:val="center"/>
          </w:tcPr>
          <w:p w14:paraId="159A0EE8">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eastAsia="zh-CN"/>
              </w:rPr>
            </w:pPr>
          </w:p>
        </w:tc>
        <w:tc>
          <w:tcPr>
            <w:tcW w:w="1593" w:type="dxa"/>
            <w:shd w:val="clear" w:color="auto" w:fill="auto"/>
            <w:noWrap w:val="0"/>
            <w:vAlign w:val="center"/>
          </w:tcPr>
          <w:p w14:paraId="29F97DA4">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室外保洁员</w:t>
            </w:r>
          </w:p>
        </w:tc>
        <w:tc>
          <w:tcPr>
            <w:tcW w:w="1013" w:type="dxa"/>
            <w:shd w:val="clear" w:color="auto" w:fill="auto"/>
            <w:noWrap w:val="0"/>
            <w:vAlign w:val="center"/>
          </w:tcPr>
          <w:p w14:paraId="2AAD494F">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2</w:t>
            </w:r>
          </w:p>
        </w:tc>
        <w:tc>
          <w:tcPr>
            <w:tcW w:w="1312" w:type="dxa"/>
            <w:shd w:val="clear" w:color="auto" w:fill="auto"/>
            <w:noWrap w:val="0"/>
            <w:vAlign w:val="center"/>
          </w:tcPr>
          <w:p w14:paraId="26AF3DE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2</w:t>
            </w:r>
          </w:p>
        </w:tc>
        <w:tc>
          <w:tcPr>
            <w:tcW w:w="5646" w:type="dxa"/>
            <w:shd w:val="clear" w:color="auto" w:fill="auto"/>
            <w:noWrap w:val="0"/>
            <w:vAlign w:val="center"/>
          </w:tcPr>
          <w:p w14:paraId="7B6EEE73">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统筹保洁部门工作，落实采购人交办的工作。</w:t>
            </w:r>
          </w:p>
          <w:p w14:paraId="371A6AA5">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eastAsia="zh-CN"/>
              </w:rPr>
              <w:t>基本条件：</w:t>
            </w:r>
            <w:r>
              <w:rPr>
                <w:rFonts w:hint="eastAsia" w:ascii="宋体" w:hAnsi="宋体" w:cs="宋体"/>
                <w:bCs/>
                <w:color w:val="auto"/>
                <w:sz w:val="24"/>
                <w:szCs w:val="24"/>
                <w:highlight w:val="none"/>
                <w:lang w:val="en-US" w:eastAsia="zh-CN"/>
              </w:rPr>
              <w:t>50周岁以下，具备不少于1年物业保洁服务工作经验</w:t>
            </w:r>
            <w:r>
              <w:rPr>
                <w:rFonts w:hint="eastAsia" w:ascii="宋体" w:hAnsi="宋体" w:cs="宋体"/>
                <w:bCs/>
                <w:color w:val="auto"/>
                <w:kern w:val="2"/>
                <w:sz w:val="24"/>
                <w:szCs w:val="24"/>
                <w:highlight w:val="none"/>
                <w:lang w:val="en-US" w:eastAsia="zh-CN" w:bidi="ar-SA"/>
              </w:rPr>
              <w:t>。</w:t>
            </w:r>
          </w:p>
          <w:p w14:paraId="73371B25">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男性优先，优于上述要求者优先。</w:t>
            </w:r>
          </w:p>
        </w:tc>
        <w:tc>
          <w:tcPr>
            <w:tcW w:w="2817" w:type="dxa"/>
            <w:shd w:val="clear" w:color="auto" w:fill="auto"/>
            <w:noWrap w:val="0"/>
            <w:vAlign w:val="center"/>
          </w:tcPr>
          <w:p w14:paraId="4D5A5FC8">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p>
        </w:tc>
      </w:tr>
    </w:tbl>
    <w:p w14:paraId="7B37D0AC">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00" w:firstLineChars="200"/>
        <w:jc w:val="left"/>
        <w:textAlignment w:val="auto"/>
        <w:rPr>
          <w:rFonts w:hint="eastAsia" w:asciiTheme="minorEastAsia" w:hAnsiTheme="minorEastAsia" w:eastAsiaTheme="minorEastAsia" w:cstheme="minorEastAsia"/>
          <w:b w:val="0"/>
          <w:bCs/>
          <w:color w:val="auto"/>
          <w:sz w:val="20"/>
          <w:szCs w:val="20"/>
          <w:highlight w:val="none"/>
          <w:u w:val="none"/>
        </w:rPr>
      </w:pPr>
      <w:r>
        <w:rPr>
          <w:rFonts w:hint="eastAsia" w:asciiTheme="minorEastAsia" w:hAnsiTheme="minorEastAsia" w:eastAsiaTheme="minorEastAsia" w:cstheme="minorEastAsia"/>
          <w:color w:val="auto"/>
          <w:sz w:val="20"/>
          <w:szCs w:val="20"/>
          <w:highlight w:val="none"/>
          <w:u w:val="none"/>
          <w:lang w:val="en-US" w:eastAsia="zh-CN"/>
        </w:rPr>
        <w:t>注：</w:t>
      </w:r>
      <w:r>
        <w:rPr>
          <w:rFonts w:hint="eastAsia" w:asciiTheme="minorEastAsia" w:hAnsiTheme="minorEastAsia" w:eastAsiaTheme="minorEastAsia" w:cstheme="minorEastAsia"/>
          <w:b w:val="0"/>
          <w:bCs/>
          <w:color w:val="auto"/>
          <w:sz w:val="20"/>
          <w:szCs w:val="20"/>
          <w:highlight w:val="none"/>
          <w:u w:val="none"/>
          <w:lang w:val="en-US" w:eastAsia="zh-CN"/>
        </w:rPr>
        <w:t>供应商</w:t>
      </w:r>
      <w:r>
        <w:rPr>
          <w:rFonts w:hint="eastAsia" w:asciiTheme="minorEastAsia" w:hAnsiTheme="minorEastAsia" w:eastAsiaTheme="minorEastAsia" w:cstheme="minorEastAsia"/>
          <w:b w:val="0"/>
          <w:bCs/>
          <w:color w:val="auto"/>
          <w:sz w:val="20"/>
          <w:szCs w:val="20"/>
          <w:highlight w:val="none"/>
          <w:u w:val="none"/>
        </w:rPr>
        <w:t>应</w:t>
      </w:r>
      <w:r>
        <w:rPr>
          <w:rFonts w:hint="eastAsia" w:asciiTheme="minorEastAsia" w:hAnsiTheme="minorEastAsia" w:eastAsiaTheme="minorEastAsia" w:cstheme="minorEastAsia"/>
          <w:b w:val="0"/>
          <w:bCs/>
          <w:color w:val="auto"/>
          <w:sz w:val="20"/>
          <w:szCs w:val="20"/>
          <w:highlight w:val="none"/>
          <w:u w:val="none"/>
          <w:lang w:eastAsia="zh-CN"/>
        </w:rPr>
        <w:t>当按国家相关法律法规，合理确定服务人员工资标准、</w:t>
      </w:r>
      <w:r>
        <w:rPr>
          <w:rFonts w:hint="eastAsia" w:asciiTheme="minorEastAsia" w:hAnsiTheme="minorEastAsia" w:eastAsiaTheme="minorEastAsia" w:cstheme="minorEastAsia"/>
          <w:b w:val="0"/>
          <w:bCs/>
          <w:color w:val="auto"/>
          <w:sz w:val="20"/>
          <w:szCs w:val="20"/>
          <w:highlight w:val="none"/>
          <w:u w:val="none"/>
        </w:rPr>
        <w:t>工作时间</w:t>
      </w:r>
      <w:r>
        <w:rPr>
          <w:rFonts w:hint="eastAsia" w:asciiTheme="minorEastAsia" w:hAnsiTheme="minorEastAsia" w:eastAsiaTheme="minorEastAsia" w:cstheme="minorEastAsia"/>
          <w:b w:val="0"/>
          <w:bCs/>
          <w:color w:val="auto"/>
          <w:sz w:val="20"/>
          <w:szCs w:val="20"/>
          <w:highlight w:val="none"/>
          <w:u w:val="none"/>
          <w:lang w:eastAsia="zh-CN"/>
        </w:rPr>
        <w:t>等</w:t>
      </w:r>
      <w:r>
        <w:rPr>
          <w:rFonts w:hint="eastAsia" w:asciiTheme="minorEastAsia" w:hAnsiTheme="minorEastAsia" w:eastAsiaTheme="minorEastAsia" w:cstheme="minorEastAsia"/>
          <w:b w:val="0"/>
          <w:bCs/>
          <w:color w:val="auto"/>
          <w:sz w:val="20"/>
          <w:szCs w:val="20"/>
          <w:highlight w:val="none"/>
          <w:u w:val="none"/>
        </w:rPr>
        <w:t>。</w:t>
      </w:r>
    </w:p>
    <w:p w14:paraId="77E2DCF4">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00" w:firstLineChars="200"/>
        <w:jc w:val="left"/>
        <w:textAlignment w:val="auto"/>
        <w:rPr>
          <w:rFonts w:hint="eastAsia" w:asciiTheme="minorEastAsia" w:hAnsiTheme="minorEastAsia" w:eastAsiaTheme="minorEastAsia" w:cstheme="minorEastAsia"/>
          <w:b w:val="0"/>
          <w:bCs/>
          <w:color w:val="auto"/>
          <w:sz w:val="20"/>
          <w:szCs w:val="20"/>
          <w:highlight w:val="none"/>
          <w:u w:val="none"/>
          <w:lang w:eastAsia="zh-CN"/>
        </w:rPr>
      </w:pPr>
      <w:r>
        <w:rPr>
          <w:rFonts w:hint="eastAsia" w:asciiTheme="minorEastAsia" w:hAnsiTheme="minorEastAsia" w:eastAsiaTheme="minorEastAsia" w:cstheme="minorEastAsia"/>
          <w:b w:val="0"/>
          <w:bCs/>
          <w:color w:val="auto"/>
          <w:sz w:val="20"/>
          <w:szCs w:val="20"/>
          <w:highlight w:val="none"/>
          <w:u w:val="none"/>
          <w:lang w:val="en-US" w:eastAsia="zh-CN"/>
        </w:rPr>
        <w:t>供应商应当自行为服务人员办理必需的保险</w:t>
      </w:r>
      <w:r>
        <w:rPr>
          <w:rFonts w:hint="eastAsia" w:asciiTheme="minorEastAsia" w:hAnsiTheme="minorEastAsia" w:eastAsiaTheme="minorEastAsia" w:cstheme="minorEastAsia"/>
          <w:b w:val="0"/>
          <w:bCs/>
          <w:color w:val="auto"/>
          <w:sz w:val="20"/>
          <w:szCs w:val="20"/>
          <w:highlight w:val="none"/>
          <w:u w:val="none"/>
          <w:lang w:eastAsia="zh-CN"/>
        </w:rPr>
        <w:t>，有关人员伤亡及第三者责任险均</w:t>
      </w:r>
      <w:r>
        <w:rPr>
          <w:rFonts w:hint="eastAsia" w:asciiTheme="minorEastAsia" w:hAnsiTheme="minorEastAsia" w:eastAsiaTheme="minorEastAsia" w:cstheme="minorEastAsia"/>
          <w:b w:val="0"/>
          <w:bCs/>
          <w:color w:val="auto"/>
          <w:sz w:val="20"/>
          <w:szCs w:val="20"/>
          <w:highlight w:val="none"/>
          <w:u w:val="none"/>
          <w:lang w:val="en-US" w:eastAsia="zh-CN"/>
        </w:rPr>
        <w:t>应当</w:t>
      </w:r>
      <w:r>
        <w:rPr>
          <w:rFonts w:hint="eastAsia" w:asciiTheme="minorEastAsia" w:hAnsiTheme="minorEastAsia" w:eastAsiaTheme="minorEastAsia" w:cstheme="minorEastAsia"/>
          <w:b w:val="0"/>
          <w:bCs/>
          <w:color w:val="auto"/>
          <w:sz w:val="20"/>
          <w:szCs w:val="20"/>
          <w:highlight w:val="none"/>
          <w:u w:val="none"/>
          <w:lang w:eastAsia="zh-CN"/>
        </w:rPr>
        <w:t>考虑在报价因素中。</w:t>
      </w:r>
    </w:p>
    <w:p w14:paraId="0B20E17D">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00" w:firstLineChars="200"/>
        <w:jc w:val="left"/>
        <w:textAlignment w:val="auto"/>
        <w:rPr>
          <w:rFonts w:hint="eastAsia" w:asciiTheme="minorEastAsia" w:hAnsiTheme="minorEastAsia" w:eastAsiaTheme="minorEastAsia" w:cstheme="minorEastAsia"/>
          <w:b w:val="0"/>
          <w:bCs/>
          <w:color w:val="auto"/>
          <w:sz w:val="20"/>
          <w:szCs w:val="20"/>
          <w:highlight w:val="none"/>
          <w:u w:val="none"/>
          <w:lang w:val="en-US" w:eastAsia="zh-CN"/>
        </w:rPr>
      </w:pPr>
      <w:r>
        <w:rPr>
          <w:rFonts w:hint="eastAsia" w:asciiTheme="minorEastAsia" w:hAnsiTheme="minorEastAsia" w:eastAsiaTheme="minorEastAsia" w:cstheme="minorEastAsia"/>
          <w:b w:val="0"/>
          <w:bCs/>
          <w:color w:val="auto"/>
          <w:sz w:val="20"/>
          <w:szCs w:val="20"/>
          <w:highlight w:val="none"/>
          <w:u w:val="none"/>
          <w:lang w:val="en-US" w:eastAsia="zh-CN"/>
        </w:rPr>
        <w:t>供应商应严格按照上表需求提供符合条件的服务人员，满足采购人所列的重点要求，确保人员能够完成工作内容。</w:t>
      </w:r>
    </w:p>
    <w:p w14:paraId="5D60073A">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00" w:firstLineChars="200"/>
        <w:jc w:val="left"/>
        <w:textAlignment w:val="auto"/>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color w:val="auto"/>
          <w:sz w:val="20"/>
          <w:szCs w:val="20"/>
          <w:highlight w:val="none"/>
          <w:u w:val="none"/>
          <w:lang w:val="en-US" w:eastAsia="zh-CN"/>
        </w:rPr>
        <w:t>以上所有岗位的设置及费用，需满足采购人工作日、双休日、节假日的全部工作任务，供应商自行合理安排员工休息时间，如产生替班加班情况，均由供应商自行承担相应费用。</w:t>
      </w:r>
    </w:p>
    <w:p w14:paraId="580720FF">
      <w:pPr>
        <w:rPr>
          <w:rFonts w:hint="eastAsia"/>
          <w:color w:val="auto"/>
          <w:highlight w:val="none"/>
          <w:lang w:eastAsia="zh-CN"/>
        </w:rPr>
      </w:pPr>
    </w:p>
    <w:p w14:paraId="08A7C095">
      <w:pPr>
        <w:tabs>
          <w:tab w:val="left" w:pos="2340"/>
        </w:tabs>
        <w:rPr>
          <w:rFonts w:hint="eastAsia" w:ascii="黑体" w:hAnsi="宋体" w:eastAsia="黑体"/>
          <w:b/>
          <w:color w:val="auto"/>
          <w:sz w:val="24"/>
          <w:highlight w:val="none"/>
          <w:lang w:eastAsia="zh-CN"/>
        </w:rPr>
        <w:sectPr>
          <w:pgSz w:w="16840" w:h="11907" w:orient="landscape"/>
          <w:pgMar w:top="1814" w:right="1474" w:bottom="1814" w:left="1474" w:header="1191" w:footer="1332" w:gutter="0"/>
          <w:cols w:space="720" w:num="1"/>
        </w:sectPr>
      </w:pPr>
    </w:p>
    <w:p w14:paraId="1A9707C0">
      <w:pPr>
        <w:pageBreakBefore w:val="0"/>
        <w:widowControl w:val="0"/>
        <w:tabs>
          <w:tab w:val="left" w:pos="2340"/>
        </w:tabs>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）服务最低要求</w:t>
      </w:r>
    </w:p>
    <w:p w14:paraId="2AC90899">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
        </w:rPr>
      </w:pPr>
      <w:bookmarkStart w:id="26" w:name="_Toc10498"/>
      <w:bookmarkStart w:id="27" w:name="_Toc26485"/>
      <w:bookmarkStart w:id="28" w:name="_Toc26156"/>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bookmarkEnd w:id="26"/>
      <w:bookmarkEnd w:id="27"/>
      <w:bookmarkEnd w:id="28"/>
      <w:r>
        <w:rPr>
          <w:rFonts w:hint="eastAsia" w:ascii="宋体" w:hAnsi="宋体" w:eastAsia="宋体" w:cs="宋体"/>
          <w:color w:val="auto"/>
          <w:kern w:val="2"/>
          <w:sz w:val="24"/>
          <w:szCs w:val="24"/>
          <w:highlight w:val="none"/>
          <w:lang w:val="en-US" w:eastAsia="zh-CN" w:bidi="ar"/>
        </w:rPr>
        <w:t>1基本服务</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81"/>
        <w:gridCol w:w="6864"/>
      </w:tblGrid>
      <w:tr w14:paraId="0CF5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noWrap w:val="0"/>
            <w:vAlign w:val="center"/>
          </w:tcPr>
          <w:p w14:paraId="1E61D347">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序号</w:t>
            </w:r>
          </w:p>
        </w:tc>
        <w:tc>
          <w:tcPr>
            <w:tcW w:w="1539" w:type="dxa"/>
            <w:noWrap w:val="0"/>
            <w:vAlign w:val="center"/>
          </w:tcPr>
          <w:p w14:paraId="00871F2D">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服务内容</w:t>
            </w:r>
          </w:p>
        </w:tc>
        <w:tc>
          <w:tcPr>
            <w:tcW w:w="6278" w:type="dxa"/>
            <w:noWrap w:val="0"/>
            <w:vAlign w:val="center"/>
          </w:tcPr>
          <w:p w14:paraId="3647109B">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服务标准</w:t>
            </w:r>
          </w:p>
        </w:tc>
      </w:tr>
      <w:tr w14:paraId="1C42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restart"/>
            <w:noWrap w:val="0"/>
            <w:vAlign w:val="center"/>
          </w:tcPr>
          <w:p w14:paraId="4695804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39" w:type="dxa"/>
            <w:vMerge w:val="restart"/>
            <w:noWrap w:val="0"/>
            <w:vAlign w:val="center"/>
          </w:tcPr>
          <w:p w14:paraId="2E0F26E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服务人员要求</w:t>
            </w:r>
          </w:p>
        </w:tc>
        <w:tc>
          <w:tcPr>
            <w:tcW w:w="6278" w:type="dxa"/>
            <w:noWrap w:val="0"/>
            <w:vAlign w:val="center"/>
          </w:tcPr>
          <w:p w14:paraId="21A52FD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（1）实行统一着装、统一管理。所有服务人员要求着装挂牌上岗，所有工作人员必须着统一成套制服（经采购人确认），服务热心、热情、用语规范、文明工作。</w:t>
            </w:r>
          </w:p>
        </w:tc>
      </w:tr>
      <w:tr w14:paraId="01BB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225F3C3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539" w:type="dxa"/>
            <w:vMerge w:val="continue"/>
            <w:noWrap w:val="0"/>
            <w:vAlign w:val="center"/>
          </w:tcPr>
          <w:p w14:paraId="4B271A76">
            <w:pPr>
              <w:keepNext w:val="0"/>
              <w:keepLines w:val="0"/>
              <w:pageBreakBefore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1C336A7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（2）根据采购人工作要求，科学设置岗位分工，合理编制工作任务表，工作人员不得迟到早退。</w:t>
            </w:r>
          </w:p>
        </w:tc>
      </w:tr>
      <w:tr w14:paraId="6636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2E66EB8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539" w:type="dxa"/>
            <w:vMerge w:val="continue"/>
            <w:noWrap w:val="0"/>
            <w:vAlign w:val="center"/>
          </w:tcPr>
          <w:p w14:paraId="1AA5247C">
            <w:pPr>
              <w:keepNext w:val="0"/>
              <w:keepLines w:val="0"/>
              <w:pageBreakBefore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4BE8A22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（3）如非在岗时间遇特殊情况的，需接到任务后30分钟内集结完毕。</w:t>
            </w:r>
          </w:p>
        </w:tc>
      </w:tr>
      <w:tr w14:paraId="77C5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3E4B3BA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539" w:type="dxa"/>
            <w:vMerge w:val="continue"/>
            <w:noWrap w:val="0"/>
            <w:vAlign w:val="center"/>
          </w:tcPr>
          <w:p w14:paraId="63BA96E9">
            <w:pPr>
              <w:keepNext w:val="0"/>
              <w:keepLines w:val="0"/>
              <w:pageBreakBefore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5BB7E49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Cs/>
                <w:color w:val="auto"/>
                <w:sz w:val="21"/>
                <w:szCs w:val="21"/>
                <w:highlight w:val="none"/>
                <w:lang w:val="en-US" w:eastAsia="zh-CN"/>
              </w:rPr>
              <w:t>如采购人认为服务人员不适应岗位要求或存在其他影响工作的，可要求供应商进行调换。如因供应商原因对服务人员进行调换，应当经采购人同意，更换比例不得超过本项目服务人员总数的20%，更换人员需在3个工作日内更换到位。</w:t>
            </w:r>
            <w:r>
              <w:rPr>
                <w:rFonts w:hint="eastAsia" w:ascii="宋体" w:hAnsi="宋体" w:eastAsia="宋体" w:cs="宋体"/>
                <w:b/>
                <w:bCs w:val="0"/>
                <w:color w:val="auto"/>
                <w:sz w:val="21"/>
                <w:szCs w:val="21"/>
                <w:highlight w:val="none"/>
                <w:lang w:val="en-US" w:eastAsia="zh-CN"/>
              </w:rPr>
              <w:t>本项目服务人员不得在其他项目兼职。</w:t>
            </w:r>
          </w:p>
        </w:tc>
      </w:tr>
      <w:tr w14:paraId="1715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10926DA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539" w:type="dxa"/>
            <w:vMerge w:val="continue"/>
            <w:noWrap w:val="0"/>
            <w:vAlign w:val="center"/>
          </w:tcPr>
          <w:p w14:paraId="764F53C7">
            <w:pPr>
              <w:keepNext w:val="0"/>
              <w:keepLines w:val="0"/>
              <w:pageBreakBefore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7C6B746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（5）服务人员在派驻场所不得从事有损采购人利益的活动。</w:t>
            </w:r>
          </w:p>
        </w:tc>
      </w:tr>
      <w:tr w14:paraId="089A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restart"/>
            <w:noWrap w:val="0"/>
            <w:vAlign w:val="center"/>
          </w:tcPr>
          <w:p w14:paraId="585A882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39" w:type="dxa"/>
            <w:vMerge w:val="restart"/>
            <w:noWrap w:val="0"/>
            <w:vAlign w:val="center"/>
          </w:tcPr>
          <w:p w14:paraId="4196D11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保密和思想政治教育</w:t>
            </w:r>
          </w:p>
        </w:tc>
        <w:tc>
          <w:tcPr>
            <w:tcW w:w="6278" w:type="dxa"/>
            <w:noWrap w:val="0"/>
            <w:vAlign w:val="center"/>
          </w:tcPr>
          <w:p w14:paraId="47A4E9D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（1）建立保密管理制度。制度内容应当包括但不限于：①明确重点要害岗位保密职责。②对涉密工作岗位的保密要求。</w:t>
            </w:r>
          </w:p>
        </w:tc>
      </w:tr>
      <w:tr w14:paraId="55EA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4FE362B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539" w:type="dxa"/>
            <w:vMerge w:val="continue"/>
            <w:noWrap w:val="0"/>
            <w:vAlign w:val="center"/>
          </w:tcPr>
          <w:p w14:paraId="7FC9DFA8">
            <w:pPr>
              <w:keepNext w:val="0"/>
              <w:keepLines w:val="0"/>
              <w:pageBreakBefore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13C951A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（2）根据采购人要求与涉密工作岗位的服务人员签订保密协议。保密协议应当向采购人报备。</w:t>
            </w:r>
          </w:p>
        </w:tc>
      </w:tr>
      <w:tr w14:paraId="446A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12F5C34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539" w:type="dxa"/>
            <w:vMerge w:val="continue"/>
            <w:noWrap w:val="0"/>
            <w:vAlign w:val="center"/>
          </w:tcPr>
          <w:p w14:paraId="00D21F15">
            <w:pPr>
              <w:keepNext w:val="0"/>
              <w:keepLines w:val="0"/>
              <w:pageBreakBefore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1D23F07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每季度至少开展1次对服务人员进行保密、思想政治教育的培训，提高服务人员保密意识和思想政治意识。新入职员工应当接受保密、思想政治教育培训，进行必要的人员经历审查，合格后签订保密协议方可上岗。</w:t>
            </w:r>
          </w:p>
        </w:tc>
      </w:tr>
      <w:tr w14:paraId="57E3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03A5897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539" w:type="dxa"/>
            <w:vMerge w:val="continue"/>
            <w:noWrap w:val="0"/>
            <w:vAlign w:val="center"/>
          </w:tcPr>
          <w:p w14:paraId="487E73A6">
            <w:pPr>
              <w:keepNext w:val="0"/>
              <w:keepLines w:val="0"/>
              <w:pageBreakBefore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5E88709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（4）发现服务人员违法违规或重大过失，及时报告采购人，并采取必要补救措施。</w:t>
            </w:r>
          </w:p>
        </w:tc>
      </w:tr>
      <w:tr w14:paraId="112F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restart"/>
            <w:noWrap w:val="0"/>
            <w:vAlign w:val="center"/>
          </w:tcPr>
          <w:p w14:paraId="65D688A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39" w:type="dxa"/>
            <w:vMerge w:val="restart"/>
            <w:noWrap w:val="0"/>
            <w:vAlign w:val="center"/>
          </w:tcPr>
          <w:p w14:paraId="0A2781D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档案管理</w:t>
            </w:r>
          </w:p>
        </w:tc>
        <w:tc>
          <w:tcPr>
            <w:tcW w:w="6278" w:type="dxa"/>
            <w:noWrap w:val="0"/>
            <w:vAlign w:val="center"/>
          </w:tcPr>
          <w:p w14:paraId="6DEC10B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（1）建立物业信息，准确、及时地对文件资料和服务记录进行归档保存，并确保其物理安全。</w:t>
            </w:r>
          </w:p>
        </w:tc>
      </w:tr>
      <w:tr w14:paraId="3E5B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65E559B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1539" w:type="dxa"/>
            <w:vMerge w:val="continue"/>
            <w:noWrap w:val="0"/>
            <w:vAlign w:val="center"/>
          </w:tcPr>
          <w:p w14:paraId="44C8E7B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1C8085F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档案和记录齐全，包括但不限于：①采购人建议与投诉等。教育培训和考核记录。保密、思想政治教育培训记录。②房屋维护服务：房屋台账、使用说明、房屋装修、维保记录等。③公用设施设备维护服务：设备台账、设备卡、使用说明、维保记录、巡查记录、</w:t>
            </w:r>
            <w:r>
              <w:rPr>
                <w:rFonts w:hint="eastAsia" w:ascii="宋体" w:hAnsi="宋体" w:eastAsia="宋体" w:cs="宋体"/>
                <w:color w:val="auto"/>
                <w:kern w:val="0"/>
                <w:sz w:val="21"/>
                <w:szCs w:val="21"/>
                <w:highlight w:val="none"/>
              </w:rPr>
              <w:t>设施设备安全运行、设施设备定期巡检、维护保养、维修档案</w:t>
            </w:r>
            <w:r>
              <w:rPr>
                <w:rFonts w:hint="eastAsia" w:ascii="宋体" w:hAnsi="宋体" w:eastAsia="宋体" w:cs="宋体"/>
                <w:b w:val="0"/>
                <w:bCs w:val="0"/>
                <w:color w:val="auto"/>
                <w:kern w:val="0"/>
                <w:sz w:val="21"/>
                <w:szCs w:val="21"/>
                <w:highlight w:val="none"/>
                <w:lang w:val="en-US" w:eastAsia="zh-CN"/>
              </w:rPr>
              <w:t>等。④保安服务：监控记录、突发事件演习与处置记录等。⑤保洁服务：工作日志、清洁检查表、用品清单、客户反馈表等。⑥绿化服务：绿化总平面图、清洁整改记录、消杀记录等。⑦其他：客户信息、财务明细、合同协议、信报信息登记、大件物品进出登记等。</w:t>
            </w:r>
          </w:p>
        </w:tc>
      </w:tr>
      <w:tr w14:paraId="3221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3F6BCA6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宋体" w:hAnsi="宋体" w:eastAsia="宋体" w:cs="宋体"/>
                <w:color w:val="auto"/>
                <w:sz w:val="21"/>
                <w:szCs w:val="21"/>
                <w:highlight w:val="none"/>
                <w:lang w:val="en-US" w:eastAsia="zh-CN"/>
              </w:rPr>
            </w:pPr>
          </w:p>
        </w:tc>
        <w:tc>
          <w:tcPr>
            <w:tcW w:w="1539" w:type="dxa"/>
            <w:vMerge w:val="continue"/>
            <w:noWrap w:val="0"/>
            <w:vAlign w:val="center"/>
          </w:tcPr>
          <w:p w14:paraId="5FB77A6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3F77266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（3）遵守采购人的信息、档案资料保密要求，未经许可，不得将建筑物平面图等资料转作其他用途或向其他单位、个人提供。</w:t>
            </w:r>
          </w:p>
        </w:tc>
      </w:tr>
      <w:tr w14:paraId="3631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3452873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宋体" w:hAnsi="宋体" w:eastAsia="宋体" w:cs="宋体"/>
                <w:color w:val="auto"/>
                <w:sz w:val="21"/>
                <w:szCs w:val="21"/>
                <w:highlight w:val="none"/>
                <w:lang w:val="en-US" w:eastAsia="zh-CN"/>
              </w:rPr>
            </w:pPr>
          </w:p>
        </w:tc>
        <w:tc>
          <w:tcPr>
            <w:tcW w:w="1539" w:type="dxa"/>
            <w:vMerge w:val="continue"/>
            <w:noWrap w:val="0"/>
            <w:vAlign w:val="center"/>
          </w:tcPr>
          <w:p w14:paraId="11AC470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2BD32DE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（4）履约结束后，相关资料交还采购人，采购人按政府采购相关规定存档。</w:t>
            </w:r>
          </w:p>
        </w:tc>
      </w:tr>
      <w:tr w14:paraId="4720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restart"/>
            <w:noWrap w:val="0"/>
            <w:vAlign w:val="center"/>
          </w:tcPr>
          <w:p w14:paraId="6304CEF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39" w:type="dxa"/>
            <w:vMerge w:val="restart"/>
            <w:noWrap w:val="0"/>
            <w:vAlign w:val="center"/>
          </w:tcPr>
          <w:p w14:paraId="41768BE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分包供应商或联合体成员管理</w:t>
            </w:r>
          </w:p>
          <w:p w14:paraId="6A751DF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涉及分包</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以联合体投标的供应商需提供</w:t>
            </w:r>
          </w:p>
        </w:tc>
        <w:tc>
          <w:tcPr>
            <w:tcW w:w="6278" w:type="dxa"/>
            <w:noWrap w:val="0"/>
            <w:vAlign w:val="center"/>
          </w:tcPr>
          <w:p w14:paraId="3B4CBAE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（1）合理控制外包服务人员数量和流动率（合理开展联合体成员的履约管理）。</w:t>
            </w:r>
          </w:p>
        </w:tc>
      </w:tr>
      <w:tr w14:paraId="1EF0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0082A30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宋体" w:hAnsi="宋体" w:eastAsia="宋体" w:cs="宋体"/>
                <w:color w:val="auto"/>
                <w:sz w:val="21"/>
                <w:szCs w:val="21"/>
                <w:highlight w:val="none"/>
                <w:lang w:val="en-US" w:eastAsia="zh-CN"/>
              </w:rPr>
            </w:pPr>
          </w:p>
        </w:tc>
        <w:tc>
          <w:tcPr>
            <w:tcW w:w="1539" w:type="dxa"/>
            <w:vMerge w:val="continue"/>
            <w:noWrap w:val="0"/>
            <w:vAlign w:val="center"/>
          </w:tcPr>
          <w:p w14:paraId="6151E32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50DD3EC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（2）根据采购人要求明确对分包供应商的要求，确定工作流程。（联合体牵头单位应明确对联合体成员的要求，确定每个联合体成员的工作流程）</w:t>
            </w:r>
          </w:p>
        </w:tc>
      </w:tr>
      <w:tr w14:paraId="6EE0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4EDE632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宋体" w:hAnsi="宋体" w:eastAsia="宋体" w:cs="宋体"/>
                <w:color w:val="auto"/>
                <w:sz w:val="21"/>
                <w:szCs w:val="21"/>
                <w:highlight w:val="none"/>
                <w:lang w:val="en-US" w:eastAsia="zh-CN"/>
              </w:rPr>
            </w:pPr>
          </w:p>
        </w:tc>
        <w:tc>
          <w:tcPr>
            <w:tcW w:w="1539" w:type="dxa"/>
            <w:vMerge w:val="continue"/>
            <w:noWrap w:val="0"/>
            <w:vAlign w:val="center"/>
          </w:tcPr>
          <w:p w14:paraId="134EF2A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0B91CC3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（3）开展服务检查和监管，评估服务效果，必要时进行服务流程调整。（联合体牵头单位应明确对联合体成员的服务监督工作流程）</w:t>
            </w:r>
          </w:p>
        </w:tc>
      </w:tr>
      <w:tr w14:paraId="609F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restart"/>
            <w:noWrap w:val="0"/>
            <w:vAlign w:val="center"/>
          </w:tcPr>
          <w:p w14:paraId="312C5F1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39" w:type="dxa"/>
            <w:vMerge w:val="restart"/>
            <w:noWrap w:val="0"/>
            <w:vAlign w:val="center"/>
          </w:tcPr>
          <w:p w14:paraId="4CE6B78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服务方案及工作制度</w:t>
            </w:r>
          </w:p>
        </w:tc>
        <w:tc>
          <w:tcPr>
            <w:tcW w:w="6278" w:type="dxa"/>
            <w:noWrap w:val="0"/>
            <w:vAlign w:val="center"/>
          </w:tcPr>
          <w:p w14:paraId="6DBBE60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（1）制定工作制度，</w:t>
            </w:r>
            <w:r>
              <w:rPr>
                <w:rFonts w:hint="eastAsia" w:ascii="宋体" w:hAnsi="宋体" w:eastAsia="宋体" w:cs="宋体"/>
                <w:bCs/>
                <w:color w:val="auto"/>
                <w:sz w:val="21"/>
                <w:szCs w:val="21"/>
                <w:highlight w:val="none"/>
                <w:lang w:eastAsia="zh-CN"/>
              </w:rPr>
              <w:t>主要</w:t>
            </w:r>
            <w:r>
              <w:rPr>
                <w:rFonts w:hint="eastAsia" w:ascii="宋体" w:hAnsi="宋体" w:eastAsia="宋体" w:cs="宋体"/>
                <w:bCs/>
                <w:color w:val="auto"/>
                <w:sz w:val="21"/>
                <w:szCs w:val="21"/>
                <w:highlight w:val="none"/>
              </w:rPr>
              <w:t>包括：</w:t>
            </w:r>
            <w:r>
              <w:rPr>
                <w:rFonts w:hint="eastAsia" w:ascii="宋体" w:hAnsi="宋体" w:eastAsia="宋体" w:cs="宋体"/>
                <w:bCs/>
                <w:color w:val="auto"/>
                <w:sz w:val="21"/>
                <w:szCs w:val="21"/>
                <w:highlight w:val="none"/>
                <w:lang w:val="en-US" w:eastAsia="zh-CN"/>
              </w:rPr>
              <w:t>人员录用制度、</w:t>
            </w:r>
            <w:r>
              <w:rPr>
                <w:rFonts w:hint="eastAsia" w:ascii="宋体" w:hAnsi="宋体" w:eastAsia="宋体" w:cs="宋体"/>
                <w:b w:val="0"/>
                <w:bCs w:val="0"/>
                <w:color w:val="auto"/>
                <w:kern w:val="0"/>
                <w:sz w:val="21"/>
                <w:szCs w:val="21"/>
                <w:highlight w:val="none"/>
                <w:lang w:val="en-US" w:eastAsia="zh-CN"/>
              </w:rPr>
              <w:t>档案管理制度、</w:t>
            </w:r>
            <w:r>
              <w:rPr>
                <w:rFonts w:hint="eastAsia" w:ascii="宋体" w:hAnsi="宋体" w:eastAsia="宋体" w:cs="宋体"/>
                <w:bCs/>
                <w:color w:val="auto"/>
                <w:sz w:val="21"/>
                <w:szCs w:val="21"/>
                <w:highlight w:val="none"/>
              </w:rPr>
              <w:t>物业服务管理制度</w:t>
            </w:r>
            <w:r>
              <w:rPr>
                <w:rFonts w:hint="eastAsia" w:ascii="宋体" w:hAnsi="宋体" w:eastAsia="宋体" w:cs="宋体"/>
                <w:bCs/>
                <w:color w:val="auto"/>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公用设施设备相关管理制度等</w:t>
            </w:r>
            <w:r>
              <w:rPr>
                <w:rFonts w:hint="eastAsia" w:ascii="宋体" w:hAnsi="宋体" w:eastAsia="宋体" w:cs="宋体"/>
                <w:bCs/>
                <w:color w:val="auto"/>
                <w:sz w:val="21"/>
                <w:szCs w:val="21"/>
                <w:highlight w:val="none"/>
                <w:lang w:eastAsia="zh-CN"/>
              </w:rPr>
              <w:t>。</w:t>
            </w:r>
          </w:p>
        </w:tc>
      </w:tr>
      <w:tr w14:paraId="1C90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7F68337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1539" w:type="dxa"/>
            <w:vMerge w:val="continue"/>
            <w:noWrap w:val="0"/>
            <w:vAlign w:val="center"/>
          </w:tcPr>
          <w:p w14:paraId="0F0FDD7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750C0B0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（2）制定</w:t>
            </w:r>
            <w:r>
              <w:rPr>
                <w:rFonts w:hint="eastAsia" w:ascii="宋体" w:hAnsi="宋体" w:eastAsia="宋体" w:cs="宋体"/>
                <w:bCs/>
                <w:color w:val="auto"/>
                <w:sz w:val="21"/>
                <w:szCs w:val="21"/>
                <w:highlight w:val="none"/>
              </w:rPr>
              <w:t>项目实施方案</w:t>
            </w:r>
            <w:r>
              <w:rPr>
                <w:rFonts w:hint="eastAsia" w:ascii="宋体" w:hAnsi="宋体" w:eastAsia="宋体" w:cs="宋体"/>
                <w:bCs/>
                <w:color w:val="auto"/>
                <w:sz w:val="21"/>
                <w:szCs w:val="21"/>
                <w:highlight w:val="none"/>
                <w:lang w:eastAsia="zh-CN"/>
              </w:rPr>
              <w:t>，主要</w:t>
            </w:r>
            <w:r>
              <w:rPr>
                <w:rFonts w:hint="eastAsia" w:ascii="宋体" w:hAnsi="宋体" w:eastAsia="宋体" w:cs="宋体"/>
                <w:bCs/>
                <w:color w:val="auto"/>
                <w:sz w:val="21"/>
                <w:szCs w:val="21"/>
                <w:highlight w:val="none"/>
              </w:rPr>
              <w:t>包括：</w:t>
            </w:r>
            <w:r>
              <w:rPr>
                <w:rFonts w:hint="eastAsia" w:ascii="宋体" w:hAnsi="宋体" w:eastAsia="宋体" w:cs="宋体"/>
                <w:bCs/>
                <w:color w:val="auto"/>
                <w:sz w:val="21"/>
                <w:szCs w:val="21"/>
                <w:highlight w:val="none"/>
                <w:lang w:val="en-US" w:eastAsia="zh-CN"/>
              </w:rPr>
              <w:t>交接</w:t>
            </w:r>
            <w:r>
              <w:rPr>
                <w:rFonts w:hint="eastAsia" w:ascii="宋体" w:hAnsi="宋体" w:eastAsia="宋体" w:cs="宋体"/>
                <w:bCs/>
                <w:color w:val="auto"/>
                <w:sz w:val="21"/>
                <w:szCs w:val="21"/>
                <w:highlight w:val="none"/>
              </w:rPr>
              <w:t>方案、人员培训方案、人员稳定性方案、保密方案</w:t>
            </w:r>
            <w:r>
              <w:rPr>
                <w:rFonts w:hint="eastAsia" w:ascii="宋体" w:hAnsi="宋体" w:eastAsia="宋体" w:cs="宋体"/>
                <w:bCs/>
                <w:color w:val="auto"/>
                <w:sz w:val="21"/>
                <w:szCs w:val="21"/>
                <w:highlight w:val="none"/>
                <w:lang w:eastAsia="zh-CN"/>
              </w:rPr>
              <w:t>等</w:t>
            </w:r>
            <w:r>
              <w:rPr>
                <w:rFonts w:hint="eastAsia" w:ascii="宋体" w:hAnsi="宋体" w:eastAsia="宋体" w:cs="宋体"/>
                <w:bCs/>
                <w:color w:val="auto"/>
                <w:sz w:val="21"/>
                <w:szCs w:val="21"/>
                <w:highlight w:val="none"/>
              </w:rPr>
              <w:t>。</w:t>
            </w:r>
          </w:p>
        </w:tc>
      </w:tr>
      <w:tr w14:paraId="4E32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8" w:type="dxa"/>
            <w:vMerge w:val="continue"/>
            <w:noWrap w:val="0"/>
            <w:vAlign w:val="center"/>
          </w:tcPr>
          <w:p w14:paraId="4DA12B4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1539" w:type="dxa"/>
            <w:vMerge w:val="continue"/>
            <w:noWrap w:val="0"/>
            <w:vAlign w:val="center"/>
          </w:tcPr>
          <w:p w14:paraId="57C84DD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4E26740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（3）制定</w:t>
            </w:r>
            <w:r>
              <w:rPr>
                <w:rFonts w:hint="eastAsia" w:ascii="宋体" w:hAnsi="宋体" w:eastAsia="宋体" w:cs="宋体"/>
                <w:bCs/>
                <w:color w:val="auto"/>
                <w:sz w:val="21"/>
                <w:szCs w:val="21"/>
                <w:highlight w:val="none"/>
              </w:rPr>
              <w:t>物业服务方案</w:t>
            </w:r>
            <w:r>
              <w:rPr>
                <w:rFonts w:hint="eastAsia" w:ascii="宋体" w:hAnsi="宋体" w:eastAsia="宋体" w:cs="宋体"/>
                <w:bCs/>
                <w:color w:val="auto"/>
                <w:sz w:val="21"/>
                <w:szCs w:val="21"/>
                <w:highlight w:val="none"/>
                <w:lang w:eastAsia="zh-CN"/>
              </w:rPr>
              <w:t>，主要</w:t>
            </w:r>
            <w:r>
              <w:rPr>
                <w:rFonts w:hint="eastAsia" w:ascii="宋体" w:hAnsi="宋体" w:eastAsia="宋体" w:cs="宋体"/>
                <w:bCs/>
                <w:color w:val="auto"/>
                <w:sz w:val="21"/>
                <w:szCs w:val="21"/>
                <w:highlight w:val="none"/>
              </w:rPr>
              <w:t>包括：</w:t>
            </w:r>
            <w:r>
              <w:rPr>
                <w:rFonts w:hint="eastAsia" w:ascii="宋体" w:hAnsi="宋体" w:eastAsia="宋体" w:cs="宋体"/>
                <w:bCs/>
                <w:color w:val="auto"/>
                <w:sz w:val="21"/>
                <w:szCs w:val="21"/>
                <w:highlight w:val="none"/>
                <w:lang w:val="en-US" w:eastAsia="zh-CN"/>
              </w:rPr>
              <w:t>房屋维护服务方案、公用设施设备维护服务方案、</w:t>
            </w:r>
            <w:r>
              <w:rPr>
                <w:rFonts w:hint="eastAsia" w:ascii="宋体" w:hAnsi="宋体" w:eastAsia="宋体" w:cs="宋体"/>
                <w:bCs/>
                <w:color w:val="auto"/>
                <w:sz w:val="21"/>
                <w:szCs w:val="21"/>
                <w:highlight w:val="none"/>
              </w:rPr>
              <w:t>绿化</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保洁服务方案、</w:t>
            </w:r>
            <w:r>
              <w:rPr>
                <w:rFonts w:hint="eastAsia" w:ascii="宋体" w:hAnsi="宋体" w:eastAsia="宋体" w:cs="宋体"/>
                <w:bCs/>
                <w:color w:val="auto"/>
                <w:sz w:val="21"/>
                <w:szCs w:val="21"/>
                <w:highlight w:val="none"/>
                <w:lang w:val="en-US" w:eastAsia="zh-CN"/>
              </w:rPr>
              <w:t>保安</w:t>
            </w:r>
            <w:r>
              <w:rPr>
                <w:rFonts w:hint="eastAsia" w:ascii="宋体" w:hAnsi="宋体" w:eastAsia="宋体" w:cs="宋体"/>
                <w:bCs/>
                <w:color w:val="auto"/>
                <w:sz w:val="21"/>
                <w:szCs w:val="21"/>
                <w:highlight w:val="none"/>
              </w:rPr>
              <w:t>服务方案、会议服务方案</w:t>
            </w:r>
            <w:r>
              <w:rPr>
                <w:rFonts w:hint="eastAsia" w:ascii="宋体" w:hAnsi="宋体" w:eastAsia="宋体" w:cs="宋体"/>
                <w:bCs/>
                <w:color w:val="auto"/>
                <w:sz w:val="21"/>
                <w:szCs w:val="21"/>
                <w:highlight w:val="none"/>
                <w:lang w:val="en-US" w:eastAsia="zh-CN"/>
              </w:rPr>
              <w:t>等</w:t>
            </w:r>
            <w:r>
              <w:rPr>
                <w:rFonts w:hint="eastAsia" w:ascii="宋体" w:hAnsi="宋体" w:eastAsia="宋体" w:cs="宋体"/>
                <w:bCs/>
                <w:color w:val="auto"/>
                <w:sz w:val="21"/>
                <w:szCs w:val="21"/>
                <w:highlight w:val="none"/>
              </w:rPr>
              <w:t>。</w:t>
            </w:r>
          </w:p>
        </w:tc>
      </w:tr>
    </w:tbl>
    <w:p w14:paraId="6F530BC6">
      <w:pPr>
        <w:pStyle w:val="4"/>
        <w:keepNext/>
        <w:keepLines/>
        <w:pageBreakBefore w:val="0"/>
        <w:widowControl w:val="0"/>
        <w:kinsoku/>
        <w:wordWrap/>
        <w:overflowPunct/>
        <w:topLinePunct w:val="0"/>
        <w:autoSpaceDE/>
        <w:autoSpaceDN/>
        <w:bidi w:val="0"/>
        <w:adjustRightInd w:val="0"/>
        <w:snapToGrid w:val="0"/>
        <w:spacing w:before="0" w:after="0" w:line="360" w:lineRule="auto"/>
        <w:ind w:left="0" w:firstLine="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.2保安服务</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163"/>
        <w:gridCol w:w="7378"/>
      </w:tblGrid>
      <w:tr w14:paraId="1225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noWrap w:val="0"/>
            <w:vAlign w:val="center"/>
          </w:tcPr>
          <w:p w14:paraId="43C2869E">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626" w:type="pct"/>
            <w:noWrap w:val="0"/>
            <w:vAlign w:val="center"/>
          </w:tcPr>
          <w:p w14:paraId="1220147C">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3971" w:type="pct"/>
            <w:noWrap w:val="0"/>
            <w:vAlign w:val="center"/>
          </w:tcPr>
          <w:p w14:paraId="355C3932">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0814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restart"/>
            <w:noWrap w:val="0"/>
            <w:vAlign w:val="center"/>
          </w:tcPr>
          <w:p w14:paraId="63D3B07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1</w:t>
            </w:r>
          </w:p>
        </w:tc>
        <w:tc>
          <w:tcPr>
            <w:tcW w:w="626" w:type="pct"/>
            <w:vMerge w:val="restart"/>
            <w:noWrap w:val="0"/>
            <w:vAlign w:val="center"/>
          </w:tcPr>
          <w:p w14:paraId="4A8990C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r>
              <w:rPr>
                <w:rFonts w:hint="default"/>
                <w:color w:val="auto"/>
                <w:highlight w:val="none"/>
              </w:rPr>
              <w:t>基本要求</w:t>
            </w:r>
          </w:p>
        </w:tc>
        <w:tc>
          <w:tcPr>
            <w:tcW w:w="3971" w:type="pct"/>
            <w:noWrap w:val="0"/>
            <w:vAlign w:val="center"/>
          </w:tcPr>
          <w:p w14:paraId="720BCA9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（1）建立保安服务相关制度，并按照执行。</w:t>
            </w:r>
          </w:p>
        </w:tc>
      </w:tr>
      <w:tr w14:paraId="343C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0C4C394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26" w:type="pct"/>
            <w:vMerge w:val="continue"/>
            <w:noWrap w:val="0"/>
            <w:vAlign w:val="center"/>
          </w:tcPr>
          <w:p w14:paraId="49A8306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p>
        </w:tc>
        <w:tc>
          <w:tcPr>
            <w:tcW w:w="3971" w:type="pct"/>
            <w:noWrap w:val="0"/>
            <w:vAlign w:val="center"/>
          </w:tcPr>
          <w:p w14:paraId="369BFC2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（2）对巡查、值守及异常情况等做好相关记录，填写规范，保存完好。</w:t>
            </w:r>
          </w:p>
        </w:tc>
      </w:tr>
      <w:tr w14:paraId="0C7E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4CE42FC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noWrap w:val="0"/>
            <w:vAlign w:val="center"/>
          </w:tcPr>
          <w:p w14:paraId="6B7B8D6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p>
        </w:tc>
        <w:tc>
          <w:tcPr>
            <w:tcW w:w="3971" w:type="pct"/>
            <w:noWrap w:val="0"/>
            <w:vAlign w:val="center"/>
          </w:tcPr>
          <w:p w14:paraId="05E8C10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（3）配备保安服务必要的器材。</w:t>
            </w:r>
          </w:p>
        </w:tc>
      </w:tr>
      <w:tr w14:paraId="2F95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restart"/>
            <w:noWrap w:val="0"/>
            <w:vAlign w:val="center"/>
          </w:tcPr>
          <w:p w14:paraId="3598C50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color w:val="auto"/>
                <w:highlight w:val="none"/>
                <w:lang w:val="en-US" w:eastAsia="zh-CN"/>
              </w:rPr>
            </w:pPr>
            <w:r>
              <w:rPr>
                <w:rFonts w:hint="eastAsia" w:eastAsia="宋体"/>
                <w:color w:val="auto"/>
                <w:highlight w:val="none"/>
                <w:lang w:val="en-US" w:eastAsia="zh-CN"/>
              </w:rPr>
              <w:t>2</w:t>
            </w:r>
          </w:p>
        </w:tc>
        <w:tc>
          <w:tcPr>
            <w:tcW w:w="626" w:type="pct"/>
            <w:vMerge w:val="restart"/>
            <w:shd w:val="clear" w:color="auto" w:fill="auto"/>
            <w:noWrap w:val="0"/>
            <w:vAlign w:val="center"/>
          </w:tcPr>
          <w:p w14:paraId="20602AE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门岗</w:t>
            </w:r>
            <w:r>
              <w:rPr>
                <w:rFonts w:hint="eastAsia" w:ascii="Times New Roman" w:hAnsi="Times New Roman" w:eastAsia="宋体" w:cs="Times New Roman"/>
                <w:color w:val="auto"/>
                <w:highlight w:val="none"/>
                <w:lang w:val="en-US" w:eastAsia="zh-CN"/>
              </w:rPr>
              <w:t>-</w:t>
            </w:r>
            <w:r>
              <w:rPr>
                <w:rFonts w:hint="default"/>
                <w:color w:val="auto"/>
                <w:highlight w:val="none"/>
              </w:rPr>
              <w:t>出入管理</w:t>
            </w:r>
          </w:p>
        </w:tc>
        <w:tc>
          <w:tcPr>
            <w:tcW w:w="3971" w:type="pct"/>
            <w:shd w:val="clear" w:color="auto" w:fill="auto"/>
            <w:noWrap w:val="0"/>
            <w:vAlign w:val="center"/>
          </w:tcPr>
          <w:p w14:paraId="44071B6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（1）办公楼（区）主出入口应当实行24小时值班制。</w:t>
            </w:r>
          </w:p>
        </w:tc>
      </w:tr>
      <w:tr w14:paraId="2506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6B98C84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5E98F5B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1" w:type="pct"/>
            <w:shd w:val="clear" w:color="auto" w:fill="auto"/>
            <w:noWrap w:val="0"/>
            <w:vAlign w:val="center"/>
          </w:tcPr>
          <w:p w14:paraId="6389659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（2）设置门岗。主要出入口设置门卫值班室。门卫值班室应当配备基本防卫器械</w:t>
            </w:r>
            <w:r>
              <w:rPr>
                <w:rFonts w:hint="eastAsia" w:cs="Calibri"/>
                <w:b w:val="0"/>
                <w:bCs w:val="0"/>
                <w:color w:val="auto"/>
                <w:kern w:val="0"/>
                <w:szCs w:val="21"/>
                <w:highlight w:val="none"/>
                <w:lang w:val="en-US" w:eastAsia="zh-CN"/>
              </w:rPr>
              <w:t>，</w:t>
            </w:r>
            <w:r>
              <w:rPr>
                <w:rFonts w:hint="eastAsia" w:ascii="Times New Roman" w:hAnsi="Times New Roman" w:eastAsia="宋体" w:cs="Calibri"/>
                <w:b w:val="0"/>
                <w:bCs w:val="0"/>
                <w:color w:val="auto"/>
                <w:kern w:val="0"/>
                <w:szCs w:val="21"/>
                <w:highlight w:val="none"/>
                <w:lang w:val="en-US" w:eastAsia="zh-CN"/>
              </w:rPr>
              <w:t>防卫器械应摆放整齐、便于取放。已设立警务室的，其门卫（值班室）的防卫器械可根据工作任务需要配备。</w:t>
            </w:r>
          </w:p>
        </w:tc>
      </w:tr>
      <w:tr w14:paraId="1657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4EE9C4D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1B7FB84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1" w:type="pct"/>
            <w:shd w:val="clear" w:color="auto" w:fill="auto"/>
            <w:noWrap w:val="0"/>
            <w:vAlign w:val="center"/>
          </w:tcPr>
          <w:p w14:paraId="05D10B0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（3）在出入口对外来人员及其携带大件物品、外来车辆进行询问和记录，并与相关部门取得联系，同意后方可进入。</w:t>
            </w:r>
          </w:p>
        </w:tc>
      </w:tr>
      <w:tr w14:paraId="6C43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2FBF596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434B09A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1" w:type="pct"/>
            <w:shd w:val="clear" w:color="auto" w:fill="auto"/>
            <w:noWrap w:val="0"/>
            <w:vAlign w:val="center"/>
          </w:tcPr>
          <w:p w14:paraId="09C1847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（4）大件物品搬出有相关部门开具的证明和清单，经核实后放行。</w:t>
            </w:r>
          </w:p>
        </w:tc>
      </w:tr>
      <w:tr w14:paraId="4628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1" w:type="pct"/>
            <w:vMerge w:val="continue"/>
            <w:noWrap w:val="0"/>
            <w:vAlign w:val="center"/>
          </w:tcPr>
          <w:p w14:paraId="42B0198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6BFE857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1" w:type="pct"/>
            <w:shd w:val="clear" w:color="auto" w:fill="auto"/>
            <w:noWrap w:val="0"/>
            <w:vAlign w:val="center"/>
          </w:tcPr>
          <w:p w14:paraId="23CF376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（5）排查可疑人员，对于不出示证件、不按规定登记、不听劝阻而强行闯入者，及时劝离，必要时通知公安机关进行处理。</w:t>
            </w:r>
          </w:p>
        </w:tc>
      </w:tr>
      <w:tr w14:paraId="3D2B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12DB4DE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0D0BB88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1" w:type="pct"/>
            <w:shd w:val="clear" w:color="auto" w:fill="auto"/>
            <w:noWrap w:val="0"/>
            <w:vAlign w:val="center"/>
          </w:tcPr>
          <w:p w14:paraId="399411B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（6）配合相关部门积极疏导上访人员，有效疏导如出入口人群集聚、车辆拥堵、货物堵塞道路等情况。</w:t>
            </w:r>
          </w:p>
        </w:tc>
      </w:tr>
      <w:tr w14:paraId="0929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0C194ED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28D1453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1" w:type="pct"/>
            <w:shd w:val="clear" w:color="auto" w:fill="auto"/>
            <w:noWrap w:val="0"/>
            <w:vAlign w:val="center"/>
          </w:tcPr>
          <w:p w14:paraId="0E28B4B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7）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14:paraId="1537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4A0254F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7F281E9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1" w:type="pct"/>
            <w:shd w:val="clear" w:color="auto" w:fill="auto"/>
            <w:noWrap w:val="0"/>
            <w:vAlign w:val="center"/>
          </w:tcPr>
          <w:p w14:paraId="4ACEB89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（8）</w:t>
            </w:r>
            <w:r>
              <w:rPr>
                <w:rFonts w:hint="default" w:ascii="Times New Roman" w:hAnsi="Times New Roman" w:eastAsia="宋体" w:cs="Calibri"/>
                <w:b w:val="0"/>
                <w:bCs w:val="0"/>
                <w:color w:val="auto"/>
                <w:kern w:val="0"/>
                <w:szCs w:val="21"/>
                <w:highlight w:val="none"/>
                <w:lang w:val="en-US" w:eastAsia="zh-CN"/>
              </w:rPr>
              <w:t>提供现场接待服务。</w:t>
            </w:r>
          </w:p>
          <w:p w14:paraId="3BFD7C8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default" w:ascii="Times New Roman" w:hAnsi="Times New Roman" w:eastAsia="宋体" w:cs="Calibri"/>
                <w:b w:val="0"/>
                <w:bCs w:val="0"/>
                <w:color w:val="auto"/>
                <w:kern w:val="0"/>
                <w:szCs w:val="21"/>
                <w:highlight w:val="none"/>
                <w:lang w:val="en-US" w:eastAsia="zh-CN"/>
              </w:rPr>
              <w:t>①做好来访人员、车辆进出证件登记，及时通报</w:t>
            </w:r>
            <w:r>
              <w:rPr>
                <w:rFonts w:hint="eastAsia" w:ascii="Times New Roman" w:hAnsi="Times New Roman" w:eastAsia="宋体" w:cs="Calibri"/>
                <w:b w:val="0"/>
                <w:bCs w:val="0"/>
                <w:color w:val="auto"/>
                <w:kern w:val="0"/>
                <w:szCs w:val="21"/>
                <w:highlight w:val="none"/>
                <w:lang w:val="en-US" w:eastAsia="zh-CN"/>
              </w:rPr>
              <w:t>。</w:t>
            </w:r>
          </w:p>
          <w:p w14:paraId="026BA7D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default" w:ascii="Times New Roman" w:hAnsi="Times New Roman" w:eastAsia="宋体" w:cs="Calibri"/>
                <w:b w:val="0"/>
                <w:bCs w:val="0"/>
                <w:color w:val="auto"/>
                <w:kern w:val="0"/>
                <w:szCs w:val="21"/>
                <w:highlight w:val="none"/>
                <w:lang w:val="en-US" w:eastAsia="zh-CN"/>
              </w:rPr>
              <w:t>②严禁无关人员、可疑人员和危险物品进入办公楼（区）内。</w:t>
            </w:r>
          </w:p>
          <w:p w14:paraId="0CD0241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default" w:ascii="Times New Roman" w:hAnsi="Times New Roman" w:eastAsia="宋体" w:cs="Calibri"/>
                <w:b w:val="0"/>
                <w:bCs w:val="0"/>
                <w:color w:val="auto"/>
                <w:kern w:val="0"/>
                <w:szCs w:val="21"/>
                <w:highlight w:val="none"/>
                <w:lang w:val="en-US" w:eastAsia="zh-CN"/>
              </w:rPr>
              <w:t>③物品摆放整齐有序、分类放置。</w:t>
            </w:r>
          </w:p>
          <w:p w14:paraId="3998803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default" w:ascii="Times New Roman" w:hAnsi="Times New Roman" w:eastAsia="宋体" w:cs="Calibri"/>
                <w:b w:val="0"/>
                <w:bCs w:val="0"/>
                <w:color w:val="auto"/>
                <w:kern w:val="0"/>
                <w:szCs w:val="21"/>
                <w:highlight w:val="none"/>
                <w:lang w:val="en-US" w:eastAsia="zh-CN"/>
              </w:rPr>
              <w:t>④现场办理等待时间不超过5分钟，等待较长时间应</w:t>
            </w:r>
            <w:r>
              <w:rPr>
                <w:rFonts w:hint="eastAsia" w:ascii="Times New Roman" w:hAnsi="Times New Roman" w:eastAsia="宋体" w:cs="Calibri"/>
                <w:b w:val="0"/>
                <w:bCs w:val="0"/>
                <w:color w:val="auto"/>
                <w:kern w:val="0"/>
                <w:szCs w:val="21"/>
                <w:highlight w:val="none"/>
                <w:lang w:val="en-US" w:eastAsia="zh-CN"/>
              </w:rPr>
              <w:t>当</w:t>
            </w:r>
            <w:r>
              <w:rPr>
                <w:rFonts w:hint="default" w:ascii="Times New Roman" w:hAnsi="Times New Roman" w:eastAsia="宋体" w:cs="Calibri"/>
                <w:b w:val="0"/>
                <w:bCs w:val="0"/>
                <w:color w:val="auto"/>
                <w:kern w:val="0"/>
                <w:szCs w:val="21"/>
                <w:highlight w:val="none"/>
                <w:lang w:val="en-US" w:eastAsia="zh-CN"/>
              </w:rPr>
              <w:t>及时沟通。</w:t>
            </w:r>
          </w:p>
          <w:p w14:paraId="1E7B154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default" w:ascii="Times New Roman" w:hAnsi="Times New Roman" w:eastAsia="宋体" w:cs="Calibri"/>
                <w:b w:val="0"/>
                <w:bCs w:val="0"/>
                <w:color w:val="auto"/>
                <w:kern w:val="0"/>
                <w:szCs w:val="21"/>
                <w:highlight w:val="none"/>
                <w:lang w:val="en-US" w:eastAsia="zh-CN"/>
              </w:rPr>
              <w:t>⑤对来访人员咨询、建议、求助等事项，及时处理或答复，处理和答复率100%。</w:t>
            </w:r>
          </w:p>
          <w:p w14:paraId="0A5799F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default" w:ascii="Times New Roman" w:hAnsi="Times New Roman" w:eastAsia="宋体" w:cs="Calibri"/>
                <w:b w:val="0"/>
                <w:bCs w:val="0"/>
                <w:color w:val="auto"/>
                <w:kern w:val="0"/>
                <w:szCs w:val="21"/>
                <w:highlight w:val="none"/>
                <w:lang w:val="en-US" w:eastAsia="zh-CN"/>
              </w:rPr>
              <w:t>⑥接待服务工作时间应</w:t>
            </w:r>
            <w:r>
              <w:rPr>
                <w:rFonts w:hint="eastAsia" w:ascii="Times New Roman" w:hAnsi="Times New Roman" w:eastAsia="宋体" w:cs="Calibri"/>
                <w:b w:val="0"/>
                <w:bCs w:val="0"/>
                <w:color w:val="auto"/>
                <w:kern w:val="0"/>
                <w:szCs w:val="21"/>
                <w:highlight w:val="none"/>
                <w:lang w:val="en-US" w:eastAsia="zh-CN"/>
              </w:rPr>
              <w:t>当</w:t>
            </w:r>
            <w:r>
              <w:rPr>
                <w:rFonts w:hint="default" w:ascii="Times New Roman" w:hAnsi="Times New Roman" w:eastAsia="宋体" w:cs="Calibri"/>
                <w:b w:val="0"/>
                <w:bCs w:val="0"/>
                <w:color w:val="auto"/>
                <w:kern w:val="0"/>
                <w:szCs w:val="21"/>
                <w:highlight w:val="none"/>
                <w:lang w:val="en-US" w:eastAsia="zh-CN"/>
              </w:rPr>
              <w:t>覆盖采购人工作时间（上班时间为</w:t>
            </w:r>
            <w:r>
              <w:rPr>
                <w:rFonts w:hint="eastAsia" w:cs="Calibri"/>
                <w:b w:val="0"/>
                <w:bCs w:val="0"/>
                <w:color w:val="auto"/>
                <w:kern w:val="0"/>
                <w:szCs w:val="21"/>
                <w:highlight w:val="none"/>
                <w:lang w:val="en-US" w:eastAsia="zh-CN"/>
              </w:rPr>
              <w:t>6：30-18：30</w:t>
            </w:r>
            <w:r>
              <w:rPr>
                <w:rFonts w:hint="default" w:ascii="Times New Roman" w:hAnsi="Times New Roman" w:eastAsia="宋体" w:cs="Calibri"/>
                <w:b w:val="0"/>
                <w:bCs w:val="0"/>
                <w:color w:val="auto"/>
                <w:kern w:val="0"/>
                <w:szCs w:val="21"/>
                <w:highlight w:val="none"/>
                <w:lang w:val="en-US" w:eastAsia="zh-CN"/>
              </w:rPr>
              <w:t>）。</w:t>
            </w:r>
          </w:p>
          <w:p w14:paraId="0EAF035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default" w:ascii="Times New Roman" w:hAnsi="Times New Roman" w:eastAsia="宋体" w:cs="Calibri"/>
                <w:b w:val="0"/>
                <w:bCs w:val="0"/>
                <w:color w:val="auto"/>
                <w:kern w:val="0"/>
                <w:szCs w:val="21"/>
                <w:highlight w:val="none"/>
                <w:lang w:val="en-US" w:eastAsia="zh-CN"/>
              </w:rPr>
              <w:t>⑦与被访人进行核实确认；告知被访人的办公室门牌号；告知访客注意事项（</w:t>
            </w:r>
            <w:r>
              <w:rPr>
                <w:rFonts w:hint="eastAsia" w:ascii="Times New Roman" w:hAnsi="Times New Roman" w:eastAsia="宋体" w:cs="Calibri"/>
                <w:b w:val="0"/>
                <w:bCs w:val="0"/>
                <w:color w:val="auto"/>
                <w:kern w:val="0"/>
                <w:szCs w:val="21"/>
                <w:highlight w:val="none"/>
                <w:lang w:val="en-US" w:eastAsia="zh-CN"/>
              </w:rPr>
              <w:t>根据实际需要</w:t>
            </w:r>
            <w:r>
              <w:rPr>
                <w:rFonts w:hint="default" w:ascii="Times New Roman" w:hAnsi="Times New Roman" w:eastAsia="宋体" w:cs="Calibri"/>
                <w:b w:val="0"/>
                <w:bCs w:val="0"/>
                <w:color w:val="auto"/>
                <w:kern w:val="0"/>
                <w:szCs w:val="21"/>
                <w:highlight w:val="none"/>
                <w:lang w:val="en-US" w:eastAsia="zh-CN"/>
              </w:rPr>
              <w:t>填写</w:t>
            </w:r>
            <w:r>
              <w:rPr>
                <w:rFonts w:hint="eastAsia" w:ascii="Times New Roman" w:hAnsi="Times New Roman" w:eastAsia="宋体" w:cs="Calibri"/>
                <w:b w:val="0"/>
                <w:bCs w:val="0"/>
                <w:color w:val="auto"/>
                <w:kern w:val="0"/>
                <w:szCs w:val="21"/>
                <w:highlight w:val="none"/>
                <w:lang w:val="en-US" w:eastAsia="zh-CN"/>
              </w:rPr>
              <w:t>注意事项</w:t>
            </w:r>
            <w:r>
              <w:rPr>
                <w:rFonts w:hint="default" w:ascii="Times New Roman" w:hAnsi="Times New Roman" w:eastAsia="宋体" w:cs="Calibri"/>
                <w:b w:val="0"/>
                <w:bCs w:val="0"/>
                <w:color w:val="auto"/>
                <w:kern w:val="0"/>
                <w:szCs w:val="21"/>
                <w:highlight w:val="none"/>
                <w:lang w:val="en-US" w:eastAsia="zh-CN"/>
              </w:rPr>
              <w:t>）。</w:t>
            </w:r>
          </w:p>
        </w:tc>
      </w:tr>
      <w:tr w14:paraId="092B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restart"/>
            <w:noWrap w:val="0"/>
            <w:vAlign w:val="center"/>
          </w:tcPr>
          <w:p w14:paraId="52DD5C6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color w:val="auto"/>
                <w:highlight w:val="none"/>
                <w:lang w:val="en-US" w:eastAsia="zh-CN"/>
              </w:rPr>
            </w:pPr>
            <w:r>
              <w:rPr>
                <w:rFonts w:hint="eastAsia" w:eastAsia="宋体"/>
                <w:color w:val="auto"/>
                <w:highlight w:val="none"/>
                <w:lang w:val="en-US" w:eastAsia="zh-CN"/>
              </w:rPr>
              <w:t>3</w:t>
            </w:r>
          </w:p>
        </w:tc>
        <w:tc>
          <w:tcPr>
            <w:tcW w:w="626" w:type="pct"/>
            <w:vMerge w:val="restart"/>
            <w:shd w:val="clear" w:color="auto" w:fill="auto"/>
            <w:noWrap w:val="0"/>
            <w:vAlign w:val="center"/>
          </w:tcPr>
          <w:p w14:paraId="79551E5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巡逻岗</w:t>
            </w:r>
            <w:r>
              <w:rPr>
                <w:rFonts w:hint="eastAsia" w:ascii="Times New Roman" w:hAnsi="Times New Roman" w:eastAsia="宋体" w:cs="Times New Roman"/>
                <w:color w:val="auto"/>
                <w:highlight w:val="none"/>
                <w:lang w:val="en-US" w:eastAsia="zh-CN"/>
              </w:rPr>
              <w:t>-值班巡查</w:t>
            </w:r>
          </w:p>
        </w:tc>
        <w:tc>
          <w:tcPr>
            <w:tcW w:w="3971" w:type="pct"/>
            <w:shd w:val="clear" w:color="auto" w:fill="auto"/>
            <w:noWrap w:val="0"/>
            <w:vAlign w:val="center"/>
          </w:tcPr>
          <w:p w14:paraId="759BCF9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（1）建立24小时值班巡查制度。</w:t>
            </w:r>
          </w:p>
        </w:tc>
      </w:tr>
      <w:tr w14:paraId="04BA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6BD8597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1BD75B3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1" w:type="pct"/>
            <w:shd w:val="clear" w:color="auto" w:fill="auto"/>
            <w:noWrap w:val="0"/>
            <w:vAlign w:val="center"/>
          </w:tcPr>
          <w:p w14:paraId="70E76C6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（2）制定巡查路线，按照指定时间和路线执行，加强重点区域、重点部位及装修区域的巡查。</w:t>
            </w:r>
          </w:p>
        </w:tc>
      </w:tr>
      <w:tr w14:paraId="1B20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4EFA500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41C3A81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1" w:type="pct"/>
            <w:shd w:val="clear" w:color="auto" w:fill="auto"/>
            <w:noWrap w:val="0"/>
            <w:vAlign w:val="center"/>
          </w:tcPr>
          <w:p w14:paraId="732E427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（3）巡查期间保持通信设施设备畅通，遇到异常情况立即上报并在现场采取相应措施。</w:t>
            </w:r>
          </w:p>
        </w:tc>
      </w:tr>
      <w:tr w14:paraId="7654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2DC0287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2473786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1" w:type="pct"/>
            <w:shd w:val="clear" w:color="auto" w:fill="auto"/>
            <w:noWrap w:val="0"/>
            <w:vAlign w:val="center"/>
          </w:tcPr>
          <w:p w14:paraId="01C3942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（4）收到监控室指令后，巡查人员及时到达指定地点并迅速采取相应措施。</w:t>
            </w:r>
          </w:p>
        </w:tc>
      </w:tr>
      <w:tr w14:paraId="59F2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restart"/>
            <w:noWrap w:val="0"/>
            <w:vAlign w:val="center"/>
          </w:tcPr>
          <w:p w14:paraId="021A808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color w:val="auto"/>
                <w:highlight w:val="none"/>
                <w:lang w:val="en-US" w:eastAsia="zh-CN"/>
              </w:rPr>
            </w:pPr>
            <w:r>
              <w:rPr>
                <w:rFonts w:hint="eastAsia" w:eastAsia="宋体"/>
                <w:color w:val="auto"/>
                <w:highlight w:val="none"/>
                <w:lang w:val="en-US" w:eastAsia="zh-CN"/>
              </w:rPr>
              <w:t>4</w:t>
            </w:r>
          </w:p>
        </w:tc>
        <w:tc>
          <w:tcPr>
            <w:tcW w:w="626" w:type="pct"/>
            <w:vMerge w:val="restart"/>
            <w:shd w:val="clear" w:color="auto" w:fill="auto"/>
            <w:noWrap w:val="0"/>
            <w:vAlign w:val="center"/>
          </w:tcPr>
          <w:p w14:paraId="713D7AE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巡逻岗</w:t>
            </w:r>
            <w:r>
              <w:rPr>
                <w:rFonts w:hint="eastAsia" w:ascii="Times New Roman" w:hAnsi="Times New Roman" w:eastAsia="宋体" w:cs="Times New Roman"/>
                <w:color w:val="auto"/>
                <w:highlight w:val="none"/>
                <w:lang w:val="en-US" w:eastAsia="zh-CN"/>
              </w:rPr>
              <w:t>-</w:t>
            </w:r>
            <w:r>
              <w:rPr>
                <w:rFonts w:hint="default"/>
                <w:color w:val="auto"/>
                <w:highlight w:val="none"/>
              </w:rPr>
              <w:t>车辆停放</w:t>
            </w:r>
          </w:p>
        </w:tc>
        <w:tc>
          <w:tcPr>
            <w:tcW w:w="3971" w:type="pct"/>
            <w:shd w:val="clear" w:color="auto" w:fill="auto"/>
            <w:noWrap w:val="0"/>
            <w:vAlign w:val="center"/>
          </w:tcPr>
          <w:p w14:paraId="1FD931A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（1）车辆行驶路线设置合理、规范，导向标志完整、清晰。</w:t>
            </w:r>
          </w:p>
        </w:tc>
      </w:tr>
      <w:tr w14:paraId="0A29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1A79440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4FB1E03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1" w:type="pct"/>
            <w:shd w:val="clear" w:color="auto" w:fill="auto"/>
            <w:noWrap w:val="0"/>
            <w:vAlign w:val="center"/>
          </w:tcPr>
          <w:p w14:paraId="6B120C0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（2）合理规划车辆停放区域，张贴车辆引导标识，对车辆及停放区域实行规范管理。</w:t>
            </w:r>
          </w:p>
        </w:tc>
      </w:tr>
      <w:tr w14:paraId="76E3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24D6F85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6975C55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1" w:type="pct"/>
            <w:shd w:val="clear" w:color="auto" w:fill="auto"/>
            <w:noWrap w:val="0"/>
            <w:vAlign w:val="center"/>
          </w:tcPr>
          <w:p w14:paraId="506E670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（3）严禁在办公楼的公用走道、楼梯间、安全出口处等公共区域停放车辆或充电。</w:t>
            </w:r>
          </w:p>
        </w:tc>
      </w:tr>
      <w:tr w14:paraId="2DF8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0685C58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767BBFD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1" w:type="pct"/>
            <w:shd w:val="clear" w:color="auto" w:fill="auto"/>
            <w:noWrap w:val="0"/>
            <w:vAlign w:val="center"/>
          </w:tcPr>
          <w:p w14:paraId="77F41E9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（4）非机动车定点有序停放。</w:t>
            </w:r>
          </w:p>
        </w:tc>
      </w:tr>
      <w:tr w14:paraId="37F0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66C467E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16C3A71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1" w:type="pct"/>
            <w:shd w:val="clear" w:color="auto" w:fill="auto"/>
            <w:noWrap w:val="0"/>
            <w:vAlign w:val="center"/>
          </w:tcPr>
          <w:p w14:paraId="616AA15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（5）发现车辆异常情况及时通知车主，并做好登记；发生交通事故、自然灾害等意外事故时及时赶赴现场疏导和协助处理，响应时间不超过3分钟。</w:t>
            </w:r>
          </w:p>
        </w:tc>
      </w:tr>
      <w:tr w14:paraId="718B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restart"/>
            <w:noWrap w:val="0"/>
            <w:vAlign w:val="center"/>
          </w:tcPr>
          <w:p w14:paraId="7C14CF0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color w:val="auto"/>
                <w:highlight w:val="none"/>
                <w:lang w:val="en-US" w:eastAsia="zh-CN"/>
              </w:rPr>
            </w:pPr>
            <w:r>
              <w:rPr>
                <w:rFonts w:hint="eastAsia" w:eastAsia="宋体"/>
                <w:color w:val="auto"/>
                <w:highlight w:val="none"/>
                <w:lang w:val="en-US" w:eastAsia="zh-CN"/>
              </w:rPr>
              <w:t>5</w:t>
            </w:r>
          </w:p>
        </w:tc>
        <w:tc>
          <w:tcPr>
            <w:tcW w:w="626" w:type="pct"/>
            <w:vMerge w:val="restart"/>
            <w:shd w:val="clear" w:color="auto" w:fill="auto"/>
            <w:noWrap w:val="0"/>
            <w:vAlign w:val="center"/>
          </w:tcPr>
          <w:p w14:paraId="00909E9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消控岗</w:t>
            </w:r>
            <w:r>
              <w:rPr>
                <w:rFonts w:hint="eastAsia" w:ascii="Times New Roman" w:hAnsi="Times New Roman" w:eastAsia="宋体" w:cs="Times New Roman"/>
                <w:color w:val="auto"/>
                <w:highlight w:val="none"/>
                <w:lang w:val="en-US" w:eastAsia="zh-CN"/>
              </w:rPr>
              <w:t>-</w:t>
            </w:r>
            <w:r>
              <w:rPr>
                <w:rFonts w:hint="default"/>
                <w:color w:val="auto"/>
                <w:highlight w:val="none"/>
              </w:rPr>
              <w:t>监控</w:t>
            </w:r>
            <w:r>
              <w:rPr>
                <w:rFonts w:hint="default" w:eastAsia="宋体"/>
                <w:color w:val="auto"/>
                <w:highlight w:val="none"/>
                <w:lang w:val="en-US" w:eastAsia="zh-CN"/>
              </w:rPr>
              <w:t>值守</w:t>
            </w:r>
          </w:p>
        </w:tc>
        <w:tc>
          <w:tcPr>
            <w:tcW w:w="3971" w:type="pct"/>
            <w:shd w:val="clear" w:color="auto" w:fill="auto"/>
            <w:noWrap w:val="0"/>
            <w:vAlign w:val="center"/>
          </w:tcPr>
          <w:p w14:paraId="320ACE2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（1）监控室环境符合系统设备运行要求，定期进行检查和检测，确保系统功能正常。</w:t>
            </w:r>
          </w:p>
        </w:tc>
      </w:tr>
      <w:tr w14:paraId="118D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2138817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338ABDF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1" w:type="pct"/>
            <w:shd w:val="clear" w:color="auto" w:fill="auto"/>
            <w:noWrap w:val="0"/>
            <w:vAlign w:val="center"/>
          </w:tcPr>
          <w:p w14:paraId="7A7B0A8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（2）监控设备24小时正常运行，监控室实行专人24小时值班制度。</w:t>
            </w:r>
          </w:p>
        </w:tc>
      </w:tr>
      <w:tr w14:paraId="7D3A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78E9F82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6FE287C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1" w:type="pct"/>
            <w:shd w:val="clear" w:color="auto" w:fill="auto"/>
            <w:noWrap w:val="0"/>
            <w:vAlign w:val="center"/>
          </w:tcPr>
          <w:p w14:paraId="30E240D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（3）监控记录画面清晰，视频监控无死角、无盲区。</w:t>
            </w:r>
          </w:p>
        </w:tc>
      </w:tr>
      <w:tr w14:paraId="2FC2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1BA61C2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20E64C8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1" w:type="pct"/>
            <w:shd w:val="clear" w:color="auto" w:fill="auto"/>
            <w:noWrap w:val="0"/>
            <w:vAlign w:val="center"/>
          </w:tcPr>
          <w:p w14:paraId="5DE05DA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（4）值班期间遵守操作规程和保密制度，做好监控记录的保存工作。</w:t>
            </w:r>
          </w:p>
        </w:tc>
      </w:tr>
      <w:tr w14:paraId="7A72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27802F1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3019C20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1" w:type="pct"/>
            <w:shd w:val="clear" w:color="auto" w:fill="auto"/>
            <w:noWrap w:val="0"/>
            <w:vAlign w:val="center"/>
          </w:tcPr>
          <w:p w14:paraId="6B34DD9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（5）监控记录保持完整，保存时间不应少于90天。</w:t>
            </w:r>
          </w:p>
        </w:tc>
      </w:tr>
      <w:tr w14:paraId="6D9E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6FC25CC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61B3DD7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1" w:type="pct"/>
            <w:shd w:val="clear" w:color="auto" w:fill="auto"/>
            <w:noWrap w:val="0"/>
            <w:vAlign w:val="center"/>
          </w:tcPr>
          <w:p w14:paraId="4DB5935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（6）无关人员进入监控室或查阅监控记录，经授权人批准并做好相关记录。</w:t>
            </w:r>
          </w:p>
        </w:tc>
      </w:tr>
      <w:tr w14:paraId="21F6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44F1FE5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4F47DED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1" w:type="pct"/>
            <w:shd w:val="clear" w:color="auto" w:fill="auto"/>
            <w:noWrap w:val="0"/>
            <w:vAlign w:val="center"/>
          </w:tcPr>
          <w:p w14:paraId="643E789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（7）监控室收到火情等报警信号、其他异常情况信号后，及时报警并安排其他安保人员前往现场进行处理。</w:t>
            </w:r>
          </w:p>
        </w:tc>
      </w:tr>
      <w:tr w14:paraId="3870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restart"/>
            <w:noWrap w:val="0"/>
            <w:vAlign w:val="center"/>
          </w:tcPr>
          <w:p w14:paraId="7BC73AD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color w:val="auto"/>
                <w:highlight w:val="none"/>
                <w:lang w:val="en-US" w:eastAsia="zh-CN"/>
              </w:rPr>
            </w:pPr>
            <w:r>
              <w:rPr>
                <w:rFonts w:hint="eastAsia" w:eastAsia="宋体"/>
                <w:color w:val="auto"/>
                <w:highlight w:val="none"/>
                <w:lang w:val="en-US" w:eastAsia="zh-CN"/>
              </w:rPr>
              <w:t>6</w:t>
            </w:r>
          </w:p>
        </w:tc>
        <w:tc>
          <w:tcPr>
            <w:tcW w:w="626" w:type="pct"/>
            <w:vMerge w:val="restart"/>
            <w:shd w:val="clear" w:color="auto" w:fill="auto"/>
            <w:noWrap w:val="0"/>
            <w:vAlign w:val="center"/>
          </w:tcPr>
          <w:p w14:paraId="6274A62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消控岗</w:t>
            </w:r>
            <w:r>
              <w:rPr>
                <w:rFonts w:hint="eastAsia" w:ascii="Times New Roman" w:hAnsi="Times New Roman" w:eastAsia="宋体" w:cs="Times New Roman"/>
                <w:color w:val="auto"/>
                <w:highlight w:val="none"/>
                <w:lang w:val="en-US" w:eastAsia="zh-CN"/>
              </w:rPr>
              <w:t>-</w:t>
            </w:r>
            <w:r>
              <w:rPr>
                <w:rFonts w:hint="default"/>
                <w:color w:val="auto"/>
                <w:highlight w:val="none"/>
              </w:rPr>
              <w:t>消防安全管理</w:t>
            </w:r>
          </w:p>
        </w:tc>
        <w:tc>
          <w:tcPr>
            <w:tcW w:w="3971" w:type="pct"/>
            <w:shd w:val="clear" w:color="auto" w:fill="auto"/>
            <w:noWrap w:val="0"/>
            <w:vAlign w:val="center"/>
          </w:tcPr>
          <w:p w14:paraId="006B4E4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（1）建立消防安全责任制，确定各级消防安全责任人及其职责。</w:t>
            </w:r>
          </w:p>
        </w:tc>
      </w:tr>
      <w:tr w14:paraId="38C0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0D42193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014FB81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1" w:type="pct"/>
            <w:shd w:val="clear" w:color="auto" w:fill="auto"/>
            <w:noWrap w:val="0"/>
            <w:vAlign w:val="center"/>
          </w:tcPr>
          <w:p w14:paraId="293FF76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（2）消防控制室实行24小时值班制度，每班不少于</w:t>
            </w:r>
            <w:r>
              <w:rPr>
                <w:rFonts w:hint="eastAsia" w:cs="Calibri"/>
                <w:b w:val="0"/>
                <w:bCs w:val="0"/>
                <w:color w:val="auto"/>
                <w:kern w:val="0"/>
                <w:szCs w:val="21"/>
                <w:highlight w:val="none"/>
                <w:lang w:val="en-US" w:eastAsia="zh-CN"/>
              </w:rPr>
              <w:t>1</w:t>
            </w:r>
            <w:r>
              <w:rPr>
                <w:rFonts w:hint="eastAsia" w:ascii="Times New Roman" w:hAnsi="Times New Roman" w:eastAsia="宋体" w:cs="Calibri"/>
                <w:b w:val="0"/>
                <w:bCs w:val="0"/>
                <w:color w:val="auto"/>
                <w:kern w:val="0"/>
                <w:szCs w:val="21"/>
                <w:highlight w:val="none"/>
                <w:lang w:val="en-US" w:eastAsia="zh-CN"/>
              </w:rPr>
              <w:t>人。</w:t>
            </w:r>
          </w:p>
        </w:tc>
      </w:tr>
      <w:tr w14:paraId="2925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431A26C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6AB0C17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1" w:type="pct"/>
            <w:shd w:val="clear" w:color="auto" w:fill="auto"/>
            <w:noWrap w:val="0"/>
            <w:vAlign w:val="center"/>
          </w:tcPr>
          <w:p w14:paraId="5DC0161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（3）消火栓、应急照明、应急物资、消防及人员逃生通道、消防车通道可随时正常使用。</w:t>
            </w:r>
          </w:p>
        </w:tc>
      </w:tr>
      <w:tr w14:paraId="409D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01FD717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0FCC01D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1" w:type="pct"/>
            <w:shd w:val="clear" w:color="auto" w:fill="auto"/>
            <w:noWrap w:val="0"/>
            <w:vAlign w:val="center"/>
          </w:tcPr>
          <w:p w14:paraId="4F86043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（4）易燃易爆品设专区管理，做好相关记录。</w:t>
            </w:r>
          </w:p>
        </w:tc>
      </w:tr>
      <w:tr w14:paraId="47FA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7A2E02D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shd w:val="clear" w:color="auto" w:fill="auto"/>
            <w:noWrap w:val="0"/>
            <w:vAlign w:val="center"/>
          </w:tcPr>
          <w:p w14:paraId="441B5E6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1" w:type="pct"/>
            <w:shd w:val="clear" w:color="auto" w:fill="auto"/>
            <w:noWrap w:val="0"/>
            <w:vAlign w:val="center"/>
          </w:tcPr>
          <w:p w14:paraId="1035194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（5）定期组织消防安全宣传，每半年至少开展1次消防演练。</w:t>
            </w:r>
          </w:p>
        </w:tc>
      </w:tr>
      <w:tr w14:paraId="6393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restart"/>
            <w:noWrap w:val="0"/>
            <w:vAlign w:val="center"/>
          </w:tcPr>
          <w:p w14:paraId="21B2B1A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color w:val="auto"/>
                <w:highlight w:val="none"/>
                <w:lang w:val="en-US" w:eastAsia="zh-CN"/>
              </w:rPr>
            </w:pPr>
            <w:r>
              <w:rPr>
                <w:rFonts w:hint="eastAsia" w:eastAsia="宋体"/>
                <w:color w:val="auto"/>
                <w:highlight w:val="none"/>
                <w:lang w:val="en-US" w:eastAsia="zh-CN"/>
              </w:rPr>
              <w:t>7</w:t>
            </w:r>
          </w:p>
        </w:tc>
        <w:tc>
          <w:tcPr>
            <w:tcW w:w="626" w:type="pct"/>
            <w:vMerge w:val="restart"/>
            <w:noWrap w:val="0"/>
            <w:vAlign w:val="center"/>
          </w:tcPr>
          <w:p w14:paraId="168313D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r>
              <w:rPr>
                <w:rFonts w:hint="default"/>
                <w:color w:val="auto"/>
                <w:highlight w:val="none"/>
              </w:rPr>
              <w:t>突发事件处理</w:t>
            </w:r>
          </w:p>
        </w:tc>
        <w:tc>
          <w:tcPr>
            <w:tcW w:w="3971" w:type="pct"/>
            <w:shd w:val="clear" w:color="auto" w:fill="auto"/>
            <w:noWrap w:val="0"/>
            <w:vAlign w:val="center"/>
          </w:tcPr>
          <w:p w14:paraId="14122E9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（1）制定突发事件安全责任书，明确突发事件责任人及应承担的安全责任。</w:t>
            </w:r>
          </w:p>
        </w:tc>
      </w:tr>
      <w:tr w14:paraId="4A2B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6D134F2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26" w:type="pct"/>
            <w:vMerge w:val="continue"/>
            <w:noWrap w:val="0"/>
            <w:vAlign w:val="center"/>
          </w:tcPr>
          <w:p w14:paraId="273B1F9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p>
        </w:tc>
        <w:tc>
          <w:tcPr>
            <w:tcW w:w="3971" w:type="pct"/>
            <w:shd w:val="clear" w:color="auto" w:fill="auto"/>
            <w:noWrap w:val="0"/>
            <w:vAlign w:val="center"/>
          </w:tcPr>
          <w:p w14:paraId="2A4F519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（2）建立应急突发事件处置队伍，明确各自的职责。</w:t>
            </w:r>
          </w:p>
        </w:tc>
      </w:tr>
      <w:tr w14:paraId="559D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5782364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26" w:type="pct"/>
            <w:vMerge w:val="continue"/>
            <w:noWrap w:val="0"/>
            <w:vAlign w:val="center"/>
          </w:tcPr>
          <w:p w14:paraId="55D544C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p>
        </w:tc>
        <w:tc>
          <w:tcPr>
            <w:tcW w:w="3971" w:type="pct"/>
            <w:shd w:val="clear" w:color="auto" w:fill="auto"/>
            <w:noWrap w:val="0"/>
            <w:vAlign w:val="center"/>
          </w:tcPr>
          <w:p w14:paraId="16062F2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（3）识别、分析各种潜在风险，针对不同风险类型制定相应解决方案，并配备应急物资。</w:t>
            </w:r>
          </w:p>
        </w:tc>
      </w:tr>
      <w:tr w14:paraId="46AD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513B466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26" w:type="pct"/>
            <w:vMerge w:val="continue"/>
            <w:noWrap w:val="0"/>
            <w:vAlign w:val="center"/>
          </w:tcPr>
          <w:p w14:paraId="2E60B39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p>
        </w:tc>
        <w:tc>
          <w:tcPr>
            <w:tcW w:w="3971" w:type="pct"/>
            <w:shd w:val="clear" w:color="auto" w:fill="auto"/>
            <w:noWrap w:val="0"/>
            <w:vAlign w:val="center"/>
          </w:tcPr>
          <w:p w14:paraId="5A44678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（4）每半年至少开展1次突发事件应急演练，并有相应记录。</w:t>
            </w:r>
          </w:p>
        </w:tc>
      </w:tr>
      <w:tr w14:paraId="53C8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79ED20F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26" w:type="pct"/>
            <w:vMerge w:val="continue"/>
            <w:noWrap w:val="0"/>
            <w:vAlign w:val="center"/>
          </w:tcPr>
          <w:p w14:paraId="2A3DB6B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p>
        </w:tc>
        <w:tc>
          <w:tcPr>
            <w:tcW w:w="3971" w:type="pct"/>
            <w:shd w:val="clear" w:color="auto" w:fill="auto"/>
            <w:noWrap w:val="0"/>
            <w:vAlign w:val="center"/>
          </w:tcPr>
          <w:p w14:paraId="7FC37A0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（5）发生意外事件时，及时采取应急措施，维护办公区域物业服务正常进行，保护人身财产安全。</w:t>
            </w:r>
          </w:p>
        </w:tc>
      </w:tr>
      <w:tr w14:paraId="4921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555D851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26" w:type="pct"/>
            <w:vMerge w:val="continue"/>
            <w:noWrap w:val="0"/>
            <w:vAlign w:val="center"/>
          </w:tcPr>
          <w:p w14:paraId="36A594A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p>
        </w:tc>
        <w:tc>
          <w:tcPr>
            <w:tcW w:w="3971" w:type="pct"/>
            <w:shd w:val="clear" w:color="auto" w:fill="auto"/>
            <w:noWrap w:val="0"/>
            <w:vAlign w:val="center"/>
          </w:tcPr>
          <w:p w14:paraId="287F85A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（6）办公区域物业服务应急预案终止实施后，积极采取措施，在尽可能短的时间内，消除事故带来的不良影响，妥善安置和慰问受害及受影响的人员和部门。</w:t>
            </w:r>
          </w:p>
        </w:tc>
      </w:tr>
      <w:tr w14:paraId="5426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4DAB21A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noWrap w:val="0"/>
            <w:vAlign w:val="center"/>
          </w:tcPr>
          <w:p w14:paraId="1488C4B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p>
        </w:tc>
        <w:tc>
          <w:tcPr>
            <w:tcW w:w="3971" w:type="pct"/>
            <w:shd w:val="clear" w:color="auto" w:fill="auto"/>
            <w:noWrap w:val="0"/>
            <w:vAlign w:val="center"/>
          </w:tcPr>
          <w:p w14:paraId="337A405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（7）事故处理后，及时形成事故应急总结报告，完善应急救援工作方案。</w:t>
            </w:r>
          </w:p>
        </w:tc>
      </w:tr>
      <w:tr w14:paraId="49EB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restart"/>
            <w:noWrap w:val="0"/>
            <w:vAlign w:val="center"/>
          </w:tcPr>
          <w:p w14:paraId="3644690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color w:val="auto"/>
                <w:highlight w:val="none"/>
                <w:lang w:val="en-US" w:eastAsia="zh-CN"/>
              </w:rPr>
            </w:pPr>
            <w:r>
              <w:rPr>
                <w:rFonts w:hint="eastAsia" w:eastAsia="宋体"/>
                <w:color w:val="auto"/>
                <w:highlight w:val="none"/>
                <w:lang w:val="en-US" w:eastAsia="zh-CN"/>
              </w:rPr>
              <w:t>8</w:t>
            </w:r>
          </w:p>
        </w:tc>
        <w:tc>
          <w:tcPr>
            <w:tcW w:w="626" w:type="pct"/>
            <w:vMerge w:val="restart"/>
            <w:noWrap w:val="0"/>
            <w:vAlign w:val="center"/>
          </w:tcPr>
          <w:p w14:paraId="055B688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r>
              <w:rPr>
                <w:rFonts w:hint="default"/>
                <w:color w:val="auto"/>
                <w:highlight w:val="none"/>
              </w:rPr>
              <w:t>大型活动秩序</w:t>
            </w:r>
          </w:p>
        </w:tc>
        <w:tc>
          <w:tcPr>
            <w:tcW w:w="3971" w:type="pct"/>
            <w:shd w:val="clear" w:color="auto" w:fill="auto"/>
            <w:noWrap w:val="0"/>
            <w:vAlign w:val="center"/>
          </w:tcPr>
          <w:p w14:paraId="3A9C4E5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（1）制定相应的活动秩序维护方案，合理安排人员，并对场所的安全隐患进行排查。</w:t>
            </w:r>
          </w:p>
        </w:tc>
      </w:tr>
      <w:tr w14:paraId="4AA5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41E9F3A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noWrap w:val="0"/>
            <w:vAlign w:val="center"/>
          </w:tcPr>
          <w:p w14:paraId="49516F2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p>
        </w:tc>
        <w:tc>
          <w:tcPr>
            <w:tcW w:w="3971" w:type="pct"/>
            <w:shd w:val="clear" w:color="auto" w:fill="auto"/>
            <w:noWrap w:val="0"/>
            <w:vAlign w:val="center"/>
          </w:tcPr>
          <w:p w14:paraId="063939F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（2）应当保障通道、出入口、停车场等区域畅通。</w:t>
            </w:r>
          </w:p>
        </w:tc>
      </w:tr>
      <w:tr w14:paraId="472A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vMerge w:val="continue"/>
            <w:noWrap w:val="0"/>
            <w:vAlign w:val="center"/>
          </w:tcPr>
          <w:p w14:paraId="6595300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26" w:type="pct"/>
            <w:vMerge w:val="continue"/>
            <w:noWrap w:val="0"/>
            <w:vAlign w:val="center"/>
          </w:tcPr>
          <w:p w14:paraId="3C6EDDD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p>
        </w:tc>
        <w:tc>
          <w:tcPr>
            <w:tcW w:w="3971" w:type="pct"/>
            <w:shd w:val="clear" w:color="auto" w:fill="auto"/>
            <w:noWrap w:val="0"/>
            <w:vAlign w:val="center"/>
          </w:tcPr>
          <w:p w14:paraId="763AD84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（3）活动举办过程中，做好现场秩序的维护和突发事故的处置工作，确保活动正常进行。</w:t>
            </w:r>
          </w:p>
        </w:tc>
      </w:tr>
    </w:tbl>
    <w:p w14:paraId="74289B69">
      <w:pPr>
        <w:pStyle w:val="4"/>
        <w:keepNext/>
        <w:keepLines/>
        <w:pageBreakBefore w:val="0"/>
        <w:widowControl w:val="0"/>
        <w:kinsoku/>
        <w:wordWrap/>
        <w:overflowPunct/>
        <w:topLinePunct w:val="0"/>
        <w:autoSpaceDE/>
        <w:autoSpaceDN/>
        <w:bidi w:val="0"/>
        <w:adjustRightInd w:val="0"/>
        <w:snapToGrid w:val="0"/>
        <w:spacing w:before="0" w:after="0" w:line="360" w:lineRule="auto"/>
        <w:ind w:left="0" w:firstLine="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.3保洁服务</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220"/>
        <w:gridCol w:w="7288"/>
      </w:tblGrid>
      <w:tr w14:paraId="6B90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noWrap w:val="0"/>
            <w:vAlign w:val="center"/>
          </w:tcPr>
          <w:p w14:paraId="22738195">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657" w:type="pct"/>
            <w:noWrap w:val="0"/>
            <w:vAlign w:val="center"/>
          </w:tcPr>
          <w:p w14:paraId="6BA21742">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3925" w:type="pct"/>
            <w:noWrap w:val="0"/>
            <w:vAlign w:val="center"/>
          </w:tcPr>
          <w:p w14:paraId="7DFF08FF">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1BCD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restart"/>
            <w:noWrap w:val="0"/>
            <w:vAlign w:val="center"/>
          </w:tcPr>
          <w:p w14:paraId="2C1BBF4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1</w:t>
            </w:r>
          </w:p>
        </w:tc>
        <w:tc>
          <w:tcPr>
            <w:tcW w:w="657" w:type="pct"/>
            <w:vMerge w:val="restart"/>
            <w:noWrap w:val="0"/>
            <w:vAlign w:val="center"/>
          </w:tcPr>
          <w:p w14:paraId="5DD6C3B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r>
              <w:rPr>
                <w:rFonts w:hint="eastAsia"/>
                <w:color w:val="auto"/>
                <w:highlight w:val="none"/>
                <w:lang w:val="en-US" w:eastAsia="zh-CN"/>
              </w:rPr>
              <w:t>基本要求</w:t>
            </w:r>
          </w:p>
        </w:tc>
        <w:tc>
          <w:tcPr>
            <w:tcW w:w="3925" w:type="pct"/>
            <w:noWrap w:val="0"/>
            <w:vAlign w:val="center"/>
          </w:tcPr>
          <w:p w14:paraId="64DFF00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（1）建立保洁服务的工作制度及工作计划，并按照执行。</w:t>
            </w:r>
          </w:p>
        </w:tc>
      </w:tr>
      <w:tr w14:paraId="6577E946">
        <w:tblPrEx>
          <w:tblCellMar>
            <w:top w:w="0" w:type="dxa"/>
            <w:left w:w="108" w:type="dxa"/>
            <w:bottom w:w="0" w:type="dxa"/>
            <w:right w:w="108" w:type="dxa"/>
          </w:tblCellMar>
        </w:tblPrEx>
        <w:trPr>
          <w:trHeight w:val="23" w:hRule="atLeast"/>
        </w:trPr>
        <w:tc>
          <w:tcPr>
            <w:tcW w:w="417" w:type="pct"/>
            <w:vMerge w:val="continue"/>
            <w:noWrap w:val="0"/>
            <w:vAlign w:val="center"/>
          </w:tcPr>
          <w:p w14:paraId="5C94FC8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74CFEB5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color w:val="auto"/>
                <w:highlight w:val="none"/>
                <w:lang w:val="en-US" w:eastAsia="zh-CN"/>
              </w:rPr>
            </w:pPr>
          </w:p>
        </w:tc>
        <w:tc>
          <w:tcPr>
            <w:tcW w:w="3925" w:type="pct"/>
            <w:noWrap w:val="0"/>
            <w:vAlign w:val="center"/>
          </w:tcPr>
          <w:p w14:paraId="5428607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（2）做好保洁服务工作记录，记录填写规范、保存完好。</w:t>
            </w:r>
          </w:p>
        </w:tc>
      </w:tr>
      <w:tr w14:paraId="485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0DB5455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1131D0F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color w:val="auto"/>
                <w:highlight w:val="none"/>
                <w:lang w:val="en-US" w:eastAsia="zh-CN"/>
              </w:rPr>
            </w:pPr>
          </w:p>
        </w:tc>
        <w:tc>
          <w:tcPr>
            <w:tcW w:w="3925" w:type="pct"/>
            <w:noWrap w:val="0"/>
            <w:vAlign w:val="center"/>
          </w:tcPr>
          <w:p w14:paraId="38AD45C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（3）作业时采取安全防护措施，防止对作业人员或他人造成伤害。相关耗材的环保、安全性等应当符合国家相关规定要求。</w:t>
            </w:r>
          </w:p>
        </w:tc>
      </w:tr>
      <w:tr w14:paraId="6573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4FC8B3B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color w:val="auto"/>
                <w:highlight w:val="none"/>
                <w:lang w:val="en-US" w:eastAsia="zh-CN"/>
              </w:rPr>
            </w:pPr>
          </w:p>
        </w:tc>
        <w:tc>
          <w:tcPr>
            <w:tcW w:w="657" w:type="pct"/>
            <w:vMerge w:val="continue"/>
            <w:noWrap w:val="0"/>
            <w:vAlign w:val="center"/>
          </w:tcPr>
          <w:p w14:paraId="11A53B6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p>
        </w:tc>
        <w:tc>
          <w:tcPr>
            <w:tcW w:w="3925" w:type="pct"/>
            <w:noWrap w:val="0"/>
            <w:vAlign w:val="center"/>
          </w:tcPr>
          <w:p w14:paraId="4102FCF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（4）进入保密区域时，有采购人相关人员全程在场。</w:t>
            </w:r>
          </w:p>
        </w:tc>
      </w:tr>
      <w:tr w14:paraId="1A3B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restart"/>
            <w:noWrap w:val="0"/>
            <w:vAlign w:val="center"/>
          </w:tcPr>
          <w:p w14:paraId="4720903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2</w:t>
            </w:r>
          </w:p>
        </w:tc>
        <w:tc>
          <w:tcPr>
            <w:tcW w:w="657" w:type="pct"/>
            <w:vMerge w:val="restart"/>
            <w:noWrap w:val="0"/>
            <w:vAlign w:val="center"/>
          </w:tcPr>
          <w:p w14:paraId="618551B4">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t>办公用房区域保洁</w:t>
            </w:r>
          </w:p>
        </w:tc>
        <w:tc>
          <w:tcPr>
            <w:tcW w:w="3925" w:type="pct"/>
            <w:shd w:val="clear" w:color="auto" w:fill="auto"/>
            <w:noWrap w:val="0"/>
            <w:vAlign w:val="center"/>
          </w:tcPr>
          <w:p w14:paraId="671AA97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（1）大厅、楼内公共通道：</w:t>
            </w:r>
          </w:p>
          <w:p w14:paraId="040BCAB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①公共通道保持干净，无异味、无杂物、无积水，每日至少开展1次清洁作业。</w:t>
            </w:r>
          </w:p>
          <w:p w14:paraId="4E66CD3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②门窗玻璃干净无尘，透光性好，每周至少开展1次清洁作业。</w:t>
            </w:r>
          </w:p>
          <w:p w14:paraId="7DCD77D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③指示牌干净，无污渍，每日至少开展1次清洁作业。</w:t>
            </w:r>
          </w:p>
        </w:tc>
      </w:tr>
      <w:tr w14:paraId="75C3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continue"/>
            <w:noWrap w:val="0"/>
            <w:vAlign w:val="center"/>
          </w:tcPr>
          <w:p w14:paraId="56471A0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418B2BFD">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0DA6B65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（2）电器、消防等设施设备：</w:t>
            </w:r>
          </w:p>
          <w:p w14:paraId="3C25F8E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①配电箱、设备机房、会议室音视频设备、消防栓及开关插座等保持表面干净，无尘无污迹，每月至少开展1次清洁作业。</w:t>
            </w:r>
          </w:p>
          <w:p w14:paraId="0B39EC3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②监控摄像头、门禁系统等表面光亮，无尘、无斑点，每月至少开展1次清洁作业。</w:t>
            </w:r>
          </w:p>
        </w:tc>
      </w:tr>
      <w:tr w14:paraId="35CC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321733E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604A8847">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54BF3C5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（3）楼梯及楼梯间保持干净、无异味、无杂物、无积水，每日至少开展1次清洁作业。</w:t>
            </w:r>
          </w:p>
        </w:tc>
      </w:tr>
      <w:tr w14:paraId="6709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576D276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619DAAEA">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645A13A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（4）开水间保持干净、无异味、无杂物、无积水，每日至少开展1次清洁作业。</w:t>
            </w:r>
          </w:p>
        </w:tc>
      </w:tr>
      <w:tr w14:paraId="0DF2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78A8EC5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4AC7FFC5">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2BE882C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（5）作业工具间：</w:t>
            </w:r>
          </w:p>
          <w:p w14:paraId="0217CDF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①保持干净，无异味、无杂物、无积水，每日至少开展1次清洁作业。</w:t>
            </w:r>
          </w:p>
          <w:p w14:paraId="6DA638E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②作业工具摆放整齐有序，表面干净无渍，每日消毒。</w:t>
            </w:r>
          </w:p>
        </w:tc>
      </w:tr>
      <w:tr w14:paraId="1C2E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5984D75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39177A12">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2E53750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（6）公共卫生间：</w:t>
            </w:r>
          </w:p>
          <w:p w14:paraId="535AA01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①保持干净，无异味，垃圾无溢出，每日至少开展1次清洁作业。</w:t>
            </w:r>
          </w:p>
          <w:p w14:paraId="7743538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②及时补充厕纸等必要用品。</w:t>
            </w:r>
          </w:p>
        </w:tc>
      </w:tr>
      <w:tr w14:paraId="7F64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2FC84BB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4C221E87">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71331B1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（7）电梯轿厢：</w:t>
            </w:r>
          </w:p>
          <w:p w14:paraId="31D3AB2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①保持干净，无污渍、无粘贴物、无异味，每日至少开展1次清洁作业。</w:t>
            </w:r>
          </w:p>
          <w:p w14:paraId="6FF95B1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②灯具、操作指示板明亮。</w:t>
            </w:r>
          </w:p>
        </w:tc>
      </w:tr>
      <w:tr w14:paraId="5B86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7CD0074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6143CB48">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08A1420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（8）平台、屋顶、天沟保持干净，有杂物及时清扫，每月至少开展1次清洁作业。</w:t>
            </w:r>
          </w:p>
        </w:tc>
      </w:tr>
      <w:tr w14:paraId="3999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7F3F178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011BD2C0">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6C7F4B3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（9）石材地面、内墙做好养护工作，每季度开展1次清洁作业。</w:t>
            </w:r>
          </w:p>
        </w:tc>
      </w:tr>
      <w:tr w14:paraId="21CB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726A2AD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67FA23B9">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58CA0D2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（10）地毯干净、无油渍、无污渍、无褪色，每月至少开展1次清洁作业。</w:t>
            </w:r>
          </w:p>
        </w:tc>
      </w:tr>
      <w:tr w14:paraId="7F83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restart"/>
            <w:noWrap w:val="0"/>
            <w:vAlign w:val="center"/>
          </w:tcPr>
          <w:p w14:paraId="5427EAA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3</w:t>
            </w:r>
          </w:p>
        </w:tc>
        <w:tc>
          <w:tcPr>
            <w:tcW w:w="657" w:type="pct"/>
            <w:vMerge w:val="restart"/>
            <w:noWrap w:val="0"/>
            <w:vAlign w:val="center"/>
          </w:tcPr>
          <w:p w14:paraId="3B3D81F1">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t>公共场地区域保洁</w:t>
            </w:r>
          </w:p>
        </w:tc>
        <w:tc>
          <w:tcPr>
            <w:tcW w:w="3925" w:type="pct"/>
            <w:shd w:val="clear" w:color="auto" w:fill="auto"/>
            <w:noWrap w:val="0"/>
            <w:vAlign w:val="center"/>
          </w:tcPr>
          <w:p w14:paraId="4CB72C3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（1）每日清扫道路地面、停车场等公共区域2次，保持干净、无杂物、无积水。</w:t>
            </w:r>
          </w:p>
        </w:tc>
      </w:tr>
      <w:tr w14:paraId="3387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46FC64E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6ACF7374">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2DFCDC2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（2）雪、冰冻等恶劣天气时及时清扫积水、积雪，并采取安全防护措施。</w:t>
            </w:r>
          </w:p>
        </w:tc>
      </w:tr>
      <w:tr w14:paraId="0404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4A068C5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1621F5C0">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624F207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（3）各种路标、宣传栏等保持干净，每月至少开展1次清洁作业。</w:t>
            </w:r>
          </w:p>
        </w:tc>
      </w:tr>
      <w:tr w14:paraId="3D32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3285415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35CA0E9B">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368C230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（4）清洁室外照明设备，每月至少开展1次清洁作业。</w:t>
            </w:r>
          </w:p>
        </w:tc>
      </w:tr>
      <w:tr w14:paraId="47F1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34A6B2D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71D58A26">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125C42C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（5）绿地内无杂物、无改变用途和破坏、践踏、占用现象，每天至少开展1次巡查。</w:t>
            </w:r>
          </w:p>
        </w:tc>
      </w:tr>
      <w:tr w14:paraId="33BF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77E81F2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31CD42E0">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3D03BE4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（6）办公区外立面定期清洗、2米以上外窗玻璃擦拭，每年至少开展1次清洗。</w:t>
            </w:r>
          </w:p>
        </w:tc>
      </w:tr>
      <w:tr w14:paraId="2C08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restart"/>
            <w:noWrap w:val="0"/>
            <w:vAlign w:val="center"/>
          </w:tcPr>
          <w:p w14:paraId="590ED3E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4</w:t>
            </w:r>
          </w:p>
        </w:tc>
        <w:tc>
          <w:tcPr>
            <w:tcW w:w="657" w:type="pct"/>
            <w:vMerge w:val="restart"/>
            <w:noWrap w:val="0"/>
            <w:vAlign w:val="center"/>
          </w:tcPr>
          <w:p w14:paraId="53332DAA">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r>
              <w:rPr>
                <w:rFonts w:hint="eastAsia" w:ascii="Calibri" w:hAnsi="Calibri" w:cs="Calibri"/>
                <w:b w:val="0"/>
                <w:bCs w:val="0"/>
                <w:color w:val="auto"/>
                <w:kern w:val="0"/>
                <w:szCs w:val="21"/>
                <w:highlight w:val="none"/>
                <w:lang w:val="en-US" w:eastAsia="zh-CN"/>
              </w:rPr>
              <w:t>垃圾处理</w:t>
            </w:r>
          </w:p>
        </w:tc>
        <w:tc>
          <w:tcPr>
            <w:tcW w:w="3925" w:type="pct"/>
            <w:shd w:val="clear" w:color="auto" w:fill="auto"/>
            <w:noWrap w:val="0"/>
            <w:vAlign w:val="center"/>
          </w:tcPr>
          <w:p w14:paraId="6D56980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（1）在指定位置摆放分类垃圾桶，并在显著处张贴垃圾分类标识。分类垃圾桶和垃圾分类标识根据所在城市的要求设置。</w:t>
            </w:r>
          </w:p>
        </w:tc>
      </w:tr>
      <w:tr w14:paraId="2ACC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7F3D3C1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2A5FF8BF">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Calibri" w:hAnsi="Calibri" w:cs="Calibri"/>
                <w:b w:val="0"/>
                <w:bCs w:val="0"/>
                <w:color w:val="auto"/>
                <w:kern w:val="0"/>
                <w:szCs w:val="21"/>
                <w:highlight w:val="none"/>
                <w:lang w:val="en-US" w:eastAsia="zh-CN"/>
              </w:rPr>
            </w:pPr>
          </w:p>
        </w:tc>
        <w:tc>
          <w:tcPr>
            <w:tcW w:w="3925" w:type="pct"/>
            <w:shd w:val="clear" w:color="auto" w:fill="auto"/>
            <w:noWrap w:val="0"/>
            <w:vAlign w:val="center"/>
          </w:tcPr>
          <w:p w14:paraId="0C4B2F7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（2）桶身表面干净无污渍，每日开展至少1次清洁作业。</w:t>
            </w:r>
          </w:p>
        </w:tc>
      </w:tr>
      <w:tr w14:paraId="6EE7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08071A5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5F1660CF">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Calibri" w:hAnsi="Calibri" w:cs="Calibri"/>
                <w:b w:val="0"/>
                <w:bCs w:val="0"/>
                <w:color w:val="auto"/>
                <w:kern w:val="0"/>
                <w:szCs w:val="21"/>
                <w:highlight w:val="none"/>
                <w:lang w:val="en-US" w:eastAsia="zh-CN"/>
              </w:rPr>
            </w:pPr>
          </w:p>
        </w:tc>
        <w:tc>
          <w:tcPr>
            <w:tcW w:w="3925" w:type="pct"/>
            <w:shd w:val="clear" w:color="auto" w:fill="auto"/>
            <w:noWrap w:val="0"/>
            <w:vAlign w:val="center"/>
          </w:tcPr>
          <w:p w14:paraId="34A366D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（3）垃圾中转房保持整洁，无明显异味，每日至少开展1次清洁作业。</w:t>
            </w:r>
          </w:p>
        </w:tc>
      </w:tr>
      <w:tr w14:paraId="46DA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4B3D95E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4144687B">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Calibri" w:hAnsi="Calibri" w:cs="Calibri"/>
                <w:b w:val="0"/>
                <w:bCs w:val="0"/>
                <w:color w:val="auto"/>
                <w:kern w:val="0"/>
                <w:szCs w:val="21"/>
                <w:highlight w:val="none"/>
                <w:lang w:val="en-US" w:eastAsia="zh-CN"/>
              </w:rPr>
            </w:pPr>
          </w:p>
        </w:tc>
        <w:tc>
          <w:tcPr>
            <w:tcW w:w="3925" w:type="pct"/>
            <w:shd w:val="clear" w:color="auto" w:fill="auto"/>
            <w:noWrap w:val="0"/>
            <w:vAlign w:val="center"/>
          </w:tcPr>
          <w:p w14:paraId="66CCF69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（4）化粪池清掏，无明显异味，每半年至少开展1次清洁作业。</w:t>
            </w:r>
          </w:p>
        </w:tc>
      </w:tr>
      <w:tr w14:paraId="7B5B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7A7D1AF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14A6AF76">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Calibri" w:hAnsi="Calibri" w:cs="Calibri"/>
                <w:b w:val="0"/>
                <w:bCs w:val="0"/>
                <w:color w:val="auto"/>
                <w:kern w:val="0"/>
                <w:szCs w:val="21"/>
                <w:highlight w:val="none"/>
                <w:lang w:val="en-US" w:eastAsia="zh-CN"/>
              </w:rPr>
            </w:pPr>
          </w:p>
        </w:tc>
        <w:tc>
          <w:tcPr>
            <w:tcW w:w="3925" w:type="pct"/>
            <w:shd w:val="clear" w:color="auto" w:fill="auto"/>
            <w:noWrap w:val="0"/>
            <w:vAlign w:val="center"/>
          </w:tcPr>
          <w:p w14:paraId="46B7C43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（5）每个工作日内要对楼层产生的垃圾，进行清理分类，并运至垃圾集中堆放点。</w:t>
            </w:r>
          </w:p>
        </w:tc>
      </w:tr>
      <w:tr w14:paraId="4855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7AFDB9A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44C7BD6C">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Calibri" w:hAnsi="Calibri" w:cs="Calibri"/>
                <w:b w:val="0"/>
                <w:bCs w:val="0"/>
                <w:color w:val="auto"/>
                <w:kern w:val="0"/>
                <w:szCs w:val="21"/>
                <w:highlight w:val="none"/>
                <w:lang w:val="en-US" w:eastAsia="zh-CN"/>
              </w:rPr>
            </w:pPr>
          </w:p>
        </w:tc>
        <w:tc>
          <w:tcPr>
            <w:tcW w:w="3925" w:type="pct"/>
            <w:shd w:val="clear" w:color="auto" w:fill="auto"/>
            <w:noWrap w:val="0"/>
            <w:vAlign w:val="center"/>
          </w:tcPr>
          <w:p w14:paraId="1D0C23B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（6）垃圾装袋，日产日清。</w:t>
            </w:r>
          </w:p>
        </w:tc>
      </w:tr>
      <w:tr w14:paraId="60B6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6D65B3A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4C3B646F">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Calibri" w:hAnsi="Calibri" w:cs="Calibri"/>
                <w:b w:val="0"/>
                <w:bCs w:val="0"/>
                <w:color w:val="auto"/>
                <w:kern w:val="0"/>
                <w:szCs w:val="21"/>
                <w:highlight w:val="none"/>
                <w:lang w:val="en-US" w:eastAsia="zh-CN"/>
              </w:rPr>
            </w:pPr>
          </w:p>
        </w:tc>
        <w:tc>
          <w:tcPr>
            <w:tcW w:w="3925" w:type="pct"/>
            <w:shd w:val="clear" w:color="auto" w:fill="auto"/>
            <w:noWrap w:val="0"/>
            <w:vAlign w:val="center"/>
          </w:tcPr>
          <w:p w14:paraId="0D5AF53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（7）建立垃圾清运台账，交由规范的渠道回收处理。</w:t>
            </w:r>
          </w:p>
        </w:tc>
      </w:tr>
      <w:tr w14:paraId="47B0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6B6E042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3554A86F">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Calibri" w:hAnsi="Calibri" w:cs="Calibri"/>
                <w:b w:val="0"/>
                <w:bCs w:val="0"/>
                <w:color w:val="auto"/>
                <w:kern w:val="0"/>
                <w:szCs w:val="21"/>
                <w:highlight w:val="none"/>
                <w:lang w:val="en-US" w:eastAsia="zh-CN"/>
              </w:rPr>
            </w:pPr>
          </w:p>
        </w:tc>
        <w:tc>
          <w:tcPr>
            <w:tcW w:w="3925" w:type="pct"/>
            <w:shd w:val="clear" w:color="auto" w:fill="auto"/>
            <w:noWrap w:val="0"/>
            <w:vAlign w:val="center"/>
          </w:tcPr>
          <w:p w14:paraId="260970E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（8）</w:t>
            </w:r>
            <w:r>
              <w:rPr>
                <w:rFonts w:hint="default" w:ascii="Times New Roman" w:hAnsi="Times New Roman" w:eastAsia="宋体" w:cs="Calibri"/>
                <w:b w:val="0"/>
                <w:bCs w:val="0"/>
                <w:color w:val="auto"/>
                <w:kern w:val="0"/>
                <w:szCs w:val="21"/>
                <w:highlight w:val="none"/>
                <w:lang w:val="en-US" w:eastAsia="zh-CN"/>
              </w:rPr>
              <w:t>做好垃圾分类管理的宣传工作，督促并引导全员参与垃圾分类投放</w:t>
            </w:r>
            <w:r>
              <w:rPr>
                <w:rFonts w:hint="eastAsia" w:ascii="Times New Roman" w:hAnsi="Times New Roman" w:eastAsia="宋体" w:cs="Calibri"/>
                <w:b w:val="0"/>
                <w:bCs w:val="0"/>
                <w:color w:val="auto"/>
                <w:kern w:val="0"/>
                <w:szCs w:val="21"/>
                <w:highlight w:val="none"/>
                <w:lang w:val="en-US" w:eastAsia="zh-CN"/>
              </w:rPr>
              <w:t>。</w:t>
            </w:r>
          </w:p>
        </w:tc>
      </w:tr>
      <w:tr w14:paraId="0CB5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2F24FBF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2D338881">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Calibri" w:hAnsi="Calibri" w:cs="Calibri"/>
                <w:b w:val="0"/>
                <w:bCs w:val="0"/>
                <w:color w:val="auto"/>
                <w:kern w:val="0"/>
                <w:szCs w:val="21"/>
                <w:highlight w:val="none"/>
                <w:lang w:val="en-US" w:eastAsia="zh-CN"/>
              </w:rPr>
            </w:pPr>
          </w:p>
        </w:tc>
        <w:tc>
          <w:tcPr>
            <w:tcW w:w="3925" w:type="pct"/>
            <w:shd w:val="clear" w:color="auto" w:fill="auto"/>
            <w:noWrap w:val="0"/>
            <w:vAlign w:val="center"/>
          </w:tcPr>
          <w:p w14:paraId="596005B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（9）垃圾分类投放管理工作的执行标准，按所在城市的要求执行。</w:t>
            </w:r>
          </w:p>
        </w:tc>
      </w:tr>
      <w:tr w14:paraId="482C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restart"/>
            <w:noWrap w:val="0"/>
            <w:vAlign w:val="center"/>
          </w:tcPr>
          <w:p w14:paraId="2401734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5</w:t>
            </w:r>
          </w:p>
        </w:tc>
        <w:tc>
          <w:tcPr>
            <w:tcW w:w="657" w:type="pct"/>
            <w:vMerge w:val="restart"/>
            <w:noWrap w:val="0"/>
            <w:vAlign w:val="center"/>
          </w:tcPr>
          <w:p w14:paraId="5246E82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r>
              <w:rPr>
                <w:rFonts w:hint="default"/>
                <w:color w:val="auto"/>
                <w:highlight w:val="none"/>
              </w:rPr>
              <w:t>卫生消毒</w:t>
            </w:r>
          </w:p>
        </w:tc>
        <w:tc>
          <w:tcPr>
            <w:tcW w:w="3925" w:type="pct"/>
            <w:noWrap w:val="0"/>
            <w:vAlign w:val="center"/>
          </w:tcPr>
          <w:p w14:paraId="3E9668B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（1）办公用房区域、公共场所区域和周围环境预防性卫生消毒，消毒后及时通风，每周至少开展1次作业。</w:t>
            </w:r>
          </w:p>
        </w:tc>
      </w:tr>
      <w:tr w14:paraId="71ED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0D3B622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auto"/>
                <w:highlight w:val="none"/>
                <w:lang w:val="en-US" w:eastAsia="zh-CN"/>
              </w:rPr>
            </w:pPr>
          </w:p>
        </w:tc>
        <w:tc>
          <w:tcPr>
            <w:tcW w:w="657" w:type="pct"/>
            <w:vMerge w:val="continue"/>
            <w:noWrap w:val="0"/>
            <w:vAlign w:val="center"/>
          </w:tcPr>
          <w:p w14:paraId="744276F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p>
        </w:tc>
        <w:tc>
          <w:tcPr>
            <w:tcW w:w="3925" w:type="pct"/>
            <w:noWrap w:val="0"/>
            <w:vAlign w:val="center"/>
          </w:tcPr>
          <w:p w14:paraId="736F45E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（2）采取综合措施消灭老鼠、蟑螂，控制室内外蚊虫孳生，达到基本无蝇，每季度至少开展1次作业。</w:t>
            </w:r>
          </w:p>
        </w:tc>
      </w:tr>
      <w:tr w14:paraId="3BE9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6900C7F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p>
        </w:tc>
        <w:tc>
          <w:tcPr>
            <w:tcW w:w="657" w:type="pct"/>
            <w:vMerge w:val="continue"/>
            <w:noWrap w:val="0"/>
            <w:vAlign w:val="center"/>
          </w:tcPr>
          <w:p w14:paraId="2225663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color w:val="auto"/>
                <w:highlight w:val="none"/>
              </w:rPr>
            </w:pPr>
          </w:p>
        </w:tc>
        <w:tc>
          <w:tcPr>
            <w:tcW w:w="3925" w:type="pct"/>
            <w:noWrap w:val="0"/>
            <w:vAlign w:val="center"/>
          </w:tcPr>
          <w:p w14:paraId="65DDE1A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（3）发生公共卫生事件时，邀请专业单位开展消毒、检测等工作。</w:t>
            </w:r>
          </w:p>
        </w:tc>
      </w:tr>
    </w:tbl>
    <w:p w14:paraId="0359251E">
      <w:pPr>
        <w:pStyle w:val="4"/>
        <w:keepNext/>
        <w:keepLines/>
        <w:pageBreakBefore w:val="0"/>
        <w:widowControl w:val="0"/>
        <w:kinsoku/>
        <w:wordWrap/>
        <w:overflowPunct/>
        <w:topLinePunct w:val="0"/>
        <w:autoSpaceDE/>
        <w:autoSpaceDN/>
        <w:bidi w:val="0"/>
        <w:adjustRightInd w:val="0"/>
        <w:snapToGrid w:val="0"/>
        <w:spacing w:before="0" w:after="0" w:line="360" w:lineRule="auto"/>
        <w:ind w:left="0" w:firstLine="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（五）商务需求</w:t>
      </w:r>
    </w:p>
    <w:p w14:paraId="32435D81">
      <w:pPr>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5.1付款方式：本项目不收取履约保证金。按月结算物业费，中标人与采购人协商一致后，采购人按季度向中标人支付物业费，具体以合同中约定为准。采购人每月组织对物业服务内容及质量进行考核，费用按考核拨付。（</w:t>
      </w:r>
      <w:r>
        <w:rPr>
          <w:rFonts w:hint="eastAsia"/>
          <w:color w:val="auto"/>
          <w:sz w:val="24"/>
          <w:szCs w:val="32"/>
          <w:highlight w:val="none"/>
          <w:lang w:eastAsia="zh-CN"/>
        </w:rPr>
        <w:t>根据招标需求制定考核办法，具体细则</w:t>
      </w:r>
      <w:r>
        <w:rPr>
          <w:rFonts w:hint="eastAsia"/>
          <w:color w:val="auto"/>
          <w:sz w:val="24"/>
          <w:szCs w:val="32"/>
          <w:highlight w:val="none"/>
          <w:lang w:val="en-US" w:eastAsia="zh-CN"/>
        </w:rPr>
        <w:t>在</w:t>
      </w:r>
      <w:r>
        <w:rPr>
          <w:rFonts w:hint="eastAsia"/>
          <w:color w:val="auto"/>
          <w:sz w:val="24"/>
          <w:szCs w:val="32"/>
          <w:highlight w:val="none"/>
          <w:lang w:eastAsia="zh-CN"/>
        </w:rPr>
        <w:t>中标后，采购人与中标单位协商</w:t>
      </w:r>
      <w:r>
        <w:rPr>
          <w:rFonts w:hint="eastAsia"/>
          <w:color w:val="auto"/>
          <w:sz w:val="24"/>
          <w:szCs w:val="32"/>
          <w:highlight w:val="none"/>
          <w:lang w:val="en-US" w:eastAsia="zh-CN"/>
        </w:rPr>
        <w:t>共同制定</w:t>
      </w:r>
      <w:r>
        <w:rPr>
          <w:rFonts w:hint="eastAsia"/>
          <w:color w:val="auto"/>
          <w:sz w:val="24"/>
          <w:szCs w:val="32"/>
          <w:highlight w:val="none"/>
          <w:lang w:eastAsia="zh-CN"/>
        </w:rPr>
        <w:t>。</w:t>
      </w:r>
      <w:r>
        <w:rPr>
          <w:rFonts w:hint="eastAsia" w:ascii="宋体" w:hAnsi="宋体" w:eastAsia="宋体" w:cs="宋体"/>
          <w:b w:val="0"/>
          <w:bCs/>
          <w:color w:val="auto"/>
          <w:sz w:val="24"/>
          <w:szCs w:val="24"/>
          <w:highlight w:val="none"/>
          <w:lang w:val="en-US" w:eastAsia="zh-CN"/>
        </w:rPr>
        <w:t>）</w:t>
      </w:r>
    </w:p>
    <w:p w14:paraId="05E69E3C">
      <w:pPr>
        <w:pStyle w:val="2"/>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5.2服务期限：1年，2025年3月-2026年2月，具体起止日期根据采购进度在合同中明确。</w:t>
      </w:r>
    </w:p>
    <w:p w14:paraId="6F879D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szCs w:val="24"/>
          <w:highlight w:val="none"/>
        </w:rPr>
      </w:pPr>
    </w:p>
    <w:p w14:paraId="701148F1">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780B1B62">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1、如有附图，仅作参考。</w:t>
      </w:r>
    </w:p>
    <w:p w14:paraId="51EE8D7B">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2、打▲内容为实质性要求，不允许有负偏离，否则将以涉及无效投标条款作无效投标。</w:t>
      </w:r>
    </w:p>
    <w:p w14:paraId="381ED376">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3、中标人所提供的货物、服务须与投标承诺一致，不得以次充好、偷工减料，若在项目验收中发现有上述情况，将向有关部门举报，根据相关规定进行处理。</w:t>
      </w:r>
    </w:p>
    <w:p w14:paraId="1263236F">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732031C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08055"/>
      <w:bookmarkEnd w:id="29"/>
      <w:bookmarkStart w:id="30" w:name="_Toc184308087"/>
      <w:bookmarkEnd w:id="30"/>
      <w:bookmarkStart w:id="31" w:name="_Toc184312124"/>
      <w:bookmarkEnd w:id="31"/>
      <w:bookmarkStart w:id="32" w:name="_Toc184313255"/>
      <w:bookmarkEnd w:id="32"/>
      <w:bookmarkStart w:id="33" w:name="_Toc184308086"/>
      <w:bookmarkEnd w:id="33"/>
      <w:bookmarkStart w:id="34" w:name="_Toc184312096"/>
      <w:bookmarkEnd w:id="34"/>
      <w:bookmarkStart w:id="35" w:name="_Toc184312125"/>
      <w:bookmarkEnd w:id="35"/>
      <w:bookmarkStart w:id="36" w:name="_Toc184313264"/>
      <w:bookmarkEnd w:id="36"/>
      <w:bookmarkStart w:id="37" w:name="_Toc184310294"/>
      <w:bookmarkEnd w:id="37"/>
      <w:bookmarkStart w:id="38" w:name="_Toc184313270"/>
      <w:bookmarkEnd w:id="38"/>
      <w:bookmarkStart w:id="39" w:name="_Toc184308048"/>
      <w:bookmarkEnd w:id="39"/>
      <w:bookmarkStart w:id="40" w:name="_Toc184314467"/>
      <w:bookmarkEnd w:id="40"/>
      <w:bookmarkStart w:id="41" w:name="_Toc184314439"/>
      <w:bookmarkEnd w:id="41"/>
      <w:bookmarkStart w:id="42" w:name="_Toc184312082"/>
      <w:bookmarkEnd w:id="42"/>
      <w:bookmarkStart w:id="43" w:name="_Toc184314447"/>
      <w:bookmarkEnd w:id="43"/>
      <w:bookmarkStart w:id="44" w:name="_Toc184313309"/>
      <w:bookmarkEnd w:id="44"/>
      <w:bookmarkStart w:id="45" w:name="_Toc184312111"/>
      <w:bookmarkEnd w:id="45"/>
      <w:bookmarkStart w:id="46" w:name="_Toc184310286"/>
      <w:bookmarkEnd w:id="46"/>
      <w:bookmarkStart w:id="47" w:name="_Toc184310319"/>
      <w:bookmarkEnd w:id="47"/>
      <w:bookmarkStart w:id="48" w:name="_Toc184312101"/>
      <w:bookmarkEnd w:id="48"/>
      <w:bookmarkStart w:id="49" w:name="_Toc184313262"/>
      <w:bookmarkEnd w:id="49"/>
      <w:bookmarkStart w:id="50" w:name="_Toc184314456"/>
      <w:bookmarkEnd w:id="50"/>
      <w:bookmarkStart w:id="51" w:name="_Toc184312137"/>
      <w:bookmarkEnd w:id="51"/>
      <w:bookmarkStart w:id="52" w:name="_Toc184310324"/>
      <w:bookmarkEnd w:id="52"/>
      <w:bookmarkStart w:id="53" w:name="_Toc184313296"/>
      <w:bookmarkEnd w:id="53"/>
      <w:bookmarkStart w:id="54" w:name="_Toc184308060"/>
      <w:bookmarkEnd w:id="54"/>
      <w:bookmarkStart w:id="55" w:name="_Toc184313273"/>
      <w:bookmarkEnd w:id="55"/>
      <w:bookmarkStart w:id="56" w:name="_Toc184310341"/>
      <w:bookmarkEnd w:id="56"/>
      <w:bookmarkStart w:id="57" w:name="_Toc184314441"/>
      <w:bookmarkEnd w:id="57"/>
      <w:bookmarkStart w:id="58" w:name="_Toc184313259"/>
      <w:bookmarkEnd w:id="58"/>
      <w:bookmarkStart w:id="59" w:name="_Toc184308050"/>
      <w:bookmarkEnd w:id="59"/>
      <w:bookmarkStart w:id="60" w:name="_Toc184314422"/>
      <w:bookmarkEnd w:id="60"/>
      <w:bookmarkStart w:id="61" w:name="_Toc184314420"/>
      <w:bookmarkEnd w:id="61"/>
      <w:bookmarkStart w:id="62" w:name="_Toc184314425"/>
      <w:bookmarkEnd w:id="62"/>
      <w:bookmarkStart w:id="63" w:name="_Toc184314482"/>
      <w:bookmarkEnd w:id="63"/>
      <w:bookmarkStart w:id="64" w:name="_Toc184312139"/>
      <w:bookmarkEnd w:id="64"/>
      <w:bookmarkStart w:id="65" w:name="_Toc184310326"/>
      <w:bookmarkEnd w:id="65"/>
      <w:bookmarkStart w:id="66" w:name="_Toc184313278"/>
      <w:bookmarkEnd w:id="66"/>
      <w:bookmarkStart w:id="67" w:name="_Toc184308080"/>
      <w:bookmarkEnd w:id="67"/>
      <w:bookmarkStart w:id="68" w:name="_Toc184308098"/>
      <w:bookmarkEnd w:id="68"/>
      <w:bookmarkStart w:id="69" w:name="_Toc184310336"/>
      <w:bookmarkEnd w:id="69"/>
      <w:bookmarkStart w:id="70" w:name="_Toc184310297"/>
      <w:bookmarkEnd w:id="70"/>
      <w:bookmarkStart w:id="71" w:name="_Toc184312108"/>
      <w:bookmarkEnd w:id="71"/>
      <w:bookmarkStart w:id="72" w:name="_Toc184310311"/>
      <w:bookmarkEnd w:id="72"/>
      <w:bookmarkStart w:id="73" w:name="_Toc184314438"/>
      <w:bookmarkEnd w:id="73"/>
      <w:bookmarkStart w:id="74" w:name="_Toc184312093"/>
      <w:bookmarkEnd w:id="74"/>
      <w:bookmarkStart w:id="75" w:name="_Toc184314433"/>
      <w:bookmarkEnd w:id="75"/>
      <w:bookmarkStart w:id="76" w:name="_Toc184314477"/>
      <w:bookmarkEnd w:id="76"/>
      <w:bookmarkStart w:id="77" w:name="_Toc184312114"/>
      <w:bookmarkEnd w:id="77"/>
      <w:bookmarkStart w:id="78" w:name="_Toc184313304"/>
      <w:bookmarkEnd w:id="78"/>
      <w:bookmarkStart w:id="79" w:name="_Toc184314450"/>
      <w:bookmarkEnd w:id="79"/>
      <w:bookmarkStart w:id="80" w:name="_Toc184312100"/>
      <w:bookmarkEnd w:id="80"/>
      <w:bookmarkStart w:id="81" w:name="_Toc184310344"/>
      <w:bookmarkEnd w:id="81"/>
      <w:bookmarkStart w:id="82" w:name="_Toc184313275"/>
      <w:bookmarkEnd w:id="82"/>
      <w:bookmarkStart w:id="83" w:name="_Toc184308051"/>
      <w:bookmarkEnd w:id="83"/>
      <w:bookmarkStart w:id="84" w:name="_Toc184310277"/>
      <w:bookmarkEnd w:id="84"/>
      <w:bookmarkStart w:id="85" w:name="_Toc184314470"/>
      <w:bookmarkEnd w:id="85"/>
      <w:bookmarkStart w:id="86" w:name="_Toc184312098"/>
      <w:bookmarkEnd w:id="86"/>
      <w:bookmarkStart w:id="87" w:name="_Toc184310299"/>
      <w:bookmarkEnd w:id="87"/>
      <w:bookmarkStart w:id="88" w:name="_Toc184314429"/>
      <w:bookmarkEnd w:id="88"/>
      <w:bookmarkStart w:id="89" w:name="_Toc184313306"/>
      <w:bookmarkEnd w:id="89"/>
      <w:bookmarkStart w:id="90" w:name="_Toc184308039"/>
      <w:bookmarkEnd w:id="90"/>
      <w:bookmarkStart w:id="91" w:name="_Toc184308044"/>
      <w:bookmarkEnd w:id="91"/>
      <w:bookmarkStart w:id="92" w:name="_Toc184310313"/>
      <w:bookmarkEnd w:id="92"/>
      <w:bookmarkStart w:id="93" w:name="_Toc184312128"/>
      <w:bookmarkEnd w:id="93"/>
      <w:bookmarkStart w:id="94" w:name="_Toc184312074"/>
      <w:bookmarkEnd w:id="94"/>
      <w:bookmarkStart w:id="95" w:name="_Toc184308065"/>
      <w:bookmarkEnd w:id="95"/>
      <w:bookmarkStart w:id="96" w:name="_Toc184310325"/>
      <w:bookmarkEnd w:id="96"/>
      <w:bookmarkStart w:id="97" w:name="_Toc184313241"/>
      <w:bookmarkEnd w:id="97"/>
      <w:bookmarkStart w:id="98" w:name="_Toc184313267"/>
      <w:bookmarkEnd w:id="98"/>
      <w:bookmarkStart w:id="99" w:name="_Toc184314453"/>
      <w:bookmarkEnd w:id="99"/>
      <w:bookmarkStart w:id="100" w:name="_Toc184310340"/>
      <w:bookmarkEnd w:id="100"/>
      <w:bookmarkStart w:id="101" w:name="_Toc184313265"/>
      <w:bookmarkEnd w:id="101"/>
      <w:bookmarkStart w:id="102" w:name="_Toc184312127"/>
      <w:bookmarkEnd w:id="102"/>
      <w:bookmarkStart w:id="103" w:name="_Toc184310279"/>
      <w:bookmarkEnd w:id="103"/>
      <w:bookmarkStart w:id="104" w:name="_Toc184308103"/>
      <w:bookmarkEnd w:id="104"/>
      <w:bookmarkStart w:id="105" w:name="_Toc184312122"/>
      <w:bookmarkEnd w:id="105"/>
      <w:bookmarkStart w:id="106" w:name="_Toc184308069"/>
      <w:bookmarkEnd w:id="106"/>
      <w:bookmarkStart w:id="107" w:name="_Toc184312077"/>
      <w:bookmarkEnd w:id="107"/>
      <w:bookmarkStart w:id="108" w:name="_Toc184310302"/>
      <w:bookmarkEnd w:id="108"/>
      <w:bookmarkStart w:id="109" w:name="_Toc184312131"/>
      <w:bookmarkEnd w:id="109"/>
      <w:bookmarkStart w:id="110" w:name="_Toc184314443"/>
      <w:bookmarkEnd w:id="110"/>
      <w:bookmarkStart w:id="111" w:name="_Toc184308053"/>
      <w:bookmarkEnd w:id="111"/>
      <w:bookmarkStart w:id="112" w:name="_Toc184314440"/>
      <w:bookmarkEnd w:id="112"/>
      <w:bookmarkStart w:id="113" w:name="_Toc184313252"/>
      <w:bookmarkEnd w:id="113"/>
      <w:bookmarkStart w:id="114" w:name="_Toc184308084"/>
      <w:bookmarkEnd w:id="114"/>
      <w:bookmarkStart w:id="115" w:name="_Toc184308101"/>
      <w:bookmarkEnd w:id="115"/>
      <w:bookmarkStart w:id="116" w:name="_Toc184314411"/>
      <w:bookmarkEnd w:id="116"/>
      <w:bookmarkStart w:id="117" w:name="_Toc184310293"/>
      <w:bookmarkEnd w:id="117"/>
      <w:bookmarkStart w:id="118" w:name="_Toc184314461"/>
      <w:bookmarkEnd w:id="118"/>
      <w:bookmarkStart w:id="119" w:name="_Toc184308104"/>
      <w:bookmarkEnd w:id="119"/>
      <w:bookmarkStart w:id="120" w:name="_Toc184314426"/>
      <w:bookmarkEnd w:id="120"/>
      <w:bookmarkStart w:id="121" w:name="_Toc184312134"/>
      <w:bookmarkEnd w:id="121"/>
      <w:bookmarkStart w:id="122" w:name="_Toc184313280"/>
      <w:bookmarkEnd w:id="122"/>
      <w:bookmarkStart w:id="123" w:name="_Toc184310310"/>
      <w:bookmarkEnd w:id="123"/>
      <w:bookmarkStart w:id="124" w:name="_Toc184313271"/>
      <w:bookmarkEnd w:id="124"/>
      <w:bookmarkStart w:id="125" w:name="_Toc184312073"/>
      <w:bookmarkEnd w:id="125"/>
      <w:bookmarkStart w:id="126" w:name="_Toc184313295"/>
      <w:bookmarkEnd w:id="126"/>
      <w:bookmarkStart w:id="127" w:name="_Toc184313263"/>
      <w:bookmarkEnd w:id="127"/>
      <w:bookmarkStart w:id="128" w:name="_Toc184314475"/>
      <w:bookmarkEnd w:id="128"/>
      <w:bookmarkStart w:id="129" w:name="_Toc184312132"/>
      <w:bookmarkEnd w:id="129"/>
      <w:bookmarkStart w:id="130" w:name="_Toc184308081"/>
      <w:bookmarkEnd w:id="130"/>
      <w:bookmarkStart w:id="131" w:name="_Toc184308059"/>
      <w:bookmarkEnd w:id="131"/>
      <w:bookmarkStart w:id="132" w:name="_Toc184312126"/>
      <w:bookmarkEnd w:id="132"/>
      <w:bookmarkStart w:id="133" w:name="_Toc184308061"/>
      <w:bookmarkEnd w:id="133"/>
      <w:bookmarkStart w:id="134" w:name="_Toc184314424"/>
      <w:bookmarkEnd w:id="134"/>
      <w:bookmarkStart w:id="135" w:name="_Toc184308037"/>
      <w:bookmarkEnd w:id="135"/>
      <w:bookmarkStart w:id="136" w:name="_Toc184314436"/>
      <w:bookmarkEnd w:id="136"/>
      <w:bookmarkStart w:id="137" w:name="_Toc184313274"/>
      <w:bookmarkEnd w:id="137"/>
      <w:bookmarkStart w:id="138" w:name="_Toc184313248"/>
      <w:bookmarkEnd w:id="138"/>
      <w:bookmarkStart w:id="139" w:name="_Toc184308100"/>
      <w:bookmarkEnd w:id="139"/>
      <w:bookmarkStart w:id="140" w:name="_Toc184308068"/>
      <w:bookmarkEnd w:id="140"/>
      <w:bookmarkStart w:id="141" w:name="_Toc184310307"/>
      <w:bookmarkEnd w:id="141"/>
      <w:bookmarkStart w:id="142" w:name="_Toc184312087"/>
      <w:bookmarkEnd w:id="142"/>
      <w:bookmarkStart w:id="143" w:name="_Toc184310300"/>
      <w:bookmarkEnd w:id="143"/>
      <w:bookmarkStart w:id="144" w:name="_Toc184312135"/>
      <w:bookmarkEnd w:id="144"/>
      <w:bookmarkStart w:id="145" w:name="_Toc184310339"/>
      <w:bookmarkEnd w:id="145"/>
      <w:bookmarkStart w:id="146" w:name="_Toc184313305"/>
      <w:bookmarkEnd w:id="146"/>
      <w:bookmarkStart w:id="147" w:name="_Toc184310317"/>
      <w:bookmarkEnd w:id="147"/>
      <w:bookmarkStart w:id="148" w:name="_Toc184310321"/>
      <w:bookmarkEnd w:id="148"/>
      <w:bookmarkStart w:id="149" w:name="_Toc184308064"/>
      <w:bookmarkEnd w:id="149"/>
      <w:bookmarkStart w:id="150" w:name="_Toc184310296"/>
      <w:bookmarkEnd w:id="150"/>
      <w:bookmarkStart w:id="151" w:name="_Toc184314412"/>
      <w:bookmarkEnd w:id="151"/>
      <w:bookmarkStart w:id="152" w:name="_Toc184312094"/>
      <w:bookmarkEnd w:id="152"/>
      <w:bookmarkStart w:id="153" w:name="_Toc184308107"/>
      <w:bookmarkEnd w:id="153"/>
      <w:bookmarkStart w:id="154" w:name="_Toc184312129"/>
      <w:bookmarkEnd w:id="154"/>
      <w:bookmarkStart w:id="155" w:name="_Toc184312095"/>
      <w:bookmarkEnd w:id="155"/>
      <w:bookmarkStart w:id="156" w:name="_Toc184313277"/>
      <w:bookmarkEnd w:id="156"/>
      <w:bookmarkStart w:id="157" w:name="_Toc184312123"/>
      <w:bookmarkEnd w:id="157"/>
      <w:bookmarkStart w:id="158" w:name="_Toc184308075"/>
      <w:bookmarkEnd w:id="158"/>
      <w:bookmarkStart w:id="159" w:name="_Toc184314423"/>
      <w:bookmarkEnd w:id="159"/>
      <w:bookmarkStart w:id="160" w:name="_Toc184313272"/>
      <w:bookmarkEnd w:id="160"/>
      <w:bookmarkStart w:id="161" w:name="_Toc184314446"/>
      <w:bookmarkEnd w:id="161"/>
      <w:bookmarkStart w:id="162" w:name="_Toc184313286"/>
      <w:bookmarkEnd w:id="162"/>
      <w:bookmarkStart w:id="163" w:name="_Toc184308095"/>
      <w:bookmarkEnd w:id="163"/>
      <w:bookmarkStart w:id="164" w:name="_Toc184310291"/>
      <w:bookmarkEnd w:id="164"/>
      <w:bookmarkStart w:id="165" w:name="_Toc184313297"/>
      <w:bookmarkEnd w:id="165"/>
      <w:bookmarkStart w:id="166" w:name="_Toc184312092"/>
      <w:bookmarkEnd w:id="166"/>
      <w:bookmarkStart w:id="167" w:name="_Toc184310283"/>
      <w:bookmarkEnd w:id="167"/>
      <w:bookmarkStart w:id="168" w:name="_Toc184313266"/>
      <w:bookmarkEnd w:id="168"/>
      <w:bookmarkStart w:id="169" w:name="_Toc184314421"/>
      <w:bookmarkEnd w:id="169"/>
      <w:bookmarkStart w:id="170" w:name="_Toc184310274"/>
      <w:bookmarkEnd w:id="170"/>
      <w:bookmarkStart w:id="171" w:name="_Toc184310337"/>
      <w:bookmarkEnd w:id="171"/>
      <w:bookmarkStart w:id="172" w:name="_Toc184310289"/>
      <w:bookmarkEnd w:id="172"/>
      <w:bookmarkStart w:id="173" w:name="_Toc184314466"/>
      <w:bookmarkEnd w:id="173"/>
      <w:bookmarkStart w:id="174" w:name="_Toc184314449"/>
      <w:bookmarkEnd w:id="174"/>
      <w:bookmarkStart w:id="175" w:name="_Toc184310342"/>
      <w:bookmarkEnd w:id="175"/>
      <w:bookmarkStart w:id="176" w:name="_Toc184313244"/>
      <w:bookmarkEnd w:id="176"/>
      <w:bookmarkStart w:id="177" w:name="_Toc184312130"/>
      <w:bookmarkEnd w:id="177"/>
      <w:bookmarkStart w:id="178" w:name="_Toc184312089"/>
      <w:bookmarkEnd w:id="178"/>
      <w:bookmarkStart w:id="179" w:name="_Toc184310282"/>
      <w:bookmarkEnd w:id="179"/>
      <w:bookmarkStart w:id="180" w:name="_Toc184314459"/>
      <w:bookmarkEnd w:id="180"/>
      <w:bookmarkStart w:id="181" w:name="_Toc184308076"/>
      <w:bookmarkEnd w:id="181"/>
      <w:bookmarkStart w:id="182" w:name="_Toc184308057"/>
      <w:bookmarkEnd w:id="182"/>
      <w:bookmarkStart w:id="183" w:name="_Toc184314479"/>
      <w:bookmarkEnd w:id="183"/>
      <w:bookmarkStart w:id="184" w:name="_Toc184314435"/>
      <w:bookmarkEnd w:id="184"/>
      <w:bookmarkStart w:id="185" w:name="_Toc184312138"/>
      <w:bookmarkEnd w:id="185"/>
      <w:bookmarkStart w:id="186" w:name="_Toc184313242"/>
      <w:bookmarkEnd w:id="186"/>
      <w:bookmarkStart w:id="187" w:name="_Toc184308105"/>
      <w:bookmarkEnd w:id="187"/>
      <w:bookmarkStart w:id="188" w:name="_Toc184312106"/>
      <w:bookmarkEnd w:id="188"/>
      <w:bookmarkStart w:id="189" w:name="_Toc184308070"/>
      <w:bookmarkEnd w:id="189"/>
      <w:bookmarkStart w:id="190" w:name="_Toc184312105"/>
      <w:bookmarkEnd w:id="190"/>
      <w:bookmarkStart w:id="191" w:name="_Toc184314471"/>
      <w:bookmarkEnd w:id="191"/>
      <w:bookmarkStart w:id="192" w:name="_Toc184314472"/>
      <w:bookmarkEnd w:id="192"/>
      <w:bookmarkStart w:id="193" w:name="_Toc184314413"/>
      <w:bookmarkEnd w:id="193"/>
      <w:bookmarkStart w:id="194" w:name="_Toc184313302"/>
      <w:bookmarkEnd w:id="194"/>
      <w:bookmarkStart w:id="195" w:name="_Toc184312067"/>
      <w:bookmarkEnd w:id="195"/>
      <w:bookmarkStart w:id="196" w:name="_Toc184313276"/>
      <w:bookmarkEnd w:id="196"/>
      <w:bookmarkStart w:id="197" w:name="_Toc184308083"/>
      <w:bookmarkEnd w:id="197"/>
      <w:bookmarkStart w:id="198" w:name="_Toc184312068"/>
      <w:bookmarkEnd w:id="198"/>
      <w:bookmarkStart w:id="199" w:name="_Toc184308066"/>
      <w:bookmarkEnd w:id="199"/>
      <w:bookmarkStart w:id="200" w:name="_Toc184313261"/>
      <w:bookmarkEnd w:id="200"/>
      <w:bookmarkStart w:id="201" w:name="_Toc184313303"/>
      <w:bookmarkEnd w:id="201"/>
      <w:bookmarkStart w:id="202" w:name="_Toc184313289"/>
      <w:bookmarkEnd w:id="202"/>
      <w:bookmarkStart w:id="203" w:name="_Toc184313287"/>
      <w:bookmarkEnd w:id="203"/>
      <w:bookmarkStart w:id="204" w:name="_Toc184314465"/>
      <w:bookmarkEnd w:id="204"/>
      <w:bookmarkStart w:id="205" w:name="_Toc184314417"/>
      <w:bookmarkEnd w:id="205"/>
      <w:bookmarkStart w:id="206" w:name="_Toc184308047"/>
      <w:bookmarkEnd w:id="206"/>
      <w:bookmarkStart w:id="207" w:name="_Toc184308088"/>
      <w:bookmarkEnd w:id="207"/>
      <w:bookmarkStart w:id="208" w:name="_Toc184313254"/>
      <w:bookmarkEnd w:id="208"/>
      <w:bookmarkStart w:id="209" w:name="_Toc184308106"/>
      <w:bookmarkEnd w:id="209"/>
      <w:bookmarkStart w:id="210" w:name="_Toc184314457"/>
      <w:bookmarkEnd w:id="210"/>
      <w:bookmarkStart w:id="211" w:name="_Toc184312072"/>
      <w:bookmarkEnd w:id="211"/>
      <w:bookmarkStart w:id="212" w:name="_Toc184314419"/>
      <w:bookmarkEnd w:id="212"/>
      <w:bookmarkStart w:id="213" w:name="_Toc184313283"/>
      <w:bookmarkEnd w:id="213"/>
      <w:bookmarkStart w:id="214" w:name="_Toc184312085"/>
      <w:bookmarkEnd w:id="214"/>
      <w:bookmarkStart w:id="215" w:name="_Toc184308052"/>
      <w:bookmarkEnd w:id="215"/>
      <w:bookmarkStart w:id="216" w:name="_Toc184310318"/>
      <w:bookmarkEnd w:id="216"/>
      <w:bookmarkStart w:id="217" w:name="_Toc184314480"/>
      <w:bookmarkEnd w:id="217"/>
      <w:bookmarkStart w:id="218" w:name="_Toc184312080"/>
      <w:bookmarkEnd w:id="218"/>
      <w:bookmarkStart w:id="219" w:name="_Toc184308077"/>
      <w:bookmarkEnd w:id="219"/>
      <w:bookmarkStart w:id="220" w:name="_Toc184313256"/>
      <w:bookmarkEnd w:id="220"/>
      <w:bookmarkStart w:id="221" w:name="_Toc184312078"/>
      <w:bookmarkEnd w:id="221"/>
      <w:bookmarkStart w:id="222" w:name="_Toc184313260"/>
      <w:bookmarkEnd w:id="222"/>
      <w:bookmarkStart w:id="223" w:name="_Toc184308049"/>
      <w:bookmarkEnd w:id="223"/>
      <w:bookmarkStart w:id="224" w:name="_Toc184313247"/>
      <w:bookmarkEnd w:id="224"/>
      <w:bookmarkStart w:id="225" w:name="_Toc184310331"/>
      <w:bookmarkEnd w:id="225"/>
      <w:bookmarkStart w:id="226" w:name="_Toc184308038"/>
      <w:bookmarkEnd w:id="226"/>
      <w:bookmarkStart w:id="227" w:name="_Toc184314431"/>
      <w:bookmarkEnd w:id="227"/>
      <w:bookmarkStart w:id="228" w:name="_Toc184310316"/>
      <w:bookmarkEnd w:id="228"/>
      <w:bookmarkStart w:id="229" w:name="_Toc184314452"/>
      <w:bookmarkEnd w:id="229"/>
      <w:bookmarkStart w:id="230" w:name="_Toc184310303"/>
      <w:bookmarkEnd w:id="230"/>
      <w:bookmarkStart w:id="231" w:name="_Toc184312102"/>
      <w:bookmarkEnd w:id="231"/>
      <w:bookmarkStart w:id="232" w:name="_Toc184313258"/>
      <w:bookmarkEnd w:id="232"/>
      <w:bookmarkStart w:id="233" w:name="_Toc184308062"/>
      <w:bookmarkEnd w:id="233"/>
      <w:bookmarkStart w:id="234" w:name="_Toc184310295"/>
      <w:bookmarkEnd w:id="234"/>
      <w:bookmarkStart w:id="235" w:name="_Toc184314478"/>
      <w:bookmarkEnd w:id="235"/>
      <w:bookmarkStart w:id="236" w:name="_Toc184308073"/>
      <w:bookmarkEnd w:id="236"/>
      <w:bookmarkStart w:id="237" w:name="_Toc184310320"/>
      <w:bookmarkEnd w:id="237"/>
      <w:bookmarkStart w:id="238" w:name="_Toc184312084"/>
      <w:bookmarkEnd w:id="238"/>
      <w:bookmarkStart w:id="239" w:name="_Toc184312104"/>
      <w:bookmarkEnd w:id="239"/>
      <w:bookmarkStart w:id="240" w:name="_Toc184313308"/>
      <w:bookmarkEnd w:id="240"/>
      <w:bookmarkStart w:id="241" w:name="_Toc184308041"/>
      <w:bookmarkEnd w:id="241"/>
      <w:bookmarkStart w:id="242" w:name="_Toc184310329"/>
      <w:bookmarkEnd w:id="242"/>
      <w:bookmarkStart w:id="243" w:name="_Toc184308071"/>
      <w:bookmarkEnd w:id="243"/>
      <w:bookmarkStart w:id="244" w:name="_Toc184308042"/>
      <w:bookmarkEnd w:id="244"/>
      <w:bookmarkStart w:id="245" w:name="_Toc184308090"/>
      <w:bookmarkEnd w:id="245"/>
      <w:bookmarkStart w:id="246" w:name="_Toc184308091"/>
      <w:bookmarkEnd w:id="246"/>
      <w:bookmarkStart w:id="247" w:name="_Toc184312136"/>
      <w:bookmarkEnd w:id="247"/>
      <w:bookmarkStart w:id="248" w:name="_Toc184313238"/>
      <w:bookmarkEnd w:id="248"/>
      <w:bookmarkStart w:id="249" w:name="_Toc184310280"/>
      <w:bookmarkEnd w:id="249"/>
      <w:bookmarkStart w:id="250" w:name="_Toc184313284"/>
      <w:bookmarkEnd w:id="250"/>
      <w:bookmarkStart w:id="251" w:name="_Toc184312075"/>
      <w:bookmarkEnd w:id="251"/>
      <w:bookmarkStart w:id="252" w:name="_Toc184312117"/>
      <w:bookmarkEnd w:id="252"/>
      <w:bookmarkStart w:id="253" w:name="_Toc184312091"/>
      <w:bookmarkEnd w:id="253"/>
      <w:bookmarkStart w:id="254" w:name="_Toc184313251"/>
      <w:bookmarkEnd w:id="254"/>
      <w:bookmarkStart w:id="255" w:name="_Toc184314455"/>
      <w:bookmarkEnd w:id="255"/>
      <w:bookmarkStart w:id="256" w:name="_Toc184308045"/>
      <w:bookmarkEnd w:id="256"/>
      <w:bookmarkStart w:id="257" w:name="_Toc184313239"/>
      <w:bookmarkEnd w:id="257"/>
      <w:bookmarkStart w:id="258" w:name="_Toc184308074"/>
      <w:bookmarkEnd w:id="258"/>
      <w:bookmarkStart w:id="259" w:name="_Toc184308040"/>
      <w:bookmarkEnd w:id="259"/>
      <w:bookmarkStart w:id="260" w:name="_Toc184310285"/>
      <w:bookmarkEnd w:id="260"/>
      <w:bookmarkStart w:id="261" w:name="_Toc184313268"/>
      <w:bookmarkEnd w:id="261"/>
      <w:bookmarkStart w:id="262" w:name="_Toc184312081"/>
      <w:bookmarkEnd w:id="262"/>
      <w:bookmarkStart w:id="263" w:name="_Toc184312109"/>
      <w:bookmarkEnd w:id="263"/>
      <w:bookmarkStart w:id="264" w:name="_Toc184310327"/>
      <w:bookmarkEnd w:id="264"/>
      <w:bookmarkStart w:id="265" w:name="_Toc184313253"/>
      <w:bookmarkEnd w:id="265"/>
      <w:bookmarkStart w:id="266" w:name="_Toc184312070"/>
      <w:bookmarkEnd w:id="266"/>
      <w:bookmarkStart w:id="267" w:name="_Toc184310298"/>
      <w:bookmarkEnd w:id="267"/>
      <w:bookmarkStart w:id="268" w:name="_Toc184308043"/>
      <w:bookmarkEnd w:id="268"/>
      <w:bookmarkStart w:id="269" w:name="_Toc184313288"/>
      <w:bookmarkEnd w:id="269"/>
      <w:bookmarkStart w:id="270" w:name="_Toc184313249"/>
      <w:bookmarkEnd w:id="270"/>
      <w:bookmarkStart w:id="271" w:name="_Toc184313279"/>
      <w:bookmarkEnd w:id="271"/>
      <w:bookmarkStart w:id="272" w:name="_Toc184310290"/>
      <w:bookmarkEnd w:id="272"/>
      <w:bookmarkStart w:id="273" w:name="_Toc184312076"/>
      <w:bookmarkEnd w:id="273"/>
      <w:bookmarkStart w:id="274" w:name="_Toc184313299"/>
      <w:bookmarkEnd w:id="274"/>
      <w:bookmarkStart w:id="275" w:name="_Toc184312069"/>
      <w:bookmarkEnd w:id="275"/>
      <w:bookmarkStart w:id="276" w:name="_Toc184310315"/>
      <w:bookmarkEnd w:id="276"/>
      <w:bookmarkStart w:id="277" w:name="_Toc184312121"/>
      <w:bookmarkEnd w:id="277"/>
      <w:bookmarkStart w:id="278" w:name="_Toc184310276"/>
      <w:bookmarkEnd w:id="278"/>
      <w:bookmarkStart w:id="279" w:name="_Toc184314414"/>
      <w:bookmarkEnd w:id="279"/>
      <w:bookmarkStart w:id="280" w:name="_Toc184312079"/>
      <w:bookmarkEnd w:id="280"/>
      <w:bookmarkStart w:id="281" w:name="_Toc184314445"/>
      <w:bookmarkEnd w:id="281"/>
      <w:bookmarkStart w:id="282" w:name="_Toc184310314"/>
      <w:bookmarkEnd w:id="282"/>
      <w:bookmarkStart w:id="283" w:name="_Toc184308082"/>
      <w:bookmarkEnd w:id="283"/>
      <w:bookmarkStart w:id="284" w:name="_Toc184314463"/>
      <w:bookmarkEnd w:id="284"/>
      <w:bookmarkStart w:id="285" w:name="_Toc184310312"/>
      <w:bookmarkEnd w:id="285"/>
      <w:bookmarkStart w:id="286" w:name="_Toc184308102"/>
      <w:bookmarkEnd w:id="286"/>
      <w:bookmarkStart w:id="287" w:name="_Toc184313246"/>
      <w:bookmarkEnd w:id="287"/>
      <w:bookmarkStart w:id="288" w:name="_Toc184308046"/>
      <w:bookmarkEnd w:id="288"/>
      <w:bookmarkStart w:id="289" w:name="_Toc184308094"/>
      <w:bookmarkEnd w:id="289"/>
      <w:bookmarkStart w:id="290" w:name="_Toc184308089"/>
      <w:bookmarkEnd w:id="290"/>
      <w:bookmarkStart w:id="291" w:name="_Toc184312119"/>
      <w:bookmarkEnd w:id="291"/>
      <w:bookmarkStart w:id="292" w:name="_Toc184312112"/>
      <w:bookmarkEnd w:id="292"/>
      <w:bookmarkStart w:id="293" w:name="_Toc184314462"/>
      <w:bookmarkEnd w:id="293"/>
      <w:bookmarkStart w:id="294" w:name="_Toc184310273"/>
      <w:bookmarkEnd w:id="294"/>
      <w:bookmarkStart w:id="295" w:name="_Toc184314432"/>
      <w:bookmarkEnd w:id="295"/>
      <w:bookmarkStart w:id="296" w:name="_Toc184314481"/>
      <w:bookmarkEnd w:id="296"/>
      <w:bookmarkStart w:id="297" w:name="_Toc184310301"/>
      <w:bookmarkEnd w:id="297"/>
      <w:bookmarkStart w:id="298" w:name="_Toc184308079"/>
      <w:bookmarkEnd w:id="298"/>
      <w:bookmarkStart w:id="299" w:name="_Toc184313290"/>
      <w:bookmarkEnd w:id="299"/>
      <w:bookmarkStart w:id="300" w:name="_Toc184313285"/>
      <w:bookmarkEnd w:id="300"/>
      <w:bookmarkStart w:id="301" w:name="_Toc184313243"/>
      <w:bookmarkEnd w:id="301"/>
      <w:bookmarkStart w:id="302" w:name="_Toc184310333"/>
      <w:bookmarkEnd w:id="302"/>
      <w:bookmarkStart w:id="303" w:name="_Toc184313292"/>
      <w:bookmarkEnd w:id="303"/>
      <w:bookmarkStart w:id="304" w:name="_Toc184312116"/>
      <w:bookmarkEnd w:id="304"/>
      <w:bookmarkStart w:id="305" w:name="_Toc184314454"/>
      <w:bookmarkEnd w:id="305"/>
      <w:bookmarkStart w:id="306" w:name="_Toc184314427"/>
      <w:bookmarkEnd w:id="306"/>
      <w:bookmarkStart w:id="307" w:name="_Toc184314458"/>
      <w:bookmarkEnd w:id="307"/>
      <w:bookmarkStart w:id="308" w:name="_Toc184314473"/>
      <w:bookmarkEnd w:id="308"/>
      <w:bookmarkStart w:id="309" w:name="_Toc184313245"/>
      <w:bookmarkEnd w:id="309"/>
      <w:bookmarkStart w:id="310" w:name="_Toc184310288"/>
      <w:bookmarkEnd w:id="310"/>
      <w:bookmarkStart w:id="311" w:name="_Toc184310281"/>
      <w:bookmarkEnd w:id="311"/>
      <w:bookmarkStart w:id="312" w:name="_Toc184310332"/>
      <w:bookmarkEnd w:id="312"/>
      <w:bookmarkStart w:id="313" w:name="_Toc184310287"/>
      <w:bookmarkEnd w:id="313"/>
      <w:bookmarkStart w:id="314" w:name="_Toc184308085"/>
      <w:bookmarkEnd w:id="314"/>
      <w:bookmarkStart w:id="315" w:name="_Toc184313250"/>
      <w:bookmarkEnd w:id="315"/>
      <w:bookmarkStart w:id="316" w:name="_Toc184313257"/>
      <w:bookmarkEnd w:id="316"/>
      <w:bookmarkStart w:id="317" w:name="_Toc184308067"/>
      <w:bookmarkEnd w:id="317"/>
      <w:bookmarkStart w:id="318" w:name="_Toc184314468"/>
      <w:bookmarkEnd w:id="318"/>
      <w:bookmarkStart w:id="319" w:name="_Toc184310304"/>
      <w:bookmarkEnd w:id="319"/>
      <w:bookmarkStart w:id="320" w:name="_Toc184313298"/>
      <w:bookmarkEnd w:id="320"/>
      <w:bookmarkStart w:id="321" w:name="_Toc184314437"/>
      <w:bookmarkEnd w:id="321"/>
      <w:bookmarkStart w:id="322" w:name="_Toc184312113"/>
      <w:bookmarkEnd w:id="322"/>
      <w:bookmarkStart w:id="323" w:name="_Toc184310284"/>
      <w:bookmarkEnd w:id="323"/>
      <w:bookmarkStart w:id="324" w:name="_Toc184312110"/>
      <w:bookmarkEnd w:id="324"/>
      <w:bookmarkStart w:id="325" w:name="_Toc184314434"/>
      <w:bookmarkEnd w:id="325"/>
      <w:bookmarkStart w:id="326" w:name="_Toc184313269"/>
      <w:bookmarkEnd w:id="326"/>
      <w:bookmarkStart w:id="327" w:name="_Toc184314451"/>
      <w:bookmarkEnd w:id="327"/>
      <w:bookmarkStart w:id="328" w:name="_Toc184310292"/>
      <w:bookmarkEnd w:id="328"/>
      <w:bookmarkStart w:id="329" w:name="_Toc184314415"/>
      <w:bookmarkEnd w:id="329"/>
      <w:bookmarkStart w:id="330" w:name="_Toc184310343"/>
      <w:bookmarkEnd w:id="330"/>
      <w:bookmarkStart w:id="331" w:name="_Toc184308063"/>
      <w:bookmarkEnd w:id="331"/>
      <w:bookmarkStart w:id="332" w:name="_Toc184308093"/>
      <w:bookmarkEnd w:id="332"/>
      <w:bookmarkStart w:id="333" w:name="_Toc184312083"/>
      <w:bookmarkEnd w:id="333"/>
      <w:bookmarkStart w:id="334" w:name="_Toc184310322"/>
      <w:bookmarkEnd w:id="334"/>
      <w:bookmarkStart w:id="335" w:name="_Toc184314460"/>
      <w:bookmarkEnd w:id="335"/>
      <w:bookmarkStart w:id="336" w:name="_Toc184314428"/>
      <w:bookmarkEnd w:id="336"/>
      <w:bookmarkStart w:id="337" w:name="_Toc184314444"/>
      <w:bookmarkEnd w:id="337"/>
      <w:bookmarkStart w:id="338" w:name="_Toc184314442"/>
      <w:bookmarkEnd w:id="338"/>
      <w:bookmarkStart w:id="339" w:name="_Toc184312071"/>
      <w:bookmarkEnd w:id="339"/>
      <w:bookmarkStart w:id="340" w:name="_Toc184308054"/>
      <w:bookmarkEnd w:id="340"/>
      <w:bookmarkStart w:id="341" w:name="_Toc184310272"/>
      <w:bookmarkEnd w:id="341"/>
      <w:bookmarkStart w:id="342" w:name="_Toc184308058"/>
      <w:bookmarkEnd w:id="342"/>
      <w:bookmarkStart w:id="343" w:name="_Toc184312133"/>
      <w:bookmarkEnd w:id="343"/>
      <w:bookmarkStart w:id="344" w:name="_Toc184313281"/>
      <w:bookmarkEnd w:id="344"/>
      <w:bookmarkStart w:id="345" w:name="_Toc184314464"/>
      <w:bookmarkEnd w:id="345"/>
      <w:bookmarkStart w:id="346" w:name="_Toc184310275"/>
      <w:bookmarkEnd w:id="346"/>
      <w:bookmarkStart w:id="347" w:name="_Toc184314476"/>
      <w:bookmarkEnd w:id="347"/>
      <w:bookmarkStart w:id="348" w:name="_Toc184310330"/>
      <w:bookmarkEnd w:id="348"/>
      <w:bookmarkStart w:id="349" w:name="_Toc184310309"/>
      <w:bookmarkEnd w:id="349"/>
      <w:bookmarkStart w:id="350" w:name="_Toc184310334"/>
      <w:bookmarkEnd w:id="350"/>
      <w:bookmarkStart w:id="351" w:name="_Toc184313301"/>
      <w:bookmarkEnd w:id="351"/>
      <w:bookmarkStart w:id="352" w:name="_Toc184308072"/>
      <w:bookmarkEnd w:id="352"/>
      <w:bookmarkStart w:id="353" w:name="_Toc184310335"/>
      <w:bookmarkEnd w:id="353"/>
      <w:bookmarkStart w:id="354" w:name="_Toc184312088"/>
      <w:bookmarkEnd w:id="354"/>
      <w:bookmarkStart w:id="355" w:name="_Toc184312086"/>
      <w:bookmarkEnd w:id="355"/>
      <w:bookmarkStart w:id="356" w:name="_Toc184310338"/>
      <w:bookmarkEnd w:id="356"/>
      <w:bookmarkStart w:id="357" w:name="_Toc184312103"/>
      <w:bookmarkEnd w:id="357"/>
      <w:bookmarkStart w:id="358" w:name="_Toc184308108"/>
      <w:bookmarkEnd w:id="358"/>
      <w:bookmarkStart w:id="359" w:name="_Toc184312097"/>
      <w:bookmarkEnd w:id="359"/>
      <w:bookmarkStart w:id="360" w:name="_Toc184308099"/>
      <w:bookmarkEnd w:id="360"/>
      <w:bookmarkStart w:id="361" w:name="_Toc184310323"/>
      <w:bookmarkEnd w:id="361"/>
      <w:bookmarkStart w:id="362" w:name="_Toc184310328"/>
      <w:bookmarkEnd w:id="362"/>
      <w:bookmarkStart w:id="363" w:name="_Toc184313291"/>
      <w:bookmarkEnd w:id="363"/>
      <w:bookmarkStart w:id="364" w:name="_Toc184308097"/>
      <w:bookmarkEnd w:id="364"/>
      <w:bookmarkStart w:id="365" w:name="_Toc184313300"/>
      <w:bookmarkEnd w:id="365"/>
      <w:bookmarkStart w:id="366" w:name="_Toc184308078"/>
      <w:bookmarkEnd w:id="366"/>
      <w:bookmarkStart w:id="367" w:name="_Toc184313294"/>
      <w:bookmarkEnd w:id="367"/>
      <w:bookmarkStart w:id="368" w:name="_Toc184310278"/>
      <w:bookmarkEnd w:id="368"/>
      <w:bookmarkStart w:id="369" w:name="_Toc184314469"/>
      <w:bookmarkEnd w:id="369"/>
      <w:bookmarkStart w:id="370" w:name="_Toc184314418"/>
      <w:bookmarkEnd w:id="370"/>
      <w:bookmarkStart w:id="371" w:name="_Toc184313310"/>
      <w:bookmarkEnd w:id="371"/>
      <w:bookmarkStart w:id="372" w:name="_Toc184310306"/>
      <w:bookmarkEnd w:id="372"/>
      <w:bookmarkStart w:id="373" w:name="_Toc184314410"/>
      <w:bookmarkEnd w:id="373"/>
      <w:bookmarkStart w:id="374" w:name="_Toc184308056"/>
      <w:bookmarkEnd w:id="374"/>
      <w:bookmarkStart w:id="375" w:name="_Toc184308036"/>
      <w:bookmarkEnd w:id="375"/>
      <w:bookmarkStart w:id="376" w:name="_Toc184312120"/>
      <w:bookmarkEnd w:id="376"/>
      <w:bookmarkStart w:id="377" w:name="_Toc184312115"/>
      <w:bookmarkEnd w:id="377"/>
      <w:bookmarkStart w:id="378" w:name="_Toc184314474"/>
      <w:bookmarkEnd w:id="378"/>
      <w:bookmarkStart w:id="379" w:name="_Toc184313240"/>
      <w:bookmarkEnd w:id="379"/>
      <w:bookmarkStart w:id="380" w:name="_Toc184310305"/>
      <w:bookmarkEnd w:id="380"/>
      <w:bookmarkStart w:id="381" w:name="_Toc184313282"/>
      <w:bookmarkEnd w:id="381"/>
      <w:bookmarkStart w:id="382" w:name="_Toc184312107"/>
      <w:bookmarkEnd w:id="382"/>
      <w:bookmarkStart w:id="383" w:name="_Toc184313307"/>
      <w:bookmarkEnd w:id="383"/>
      <w:bookmarkStart w:id="384" w:name="_Toc184312099"/>
      <w:bookmarkEnd w:id="384"/>
      <w:bookmarkStart w:id="385" w:name="_Toc184313293"/>
      <w:bookmarkEnd w:id="385"/>
      <w:bookmarkStart w:id="386" w:name="_Toc184308096"/>
      <w:bookmarkEnd w:id="386"/>
      <w:bookmarkStart w:id="387" w:name="_Toc184314430"/>
      <w:bookmarkEnd w:id="387"/>
      <w:bookmarkStart w:id="388" w:name="_Toc184314416"/>
      <w:bookmarkEnd w:id="388"/>
      <w:bookmarkStart w:id="389" w:name="_Toc184310308"/>
      <w:bookmarkEnd w:id="389"/>
      <w:bookmarkStart w:id="390" w:name="_Toc184314448"/>
      <w:bookmarkEnd w:id="390"/>
      <w:bookmarkStart w:id="391" w:name="_Toc184312118"/>
      <w:bookmarkEnd w:id="391"/>
      <w:bookmarkStart w:id="392" w:name="_Toc184308092"/>
      <w:bookmarkEnd w:id="392"/>
      <w:bookmarkStart w:id="393" w:name="_Toc184312090"/>
      <w:bookmarkEnd w:id="393"/>
      <w:r>
        <w:rPr>
          <w:rFonts w:hint="eastAsia" w:ascii="宋体" w:hAnsi="宋体" w:cs="宋体"/>
          <w:b/>
          <w:color w:val="auto"/>
          <w:sz w:val="36"/>
          <w:szCs w:val="36"/>
          <w:highlight w:val="none"/>
        </w:rPr>
        <w:t>评标办法</w:t>
      </w:r>
    </w:p>
    <w:p w14:paraId="7C384D3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bookmarkEnd w:id="25"/>
    <w:tbl>
      <w:tblPr>
        <w:tblStyle w:val="62"/>
        <w:tblW w:w="9653" w:type="dxa"/>
        <w:jc w:val="center"/>
        <w:tblLayout w:type="fixed"/>
        <w:tblCellMar>
          <w:top w:w="0" w:type="dxa"/>
          <w:left w:w="108" w:type="dxa"/>
          <w:bottom w:w="0" w:type="dxa"/>
          <w:right w:w="108" w:type="dxa"/>
        </w:tblCellMar>
      </w:tblPr>
      <w:tblGrid>
        <w:gridCol w:w="834"/>
        <w:gridCol w:w="7391"/>
        <w:gridCol w:w="728"/>
        <w:gridCol w:w="700"/>
      </w:tblGrid>
      <w:tr w14:paraId="1FF1D579">
        <w:tblPrEx>
          <w:tblCellMar>
            <w:top w:w="0" w:type="dxa"/>
            <w:left w:w="108" w:type="dxa"/>
            <w:bottom w:w="0" w:type="dxa"/>
            <w:right w:w="108" w:type="dxa"/>
          </w:tblCellMar>
        </w:tblPrEx>
        <w:trPr>
          <w:trHeight w:val="65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69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bookmarkStart w:id="394" w:name="第五部分"/>
            <w:bookmarkStart w:id="395" w:name="_Toc86217003"/>
            <w:r>
              <w:rPr>
                <w:rFonts w:hint="eastAsia" w:asciiTheme="minorEastAsia" w:hAnsiTheme="minorEastAsia" w:eastAsiaTheme="minorEastAsia" w:cstheme="minorEastAsia"/>
                <w:color w:val="auto"/>
                <w:sz w:val="21"/>
                <w:szCs w:val="21"/>
                <w:highlight w:val="none"/>
              </w:rPr>
              <w:t>序号</w:t>
            </w:r>
          </w:p>
        </w:tc>
        <w:tc>
          <w:tcPr>
            <w:tcW w:w="7391" w:type="dxa"/>
            <w:tcBorders>
              <w:top w:val="single" w:color="000000" w:sz="4" w:space="0"/>
              <w:left w:val="nil"/>
              <w:bottom w:val="single" w:color="000000" w:sz="4" w:space="0"/>
              <w:right w:val="single" w:color="000000" w:sz="4" w:space="0"/>
            </w:tcBorders>
            <w:shd w:val="clear" w:color="auto" w:fill="auto"/>
            <w:vAlign w:val="center"/>
          </w:tcPr>
          <w:p w14:paraId="2C97E95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评审条款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99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最高分值</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8A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主客观分</w:t>
            </w:r>
          </w:p>
        </w:tc>
      </w:tr>
      <w:tr w14:paraId="46CE2748">
        <w:tblPrEx>
          <w:tblCellMar>
            <w:top w:w="0" w:type="dxa"/>
            <w:left w:w="108" w:type="dxa"/>
            <w:bottom w:w="0" w:type="dxa"/>
            <w:right w:w="108" w:type="dxa"/>
          </w:tblCellMar>
        </w:tblPrEx>
        <w:trPr>
          <w:trHeight w:val="578"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D8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0EC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bidi="ar"/>
              </w:rPr>
              <w:t>服务质量评价：</w:t>
            </w:r>
          </w:p>
          <w:p w14:paraId="3F2F0E5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202</w:t>
            </w:r>
            <w:r>
              <w:rPr>
                <w:rFonts w:hint="eastAsia" w:asciiTheme="minorEastAsia" w:hAnsiTheme="minorEastAsia" w:eastAsiaTheme="minorEastAsia" w:cstheme="minorEastAsia"/>
                <w:color w:val="auto"/>
                <w:sz w:val="21"/>
                <w:szCs w:val="21"/>
                <w:highlight w:val="none"/>
                <w:lang w:val="en-US" w:eastAsia="zh-CN" w:bidi="ar"/>
              </w:rPr>
              <w:t>2</w:t>
            </w:r>
            <w:r>
              <w:rPr>
                <w:rFonts w:hint="eastAsia" w:asciiTheme="minorEastAsia" w:hAnsiTheme="minorEastAsia" w:eastAsiaTheme="minorEastAsia" w:cstheme="minorEastAsia"/>
                <w:color w:val="auto"/>
                <w:sz w:val="21"/>
                <w:szCs w:val="21"/>
                <w:highlight w:val="none"/>
                <w:lang w:bidi="ar"/>
              </w:rPr>
              <w:t>年1月1日起，投标人收到服务项目业主单位</w:t>
            </w:r>
            <w:r>
              <w:rPr>
                <w:rFonts w:hint="eastAsia" w:asciiTheme="minorEastAsia" w:hAnsiTheme="minorEastAsia" w:eastAsiaTheme="minorEastAsia" w:cstheme="minorEastAsia"/>
                <w:color w:val="auto"/>
                <w:sz w:val="21"/>
                <w:szCs w:val="21"/>
                <w:highlight w:val="none"/>
                <w:lang w:eastAsia="zh-CN" w:bidi="ar"/>
              </w:rPr>
              <w:t>的</w:t>
            </w:r>
            <w:r>
              <w:rPr>
                <w:rFonts w:hint="eastAsia" w:asciiTheme="minorEastAsia" w:hAnsiTheme="minorEastAsia" w:eastAsiaTheme="minorEastAsia" w:cstheme="minorEastAsia"/>
                <w:color w:val="auto"/>
                <w:sz w:val="21"/>
                <w:szCs w:val="21"/>
                <w:highlight w:val="none"/>
                <w:lang w:bidi="ar"/>
              </w:rPr>
              <w:t>表扬信、感谢信、表彰等正面评价材料，每提供1个得1分。</w:t>
            </w:r>
          </w:p>
          <w:p w14:paraId="6FD1344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bidi="ar"/>
              </w:rPr>
              <w:t>业主单位</w:t>
            </w:r>
            <w:r>
              <w:rPr>
                <w:rFonts w:hint="eastAsia" w:asciiTheme="minorEastAsia" w:hAnsiTheme="minorEastAsia" w:eastAsiaTheme="minorEastAsia" w:cstheme="minorEastAsia"/>
                <w:color w:val="auto"/>
                <w:sz w:val="21"/>
                <w:szCs w:val="21"/>
                <w:highlight w:val="none"/>
                <w:lang w:bidi="ar"/>
              </w:rPr>
              <w:t>包括但不限于机关事业单位、公司、小区业委会</w:t>
            </w:r>
            <w:r>
              <w:rPr>
                <w:rFonts w:hint="eastAsia" w:asciiTheme="minorEastAsia" w:hAnsiTheme="minorEastAsia" w:eastAsiaTheme="minorEastAsia" w:cstheme="minorEastAsia"/>
                <w:b w:val="0"/>
                <w:bCs w:val="0"/>
                <w:color w:val="auto"/>
                <w:sz w:val="21"/>
                <w:szCs w:val="21"/>
                <w:highlight w:val="none"/>
                <w:u w:val="none"/>
                <w:lang w:bidi="ar"/>
              </w:rPr>
              <w:t>等非自然人机构</w:t>
            </w:r>
            <w:r>
              <w:rPr>
                <w:rFonts w:hint="eastAsia" w:asciiTheme="minorEastAsia" w:hAnsiTheme="minorEastAsia" w:eastAsiaTheme="minorEastAsia" w:cstheme="minorEastAsia"/>
                <w:color w:val="auto"/>
                <w:sz w:val="21"/>
                <w:szCs w:val="21"/>
                <w:highlight w:val="none"/>
                <w:lang w:eastAsia="zh-CN" w:bidi="ar"/>
              </w:rPr>
              <w:t>，材料格式不限，需加盖业主单位公章。</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81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F5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客观分</w:t>
            </w:r>
          </w:p>
        </w:tc>
      </w:tr>
      <w:tr w14:paraId="71F0B56E">
        <w:tblPrEx>
          <w:tblCellMar>
            <w:top w:w="0" w:type="dxa"/>
            <w:left w:w="108" w:type="dxa"/>
            <w:bottom w:w="0" w:type="dxa"/>
            <w:right w:w="108" w:type="dxa"/>
          </w:tblCellMar>
        </w:tblPrEx>
        <w:trPr>
          <w:trHeight w:val="1838"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F7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7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0DC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投标人管理体系、服务能力认证：</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（1）质量管理体系、</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（2）环境管理体系、</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（3）职业健康管理体系、</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（4）能源管理体系、</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（5）生活垃圾分类服务能力认证、</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（6）物业服务认证证书、</w:t>
            </w:r>
          </w:p>
          <w:p w14:paraId="278FE3C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每提供1项得1分，本项最高可得5分。（须提供认证证书的复印件，否则不得分）。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87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81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客观分</w:t>
            </w:r>
          </w:p>
        </w:tc>
      </w:tr>
      <w:tr w14:paraId="71439520">
        <w:tblPrEx>
          <w:tblCellMar>
            <w:top w:w="0" w:type="dxa"/>
            <w:left w:w="108" w:type="dxa"/>
            <w:bottom w:w="0" w:type="dxa"/>
            <w:right w:w="108" w:type="dxa"/>
          </w:tblCellMar>
        </w:tblPrEx>
        <w:trPr>
          <w:trHeight w:val="9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AE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7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6D5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业绩经验：</w:t>
            </w:r>
          </w:p>
          <w:p w14:paraId="28575ED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年1月1日以来承接的</w:t>
            </w:r>
            <w:r>
              <w:rPr>
                <w:rFonts w:hint="eastAsia" w:asciiTheme="minorEastAsia" w:hAnsiTheme="minorEastAsia" w:eastAsiaTheme="minorEastAsia" w:cstheme="minorEastAsia"/>
                <w:color w:val="auto"/>
                <w:sz w:val="21"/>
                <w:szCs w:val="21"/>
                <w:highlight w:val="none"/>
                <w:lang w:eastAsia="zh-CN"/>
              </w:rPr>
              <w:t>学校</w:t>
            </w:r>
            <w:r>
              <w:rPr>
                <w:rFonts w:hint="eastAsia" w:asciiTheme="minorEastAsia" w:hAnsiTheme="minorEastAsia" w:eastAsiaTheme="minorEastAsia" w:cstheme="minorEastAsia"/>
                <w:color w:val="auto"/>
                <w:sz w:val="21"/>
                <w:szCs w:val="21"/>
                <w:highlight w:val="none"/>
              </w:rPr>
              <w:t>物业项目业绩。每个合同得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分，最高得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分（在投标文件中提供合同复印件，时间以合同签订时间为准）。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42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F1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客观分</w:t>
            </w:r>
          </w:p>
        </w:tc>
      </w:tr>
    </w:tbl>
    <w:p w14:paraId="41BB7041">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textAlignment w:val="auto"/>
        <w:rPr>
          <w:rFonts w:hint="eastAsia"/>
          <w:b/>
          <w:bCs/>
          <w:color w:val="auto"/>
          <w:sz w:val="28"/>
          <w:szCs w:val="36"/>
          <w:highlight w:val="none"/>
          <w:lang w:eastAsia="zh-CN"/>
        </w:rPr>
      </w:pPr>
      <w:r>
        <w:rPr>
          <w:rFonts w:hint="eastAsia"/>
          <w:b/>
          <w:bCs/>
          <w:color w:val="auto"/>
          <w:sz w:val="28"/>
          <w:szCs w:val="36"/>
          <w:highlight w:val="none"/>
          <w:lang w:eastAsia="zh-CN"/>
        </w:rPr>
        <w:t>基础服务响应评审：</w:t>
      </w:r>
    </w:p>
    <w:p w14:paraId="3348749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29" w:rightChars="14" w:firstLine="0" w:firstLineChars="0"/>
        <w:textAlignment w:val="auto"/>
        <w:rPr>
          <w:rFonts w:hint="eastAsia"/>
          <w:b/>
          <w:bCs/>
          <w:color w:val="auto"/>
          <w:sz w:val="22"/>
          <w:szCs w:val="28"/>
          <w:highlight w:val="none"/>
          <w:u w:val="single"/>
          <w:shd w:val="clear" w:color="FFFFFF" w:fill="D9D9D9"/>
          <w:lang w:eastAsia="zh-CN"/>
        </w:rPr>
      </w:pPr>
      <w:r>
        <w:rPr>
          <w:rFonts w:hint="eastAsia"/>
          <w:b/>
          <w:bCs/>
          <w:color w:val="auto"/>
          <w:sz w:val="22"/>
          <w:szCs w:val="28"/>
          <w:highlight w:val="none"/>
          <w:u w:val="single"/>
          <w:shd w:val="clear" w:color="FFFFFF" w:fill="D9D9D9"/>
          <w:lang w:eastAsia="zh-CN"/>
        </w:rPr>
        <w:t>（评审依据：商务技术偏离表、投标文件服务方案、采购文件</w:t>
      </w:r>
      <w:r>
        <w:rPr>
          <w:rFonts w:hint="eastAsia"/>
          <w:b/>
          <w:bCs/>
          <w:color w:val="auto"/>
          <w:sz w:val="22"/>
          <w:szCs w:val="28"/>
          <w:highlight w:val="none"/>
          <w:u w:val="single"/>
          <w:shd w:val="clear" w:color="FFFFFF" w:fill="D9D9D9"/>
          <w:lang w:val="en-US" w:eastAsia="zh-CN"/>
        </w:rPr>
        <w:t>-二、招标需求-（四）</w:t>
      </w:r>
      <w:r>
        <w:rPr>
          <w:rFonts w:hint="eastAsia"/>
          <w:b/>
          <w:bCs/>
          <w:color w:val="auto"/>
          <w:sz w:val="22"/>
          <w:szCs w:val="28"/>
          <w:highlight w:val="none"/>
          <w:u w:val="single"/>
          <w:shd w:val="clear" w:color="FFFFFF" w:fill="D9D9D9"/>
          <w:lang w:eastAsia="zh-CN"/>
        </w:rPr>
        <w:t>服务最低要求应无偏离、评标办法）</w:t>
      </w:r>
    </w:p>
    <w:tbl>
      <w:tblPr>
        <w:tblStyle w:val="62"/>
        <w:tblW w:w="9743" w:type="dxa"/>
        <w:jc w:val="center"/>
        <w:tblLayout w:type="fixed"/>
        <w:tblCellMar>
          <w:top w:w="0" w:type="dxa"/>
          <w:left w:w="108" w:type="dxa"/>
          <w:bottom w:w="0" w:type="dxa"/>
          <w:right w:w="108" w:type="dxa"/>
        </w:tblCellMar>
      </w:tblPr>
      <w:tblGrid>
        <w:gridCol w:w="878"/>
        <w:gridCol w:w="7394"/>
        <w:gridCol w:w="728"/>
        <w:gridCol w:w="743"/>
      </w:tblGrid>
      <w:tr w14:paraId="2038300D">
        <w:tblPrEx>
          <w:tblCellMar>
            <w:top w:w="0" w:type="dxa"/>
            <w:left w:w="108" w:type="dxa"/>
            <w:bottom w:w="0" w:type="dxa"/>
            <w:right w:w="108" w:type="dxa"/>
          </w:tblCellMar>
        </w:tblPrEx>
        <w:trPr>
          <w:trHeight w:val="665"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13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394" w:type="dxa"/>
            <w:tcBorders>
              <w:top w:val="single" w:color="000000" w:sz="4" w:space="0"/>
              <w:left w:val="nil"/>
              <w:bottom w:val="single" w:color="000000" w:sz="4" w:space="0"/>
              <w:right w:val="nil"/>
            </w:tcBorders>
            <w:shd w:val="clear" w:color="auto" w:fill="auto"/>
            <w:vAlign w:val="center"/>
          </w:tcPr>
          <w:p w14:paraId="7B37AB0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评审条款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C1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最高分值</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61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主客观分</w:t>
            </w:r>
          </w:p>
        </w:tc>
      </w:tr>
      <w:tr w14:paraId="5F0DF760">
        <w:tblPrEx>
          <w:tblCellMar>
            <w:top w:w="0" w:type="dxa"/>
            <w:left w:w="108" w:type="dxa"/>
            <w:bottom w:w="0" w:type="dxa"/>
            <w:right w:w="108" w:type="dxa"/>
          </w:tblCellMar>
        </w:tblPrEx>
        <w:trPr>
          <w:trHeight w:val="665"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16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w:t>
            </w:r>
          </w:p>
        </w:tc>
        <w:tc>
          <w:tcPr>
            <w:tcW w:w="7394" w:type="dxa"/>
            <w:tcBorders>
              <w:top w:val="single" w:color="000000" w:sz="4" w:space="0"/>
              <w:left w:val="nil"/>
              <w:bottom w:val="single" w:color="000000" w:sz="4" w:space="0"/>
              <w:right w:val="nil"/>
            </w:tcBorders>
            <w:shd w:val="clear" w:color="auto" w:fill="auto"/>
            <w:vAlign w:val="center"/>
          </w:tcPr>
          <w:p w14:paraId="71D6582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根据投标人投标方案（可用商务技术偏离表形式响应）对</w:t>
            </w:r>
            <w:r>
              <w:rPr>
                <w:rFonts w:hint="eastAsia" w:asciiTheme="minorEastAsia" w:hAnsiTheme="minorEastAsia" w:eastAsiaTheme="minorEastAsia" w:cstheme="minorEastAsia"/>
                <w:b/>
                <w:bCs/>
                <w:color w:val="auto"/>
                <w:sz w:val="21"/>
                <w:szCs w:val="21"/>
                <w:highlight w:val="none"/>
                <w:u w:val="single"/>
                <w:shd w:val="clear" w:color="FFFFFF" w:fill="D9D9D9"/>
                <w:lang w:val="en-US" w:eastAsia="zh-CN"/>
              </w:rPr>
              <w:t>招标需求-（四）服务最低要求-4.1基本服务</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的响应情况综合评定，无偏离得10分，每有一项存在负偏离扣1分，扣完为止。</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A9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20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客观分</w:t>
            </w:r>
          </w:p>
        </w:tc>
      </w:tr>
      <w:tr w14:paraId="573EDD58">
        <w:tblPrEx>
          <w:tblCellMar>
            <w:top w:w="0" w:type="dxa"/>
            <w:left w:w="108" w:type="dxa"/>
            <w:bottom w:w="0" w:type="dxa"/>
            <w:right w:w="108" w:type="dxa"/>
          </w:tblCellMar>
        </w:tblPrEx>
        <w:trPr>
          <w:trHeight w:val="9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4B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7394" w:type="dxa"/>
            <w:tcBorders>
              <w:top w:val="single" w:color="000000" w:sz="4" w:space="0"/>
              <w:left w:val="nil"/>
              <w:bottom w:val="single" w:color="000000" w:sz="4" w:space="0"/>
              <w:right w:val="nil"/>
            </w:tcBorders>
            <w:shd w:val="clear" w:color="auto" w:fill="auto"/>
            <w:vAlign w:val="center"/>
          </w:tcPr>
          <w:p w14:paraId="70674BB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根据投标人投标方案（可用商务技术偏离表形式响应）对</w:t>
            </w:r>
            <w:r>
              <w:rPr>
                <w:rFonts w:hint="eastAsia" w:asciiTheme="minorEastAsia" w:hAnsiTheme="minorEastAsia" w:eastAsiaTheme="minorEastAsia" w:cstheme="minorEastAsia"/>
                <w:b/>
                <w:bCs/>
                <w:color w:val="auto"/>
                <w:sz w:val="21"/>
                <w:szCs w:val="21"/>
                <w:highlight w:val="none"/>
                <w:u w:val="single"/>
                <w:shd w:val="clear" w:color="FFFFFF" w:fill="D9D9D9"/>
                <w:lang w:val="en-US" w:eastAsia="zh-CN"/>
              </w:rPr>
              <w:t>招标需求-（四）服务最低要求-4.2保安服务</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的响应情况综合评定，无偏离得10分，每有一项存在负偏离扣1分，扣完为止。</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12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D4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客观分</w:t>
            </w:r>
          </w:p>
        </w:tc>
      </w:tr>
      <w:tr w14:paraId="03CCC111">
        <w:tblPrEx>
          <w:tblCellMar>
            <w:top w:w="0" w:type="dxa"/>
            <w:left w:w="108" w:type="dxa"/>
            <w:bottom w:w="0" w:type="dxa"/>
            <w:right w:w="108" w:type="dxa"/>
          </w:tblCellMar>
        </w:tblPrEx>
        <w:trPr>
          <w:trHeight w:val="665"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76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7394" w:type="dxa"/>
            <w:tcBorders>
              <w:top w:val="single" w:color="000000" w:sz="4" w:space="0"/>
              <w:left w:val="nil"/>
              <w:bottom w:val="single" w:color="000000" w:sz="4" w:space="0"/>
              <w:right w:val="nil"/>
            </w:tcBorders>
            <w:shd w:val="clear" w:color="auto" w:fill="auto"/>
            <w:vAlign w:val="center"/>
          </w:tcPr>
          <w:p w14:paraId="04BC1E4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根据投标人投标方案（可用商务技术偏离表形式响应）对</w:t>
            </w:r>
            <w:r>
              <w:rPr>
                <w:rFonts w:hint="eastAsia" w:asciiTheme="minorEastAsia" w:hAnsiTheme="minorEastAsia" w:eastAsiaTheme="minorEastAsia" w:cstheme="minorEastAsia"/>
                <w:b/>
                <w:bCs/>
                <w:color w:val="auto"/>
                <w:sz w:val="21"/>
                <w:szCs w:val="21"/>
                <w:highlight w:val="none"/>
                <w:u w:val="single"/>
                <w:shd w:val="clear" w:color="FFFFFF" w:fill="D9D9D9"/>
                <w:lang w:val="en-US" w:eastAsia="zh-CN"/>
              </w:rPr>
              <w:t>招标需求-（四）服务最低要求-4.3保洁服务</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的响应情况综合评定，无偏离得5分，每有一项存在负偏离扣1分，扣完为止。</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9F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E8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客观分</w:t>
            </w:r>
          </w:p>
        </w:tc>
      </w:tr>
      <w:tr w14:paraId="0A5EDEF4">
        <w:tblPrEx>
          <w:tblCellMar>
            <w:top w:w="0" w:type="dxa"/>
            <w:left w:w="108" w:type="dxa"/>
            <w:bottom w:w="0" w:type="dxa"/>
            <w:right w:w="108" w:type="dxa"/>
          </w:tblCellMar>
        </w:tblPrEx>
        <w:trPr>
          <w:trHeight w:val="825"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1C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7394" w:type="dxa"/>
            <w:tcBorders>
              <w:top w:val="single" w:color="000000" w:sz="4" w:space="0"/>
              <w:left w:val="nil"/>
              <w:bottom w:val="single" w:color="000000" w:sz="4" w:space="0"/>
              <w:right w:val="nil"/>
            </w:tcBorders>
            <w:shd w:val="clear" w:color="auto" w:fill="auto"/>
            <w:vAlign w:val="center"/>
          </w:tcPr>
          <w:p w14:paraId="5B0B2AC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根据投标人投标方案（可用商务技术偏离表形式响应）对</w:t>
            </w:r>
            <w:r>
              <w:rPr>
                <w:rFonts w:hint="eastAsia" w:asciiTheme="minorEastAsia" w:hAnsiTheme="minorEastAsia" w:eastAsiaTheme="minorEastAsia" w:cstheme="minorEastAsia"/>
                <w:b/>
                <w:bCs/>
                <w:color w:val="auto"/>
                <w:sz w:val="21"/>
                <w:szCs w:val="21"/>
                <w:highlight w:val="none"/>
                <w:u w:val="single"/>
                <w:shd w:val="clear" w:color="FFFFFF" w:fill="D9D9D9"/>
                <w:lang w:val="en-US" w:eastAsia="zh-CN"/>
              </w:rPr>
              <w:t>招标需求-（三）</w:t>
            </w:r>
            <w:r>
              <w:rPr>
                <w:rFonts w:hint="eastAsia"/>
                <w:b/>
                <w:bCs/>
                <w:color w:val="auto"/>
                <w:sz w:val="21"/>
                <w:szCs w:val="21"/>
                <w:highlight w:val="none"/>
                <w:u w:val="single"/>
                <w:shd w:val="clear" w:color="FFFFFF" w:fill="D9D9D9"/>
                <w:lang w:val="en-US" w:eastAsia="zh-CN"/>
              </w:rPr>
              <w:t>人员团队最低要求</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的响应情况综合评定。从岗位人数、岗位需求、重点需求均无偏离得5分，每有一项存在负偏离扣1分，扣完为止。重点需求需按要求提供评审依据。</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BA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60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客观分</w:t>
            </w:r>
          </w:p>
        </w:tc>
      </w:tr>
    </w:tbl>
    <w:p w14:paraId="78764AA3">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firstLine="0" w:firstLineChars="0"/>
        <w:textAlignment w:val="auto"/>
        <w:rPr>
          <w:rFonts w:hint="eastAsia"/>
          <w:b/>
          <w:bCs/>
          <w:color w:val="auto"/>
          <w:sz w:val="28"/>
          <w:szCs w:val="36"/>
          <w:highlight w:val="none"/>
          <w:lang w:eastAsia="zh-CN"/>
        </w:rPr>
      </w:pPr>
      <w:r>
        <w:rPr>
          <w:rFonts w:hint="eastAsia"/>
          <w:b/>
          <w:bCs/>
          <w:color w:val="auto"/>
          <w:sz w:val="28"/>
          <w:szCs w:val="36"/>
          <w:highlight w:val="none"/>
          <w:lang w:eastAsia="zh-CN"/>
        </w:rPr>
        <w:t>重点服务内容方案评审：</w:t>
      </w:r>
    </w:p>
    <w:p w14:paraId="0412C03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29" w:rightChars="14" w:firstLine="0" w:firstLineChars="0"/>
        <w:textAlignment w:val="auto"/>
        <w:rPr>
          <w:color w:val="auto"/>
          <w:highlight w:val="none"/>
          <w:shd w:val="clear" w:color="FFFFFF" w:fill="D9D9D9"/>
        </w:rPr>
      </w:pPr>
      <w:r>
        <w:rPr>
          <w:rFonts w:hint="eastAsia"/>
          <w:b/>
          <w:bCs/>
          <w:color w:val="auto"/>
          <w:sz w:val="22"/>
          <w:szCs w:val="28"/>
          <w:highlight w:val="none"/>
          <w:u w:val="single"/>
          <w:shd w:val="clear" w:color="FFFFFF" w:fill="D9D9D9"/>
          <w:lang w:eastAsia="zh-CN"/>
        </w:rPr>
        <w:t>（评审依据：投标文件服务方案、采购文件</w:t>
      </w:r>
      <w:r>
        <w:rPr>
          <w:rFonts w:hint="eastAsia"/>
          <w:b/>
          <w:bCs/>
          <w:color w:val="auto"/>
          <w:sz w:val="22"/>
          <w:szCs w:val="28"/>
          <w:highlight w:val="none"/>
          <w:u w:val="single"/>
          <w:shd w:val="clear" w:color="FFFFFF" w:fill="D9D9D9"/>
          <w:lang w:val="en-US" w:eastAsia="zh-CN"/>
        </w:rPr>
        <w:t>-二、招标需求-（四）</w:t>
      </w:r>
      <w:r>
        <w:rPr>
          <w:rFonts w:hint="eastAsia"/>
          <w:b/>
          <w:bCs/>
          <w:color w:val="auto"/>
          <w:sz w:val="22"/>
          <w:szCs w:val="28"/>
          <w:highlight w:val="none"/>
          <w:u w:val="single"/>
          <w:shd w:val="clear" w:color="FFFFFF" w:fill="D9D9D9"/>
          <w:lang w:eastAsia="zh-CN"/>
        </w:rPr>
        <w:t>服务最低要求应优于最低需求、评标办法）</w:t>
      </w:r>
    </w:p>
    <w:tbl>
      <w:tblPr>
        <w:tblStyle w:val="62"/>
        <w:tblW w:w="9743" w:type="dxa"/>
        <w:jc w:val="center"/>
        <w:tblLayout w:type="fixed"/>
        <w:tblCellMar>
          <w:top w:w="0" w:type="dxa"/>
          <w:left w:w="108" w:type="dxa"/>
          <w:bottom w:w="0" w:type="dxa"/>
          <w:right w:w="108" w:type="dxa"/>
        </w:tblCellMar>
      </w:tblPr>
      <w:tblGrid>
        <w:gridCol w:w="878"/>
        <w:gridCol w:w="7394"/>
        <w:gridCol w:w="728"/>
        <w:gridCol w:w="743"/>
      </w:tblGrid>
      <w:tr w14:paraId="750C129A">
        <w:tblPrEx>
          <w:tblCellMar>
            <w:top w:w="0" w:type="dxa"/>
            <w:left w:w="108" w:type="dxa"/>
            <w:bottom w:w="0" w:type="dxa"/>
            <w:right w:w="108" w:type="dxa"/>
          </w:tblCellMar>
        </w:tblPrEx>
        <w:trPr>
          <w:trHeight w:val="665"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C5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序号</w:t>
            </w:r>
          </w:p>
        </w:tc>
        <w:tc>
          <w:tcPr>
            <w:tcW w:w="7394" w:type="dxa"/>
            <w:tcBorders>
              <w:top w:val="single" w:color="000000" w:sz="4" w:space="0"/>
              <w:left w:val="nil"/>
              <w:bottom w:val="single" w:color="000000" w:sz="4" w:space="0"/>
              <w:right w:val="nil"/>
            </w:tcBorders>
            <w:shd w:val="clear" w:color="auto" w:fill="auto"/>
            <w:vAlign w:val="center"/>
          </w:tcPr>
          <w:p w14:paraId="5DCB039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评审条款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57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最高分值</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7D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主客观分</w:t>
            </w:r>
          </w:p>
        </w:tc>
      </w:tr>
      <w:tr w14:paraId="4470D88F">
        <w:tblPrEx>
          <w:tblCellMar>
            <w:top w:w="0" w:type="dxa"/>
            <w:left w:w="108" w:type="dxa"/>
            <w:bottom w:w="0" w:type="dxa"/>
            <w:right w:w="108" w:type="dxa"/>
          </w:tblCellMar>
        </w:tblPrEx>
        <w:trPr>
          <w:trHeight w:val="665"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EB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7394" w:type="dxa"/>
            <w:tcBorders>
              <w:top w:val="single" w:color="000000" w:sz="4" w:space="0"/>
              <w:left w:val="nil"/>
              <w:bottom w:val="single" w:color="000000" w:sz="4" w:space="0"/>
              <w:right w:val="nil"/>
            </w:tcBorders>
            <w:shd w:val="clear" w:color="auto" w:fill="auto"/>
            <w:vAlign w:val="center"/>
          </w:tcPr>
          <w:p w14:paraId="0D01D0F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投标总体方案：</w:t>
            </w:r>
          </w:p>
          <w:p w14:paraId="33FD330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投标人从项目目标、任务的理解角度，阐述对项目的整体理解，从①服务理念、服务方案总体设计、组织实施方案可行性、②方案体现的对本项目的理解程度、③方案的独到优势角度提出具体服务方案，由评标委员会综合评定</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（3、2.5、2、1.5、1、0.5、0）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54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CB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主观分</w:t>
            </w:r>
          </w:p>
        </w:tc>
      </w:tr>
      <w:tr w14:paraId="2507322F">
        <w:tblPrEx>
          <w:tblCellMar>
            <w:top w:w="0" w:type="dxa"/>
            <w:left w:w="108" w:type="dxa"/>
            <w:bottom w:w="0" w:type="dxa"/>
            <w:right w:w="108" w:type="dxa"/>
          </w:tblCellMar>
        </w:tblPrEx>
        <w:trPr>
          <w:trHeight w:val="407"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7C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7394" w:type="dxa"/>
            <w:tcBorders>
              <w:top w:val="single" w:color="000000" w:sz="4" w:space="0"/>
              <w:left w:val="nil"/>
              <w:bottom w:val="single" w:color="000000" w:sz="4" w:space="0"/>
              <w:right w:val="nil"/>
            </w:tcBorders>
            <w:shd w:val="clear" w:color="auto" w:fill="auto"/>
            <w:vAlign w:val="center"/>
          </w:tcPr>
          <w:p w14:paraId="3623DCE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保安服务特色方案：</w:t>
            </w:r>
          </w:p>
          <w:p w14:paraId="2F9EB0F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投标人基于采购人对保安服务的最低需求提供项目保安服务方案，从①方案优于采购需求的程度、②具有校园项目服务特色、③方案可行性、④方案拟取得的效果承诺</w:t>
            </w:r>
            <w:r>
              <w:rPr>
                <w:rFonts w:hint="eastAsia" w:asciiTheme="minorEastAsia" w:hAnsiTheme="minorEastAsia" w:eastAsiaTheme="minorEastAsia" w:cstheme="minorEastAsia"/>
                <w:color w:val="auto"/>
                <w:sz w:val="21"/>
                <w:szCs w:val="21"/>
                <w:highlight w:val="none"/>
              </w:rPr>
              <w:t>角度提出具体服务方案，由评标委员会综合评定</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4、3.5、</w:t>
            </w:r>
            <w:r>
              <w:rPr>
                <w:rFonts w:hint="eastAsia" w:asciiTheme="minorEastAsia" w:hAnsiTheme="minorEastAsia" w:eastAsiaTheme="minorEastAsia" w:cstheme="minorEastAsia"/>
                <w:color w:val="auto"/>
                <w:sz w:val="21"/>
                <w:szCs w:val="21"/>
                <w:highlight w:val="none"/>
              </w:rPr>
              <w:t>3、2.5、2、1.5、1、0.5、0）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B4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68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主观分</w:t>
            </w:r>
          </w:p>
        </w:tc>
      </w:tr>
      <w:tr w14:paraId="5817A873">
        <w:tblPrEx>
          <w:tblCellMar>
            <w:top w:w="0" w:type="dxa"/>
            <w:left w:w="108" w:type="dxa"/>
            <w:bottom w:w="0" w:type="dxa"/>
            <w:right w:w="108" w:type="dxa"/>
          </w:tblCellMar>
        </w:tblPrEx>
        <w:trPr>
          <w:trHeight w:val="407"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AD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w:t>
            </w:r>
          </w:p>
        </w:tc>
        <w:tc>
          <w:tcPr>
            <w:tcW w:w="7394" w:type="dxa"/>
            <w:tcBorders>
              <w:top w:val="single" w:color="000000" w:sz="4" w:space="0"/>
              <w:left w:val="nil"/>
              <w:bottom w:val="single" w:color="000000" w:sz="4" w:space="0"/>
              <w:right w:val="nil"/>
            </w:tcBorders>
            <w:shd w:val="clear" w:color="auto" w:fill="auto"/>
            <w:vAlign w:val="center"/>
          </w:tcPr>
          <w:p w14:paraId="530AEA6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保洁服务特色方案：</w:t>
            </w:r>
          </w:p>
          <w:p w14:paraId="29EDE69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投标人基于采购人对保洁服务的最低需求提供项目保洁服务方案，从①方案优于采购需求的程度、②具有校园项目服务特色、③方案可行性、④方案拟取得的效果承诺</w:t>
            </w:r>
            <w:r>
              <w:rPr>
                <w:rFonts w:hint="eastAsia" w:asciiTheme="minorEastAsia" w:hAnsiTheme="minorEastAsia" w:eastAsiaTheme="minorEastAsia" w:cstheme="minorEastAsia"/>
                <w:color w:val="auto"/>
                <w:sz w:val="21"/>
                <w:szCs w:val="21"/>
                <w:highlight w:val="none"/>
              </w:rPr>
              <w:t>角度提出具体服务方案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由评标委员会综合评定</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4、3.5、</w:t>
            </w:r>
            <w:r>
              <w:rPr>
                <w:rFonts w:hint="eastAsia" w:asciiTheme="minorEastAsia" w:hAnsiTheme="minorEastAsia" w:eastAsiaTheme="minorEastAsia" w:cstheme="minorEastAsia"/>
                <w:color w:val="auto"/>
                <w:sz w:val="21"/>
                <w:szCs w:val="21"/>
                <w:highlight w:val="none"/>
              </w:rPr>
              <w:t>3、2.5、2、1.5、1、0.5、0）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C5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99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主观分</w:t>
            </w:r>
          </w:p>
        </w:tc>
      </w:tr>
      <w:tr w14:paraId="456E0702">
        <w:tblPrEx>
          <w:tblCellMar>
            <w:top w:w="0" w:type="dxa"/>
            <w:left w:w="108" w:type="dxa"/>
            <w:bottom w:w="0" w:type="dxa"/>
            <w:right w:w="108" w:type="dxa"/>
          </w:tblCellMar>
        </w:tblPrEx>
        <w:trPr>
          <w:trHeight w:val="407"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EA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w:t>
            </w:r>
          </w:p>
        </w:tc>
        <w:tc>
          <w:tcPr>
            <w:tcW w:w="7394" w:type="dxa"/>
            <w:tcBorders>
              <w:top w:val="single" w:color="000000" w:sz="4" w:space="0"/>
              <w:left w:val="nil"/>
              <w:bottom w:val="single" w:color="000000" w:sz="4" w:space="0"/>
              <w:right w:val="nil"/>
            </w:tcBorders>
            <w:shd w:val="clear" w:color="auto" w:fill="auto"/>
            <w:vAlign w:val="center"/>
          </w:tcPr>
          <w:p w14:paraId="5A78FDA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重要活动保障方案：</w:t>
            </w:r>
          </w:p>
          <w:p w14:paraId="4C5B367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投标人基于采购人需求提供重要活动保障方案</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从</w:t>
            </w:r>
            <w:r>
              <w:rPr>
                <w:rFonts w:hint="eastAsia" w:asciiTheme="minorEastAsia" w:hAnsiTheme="minorEastAsia" w:eastAsiaTheme="minorEastAsia" w:cstheme="minorEastAsia"/>
                <w:color w:val="auto"/>
                <w:sz w:val="21"/>
                <w:szCs w:val="21"/>
                <w:highlight w:val="none"/>
                <w:lang w:val="en-US" w:eastAsia="zh-CN"/>
              </w:rPr>
              <w:t>①对学校重要活动的分析及需求预判、②保障方案的完善程度及可行性、③临时人员配备方案、④方案拟取得的效果承诺</w:t>
            </w:r>
            <w:r>
              <w:rPr>
                <w:rFonts w:hint="eastAsia" w:asciiTheme="minorEastAsia" w:hAnsiTheme="minorEastAsia" w:eastAsiaTheme="minorEastAsia" w:cstheme="minorEastAsia"/>
                <w:color w:val="auto"/>
                <w:sz w:val="21"/>
                <w:szCs w:val="21"/>
                <w:highlight w:val="none"/>
              </w:rPr>
              <w:t>角度提出具体服务方案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由评标委员会综合评定</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4、3.5、</w:t>
            </w:r>
            <w:r>
              <w:rPr>
                <w:rFonts w:hint="eastAsia" w:asciiTheme="minorEastAsia" w:hAnsiTheme="minorEastAsia" w:eastAsiaTheme="minorEastAsia" w:cstheme="minorEastAsia"/>
                <w:color w:val="auto"/>
                <w:sz w:val="21"/>
                <w:szCs w:val="21"/>
                <w:highlight w:val="none"/>
              </w:rPr>
              <w:t>3、2.5、2、1.5、1、0.5、0）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37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AB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主观分</w:t>
            </w:r>
          </w:p>
        </w:tc>
      </w:tr>
      <w:tr w14:paraId="38B969C7">
        <w:tblPrEx>
          <w:tblCellMar>
            <w:top w:w="0" w:type="dxa"/>
            <w:left w:w="108" w:type="dxa"/>
            <w:bottom w:w="0" w:type="dxa"/>
            <w:right w:w="108" w:type="dxa"/>
          </w:tblCellMar>
        </w:tblPrEx>
        <w:trPr>
          <w:trHeight w:val="318"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7E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7394" w:type="dxa"/>
            <w:tcBorders>
              <w:top w:val="single" w:color="000000" w:sz="4" w:space="0"/>
              <w:left w:val="nil"/>
              <w:bottom w:val="single" w:color="000000" w:sz="4" w:space="0"/>
              <w:right w:val="nil"/>
            </w:tcBorders>
            <w:shd w:val="clear" w:color="auto" w:fill="auto"/>
            <w:vAlign w:val="center"/>
          </w:tcPr>
          <w:p w14:paraId="6DC0A9DD">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color w:val="auto"/>
                <w:sz w:val="21"/>
                <w:szCs w:val="21"/>
                <w:highlight w:val="none"/>
              </w:rPr>
            </w:pPr>
            <w:r>
              <w:rPr>
                <w:rFonts w:hint="eastAsia"/>
                <w:b/>
                <w:bCs/>
                <w:color w:val="auto"/>
                <w:sz w:val="21"/>
                <w:szCs w:val="21"/>
                <w:highlight w:val="none"/>
              </w:rPr>
              <w:t>交接方案:</w:t>
            </w:r>
          </w:p>
          <w:p w14:paraId="2C0753A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heme="minorEastAsia" w:hAnsiTheme="minorEastAsia" w:eastAsiaTheme="minorEastAsia" w:cstheme="minorEastAsia"/>
                <w:color w:val="auto"/>
                <w:sz w:val="21"/>
                <w:szCs w:val="21"/>
                <w:highlight w:val="none"/>
              </w:rPr>
            </w:pPr>
            <w:r>
              <w:rPr>
                <w:rFonts w:hint="eastAsia"/>
                <w:color w:val="auto"/>
                <w:sz w:val="21"/>
                <w:szCs w:val="21"/>
                <w:highlight w:val="none"/>
                <w:lang w:eastAsia="zh-CN"/>
              </w:rPr>
              <w:t>投标人提供交接方案，从</w:t>
            </w:r>
            <w:r>
              <w:rPr>
                <w:rFonts w:ascii="宋体" w:hAnsi="宋体"/>
                <w:color w:val="auto"/>
                <w:sz w:val="21"/>
                <w:szCs w:val="21"/>
                <w:highlight w:val="none"/>
              </w:rPr>
              <w:t>①</w:t>
            </w:r>
            <w:r>
              <w:rPr>
                <w:rFonts w:hint="eastAsia"/>
                <w:color w:val="auto"/>
                <w:sz w:val="21"/>
                <w:szCs w:val="21"/>
                <w:highlight w:val="none"/>
              </w:rPr>
              <w:t>接管工作进度计划</w:t>
            </w:r>
            <w:r>
              <w:rPr>
                <w:rFonts w:hint="eastAsia"/>
                <w:color w:val="auto"/>
                <w:sz w:val="21"/>
                <w:szCs w:val="21"/>
                <w:highlight w:val="none"/>
                <w:lang w:eastAsia="zh-CN"/>
              </w:rPr>
              <w:t>、</w:t>
            </w:r>
            <w:r>
              <w:rPr>
                <w:rFonts w:ascii="宋体" w:hAnsi="宋体"/>
                <w:color w:val="auto"/>
                <w:sz w:val="21"/>
                <w:szCs w:val="21"/>
                <w:highlight w:val="none"/>
              </w:rPr>
              <w:t>②</w:t>
            </w:r>
            <w:r>
              <w:rPr>
                <w:rFonts w:hint="eastAsia"/>
                <w:color w:val="auto"/>
                <w:sz w:val="21"/>
                <w:szCs w:val="21"/>
                <w:highlight w:val="none"/>
              </w:rPr>
              <w:t>接管小组人员方案</w:t>
            </w:r>
            <w:r>
              <w:rPr>
                <w:rFonts w:hint="eastAsia"/>
                <w:color w:val="auto"/>
                <w:sz w:val="21"/>
                <w:szCs w:val="21"/>
                <w:highlight w:val="none"/>
                <w:lang w:eastAsia="zh-CN"/>
              </w:rPr>
              <w:t>、</w:t>
            </w:r>
            <w:r>
              <w:rPr>
                <w:rFonts w:ascii="宋体" w:hAnsi="宋体"/>
                <w:color w:val="auto"/>
                <w:sz w:val="21"/>
                <w:szCs w:val="21"/>
                <w:highlight w:val="none"/>
              </w:rPr>
              <w:t>③</w:t>
            </w:r>
            <w:r>
              <w:rPr>
                <w:rFonts w:hint="eastAsia" w:ascii="宋体" w:hAnsi="宋体"/>
                <w:color w:val="auto"/>
                <w:sz w:val="21"/>
                <w:szCs w:val="21"/>
                <w:highlight w:val="none"/>
              </w:rPr>
              <w:t>交接工作方案</w:t>
            </w:r>
            <w:r>
              <w:rPr>
                <w:rFonts w:hint="eastAsia"/>
                <w:color w:val="auto"/>
                <w:sz w:val="21"/>
                <w:szCs w:val="21"/>
                <w:highlight w:val="none"/>
                <w:lang w:eastAsia="zh-CN"/>
              </w:rPr>
              <w:t>及拟取得效果承诺</w:t>
            </w:r>
            <w:r>
              <w:rPr>
                <w:rFonts w:hint="eastAsia" w:asciiTheme="minorEastAsia" w:hAnsiTheme="minorEastAsia" w:eastAsiaTheme="minorEastAsia" w:cstheme="minorEastAsia"/>
                <w:color w:val="auto"/>
                <w:sz w:val="21"/>
                <w:szCs w:val="21"/>
                <w:highlight w:val="none"/>
              </w:rPr>
              <w:t>角度提出具体服务方案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由评标委员会综合评定</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（3、2.5、2、1.5、1、0.5、0）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CC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76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主观分</w:t>
            </w:r>
          </w:p>
        </w:tc>
      </w:tr>
      <w:tr w14:paraId="7F4CA516">
        <w:tblPrEx>
          <w:tblCellMar>
            <w:top w:w="0" w:type="dxa"/>
            <w:left w:w="108" w:type="dxa"/>
            <w:bottom w:w="0" w:type="dxa"/>
            <w:right w:w="108" w:type="dxa"/>
          </w:tblCellMar>
        </w:tblPrEx>
        <w:trPr>
          <w:trHeight w:val="53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AF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7394" w:type="dxa"/>
            <w:tcBorders>
              <w:top w:val="single" w:color="000000" w:sz="4" w:space="0"/>
              <w:left w:val="nil"/>
              <w:bottom w:val="single" w:color="000000" w:sz="4" w:space="0"/>
              <w:right w:val="nil"/>
            </w:tcBorders>
            <w:shd w:val="clear" w:color="auto" w:fill="auto"/>
            <w:vAlign w:val="center"/>
          </w:tcPr>
          <w:p w14:paraId="70A42D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节能降耗措施：</w:t>
            </w:r>
          </w:p>
          <w:p w14:paraId="072683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根据投标人提供的节能降耗措施</w:t>
            </w:r>
            <w:r>
              <w:rPr>
                <w:rFonts w:hint="eastAsia" w:ascii="宋体" w:hAnsi="宋体" w:cs="宋体"/>
                <w:color w:val="auto"/>
                <w:sz w:val="21"/>
                <w:szCs w:val="21"/>
                <w:highlight w:val="none"/>
                <w:lang w:val="en-US" w:eastAsia="zh-CN"/>
              </w:rPr>
              <w:t>综合</w:t>
            </w:r>
            <w:r>
              <w:rPr>
                <w:rFonts w:hint="eastAsia" w:ascii="宋体" w:hAnsi="宋体" w:cs="宋体"/>
                <w:color w:val="auto"/>
                <w:sz w:val="21"/>
                <w:szCs w:val="21"/>
                <w:highlight w:val="none"/>
              </w:rPr>
              <w:t>评定，每条措施需包括①</w:t>
            </w:r>
            <w:r>
              <w:rPr>
                <w:rFonts w:hint="eastAsia" w:ascii="宋体" w:hAnsi="宋体" w:cs="宋体"/>
                <w:color w:val="auto"/>
                <w:sz w:val="21"/>
                <w:szCs w:val="21"/>
                <w:highlight w:val="none"/>
                <w:lang w:eastAsia="zh-CN"/>
              </w:rPr>
              <w:t>服务重难点</w:t>
            </w:r>
            <w:r>
              <w:rPr>
                <w:rFonts w:hint="eastAsia" w:ascii="宋体" w:hAnsi="宋体" w:cs="宋体"/>
                <w:color w:val="auto"/>
                <w:sz w:val="21"/>
                <w:szCs w:val="21"/>
                <w:highlight w:val="none"/>
              </w:rPr>
              <w:t>分析、②节能降耗措施、③拟取得的效果分析或类似项目中已取得的成效展示。</w:t>
            </w:r>
            <w:r>
              <w:rPr>
                <w:rFonts w:hint="eastAsia" w:ascii="宋体" w:hAnsi="宋体" w:cs="宋体"/>
                <w:color w:val="auto"/>
                <w:sz w:val="21"/>
                <w:szCs w:val="21"/>
                <w:highlight w:val="none"/>
                <w:lang w:eastAsia="zh-CN"/>
              </w:rPr>
              <w:t>每条有效措施得</w:t>
            </w:r>
            <w:r>
              <w:rPr>
                <w:rFonts w:hint="eastAsia" w:ascii="宋体" w:hAnsi="宋体" w:cs="宋体"/>
                <w:color w:val="auto"/>
                <w:sz w:val="21"/>
                <w:szCs w:val="21"/>
                <w:highlight w:val="none"/>
                <w:lang w:val="en-US" w:eastAsia="zh-CN"/>
              </w:rPr>
              <w:t>1分，最高得3分。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53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3</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29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cs="宋体"/>
                <w:color w:val="auto"/>
                <w:sz w:val="21"/>
                <w:szCs w:val="21"/>
                <w:highlight w:val="none"/>
              </w:rPr>
              <w:t>观分</w:t>
            </w:r>
          </w:p>
        </w:tc>
      </w:tr>
      <w:tr w14:paraId="48C42370">
        <w:tblPrEx>
          <w:tblCellMar>
            <w:top w:w="0" w:type="dxa"/>
            <w:left w:w="108" w:type="dxa"/>
            <w:bottom w:w="0" w:type="dxa"/>
            <w:right w:w="108" w:type="dxa"/>
          </w:tblCellMar>
        </w:tblPrEx>
        <w:trPr>
          <w:trHeight w:val="592"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FC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7394" w:type="dxa"/>
            <w:tcBorders>
              <w:top w:val="single" w:color="000000" w:sz="4" w:space="0"/>
              <w:left w:val="nil"/>
              <w:bottom w:val="single" w:color="000000" w:sz="4" w:space="0"/>
              <w:right w:val="nil"/>
            </w:tcBorders>
            <w:shd w:val="clear" w:color="auto" w:fill="auto"/>
            <w:vAlign w:val="center"/>
          </w:tcPr>
          <w:p w14:paraId="2C9EA4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合理化建议：</w:t>
            </w:r>
          </w:p>
          <w:p w14:paraId="7529BD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eastAsia" w:ascii="宋体" w:hAnsi="宋体" w:cs="宋体"/>
                <w:color w:val="auto"/>
                <w:sz w:val="21"/>
                <w:szCs w:val="21"/>
                <w:highlight w:val="none"/>
              </w:rPr>
            </w:pPr>
            <w:r>
              <w:rPr>
                <w:rFonts w:hint="eastAsia" w:ascii="宋体" w:hAnsi="宋体" w:eastAsia="宋体" w:cs="宋体"/>
                <w:b w:val="0"/>
                <w:bCs w:val="0"/>
                <w:color w:val="auto"/>
                <w:sz w:val="21"/>
                <w:szCs w:val="21"/>
                <w:highlight w:val="none"/>
              </w:rPr>
              <w:t>根据投标人提供的</w:t>
            </w:r>
            <w:r>
              <w:rPr>
                <w:rFonts w:hint="eastAsia" w:ascii="宋体" w:hAnsi="宋体" w:cs="宋体"/>
                <w:b w:val="0"/>
                <w:bCs w:val="0"/>
                <w:color w:val="auto"/>
                <w:sz w:val="21"/>
                <w:szCs w:val="21"/>
                <w:highlight w:val="none"/>
                <w:lang w:eastAsia="zh-CN"/>
              </w:rPr>
              <w:t>针对本项目提出的</w:t>
            </w:r>
            <w:r>
              <w:rPr>
                <w:rFonts w:hint="eastAsia" w:ascii="宋体" w:hAnsi="宋体" w:eastAsia="宋体" w:cs="宋体"/>
                <w:b w:val="0"/>
                <w:bCs w:val="0"/>
                <w:color w:val="auto"/>
                <w:sz w:val="21"/>
                <w:szCs w:val="21"/>
                <w:highlight w:val="none"/>
              </w:rPr>
              <w:t>合理化建议综合评定</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每条建议需</w:t>
            </w:r>
            <w:r>
              <w:rPr>
                <w:rFonts w:hint="eastAsia" w:ascii="宋体" w:hAnsi="宋体" w:eastAsia="宋体" w:cs="宋体"/>
                <w:b w:val="0"/>
                <w:bCs w:val="0"/>
                <w:color w:val="auto"/>
                <w:sz w:val="21"/>
                <w:szCs w:val="21"/>
                <w:highlight w:val="none"/>
              </w:rPr>
              <w:t>包括①问题分析、②建议措施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rPr>
              <w:t>③</w:t>
            </w:r>
            <w:r>
              <w:rPr>
                <w:rFonts w:hint="eastAsia" w:ascii="宋体" w:hAnsi="宋体" w:cs="宋体"/>
                <w:color w:val="auto"/>
                <w:sz w:val="21"/>
                <w:szCs w:val="21"/>
                <w:highlight w:val="none"/>
                <w:lang w:val="en-US" w:eastAsia="zh-CN"/>
              </w:rPr>
              <w:t>拟取得的效果承诺</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每条合理化建议得</w:t>
            </w:r>
            <w:r>
              <w:rPr>
                <w:rFonts w:hint="eastAsia" w:ascii="宋体" w:hAnsi="宋体" w:cs="宋体"/>
                <w:b w:val="0"/>
                <w:bCs w:val="0"/>
                <w:color w:val="auto"/>
                <w:sz w:val="21"/>
                <w:szCs w:val="21"/>
                <w:highlight w:val="none"/>
                <w:lang w:val="en-US" w:eastAsia="zh-CN"/>
              </w:rPr>
              <w:t>1分，最高得2分。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44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7F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cs="宋体"/>
                <w:color w:val="auto"/>
                <w:sz w:val="21"/>
                <w:szCs w:val="21"/>
                <w:highlight w:val="none"/>
              </w:rPr>
              <w:t>观分</w:t>
            </w:r>
          </w:p>
        </w:tc>
      </w:tr>
    </w:tbl>
    <w:p w14:paraId="6D568188">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firstLine="0" w:firstLineChars="0"/>
        <w:textAlignment w:val="auto"/>
        <w:rPr>
          <w:rFonts w:hint="eastAsia"/>
          <w:b/>
          <w:bCs/>
          <w:color w:val="auto"/>
          <w:sz w:val="28"/>
          <w:szCs w:val="36"/>
          <w:highlight w:val="none"/>
          <w:lang w:eastAsia="zh-CN"/>
        </w:rPr>
      </w:pPr>
      <w:r>
        <w:rPr>
          <w:rFonts w:hint="eastAsia"/>
          <w:b/>
          <w:bCs/>
          <w:color w:val="auto"/>
          <w:sz w:val="28"/>
          <w:szCs w:val="36"/>
          <w:highlight w:val="none"/>
          <w:lang w:eastAsia="zh-CN"/>
        </w:rPr>
        <w:t>重点服务人员评审：</w:t>
      </w:r>
    </w:p>
    <w:p w14:paraId="4063569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29" w:rightChars="14" w:firstLine="0" w:firstLineChars="0"/>
        <w:textAlignment w:val="auto"/>
        <w:rPr>
          <w:b/>
          <w:bCs/>
          <w:color w:val="auto"/>
          <w:sz w:val="36"/>
          <w:szCs w:val="44"/>
          <w:highlight w:val="none"/>
          <w:shd w:val="clear" w:color="FFFFFF" w:fill="D9D9D9"/>
        </w:rPr>
      </w:pPr>
      <w:r>
        <w:rPr>
          <w:rFonts w:hint="eastAsia"/>
          <w:b/>
          <w:bCs/>
          <w:color w:val="auto"/>
          <w:sz w:val="22"/>
          <w:szCs w:val="28"/>
          <w:highlight w:val="none"/>
          <w:u w:val="single"/>
          <w:shd w:val="clear" w:color="FFFFFF" w:fill="D9D9D9"/>
          <w:lang w:eastAsia="zh-CN"/>
        </w:rPr>
        <w:t>（评审依据：投标文件、评分办法要求的评审依据、人员与投标单位的劳动关系证明（劳动合同或截止开标当月前三个月中任意一个月的社保缴纳证明））</w:t>
      </w:r>
    </w:p>
    <w:tbl>
      <w:tblPr>
        <w:tblStyle w:val="62"/>
        <w:tblW w:w="9751" w:type="dxa"/>
        <w:jc w:val="center"/>
        <w:tblLayout w:type="fixed"/>
        <w:tblCellMar>
          <w:top w:w="0" w:type="dxa"/>
          <w:left w:w="108" w:type="dxa"/>
          <w:bottom w:w="0" w:type="dxa"/>
          <w:right w:w="108" w:type="dxa"/>
        </w:tblCellMar>
      </w:tblPr>
      <w:tblGrid>
        <w:gridCol w:w="879"/>
        <w:gridCol w:w="7400"/>
        <w:gridCol w:w="729"/>
        <w:gridCol w:w="743"/>
      </w:tblGrid>
      <w:tr w14:paraId="69A2139F">
        <w:tblPrEx>
          <w:tblCellMar>
            <w:top w:w="0" w:type="dxa"/>
            <w:left w:w="108" w:type="dxa"/>
            <w:bottom w:w="0" w:type="dxa"/>
            <w:right w:w="108" w:type="dxa"/>
          </w:tblCellMar>
        </w:tblPrEx>
        <w:trPr>
          <w:trHeight w:val="326" w:hRule="atLeast"/>
          <w:jc w:val="center"/>
        </w:trPr>
        <w:tc>
          <w:tcPr>
            <w:tcW w:w="879" w:type="dxa"/>
            <w:tcBorders>
              <w:top w:val="single" w:color="000000" w:sz="4" w:space="0"/>
              <w:left w:val="single" w:color="auto" w:sz="4" w:space="0"/>
              <w:bottom w:val="single" w:color="000000" w:sz="4" w:space="0"/>
              <w:right w:val="single" w:color="000000" w:sz="4" w:space="0"/>
            </w:tcBorders>
            <w:shd w:val="clear" w:color="auto" w:fill="auto"/>
            <w:vAlign w:val="center"/>
          </w:tcPr>
          <w:p w14:paraId="6EEA3F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AAD0">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highlight w:val="none"/>
              </w:rPr>
            </w:pPr>
            <w:r>
              <w:rPr>
                <w:rFonts w:hint="eastAsia" w:asciiTheme="minorEastAsia" w:hAnsiTheme="minorEastAsia" w:eastAsiaTheme="minorEastAsia" w:cstheme="minorEastAsia"/>
                <w:color w:val="auto"/>
                <w:sz w:val="21"/>
                <w:szCs w:val="21"/>
                <w:highlight w:val="none"/>
              </w:rPr>
              <w:t>评审条款</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1A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最高分值</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A6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asciiTheme="minorEastAsia" w:hAnsiTheme="minorEastAsia" w:eastAsiaTheme="minorEastAsia" w:cstheme="minorEastAsia"/>
                <w:color w:val="auto"/>
                <w:sz w:val="21"/>
                <w:szCs w:val="21"/>
                <w:highlight w:val="none"/>
              </w:rPr>
              <w:t>主客观分</w:t>
            </w:r>
          </w:p>
        </w:tc>
      </w:tr>
      <w:tr w14:paraId="01C715CC">
        <w:tblPrEx>
          <w:tblCellMar>
            <w:top w:w="0" w:type="dxa"/>
            <w:left w:w="108" w:type="dxa"/>
            <w:bottom w:w="0" w:type="dxa"/>
            <w:right w:w="108" w:type="dxa"/>
          </w:tblCellMar>
        </w:tblPrEx>
        <w:trPr>
          <w:trHeight w:val="483" w:hRule="atLeast"/>
          <w:jc w:val="center"/>
        </w:trPr>
        <w:tc>
          <w:tcPr>
            <w:tcW w:w="879" w:type="dxa"/>
            <w:tcBorders>
              <w:top w:val="single" w:color="000000" w:sz="4" w:space="0"/>
              <w:left w:val="single" w:color="auto" w:sz="4" w:space="0"/>
              <w:bottom w:val="single" w:color="000000" w:sz="4" w:space="0"/>
              <w:right w:val="single" w:color="000000" w:sz="4" w:space="0"/>
            </w:tcBorders>
            <w:shd w:val="clear" w:color="auto" w:fill="auto"/>
            <w:vAlign w:val="center"/>
          </w:tcPr>
          <w:p w14:paraId="5065A7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7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68D4">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color w:val="auto"/>
                <w:sz w:val="21"/>
                <w:szCs w:val="21"/>
                <w:highlight w:val="none"/>
              </w:rPr>
            </w:pPr>
            <w:r>
              <w:rPr>
                <w:rFonts w:hint="eastAsia"/>
                <w:b/>
                <w:bCs/>
                <w:color w:val="auto"/>
                <w:sz w:val="21"/>
                <w:szCs w:val="21"/>
                <w:highlight w:val="none"/>
                <w:lang w:eastAsia="zh-CN"/>
              </w:rPr>
              <w:t>拟派项目负责人</w:t>
            </w:r>
            <w:r>
              <w:rPr>
                <w:rFonts w:hint="eastAsia"/>
                <w:b/>
                <w:bCs/>
                <w:color w:val="auto"/>
                <w:sz w:val="21"/>
                <w:szCs w:val="21"/>
                <w:highlight w:val="none"/>
              </w:rPr>
              <w:t>：</w:t>
            </w:r>
          </w:p>
          <w:p w14:paraId="0E447A4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rPr>
              <w:t>①本科以上学历得2分，大专学历得1分</w:t>
            </w:r>
            <w:r>
              <w:rPr>
                <w:rFonts w:hint="eastAsia"/>
                <w:color w:val="auto"/>
                <w:sz w:val="21"/>
                <w:szCs w:val="21"/>
                <w:highlight w:val="none"/>
                <w:lang w:eastAsia="zh-CN"/>
              </w:rPr>
              <w:t>。提供学信网截图或毕业证书扫描件。</w:t>
            </w:r>
          </w:p>
          <w:p w14:paraId="65118FE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rPr>
              <w:t>②具有物业项目经理服务经验累计5年以上得2分，3-5年</w:t>
            </w:r>
            <w:r>
              <w:rPr>
                <w:rFonts w:hint="eastAsia"/>
                <w:color w:val="auto"/>
                <w:sz w:val="21"/>
                <w:szCs w:val="21"/>
                <w:highlight w:val="none"/>
                <w:lang w:eastAsia="zh-CN"/>
              </w:rPr>
              <w:t>（</w:t>
            </w:r>
            <w:r>
              <w:rPr>
                <w:rFonts w:hint="eastAsia"/>
                <w:color w:val="auto"/>
                <w:sz w:val="21"/>
                <w:szCs w:val="21"/>
                <w:highlight w:val="none"/>
                <w:lang w:val="en-US" w:eastAsia="zh-CN"/>
              </w:rPr>
              <w:t>不含</w:t>
            </w:r>
            <w:r>
              <w:rPr>
                <w:rFonts w:hint="eastAsia"/>
                <w:color w:val="auto"/>
                <w:sz w:val="21"/>
                <w:szCs w:val="21"/>
                <w:highlight w:val="none"/>
                <w:lang w:eastAsia="zh-CN"/>
              </w:rPr>
              <w:t>）</w:t>
            </w:r>
            <w:r>
              <w:rPr>
                <w:rFonts w:hint="eastAsia"/>
                <w:color w:val="auto"/>
                <w:sz w:val="21"/>
                <w:szCs w:val="21"/>
                <w:highlight w:val="none"/>
              </w:rPr>
              <w:t>得1分</w:t>
            </w:r>
            <w:r>
              <w:rPr>
                <w:rFonts w:hint="eastAsia"/>
                <w:color w:val="auto"/>
                <w:sz w:val="21"/>
                <w:szCs w:val="21"/>
                <w:highlight w:val="none"/>
                <w:lang w:eastAsia="zh-CN"/>
              </w:rPr>
              <w:t>。提供对应岗位劳动合同扫描件或服务项目的业主证明（形式不限加盖业主公章）。</w:t>
            </w:r>
          </w:p>
          <w:p w14:paraId="5F10466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asciiTheme="minorEastAsia" w:hAnsiTheme="minorEastAsia" w:cstheme="minorEastAsia"/>
                <w:color w:val="auto"/>
                <w:sz w:val="21"/>
                <w:szCs w:val="21"/>
                <w:highlight w:val="none"/>
                <w:lang w:eastAsia="zh-CN"/>
              </w:rPr>
            </w:pPr>
            <w:r>
              <w:rPr>
                <w:rFonts w:hint="eastAsia"/>
                <w:color w:val="auto"/>
                <w:sz w:val="21"/>
                <w:szCs w:val="21"/>
                <w:highlight w:val="none"/>
              </w:rPr>
              <w:t>③年龄50周岁以下得1分。</w:t>
            </w:r>
            <w:r>
              <w:rPr>
                <w:rFonts w:hint="eastAsia"/>
                <w:color w:val="auto"/>
                <w:sz w:val="21"/>
                <w:szCs w:val="21"/>
                <w:highlight w:val="none"/>
                <w:lang w:eastAsia="zh-CN"/>
              </w:rPr>
              <w:t>提供</w:t>
            </w:r>
            <w:r>
              <w:rPr>
                <w:rFonts w:hint="eastAsia"/>
                <w:color w:val="auto"/>
                <w:sz w:val="21"/>
                <w:szCs w:val="21"/>
                <w:highlight w:val="none"/>
                <w:lang w:val="en-US" w:eastAsia="zh-CN"/>
              </w:rPr>
              <w:t>有效</w:t>
            </w:r>
            <w:r>
              <w:rPr>
                <w:rFonts w:hint="eastAsia"/>
                <w:color w:val="auto"/>
                <w:sz w:val="21"/>
                <w:szCs w:val="21"/>
                <w:highlight w:val="none"/>
                <w:lang w:eastAsia="zh-CN"/>
              </w:rPr>
              <w:t>身份证，</w:t>
            </w:r>
            <w:r>
              <w:rPr>
                <w:rFonts w:hint="eastAsia"/>
                <w:color w:val="auto"/>
                <w:sz w:val="21"/>
                <w:szCs w:val="21"/>
                <w:highlight w:val="none"/>
                <w:lang w:val="en-US" w:eastAsia="zh-CN"/>
              </w:rPr>
              <w:t>日期</w:t>
            </w:r>
            <w:r>
              <w:rPr>
                <w:rFonts w:hint="eastAsia"/>
                <w:color w:val="auto"/>
                <w:sz w:val="21"/>
                <w:szCs w:val="21"/>
                <w:highlight w:val="none"/>
                <w:lang w:eastAsia="zh-CN"/>
              </w:rPr>
              <w:t>截止开标当日。</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F6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48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客观分</w:t>
            </w:r>
          </w:p>
        </w:tc>
      </w:tr>
      <w:tr w14:paraId="3C9000B8">
        <w:tblPrEx>
          <w:tblCellMar>
            <w:top w:w="0" w:type="dxa"/>
            <w:left w:w="108" w:type="dxa"/>
            <w:bottom w:w="0" w:type="dxa"/>
            <w:right w:w="108" w:type="dxa"/>
          </w:tblCellMar>
        </w:tblPrEx>
        <w:trPr>
          <w:trHeight w:val="483" w:hRule="atLeast"/>
          <w:jc w:val="center"/>
        </w:trPr>
        <w:tc>
          <w:tcPr>
            <w:tcW w:w="879" w:type="dxa"/>
            <w:tcBorders>
              <w:top w:val="single" w:color="000000" w:sz="4" w:space="0"/>
              <w:left w:val="single" w:color="auto" w:sz="4" w:space="0"/>
              <w:bottom w:val="single" w:color="000000" w:sz="4" w:space="0"/>
              <w:right w:val="single" w:color="000000" w:sz="4" w:space="0"/>
            </w:tcBorders>
            <w:shd w:val="clear" w:color="auto" w:fill="auto"/>
            <w:vAlign w:val="center"/>
          </w:tcPr>
          <w:p w14:paraId="6D4BBE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w:t>
            </w:r>
          </w:p>
        </w:tc>
        <w:tc>
          <w:tcPr>
            <w:tcW w:w="7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6F9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bCs/>
                <w:color w:val="auto"/>
                <w:sz w:val="21"/>
                <w:szCs w:val="21"/>
                <w:highlight w:val="none"/>
                <w:lang w:eastAsia="zh-CN"/>
              </w:rPr>
            </w:pPr>
            <w:r>
              <w:rPr>
                <w:rFonts w:hint="eastAsia"/>
                <w:b/>
                <w:bCs/>
                <w:color w:val="auto"/>
                <w:sz w:val="21"/>
                <w:szCs w:val="21"/>
                <w:highlight w:val="none"/>
                <w:lang w:eastAsia="zh-CN"/>
              </w:rPr>
              <w:t>拟派项目负责人优势：</w:t>
            </w:r>
          </w:p>
          <w:p w14:paraId="4650E4C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sz w:val="21"/>
                <w:szCs w:val="21"/>
                <w:highlight w:val="none"/>
                <w:lang w:val="en-US" w:eastAsia="zh-CN"/>
              </w:rPr>
            </w:pPr>
            <w:r>
              <w:rPr>
                <w:rFonts w:hint="eastAsia" w:ascii="宋体" w:hAnsi="宋体" w:cs="宋体"/>
                <w:color w:val="auto"/>
                <w:sz w:val="21"/>
                <w:szCs w:val="21"/>
                <w:highlight w:val="none"/>
              </w:rPr>
              <w:t>根据投标人提供的</w:t>
            </w:r>
            <w:r>
              <w:rPr>
                <w:rFonts w:hint="eastAsia" w:ascii="宋体" w:hAnsi="宋体" w:cs="宋体"/>
                <w:color w:val="auto"/>
                <w:sz w:val="21"/>
                <w:szCs w:val="21"/>
                <w:highlight w:val="none"/>
                <w:lang w:eastAsia="zh-CN"/>
              </w:rPr>
              <w:t>项目负责人个人简历，从服务经验、专业技能、履约项目的服务评价等方面综合评定，根据该人员对服务本项目的优势程度，得</w:t>
            </w:r>
            <w:r>
              <w:rPr>
                <w:rFonts w:hint="eastAsia" w:ascii="宋体" w:hAnsi="宋体" w:cs="宋体"/>
                <w:color w:val="auto"/>
                <w:sz w:val="21"/>
                <w:szCs w:val="21"/>
                <w:highlight w:val="none"/>
                <w:lang w:val="en-US" w:eastAsia="zh-CN"/>
              </w:rPr>
              <w:t>2、1、0分。</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F9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A7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主观分</w:t>
            </w:r>
          </w:p>
        </w:tc>
      </w:tr>
    </w:tbl>
    <w:p w14:paraId="62AE014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b/>
          <w:bCs/>
          <w:color w:val="auto"/>
          <w:sz w:val="36"/>
          <w:szCs w:val="44"/>
          <w:highlight w:val="none"/>
        </w:rPr>
      </w:pPr>
      <w:r>
        <w:rPr>
          <w:rFonts w:hint="eastAsia" w:eastAsia="宋体"/>
          <w:b/>
          <w:bCs/>
          <w:color w:val="auto"/>
          <w:sz w:val="36"/>
          <w:szCs w:val="44"/>
          <w:highlight w:val="none"/>
        </w:rPr>
        <w:t>价格</w:t>
      </w:r>
      <w:r>
        <w:rPr>
          <w:rFonts w:hint="eastAsia"/>
          <w:b/>
          <w:bCs/>
          <w:color w:val="auto"/>
          <w:sz w:val="36"/>
          <w:szCs w:val="44"/>
          <w:highlight w:val="none"/>
          <w:lang w:val="en-US" w:eastAsia="zh-CN"/>
        </w:rPr>
        <w:t>：</w:t>
      </w:r>
      <w:r>
        <w:rPr>
          <w:rFonts w:hint="eastAsia" w:eastAsia="宋体"/>
          <w:b/>
          <w:bCs/>
          <w:color w:val="auto"/>
          <w:sz w:val="36"/>
          <w:szCs w:val="44"/>
          <w:highlight w:val="none"/>
          <w:lang w:val="en-US" w:eastAsia="zh-CN"/>
        </w:rPr>
        <w:t>30</w:t>
      </w:r>
      <w:r>
        <w:rPr>
          <w:rFonts w:hint="eastAsia" w:eastAsia="宋体"/>
          <w:b/>
          <w:bCs/>
          <w:color w:val="auto"/>
          <w:sz w:val="36"/>
          <w:szCs w:val="44"/>
          <w:highlight w:val="none"/>
        </w:rPr>
        <w:t>分</w:t>
      </w:r>
    </w:p>
    <w:tbl>
      <w:tblPr>
        <w:tblStyle w:val="62"/>
        <w:tblW w:w="9755" w:type="dxa"/>
        <w:jc w:val="center"/>
        <w:tblLayout w:type="fixed"/>
        <w:tblCellMar>
          <w:top w:w="0" w:type="dxa"/>
          <w:left w:w="108" w:type="dxa"/>
          <w:bottom w:w="0" w:type="dxa"/>
          <w:right w:w="108" w:type="dxa"/>
        </w:tblCellMar>
      </w:tblPr>
      <w:tblGrid>
        <w:gridCol w:w="879"/>
        <w:gridCol w:w="7419"/>
        <w:gridCol w:w="1457"/>
      </w:tblGrid>
      <w:tr w14:paraId="5BCF0909">
        <w:tblPrEx>
          <w:tblCellMar>
            <w:top w:w="0" w:type="dxa"/>
            <w:left w:w="108" w:type="dxa"/>
            <w:bottom w:w="0" w:type="dxa"/>
            <w:right w:w="108" w:type="dxa"/>
          </w:tblCellMar>
        </w:tblPrEx>
        <w:trPr>
          <w:trHeight w:val="434"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8A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DF3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评审条款</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97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最大分值</w:t>
            </w:r>
          </w:p>
        </w:tc>
      </w:tr>
      <w:tr w14:paraId="6FFF5A6A">
        <w:tblPrEx>
          <w:tblCellMar>
            <w:top w:w="0" w:type="dxa"/>
            <w:left w:w="108" w:type="dxa"/>
            <w:bottom w:w="0" w:type="dxa"/>
            <w:right w:w="108" w:type="dxa"/>
          </w:tblCellMar>
        </w:tblPrEx>
        <w:trPr>
          <w:trHeight w:val="28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CD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7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89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有效投标报价的最低价作为评标基准价，其最低报价为满分；</w:t>
            </w:r>
          </w:p>
          <w:p w14:paraId="02E4320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按［投标报价得分=（评标基准价/投标报价）*</w:t>
            </w:r>
            <w:r>
              <w:rPr>
                <w:rFonts w:hint="eastAsia" w:asciiTheme="minorEastAsia" w:hAnsiTheme="minorEastAsia" w:eastAsiaTheme="minorEastAsia" w:cstheme="minorEastAsia"/>
                <w:color w:val="auto"/>
                <w:sz w:val="21"/>
                <w:szCs w:val="21"/>
                <w:highlight w:val="none"/>
                <w:lang w:val="en-US" w:eastAsia="zh-CN"/>
              </w:rPr>
              <w:t>价格最大分值</w:t>
            </w:r>
            <w:r>
              <w:rPr>
                <w:rFonts w:hint="eastAsia" w:asciiTheme="minorEastAsia" w:hAnsiTheme="minorEastAsia" w:eastAsiaTheme="minorEastAsia" w:cstheme="minorEastAsia"/>
                <w:color w:val="auto"/>
                <w:sz w:val="21"/>
                <w:szCs w:val="21"/>
                <w:highlight w:val="none"/>
              </w:rPr>
              <w:t>］的计算公式计算。</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评标过程中，不得去掉报价中的最高报价和最低报价。</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8B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r>
    </w:tbl>
    <w:p w14:paraId="11F2C203">
      <w:pPr>
        <w:rPr>
          <w:rFonts w:hint="eastAsia"/>
          <w:b/>
          <w:bCs/>
          <w:color w:val="auto"/>
          <w:sz w:val="21"/>
          <w:szCs w:val="24"/>
          <w:highlight w:val="none"/>
        </w:rPr>
      </w:pPr>
    </w:p>
    <w:p w14:paraId="2D5D3D8B">
      <w:pPr>
        <w:keepNext w:val="0"/>
        <w:keepLines w:val="0"/>
        <w:pageBreakBefore w:val="0"/>
        <w:kinsoku/>
        <w:wordWrap/>
        <w:overflowPunct/>
        <w:topLinePunct w:val="0"/>
        <w:autoSpaceDE/>
        <w:autoSpaceDN/>
        <w:bidi w:val="0"/>
        <w:snapToGrid/>
        <w:spacing w:line="360" w:lineRule="auto"/>
        <w:textAlignment w:val="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2413EFC1">
      <w:pPr>
        <w:keepNext w:val="0"/>
        <w:keepLines w:val="0"/>
        <w:pageBreakBefore w:val="0"/>
        <w:kinsoku/>
        <w:wordWrap/>
        <w:overflowPunct/>
        <w:topLinePunct w:val="0"/>
        <w:autoSpaceDE/>
        <w:autoSpaceDN/>
        <w:bidi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14:paraId="739195FA">
      <w:pPr>
        <w:keepNext w:val="0"/>
        <w:keepLines w:val="0"/>
        <w:pageBreakBefore w:val="0"/>
        <w:kinsoku/>
        <w:wordWrap/>
        <w:overflowPunct/>
        <w:topLinePunct w:val="0"/>
        <w:autoSpaceDE/>
        <w:autoSpaceDN/>
        <w:bidi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0DA4B261">
      <w:pPr>
        <w:keepNext w:val="0"/>
        <w:keepLines w:val="0"/>
        <w:pageBreakBefore w:val="0"/>
        <w:kinsoku/>
        <w:wordWrap/>
        <w:overflowPunct/>
        <w:topLinePunct w:val="0"/>
        <w:autoSpaceDE/>
        <w:autoSpaceDN/>
        <w:bidi w:val="0"/>
        <w:snapToGrid/>
        <w:spacing w:line="360" w:lineRule="auto"/>
        <w:textAlignment w:val="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B7D0BA6">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AC649B">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84304D0">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B25043C">
      <w:pPr>
        <w:keepNext w:val="0"/>
        <w:keepLines w:val="0"/>
        <w:pageBreakBefore w:val="0"/>
        <w:kinsoku/>
        <w:wordWrap/>
        <w:overflowPunct/>
        <w:topLinePunct w:val="0"/>
        <w:autoSpaceDE/>
        <w:autoSpaceDN/>
        <w:bidi w:val="0"/>
        <w:snapToGrid/>
        <w:spacing w:line="360" w:lineRule="auto"/>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4FDCF944">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6599428">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C61CA25">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9023527">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6157A0F">
      <w:pPr>
        <w:pStyle w:val="128"/>
        <w:keepNext w:val="0"/>
        <w:keepLines w:val="0"/>
        <w:pageBreakBefore w:val="0"/>
        <w:kinsoku/>
        <w:wordWrap/>
        <w:overflowPunct/>
        <w:topLinePunct w:val="0"/>
        <w:autoSpaceDE/>
        <w:autoSpaceDN/>
        <w:bidi w:val="0"/>
        <w:snapToGrid/>
        <w:spacing w:before="0" w:line="360" w:lineRule="auto"/>
        <w:ind w:firstLine="508" w:firstLineChars="212"/>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BCD436E">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1106BA0">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B8334D1">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7D58DFE">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A778B27">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9D934C7">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F405F40">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46EFB12">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6860B3">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3C842DA">
      <w:pPr>
        <w:keepNext w:val="0"/>
        <w:keepLines w:val="0"/>
        <w:pageBreakBefore w:val="0"/>
        <w:kinsoku/>
        <w:wordWrap/>
        <w:overflowPunct/>
        <w:topLinePunct w:val="0"/>
        <w:autoSpaceDE/>
        <w:autoSpaceDN/>
        <w:bidi w:val="0"/>
        <w:snapToGrid/>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8B620C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BBF085">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5CFA3A">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EAA9476">
      <w:pPr>
        <w:pStyle w:val="128"/>
        <w:keepNext w:val="0"/>
        <w:keepLines w:val="0"/>
        <w:pageBreakBefore w:val="0"/>
        <w:kinsoku/>
        <w:wordWrap/>
        <w:overflowPunct/>
        <w:topLinePunct w:val="0"/>
        <w:autoSpaceDE/>
        <w:autoSpaceDN/>
        <w:bidi w:val="0"/>
        <w:snapToGrid/>
        <w:spacing w:before="0" w:line="360" w:lineRule="auto"/>
        <w:ind w:firstLine="472" w:firstLineChars="196"/>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3D02E2D">
      <w:pPr>
        <w:pStyle w:val="24"/>
        <w:keepNext w:val="0"/>
        <w:keepLines w:val="0"/>
        <w:pageBreakBefore w:val="0"/>
        <w:kinsoku/>
        <w:wordWrap/>
        <w:overflowPunct/>
        <w:topLinePunct w:val="0"/>
        <w:autoSpaceDE/>
        <w:autoSpaceDN/>
        <w:bidi w:val="0"/>
        <w:snapToGrid/>
        <w:spacing w:line="360" w:lineRule="auto"/>
        <w:ind w:left="954" w:leftChars="226" w:hanging="479" w:firstLineChars="0"/>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8955178">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118AD7E">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F52F419">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685C264">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288F872">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BD942D6">
      <w:pPr>
        <w:keepNext w:val="0"/>
        <w:keepLines w:val="0"/>
        <w:pageBreakBefore w:val="0"/>
        <w:kinsoku/>
        <w:wordWrap/>
        <w:overflowPunct/>
        <w:topLinePunct w:val="0"/>
        <w:autoSpaceDE/>
        <w:autoSpaceDN/>
        <w:bidi w:val="0"/>
        <w:snapToGrid/>
        <w:spacing w:line="360" w:lineRule="auto"/>
        <w:ind w:firstLine="120" w:firstLineChars="5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4AF8E92">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0BD5BE1">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D7D4B4A">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155C728">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7747D65">
      <w:pPr>
        <w:keepNext w:val="0"/>
        <w:keepLines w:val="0"/>
        <w:pageBreakBefore w:val="0"/>
        <w:kinsoku/>
        <w:wordWrap/>
        <w:overflowPunct/>
        <w:topLinePunct w:val="0"/>
        <w:autoSpaceDE/>
        <w:autoSpaceDN/>
        <w:bidi w:val="0"/>
        <w:snapToGrid/>
        <w:spacing w:line="360"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730F89A">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06586D4">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36519A9A">
      <w:pPr>
        <w:keepNext w:val="0"/>
        <w:keepLines w:val="0"/>
        <w:pageBreakBefore w:val="0"/>
        <w:kinsoku/>
        <w:wordWrap/>
        <w:overflowPunct/>
        <w:topLinePunct w:val="0"/>
        <w:autoSpaceDE/>
        <w:autoSpaceDN/>
        <w:bidi w:val="0"/>
        <w:snapToGrid/>
        <w:spacing w:line="360" w:lineRule="auto"/>
        <w:ind w:firstLine="480" w:firstLineChars="200"/>
        <w:textAlignment w:val="auto"/>
        <w:rPr>
          <w:color w:val="auto"/>
          <w:highlight w:val="none"/>
        </w:rPr>
      </w:pPr>
      <w:r>
        <w:rPr>
          <w:rFonts w:hint="eastAsia" w:ascii="宋体" w:hAnsi="宋体" w:cs="宋体"/>
          <w:color w:val="auto"/>
          <w:kern w:val="0"/>
          <w:sz w:val="24"/>
          <w:highlight w:val="none"/>
        </w:rPr>
        <w:t>4.2.14 投标文件不满足招标文件的实质性要求的；</w:t>
      </w:r>
    </w:p>
    <w:p w14:paraId="57E7AB93">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370C5DB5">
      <w:pPr>
        <w:pStyle w:val="24"/>
        <w:keepNext w:val="0"/>
        <w:keepLines w:val="0"/>
        <w:pageBreakBefore w:val="0"/>
        <w:kinsoku/>
        <w:wordWrap/>
        <w:overflowPunct/>
        <w:topLinePunct w:val="0"/>
        <w:autoSpaceDE/>
        <w:autoSpaceDN/>
        <w:bidi w:val="0"/>
        <w:snapToGrid/>
        <w:spacing w:line="360" w:lineRule="auto"/>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018DDCD">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787018CD">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5.2出现影响采购公正的违法、违规行为的；</w:t>
      </w:r>
    </w:p>
    <w:p w14:paraId="65DE8B5F">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14:paraId="4B07A1B5">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5.4因重大变故，采购任务取消的。</w:t>
      </w:r>
    </w:p>
    <w:p w14:paraId="511D0C13">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废标后，采购代理机构应当将废标理由通知所有投标人。</w:t>
      </w:r>
    </w:p>
    <w:p w14:paraId="27E33860">
      <w:pPr>
        <w:pStyle w:val="24"/>
        <w:keepNext w:val="0"/>
        <w:keepLines w:val="0"/>
        <w:pageBreakBefore w:val="0"/>
        <w:kinsoku/>
        <w:wordWrap/>
        <w:overflowPunct/>
        <w:topLinePunct w:val="0"/>
        <w:autoSpaceDE/>
        <w:autoSpaceDN/>
        <w:bidi w:val="0"/>
        <w:snapToGrid/>
        <w:spacing w:line="360" w:lineRule="auto"/>
        <w:ind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A6FEEB0">
      <w:pPr>
        <w:pStyle w:val="24"/>
        <w:keepNext w:val="0"/>
        <w:keepLines w:val="0"/>
        <w:pageBreakBefore w:val="0"/>
        <w:kinsoku/>
        <w:wordWrap/>
        <w:overflowPunct/>
        <w:topLinePunct w:val="0"/>
        <w:autoSpaceDE/>
        <w:autoSpaceDN/>
        <w:bidi w:val="0"/>
        <w:snapToGrid/>
        <w:spacing w:line="360" w:lineRule="auto"/>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BF2BC78">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118AB148">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CF4028E">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A3E824C">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318906EC">
      <w:pPr>
        <w:keepNext w:val="0"/>
        <w:keepLines w:val="0"/>
        <w:pageBreakBefore w:val="0"/>
        <w:kinsoku/>
        <w:wordWrap/>
        <w:overflowPunct/>
        <w:topLinePunct w:val="0"/>
        <w:autoSpaceDE/>
        <w:autoSpaceDN/>
        <w:bidi w:val="0"/>
        <w:snapToGrid/>
        <w:spacing w:line="360" w:lineRule="auto"/>
        <w:ind w:firstLine="420"/>
        <w:textAlignment w:val="auto"/>
        <w:outlineLvl w:val="0"/>
        <w:rPr>
          <w:rFonts w:cs="宋体"/>
          <w:color w:val="auto"/>
          <w:highlight w:val="none"/>
        </w:rPr>
      </w:pP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sz w:val="24"/>
          <w:highlight w:val="none"/>
        </w:rPr>
        <w:t>5</w:t>
      </w:r>
      <w:r>
        <w:rPr>
          <w:rFonts w:hint="eastAsia" w:cs="宋体"/>
          <w:color w:val="auto"/>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14:paraId="29DCD75F">
      <w:pPr>
        <w:rPr>
          <w:rFonts w:cs="宋体"/>
          <w:color w:val="auto"/>
          <w:highlight w:val="none"/>
        </w:rPr>
      </w:pPr>
      <w:r>
        <w:rPr>
          <w:rFonts w:hint="eastAsia" w:cs="宋体"/>
          <w:color w:val="auto"/>
          <w:highlight w:val="none"/>
        </w:rPr>
        <w:br w:type="page"/>
      </w:r>
    </w:p>
    <w:p w14:paraId="42D55AC5">
      <w:pPr>
        <w:numPr>
          <w:ilvl w:val="0"/>
          <w:numId w:val="3"/>
        </w:num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6C18E2C5">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A7FA8DB">
      <w:pPr>
        <w:spacing w:line="480" w:lineRule="auto"/>
        <w:jc w:val="center"/>
        <w:rPr>
          <w:rFonts w:ascii="宋体" w:hAnsi="宋体" w:cs="宋体"/>
          <w:b/>
          <w:color w:val="auto"/>
          <w:sz w:val="36"/>
          <w:szCs w:val="36"/>
          <w:highlight w:val="none"/>
        </w:rPr>
      </w:pPr>
    </w:p>
    <w:p w14:paraId="72CB826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979D56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服务</w:t>
      </w:r>
      <w:r>
        <w:rPr>
          <w:rFonts w:hint="eastAsia" w:ascii="宋体" w:hAnsi="宋体" w:cs="宋体"/>
          <w:b/>
          <w:color w:val="auto"/>
          <w:sz w:val="36"/>
          <w:szCs w:val="36"/>
          <w:highlight w:val="none"/>
        </w:rPr>
        <w:t>类）</w:t>
      </w:r>
    </w:p>
    <w:p w14:paraId="33FEF6AD">
      <w:pPr>
        <w:pStyle w:val="699"/>
        <w:ind w:left="0" w:leftChars="0" w:firstLine="0" w:firstLineChars="0"/>
        <w:jc w:val="center"/>
        <w:rPr>
          <w:rFonts w:ascii="宋体" w:hAnsi="宋体" w:cs="宋体"/>
          <w:b/>
          <w:color w:val="auto"/>
          <w:szCs w:val="24"/>
          <w:highlight w:val="none"/>
        </w:rPr>
      </w:pPr>
    </w:p>
    <w:p w14:paraId="32AD6D09">
      <w:pPr>
        <w:pStyle w:val="699"/>
        <w:numPr>
          <w:ilvl w:val="0"/>
          <w:numId w:val="4"/>
        </w:numPr>
        <w:ind w:left="0" w:leftChars="0" w:firstLine="0" w:firstLineChars="0"/>
        <w:jc w:val="center"/>
        <w:rPr>
          <w:color w:val="auto"/>
          <w:highlight w:val="none"/>
        </w:rPr>
      </w:pPr>
      <w:r>
        <w:rPr>
          <w:rFonts w:hint="eastAsia" w:ascii="宋体" w:hAnsi="宋体" w:cs="宋体"/>
          <w:b/>
          <w:color w:val="auto"/>
          <w:szCs w:val="24"/>
          <w:highlight w:val="none"/>
        </w:rPr>
        <w:t>合同书</w:t>
      </w:r>
    </w:p>
    <w:p w14:paraId="3027E069">
      <w:pPr>
        <w:pStyle w:val="699"/>
        <w:ind w:left="0" w:leftChars="0" w:firstLine="0" w:firstLineChars="0"/>
        <w:jc w:val="center"/>
        <w:rPr>
          <w:rFonts w:ascii="宋体" w:hAnsi="宋体" w:cs="宋体"/>
          <w:color w:val="auto"/>
          <w:szCs w:val="24"/>
          <w:highlight w:val="none"/>
        </w:rPr>
      </w:pPr>
    </w:p>
    <w:p w14:paraId="0032E54A">
      <w:pPr>
        <w:spacing w:before="120" w:line="22" w:lineRule="atLeast"/>
        <w:rPr>
          <w:rFonts w:ascii="宋体" w:hAnsi="宋体" w:cs="宋体"/>
          <w:color w:val="auto"/>
          <w:sz w:val="24"/>
          <w:highlight w:val="none"/>
        </w:rPr>
      </w:pPr>
    </w:p>
    <w:p w14:paraId="2896DCB9">
      <w:pPr>
        <w:spacing w:before="120" w:line="22" w:lineRule="atLeast"/>
        <w:ind w:left="0" w:leftChars="0" w:firstLine="1680" w:firstLineChars="70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7B0D2CD">
      <w:pPr>
        <w:pStyle w:val="596"/>
        <w:spacing w:before="120" w:line="22" w:lineRule="atLeast"/>
        <w:ind w:left="0" w:leftChars="0" w:firstLine="1680" w:firstLineChars="700"/>
        <w:rPr>
          <w:rFonts w:ascii="宋体" w:hAnsi="宋体" w:eastAsia="宋体" w:cs="宋体"/>
          <w:color w:val="auto"/>
          <w:szCs w:val="24"/>
          <w:highlight w:val="none"/>
        </w:rPr>
      </w:pPr>
    </w:p>
    <w:p w14:paraId="7F3424A1">
      <w:pPr>
        <w:ind w:left="0" w:leftChars="0" w:firstLine="1680" w:firstLineChars="700"/>
        <w:rPr>
          <w:rFonts w:ascii="宋体" w:hAnsi="宋体" w:cs="宋体"/>
          <w:color w:val="auto"/>
          <w:sz w:val="24"/>
          <w:highlight w:val="none"/>
        </w:rPr>
      </w:pPr>
    </w:p>
    <w:p w14:paraId="4711F929">
      <w:pPr>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CD040EF">
      <w:pPr>
        <w:spacing w:before="120" w:line="22" w:lineRule="atLeast"/>
        <w:ind w:left="0" w:leftChars="0" w:firstLine="1680" w:firstLineChars="700"/>
        <w:rPr>
          <w:rFonts w:ascii="宋体" w:hAnsi="宋体" w:cs="宋体"/>
          <w:color w:val="auto"/>
          <w:sz w:val="24"/>
          <w:highlight w:val="none"/>
        </w:rPr>
      </w:pPr>
    </w:p>
    <w:p w14:paraId="3DCE4367">
      <w:pPr>
        <w:tabs>
          <w:tab w:val="left" w:pos="840"/>
        </w:tabs>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676638C">
      <w:pPr>
        <w:spacing w:before="120" w:line="22" w:lineRule="atLeast"/>
        <w:ind w:left="0" w:leftChars="0" w:firstLine="1680" w:firstLineChars="700"/>
        <w:rPr>
          <w:rFonts w:ascii="宋体" w:hAnsi="宋体" w:cs="宋体"/>
          <w:color w:val="auto"/>
          <w:sz w:val="24"/>
          <w:highlight w:val="none"/>
        </w:rPr>
      </w:pPr>
    </w:p>
    <w:p w14:paraId="5D152FB0">
      <w:pPr>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663E2F7">
      <w:pPr>
        <w:spacing w:before="120" w:line="22" w:lineRule="atLeast"/>
        <w:ind w:left="0" w:leftChars="0" w:firstLine="1680" w:firstLineChars="700"/>
        <w:rPr>
          <w:rFonts w:ascii="宋体" w:hAnsi="宋体" w:cs="宋体"/>
          <w:color w:val="auto"/>
          <w:sz w:val="24"/>
          <w:highlight w:val="none"/>
        </w:rPr>
      </w:pPr>
    </w:p>
    <w:p w14:paraId="5D7ACD86">
      <w:pPr>
        <w:spacing w:line="560" w:lineRule="exact"/>
        <w:ind w:left="0" w:leftChars="0" w:firstLine="1680" w:firstLineChars="700"/>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F1C43AE">
      <w:pPr>
        <w:rPr>
          <w:rFonts w:hint="eastAsia" w:ascii="宋体" w:hAnsi="宋体" w:cs="宋体"/>
          <w:color w:val="auto"/>
          <w:sz w:val="24"/>
          <w:highlight w:val="none"/>
        </w:rPr>
      </w:pPr>
      <w:r>
        <w:rPr>
          <w:rFonts w:hint="eastAsia" w:ascii="宋体" w:hAnsi="宋体" w:cs="宋体"/>
          <w:color w:val="auto"/>
          <w:sz w:val="24"/>
          <w:highlight w:val="none"/>
        </w:rPr>
        <w:br w:type="page"/>
      </w:r>
    </w:p>
    <w:p w14:paraId="7EC6FB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w:t>
      </w:r>
      <w:r>
        <w:rPr>
          <w:rFonts w:hint="eastAsia" w:ascii="Times New Roman" w:hAnsi="Times New Roman" w:eastAsia="宋体" w:cs="Times New Roman"/>
          <w:color w:val="auto"/>
          <w:sz w:val="24"/>
          <w:szCs w:val="32"/>
          <w:highlight w:val="none"/>
          <w:u w:val="single"/>
        </w:rPr>
        <w:t>萧山区尚德实验学校</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（政府采购方式）  </w:t>
      </w:r>
      <w:r>
        <w:rPr>
          <w:rFonts w:hint="eastAsia" w:ascii="宋体" w:hAnsi="宋体" w:eastAsia="宋体" w:cs="宋体"/>
          <w:color w:val="auto"/>
          <w:sz w:val="24"/>
          <w:szCs w:val="24"/>
          <w:highlight w:val="none"/>
        </w:rPr>
        <w:t>对</w:t>
      </w:r>
      <w:r>
        <w:rPr>
          <w:rFonts w:hint="eastAsia" w:ascii="Times New Roman" w:hAnsi="Times New Roman" w:eastAsia="宋体" w:cs="Times New Roman"/>
          <w:color w:val="auto"/>
          <w:sz w:val="24"/>
          <w:szCs w:val="32"/>
          <w:highlight w:val="none"/>
          <w:u w:val="single"/>
        </w:rPr>
        <w:t>萧山区尚德实验学校物业政府采购项目</w:t>
      </w:r>
      <w:r>
        <w:rPr>
          <w:rFonts w:hint="eastAsia" w:ascii="宋体" w:hAnsi="宋体" w:eastAsia="宋体" w:cs="宋体"/>
          <w:color w:val="auto"/>
          <w:sz w:val="24"/>
          <w:szCs w:val="24"/>
          <w:highlight w:val="none"/>
        </w:rPr>
        <w:t>项目进行了采购。经</w:t>
      </w:r>
      <w:r>
        <w:rPr>
          <w:rFonts w:hint="eastAsia" w:ascii="宋体" w:hAnsi="宋体" w:eastAsia="宋体" w:cs="宋体"/>
          <w:color w:val="auto"/>
          <w:sz w:val="24"/>
          <w:szCs w:val="24"/>
          <w:highlight w:val="none"/>
          <w:u w:val="single"/>
        </w:rPr>
        <w:t xml:space="preserve">   （相关评定主体名称）   </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rPr>
        <w:t xml:space="preserve">   （中标或者成交供应商名称） </w:t>
      </w:r>
      <w:r>
        <w:rPr>
          <w:rFonts w:hint="eastAsia" w:ascii="宋体" w:hAnsi="宋体" w:eastAsia="宋体" w:cs="宋体"/>
          <w:color w:val="auto"/>
          <w:sz w:val="24"/>
          <w:szCs w:val="24"/>
          <w:highlight w:val="none"/>
        </w:rPr>
        <w:t>为该项目中标或者成交供应商。现于中标或者成交通知书发出之日起10个工作日内，按照采购文件确定的事项签订本合同。</w:t>
      </w:r>
    </w:p>
    <w:p w14:paraId="3D8F08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根据《中华人民共和国民法典》《中华人民共和国政府采购法》等相关法律法规之规定，按照平等、自愿、公平和诚实信用的原则，经</w:t>
      </w:r>
      <w:r>
        <w:rPr>
          <w:rFonts w:hint="eastAsia" w:ascii="Times New Roman" w:hAnsi="Times New Roman" w:eastAsia="宋体" w:cs="Times New Roman"/>
          <w:color w:val="auto"/>
          <w:sz w:val="24"/>
          <w:szCs w:val="32"/>
          <w:highlight w:val="none"/>
          <w:u w:val="single"/>
        </w:rPr>
        <w:t>萧山区尚德实验学校</w:t>
      </w:r>
      <w:r>
        <w:rPr>
          <w:rFonts w:hint="eastAsia" w:ascii="宋体" w:hAnsi="宋体" w:eastAsia="宋体" w:cs="宋体"/>
          <w:color w:val="auto"/>
          <w:sz w:val="24"/>
          <w:szCs w:val="24"/>
          <w:highlight w:val="none"/>
          <w:lang w:val="zh-CN"/>
        </w:rPr>
        <w:t>(以下简称：甲方)和</w:t>
      </w:r>
      <w:r>
        <w:rPr>
          <w:rFonts w:hint="eastAsia" w:ascii="宋体" w:hAnsi="宋体" w:eastAsia="宋体" w:cs="宋体"/>
          <w:color w:val="auto"/>
          <w:sz w:val="24"/>
          <w:szCs w:val="24"/>
          <w:highlight w:val="none"/>
          <w:u w:val="single"/>
        </w:rPr>
        <w:t xml:space="preserve">   （中或者成交标供应商名称）   </w:t>
      </w:r>
      <w:r>
        <w:rPr>
          <w:rFonts w:hint="eastAsia" w:ascii="宋体" w:hAnsi="宋体" w:eastAsia="宋体" w:cs="宋体"/>
          <w:color w:val="auto"/>
          <w:sz w:val="24"/>
          <w:szCs w:val="24"/>
          <w:highlight w:val="none"/>
          <w:lang w:val="zh-CN"/>
        </w:rPr>
        <w:t>(以下简称：乙方)协商一致，约定以下合同</w:t>
      </w:r>
      <w:r>
        <w:rPr>
          <w:rFonts w:hint="eastAsia" w:ascii="宋体" w:hAnsi="宋体" w:eastAsia="宋体" w:cs="宋体"/>
          <w:color w:val="auto"/>
          <w:sz w:val="24"/>
          <w:szCs w:val="24"/>
          <w:highlight w:val="none"/>
        </w:rPr>
        <w:t>条款，以兹共同遵守、全面履行。</w:t>
      </w:r>
    </w:p>
    <w:p w14:paraId="5750DCA2">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0"/>
        <w:rPr>
          <w:rFonts w:hint="eastAsia" w:ascii="宋体" w:hAnsi="宋体" w:eastAsia="宋体" w:cs="宋体"/>
          <w:color w:val="auto"/>
          <w:sz w:val="24"/>
          <w:szCs w:val="24"/>
          <w:highlight w:val="none"/>
        </w:rPr>
      </w:pPr>
      <w:bookmarkStart w:id="396" w:name="_Toc19273"/>
      <w:bookmarkStart w:id="397" w:name="_Toc22967"/>
      <w:bookmarkStart w:id="398" w:name="_Toc15367"/>
      <w:bookmarkStart w:id="399" w:name="_Toc28855"/>
      <w:bookmarkStart w:id="400" w:name="_Toc20421"/>
      <w:r>
        <w:rPr>
          <w:rFonts w:hint="eastAsia" w:ascii="宋体" w:hAnsi="宋体" w:eastAsia="宋体" w:cs="宋体"/>
          <w:b/>
          <w:color w:val="auto"/>
          <w:sz w:val="24"/>
          <w:szCs w:val="24"/>
          <w:highlight w:val="none"/>
        </w:rPr>
        <w:t>1.1 合同组成部分</w:t>
      </w:r>
      <w:bookmarkEnd w:id="396"/>
      <w:bookmarkEnd w:id="397"/>
      <w:bookmarkEnd w:id="398"/>
      <w:bookmarkEnd w:id="399"/>
      <w:bookmarkEnd w:id="400"/>
    </w:p>
    <w:p w14:paraId="03B81F8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99395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本合同及其补充合同、变更协议；</w:t>
      </w:r>
    </w:p>
    <w:p w14:paraId="3FE29CA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中标或者成交通知书；</w:t>
      </w:r>
    </w:p>
    <w:p w14:paraId="48DA577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投标或者响应文件（含澄清或者说明文件）；</w:t>
      </w:r>
    </w:p>
    <w:p w14:paraId="310A4E6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采购文件（含澄清或者修改文件）；</w:t>
      </w:r>
    </w:p>
    <w:p w14:paraId="7502B45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其他相关采购文件。</w:t>
      </w:r>
    </w:p>
    <w:p w14:paraId="3F09F1F0">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01" w:name="_Toc18585"/>
      <w:bookmarkStart w:id="402" w:name="_Toc6773"/>
      <w:bookmarkStart w:id="403" w:name="_Toc2918"/>
      <w:bookmarkStart w:id="404" w:name="_Toc22185"/>
      <w:bookmarkStart w:id="405" w:name="_Toc6311"/>
      <w:r>
        <w:rPr>
          <w:rFonts w:hint="eastAsia" w:ascii="宋体" w:hAnsi="宋体" w:eastAsia="宋体" w:cs="宋体"/>
          <w:b/>
          <w:color w:val="auto"/>
          <w:sz w:val="24"/>
          <w:szCs w:val="24"/>
          <w:highlight w:val="none"/>
        </w:rPr>
        <w:t>1.2 标的</w:t>
      </w:r>
      <w:bookmarkEnd w:id="401"/>
      <w:bookmarkEnd w:id="402"/>
      <w:bookmarkEnd w:id="403"/>
      <w:bookmarkEnd w:id="404"/>
      <w:bookmarkEnd w:id="405"/>
    </w:p>
    <w:p w14:paraId="7CF098F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 服务内容：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FFFA5B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 服务标准：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62A7DE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1.2.3 技术保障：</w:t>
      </w:r>
      <w:r>
        <w:rPr>
          <w:rFonts w:hint="eastAsia" w:ascii="宋体" w:hAnsi="宋体" w:eastAsia="宋体" w:cs="宋体"/>
          <w:color w:val="auto"/>
          <w:sz w:val="24"/>
          <w:szCs w:val="24"/>
          <w:highlight w:val="none"/>
          <w:u w:val="single"/>
        </w:rPr>
        <w:t>　　　　　　　　　                      　      ；</w:t>
      </w:r>
    </w:p>
    <w:p w14:paraId="471548F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服务人员组成：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E57A4EE">
      <w:pPr>
        <w:pStyle w:val="957"/>
        <w:keepNext w:val="0"/>
        <w:keepLines w:val="0"/>
        <w:pageBreakBefore w:val="0"/>
        <w:kinsoku/>
        <w:wordWrap/>
        <w:overflowPunct/>
        <w:topLinePunct w:val="0"/>
        <w:autoSpaceDE/>
        <w:autoSpaceDN/>
        <w:bidi w:val="0"/>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（是/否）涉及货物。若涉及货物的的，则：</w:t>
      </w:r>
    </w:p>
    <w:p w14:paraId="32887AA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bookmarkStart w:id="406" w:name="_Toc5635"/>
      <w:bookmarkStart w:id="407" w:name="_Toc21124"/>
      <w:bookmarkStart w:id="408" w:name="_Toc4929"/>
      <w:bookmarkStart w:id="409" w:name="_Toc1386"/>
      <w:bookmarkStart w:id="410" w:name="_Toc13918"/>
      <w:r>
        <w:rPr>
          <w:rFonts w:hint="eastAsia" w:ascii="宋体" w:hAnsi="宋体" w:eastAsia="宋体" w:cs="宋体"/>
          <w:color w:val="auto"/>
          <w:sz w:val="24"/>
          <w:szCs w:val="24"/>
          <w:highlight w:val="none"/>
        </w:rPr>
        <w:t>1.2.5.1 货物名称、品牌、规格型号、花色：</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97218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1.2.5.2 货物数量：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0EEB0D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1.2.5.3 货物质量：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3C79252">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 价款</w:t>
      </w:r>
      <w:bookmarkEnd w:id="406"/>
      <w:bookmarkEnd w:id="407"/>
      <w:bookmarkEnd w:id="408"/>
      <w:bookmarkEnd w:id="409"/>
      <w:bookmarkEnd w:id="410"/>
    </w:p>
    <w:p w14:paraId="7F0E5D0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本项目采用以下第</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条款规定的计价方式计价。</w:t>
      </w:r>
    </w:p>
    <w:p w14:paraId="036E500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1.3.1总价合同，本合同总价（含税）为：￥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0488E726">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F90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69DAF6">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26FBDF2B">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6381D25D">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718F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406157">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tc>
        <w:tc>
          <w:tcPr>
            <w:tcW w:w="3402" w:type="dxa"/>
            <w:vAlign w:val="center"/>
          </w:tcPr>
          <w:p w14:paraId="48646041">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tc>
        <w:tc>
          <w:tcPr>
            <w:tcW w:w="2552" w:type="dxa"/>
            <w:vAlign w:val="center"/>
          </w:tcPr>
          <w:p w14:paraId="24B88899">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tc>
      </w:tr>
      <w:tr w14:paraId="7430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AA30C5">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tc>
        <w:tc>
          <w:tcPr>
            <w:tcW w:w="3402" w:type="dxa"/>
            <w:vAlign w:val="center"/>
          </w:tcPr>
          <w:p w14:paraId="0EFD7519">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tc>
        <w:tc>
          <w:tcPr>
            <w:tcW w:w="2552" w:type="dxa"/>
            <w:vAlign w:val="center"/>
          </w:tcPr>
          <w:p w14:paraId="66AED56E">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tc>
      </w:tr>
      <w:tr w14:paraId="472F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7D8FCC">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tc>
        <w:tc>
          <w:tcPr>
            <w:tcW w:w="3402" w:type="dxa"/>
            <w:vAlign w:val="center"/>
          </w:tcPr>
          <w:p w14:paraId="3813C60F">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tc>
        <w:tc>
          <w:tcPr>
            <w:tcW w:w="2552" w:type="dxa"/>
            <w:vAlign w:val="center"/>
          </w:tcPr>
          <w:p w14:paraId="00FEA31C">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tc>
      </w:tr>
      <w:tr w14:paraId="0B0A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D85F58">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tc>
        <w:tc>
          <w:tcPr>
            <w:tcW w:w="3402" w:type="dxa"/>
            <w:vAlign w:val="center"/>
          </w:tcPr>
          <w:p w14:paraId="020DABA6">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tc>
        <w:tc>
          <w:tcPr>
            <w:tcW w:w="2552" w:type="dxa"/>
            <w:vAlign w:val="center"/>
          </w:tcPr>
          <w:p w14:paraId="0BC3855C">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tc>
      </w:tr>
      <w:tr w14:paraId="6D5F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6AAE67B">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61A555FE">
            <w:pPr>
              <w:pStyle w:val="317"/>
              <w:pageBreakBefore w:val="0"/>
              <w:kinsoku/>
              <w:wordWrap/>
              <w:overflowPunct/>
              <w:topLinePunct w:val="0"/>
              <w:autoSpaceDE/>
              <w:autoSpaceDN/>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tc>
      </w:tr>
    </w:tbl>
    <w:p w14:paraId="7DAE4BE5">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411" w:name="_Toc30158"/>
      <w:bookmarkStart w:id="412" w:name="_Toc3654"/>
      <w:bookmarkStart w:id="413" w:name="_Toc26916"/>
      <w:bookmarkStart w:id="414" w:name="_Toc14993"/>
      <w:bookmarkStart w:id="415" w:name="_Toc30506"/>
      <w:r>
        <w:rPr>
          <w:rFonts w:hint="eastAsia" w:ascii="宋体" w:hAnsi="宋体" w:eastAsia="宋体" w:cs="宋体"/>
          <w:bCs/>
          <w:color w:val="auto"/>
          <w:sz w:val="24"/>
          <w:szCs w:val="24"/>
          <w:highlight w:val="none"/>
        </w:rPr>
        <w:t>1.3.2单价合同，本合同单价（含税）标准为：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。服务工作量的计量方式为：</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09754A1A">
      <w:pPr>
        <w:pStyle w:val="2"/>
        <w:pageBreakBefore w:val="0"/>
        <w:kinsoku/>
        <w:wordWrap/>
        <w:overflowPunct/>
        <w:topLinePunct w:val="0"/>
        <w:autoSpaceDE/>
        <w:autoSpaceDN/>
        <w:bidi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ab/>
      </w:r>
      <w:r>
        <w:rPr>
          <w:rFonts w:hint="eastAsia" w:ascii="宋体" w:hAnsi="宋体" w:eastAsia="宋体" w:cs="宋体"/>
          <w:b w:val="0"/>
          <w:bCs w:val="0"/>
          <w:color w:val="auto"/>
          <w:sz w:val="24"/>
          <w:szCs w:val="24"/>
          <w:highlight w:val="none"/>
          <w:lang w:val="en-US"/>
        </w:rPr>
        <w:t>1.3.3其他计价方式：</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rPr>
        <w:t>。</w:t>
      </w:r>
    </w:p>
    <w:bookmarkEnd w:id="411"/>
    <w:bookmarkEnd w:id="412"/>
    <w:bookmarkEnd w:id="413"/>
    <w:bookmarkEnd w:id="414"/>
    <w:bookmarkEnd w:id="415"/>
    <w:p w14:paraId="42195EAC">
      <w:pPr>
        <w:pStyle w:val="957"/>
        <w:pageBreakBefore w:val="0"/>
        <w:kinsoku/>
        <w:wordWrap/>
        <w:overflowPunct/>
        <w:topLinePunct w:val="0"/>
        <w:autoSpaceDE/>
        <w:autoSpaceDN/>
        <w:bidi w:val="0"/>
        <w:snapToGrid w:val="0"/>
        <w:spacing w:before="0" w:beforeAutospacing="0" w:after="0" w:afterAutospacing="0" w:line="360" w:lineRule="auto"/>
        <w:ind w:firstLine="482" w:firstLineChars="200"/>
        <w:textAlignment w:val="auto"/>
        <w:rPr>
          <w:rFonts w:hint="eastAsia" w:ascii="宋体" w:hAnsi="宋体" w:eastAsia="宋体" w:cs="宋体"/>
          <w:b/>
          <w:color w:val="auto"/>
          <w:sz w:val="24"/>
          <w:szCs w:val="24"/>
          <w:highlight w:val="none"/>
        </w:rPr>
      </w:pPr>
      <w:bookmarkStart w:id="416" w:name="_Toc3625"/>
      <w:bookmarkStart w:id="417" w:name="_Toc8772"/>
      <w:bookmarkStart w:id="418" w:name="_Toc31421"/>
      <w:bookmarkStart w:id="419" w:name="_Toc11108"/>
      <w:bookmarkStart w:id="420" w:name="_Toc4760"/>
      <w:r>
        <w:rPr>
          <w:rFonts w:hint="eastAsia" w:ascii="宋体" w:hAnsi="宋体" w:eastAsia="宋体" w:cs="宋体"/>
          <w:b/>
          <w:color w:val="auto"/>
          <w:sz w:val="24"/>
          <w:szCs w:val="24"/>
          <w:highlight w:val="none"/>
        </w:rPr>
        <w:t>1.4履约保证金</w:t>
      </w:r>
    </w:p>
    <w:p w14:paraId="4D31ED9D">
      <w:pPr>
        <w:pStyle w:val="957"/>
        <w:pageBreakBefore w:val="0"/>
        <w:kinsoku/>
        <w:wordWrap/>
        <w:overflowPunct/>
        <w:topLinePunct w:val="0"/>
        <w:autoSpaceDE/>
        <w:autoSpaceDN/>
        <w:bidi w:val="0"/>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（是/否）需要支付履约保证金。若需要支付履约保证金的，则：</w:t>
      </w:r>
    </w:p>
    <w:p w14:paraId="08BDCDD3">
      <w:pPr>
        <w:pageBreakBefore w:val="0"/>
        <w:kinsoku/>
        <w:wordWrap/>
        <w:overflowPunct/>
        <w:topLinePunct w:val="0"/>
        <w:autoSpaceDE/>
        <w:autoSpaceDN/>
        <w:bidi w:val="0"/>
        <w:snapToGrid w:val="0"/>
        <w:spacing w:line="360" w:lineRule="auto"/>
        <w:ind w:firstLine="480" w:firstLineChars="200"/>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1.4.1履约保证金的比例为合同金额的</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kern w:val="0"/>
          <w:sz w:val="24"/>
          <w:szCs w:val="24"/>
          <w:highlight w:val="none"/>
        </w:rPr>
        <w:t>%；</w:t>
      </w:r>
    </w:p>
    <w:p w14:paraId="5104F2C7">
      <w:pPr>
        <w:pageBreakBefore w:val="0"/>
        <w:kinsoku/>
        <w:wordWrap/>
        <w:overflowPunct/>
        <w:topLinePunct w:val="0"/>
        <w:autoSpaceDE/>
        <w:autoSpaceDN/>
        <w:bidi w:val="0"/>
        <w:snapToGrid w:val="0"/>
        <w:spacing w:line="360" w:lineRule="auto"/>
        <w:ind w:firstLine="480" w:firstLineChars="200"/>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1.4.2履约保证金支付方式详见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2B465C1">
      <w:pPr>
        <w:pStyle w:val="2"/>
        <w:pageBreakBefore w:val="0"/>
        <w:tabs>
          <w:tab w:val="left" w:pos="0"/>
        </w:tabs>
        <w:kinsoku/>
        <w:wordWrap/>
        <w:overflowPunct/>
        <w:topLinePunct w:val="0"/>
        <w:autoSpaceDE/>
        <w:autoSpaceDN/>
        <w:bidi w:val="0"/>
        <w:snapToGrid w:val="0"/>
        <w:spacing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92D73C2">
      <w:pPr>
        <w:pageBreakBefore w:val="0"/>
        <w:kinsoku/>
        <w:wordWrap/>
        <w:overflowPunct/>
        <w:topLinePunct w:val="0"/>
        <w:autoSpaceDE/>
        <w:autoSpaceDN/>
        <w:bidi w:val="0"/>
        <w:snapToGrid w:val="0"/>
        <w:spacing w:line="360" w:lineRule="auto"/>
        <w:ind w:firstLine="480" w:firstLineChars="200"/>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1.4.4甲方在项目验收结束后及时退还履约保证金。甲方在项目通过验收之日起</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szCs w:val="24"/>
          <w:highlight w:val="none"/>
          <w:u w:val="single"/>
        </w:rPr>
        <w:t xml:space="preserve">  0.05  </w:t>
      </w:r>
      <w:r>
        <w:rPr>
          <w:rFonts w:hint="eastAsia" w:ascii="宋体" w:hAnsi="宋体" w:eastAsia="宋体" w:cs="宋体"/>
          <w:color w:val="auto"/>
          <w:kern w:val="0"/>
          <w:sz w:val="24"/>
          <w:szCs w:val="24"/>
          <w:highlight w:val="none"/>
        </w:rPr>
        <w:t>%计算，最高限额为本合同履约保证金的</w:t>
      </w:r>
      <w:r>
        <w:rPr>
          <w:rFonts w:hint="eastAsia" w:ascii="宋体" w:hAnsi="宋体" w:eastAsia="宋体" w:cs="宋体"/>
          <w:color w:val="auto"/>
          <w:kern w:val="0"/>
          <w:sz w:val="24"/>
          <w:szCs w:val="24"/>
          <w:highlight w:val="none"/>
          <w:u w:val="single"/>
        </w:rPr>
        <w:t xml:space="preserve">  20  </w:t>
      </w:r>
      <w:r>
        <w:rPr>
          <w:rFonts w:hint="eastAsia" w:ascii="宋体" w:hAnsi="宋体" w:eastAsia="宋体" w:cs="宋体"/>
          <w:color w:val="auto"/>
          <w:kern w:val="0"/>
          <w:sz w:val="24"/>
          <w:szCs w:val="24"/>
          <w:highlight w:val="none"/>
        </w:rPr>
        <w:t>%。</w:t>
      </w:r>
    </w:p>
    <w:p w14:paraId="25A977FA">
      <w:pPr>
        <w:pageBreakBefore w:val="0"/>
        <w:kinsoku/>
        <w:wordWrap/>
        <w:overflowPunct/>
        <w:topLinePunct w:val="0"/>
        <w:autoSpaceDE/>
        <w:autoSpaceDN/>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1.5预付款</w:t>
      </w:r>
    </w:p>
    <w:p w14:paraId="4ED2035E">
      <w:pPr>
        <w:pStyle w:val="957"/>
        <w:pageBreakBefore w:val="0"/>
        <w:kinsoku/>
        <w:wordWrap/>
        <w:overflowPunct/>
        <w:topLinePunct w:val="0"/>
        <w:autoSpaceDE/>
        <w:autoSpaceDN/>
        <w:bidi w:val="0"/>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（是/否）需要支付预付款。若需要支付预付款的，则：</w:t>
      </w:r>
    </w:p>
    <w:p w14:paraId="04932BD6">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1.5.1预付款比例、支付方式、时间详见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28B0035">
      <w:pPr>
        <w:pStyle w:val="957"/>
        <w:pageBreakBefore w:val="0"/>
        <w:kinsoku/>
        <w:wordWrap/>
        <w:overflowPunct/>
        <w:topLinePunct w:val="0"/>
        <w:autoSpaceDE/>
        <w:autoSpaceDN/>
        <w:bidi w:val="0"/>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1.5.2预付款的扣回方式详见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4CE4BC4">
      <w:pPr>
        <w:pStyle w:val="957"/>
        <w:pageBreakBefore w:val="0"/>
        <w:kinsoku/>
        <w:wordWrap/>
        <w:overflowPunct/>
        <w:topLinePunct w:val="0"/>
        <w:autoSpaceDE/>
        <w:autoSpaceDN/>
        <w:bidi w:val="0"/>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1.5.3预付款的担保措施详见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6B6BE72">
      <w:pPr>
        <w:pStyle w:val="957"/>
        <w:pageBreakBefore w:val="0"/>
        <w:kinsoku/>
        <w:wordWrap/>
        <w:overflowPunct/>
        <w:topLinePunct w:val="0"/>
        <w:autoSpaceDE/>
        <w:autoSpaceDN/>
        <w:bidi w:val="0"/>
        <w:snapToGrid w:val="0"/>
        <w:spacing w:before="0" w:beforeAutospacing="0" w:after="0" w:afterAutospacing="0" w:line="360" w:lineRule="auto"/>
        <w:ind w:firstLine="482" w:firstLineChars="200"/>
        <w:textAlignment w:val="auto"/>
        <w:rPr>
          <w:b/>
          <w:bCs/>
          <w:color w:val="auto"/>
          <w:sz w:val="24"/>
          <w:szCs w:val="24"/>
          <w:highlight w:val="none"/>
        </w:rPr>
      </w:pPr>
      <w:r>
        <w:rPr>
          <w:rFonts w:hint="eastAsia"/>
          <w:b/>
          <w:bCs/>
          <w:color w:val="auto"/>
          <w:sz w:val="24"/>
          <w:szCs w:val="24"/>
          <w:highlight w:val="none"/>
        </w:rPr>
        <w:t>1.6资金支付</w:t>
      </w:r>
    </w:p>
    <w:p w14:paraId="26982A80">
      <w:pPr>
        <w:pStyle w:val="957"/>
        <w:pageBreakBefore w:val="0"/>
        <w:kinsoku/>
        <w:wordWrap/>
        <w:overflowPunct/>
        <w:topLinePunct w:val="0"/>
        <w:autoSpaceDE/>
        <w:autoSpaceDN/>
        <w:bidi w:val="0"/>
        <w:snapToGrid w:val="0"/>
        <w:spacing w:before="0" w:beforeAutospacing="0" w:after="0" w:afterAutospacing="0" w:line="360" w:lineRule="auto"/>
        <w:ind w:firstLine="480" w:firstLineChars="200"/>
        <w:textAlignment w:val="auto"/>
        <w:rPr>
          <w:color w:val="auto"/>
          <w:sz w:val="24"/>
          <w:szCs w:val="24"/>
          <w:highlight w:val="none"/>
        </w:rPr>
      </w:pPr>
      <w:r>
        <w:rPr>
          <w:rFonts w:hint="eastAsia"/>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A94C18D">
      <w:pPr>
        <w:pageBreakBefore w:val="0"/>
        <w:kinsoku/>
        <w:wordWrap/>
        <w:overflowPunct/>
        <w:topLinePunct w:val="0"/>
        <w:autoSpaceDE/>
        <w:autoSpaceDN/>
        <w:bidi w:val="0"/>
        <w:snapToGrid w:val="0"/>
        <w:spacing w:line="360" w:lineRule="auto"/>
        <w:ind w:firstLine="480" w:firstLineChars="200"/>
        <w:textAlignment w:val="auto"/>
        <w:outlineLvl w:val="0"/>
        <w:rPr>
          <w:rFonts w:ascii="宋体" w:hAnsi="宋体" w:cs="宋体"/>
          <w:color w:val="auto"/>
          <w:sz w:val="24"/>
          <w:szCs w:val="24"/>
          <w:highlight w:val="none"/>
        </w:rPr>
      </w:pPr>
      <w:r>
        <w:rPr>
          <w:rFonts w:hint="eastAsia" w:ascii="宋体" w:hAnsi="宋体" w:cs="宋体"/>
          <w:color w:val="auto"/>
          <w:sz w:val="24"/>
          <w:szCs w:val="24"/>
          <w:highlight w:val="none"/>
        </w:rPr>
        <w:t>1.6.2资金支付的方式、时间和条件详见</w:t>
      </w:r>
      <w:r>
        <w:rPr>
          <w:rFonts w:hint="eastAsia" w:ascii="宋体" w:hAnsi="宋体" w:cs="宋体"/>
          <w:b/>
          <w:i/>
          <w:color w:val="auto"/>
          <w:sz w:val="24"/>
          <w:szCs w:val="24"/>
          <w:highlight w:val="none"/>
          <w:u w:val="single"/>
        </w:rPr>
        <w:t>合同专用条款</w:t>
      </w:r>
      <w:r>
        <w:rPr>
          <w:rFonts w:hint="eastAsia" w:ascii="宋体" w:hAnsi="宋体" w:cs="宋体"/>
          <w:color w:val="auto"/>
          <w:sz w:val="24"/>
          <w:szCs w:val="24"/>
          <w:highlight w:val="none"/>
        </w:rPr>
        <w:t>。</w:t>
      </w:r>
    </w:p>
    <w:p w14:paraId="33678E31">
      <w:pPr>
        <w:pageBreakBefore w:val="0"/>
        <w:kinsoku/>
        <w:wordWrap/>
        <w:overflowPunct/>
        <w:topLinePunct w:val="0"/>
        <w:autoSpaceDE/>
        <w:autoSpaceDN/>
        <w:bidi w:val="0"/>
        <w:snapToGrid w:val="0"/>
        <w:spacing w:line="360" w:lineRule="auto"/>
        <w:ind w:firstLine="482" w:firstLineChars="200"/>
        <w:textAlignment w:val="auto"/>
        <w:outlineLvl w:val="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7</w:t>
      </w:r>
      <w:r>
        <w:rPr>
          <w:rFonts w:ascii="宋体" w:hAnsi="宋体"/>
          <w:b/>
          <w:color w:val="auto"/>
          <w:sz w:val="24"/>
          <w:szCs w:val="24"/>
          <w:highlight w:val="none"/>
        </w:rPr>
        <w:t xml:space="preserve"> 履行期限</w:t>
      </w:r>
      <w:r>
        <w:rPr>
          <w:rFonts w:hint="eastAsia" w:ascii="宋体" w:hAnsi="宋体"/>
          <w:b/>
          <w:color w:val="auto"/>
          <w:sz w:val="24"/>
          <w:szCs w:val="24"/>
          <w:highlight w:val="none"/>
        </w:rPr>
        <w:t>、地点和方式</w:t>
      </w:r>
      <w:bookmarkEnd w:id="416"/>
      <w:bookmarkEnd w:id="417"/>
      <w:bookmarkEnd w:id="418"/>
      <w:bookmarkEnd w:id="419"/>
      <w:bookmarkEnd w:id="420"/>
    </w:p>
    <w:p w14:paraId="7987B4E6">
      <w:pPr>
        <w:pageBreakBefore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u w:val="single"/>
        </w:rPr>
      </w:pPr>
      <w:r>
        <w:rPr>
          <w:rFonts w:ascii="宋体" w:hAnsi="宋体"/>
          <w:color w:val="auto"/>
          <w:sz w:val="24"/>
          <w:szCs w:val="24"/>
          <w:highlight w:val="none"/>
        </w:rPr>
        <w:t>1.</w:t>
      </w:r>
      <w:r>
        <w:rPr>
          <w:rFonts w:hint="eastAsia" w:ascii="宋体" w:hAnsi="宋体"/>
          <w:color w:val="auto"/>
          <w:sz w:val="24"/>
          <w:szCs w:val="24"/>
          <w:highlight w:val="none"/>
        </w:rPr>
        <w:t>7</w:t>
      </w:r>
      <w:r>
        <w:rPr>
          <w:rFonts w:ascii="宋体" w:hAnsi="宋体"/>
          <w:color w:val="auto"/>
          <w:sz w:val="24"/>
          <w:szCs w:val="24"/>
          <w:highlight w:val="none"/>
        </w:rPr>
        <w:t xml:space="preserve">.1 </w:t>
      </w:r>
      <w:r>
        <w:rPr>
          <w:rFonts w:hint="eastAsia" w:ascii="宋体" w:hAnsi="宋体"/>
          <w:color w:val="auto"/>
          <w:sz w:val="24"/>
          <w:szCs w:val="24"/>
          <w:highlight w:val="none"/>
        </w:rPr>
        <w:t>服务交付（实施）的时间（期限）</w:t>
      </w:r>
      <w:r>
        <w:rPr>
          <w:rFonts w:ascii="宋体" w:hAnsi="宋体"/>
          <w:color w:val="auto"/>
          <w:sz w:val="24"/>
          <w:szCs w:val="24"/>
          <w:highlight w:val="none"/>
        </w:rPr>
        <w:t>：</w:t>
      </w:r>
      <w:r>
        <w:rPr>
          <w:rFonts w:hint="eastAsia" w:ascii="宋体" w:hAnsi="宋体"/>
          <w:b/>
          <w:i/>
          <w:color w:val="auto"/>
          <w:sz w:val="24"/>
          <w:szCs w:val="24"/>
          <w:highlight w:val="none"/>
          <w:u w:val="single"/>
        </w:rPr>
        <w:t>合同专用条款</w:t>
      </w:r>
      <w:r>
        <w:rPr>
          <w:rFonts w:hint="eastAsia" w:ascii="宋体" w:hAnsi="宋体"/>
          <w:color w:val="auto"/>
          <w:sz w:val="24"/>
          <w:szCs w:val="24"/>
          <w:highlight w:val="none"/>
        </w:rPr>
        <w:t>；</w:t>
      </w:r>
    </w:p>
    <w:p w14:paraId="6B3BC278">
      <w:pPr>
        <w:pageBreakBefore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7</w:t>
      </w:r>
      <w:r>
        <w:rPr>
          <w:rFonts w:ascii="宋体" w:hAnsi="宋体"/>
          <w:color w:val="auto"/>
          <w:sz w:val="24"/>
          <w:szCs w:val="24"/>
          <w:highlight w:val="none"/>
        </w:rPr>
        <w:t xml:space="preserve">.2 </w:t>
      </w:r>
      <w:r>
        <w:rPr>
          <w:rFonts w:hint="eastAsia" w:ascii="宋体" w:hAnsi="宋体"/>
          <w:color w:val="auto"/>
          <w:sz w:val="24"/>
          <w:szCs w:val="24"/>
          <w:highlight w:val="none"/>
        </w:rPr>
        <w:t>服</w:t>
      </w:r>
      <w:r>
        <w:rPr>
          <w:rFonts w:hint="eastAsia" w:ascii="宋体" w:hAnsi="宋体" w:cs="宋体"/>
          <w:color w:val="auto"/>
          <w:sz w:val="24"/>
          <w:szCs w:val="24"/>
          <w:highlight w:val="none"/>
        </w:rPr>
        <w:t>务交付（实施）的地点（地域范围）：</w:t>
      </w:r>
      <w:r>
        <w:rPr>
          <w:rFonts w:hint="eastAsia" w:ascii="宋体" w:hAnsi="宋体"/>
          <w:b/>
          <w:i/>
          <w:color w:val="auto"/>
          <w:sz w:val="24"/>
          <w:szCs w:val="24"/>
          <w:highlight w:val="none"/>
          <w:u w:val="single"/>
        </w:rPr>
        <w:t>合同专用条款</w:t>
      </w:r>
      <w:r>
        <w:rPr>
          <w:rFonts w:hint="eastAsia" w:ascii="宋体" w:hAnsi="宋体"/>
          <w:color w:val="auto"/>
          <w:sz w:val="24"/>
          <w:szCs w:val="24"/>
          <w:highlight w:val="none"/>
        </w:rPr>
        <w:t>；</w:t>
      </w:r>
    </w:p>
    <w:p w14:paraId="273C9E95">
      <w:pPr>
        <w:pageBreakBefore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7</w:t>
      </w:r>
      <w:r>
        <w:rPr>
          <w:rFonts w:ascii="宋体" w:hAnsi="宋体"/>
          <w:color w:val="auto"/>
          <w:sz w:val="24"/>
          <w:szCs w:val="24"/>
          <w:highlight w:val="none"/>
        </w:rPr>
        <w:t xml:space="preserve">.3 </w:t>
      </w:r>
      <w:r>
        <w:rPr>
          <w:rFonts w:hint="eastAsia" w:ascii="宋体" w:hAnsi="宋体"/>
          <w:color w:val="auto"/>
          <w:sz w:val="24"/>
          <w:szCs w:val="24"/>
          <w:highlight w:val="none"/>
        </w:rPr>
        <w:t>服务交付（实施）的方式：</w:t>
      </w:r>
      <w:r>
        <w:rPr>
          <w:rFonts w:hint="eastAsia" w:ascii="宋体" w:hAnsi="宋体"/>
          <w:b/>
          <w:i/>
          <w:color w:val="auto"/>
          <w:sz w:val="24"/>
          <w:szCs w:val="24"/>
          <w:highlight w:val="none"/>
          <w:u w:val="single"/>
        </w:rPr>
        <w:t>合同专用条款</w:t>
      </w:r>
      <w:r>
        <w:rPr>
          <w:rFonts w:hint="eastAsia" w:ascii="宋体" w:hAnsi="宋体"/>
          <w:color w:val="auto"/>
          <w:sz w:val="24"/>
          <w:szCs w:val="24"/>
          <w:highlight w:val="none"/>
        </w:rPr>
        <w:t>。</w:t>
      </w:r>
    </w:p>
    <w:p w14:paraId="4B9C5FF0">
      <w:pPr>
        <w:pageBreakBefore w:val="0"/>
        <w:kinsoku/>
        <w:wordWrap/>
        <w:overflowPunct/>
        <w:topLinePunct w:val="0"/>
        <w:autoSpaceDE/>
        <w:autoSpaceDN/>
        <w:bidi w:val="0"/>
        <w:snapToGrid w:val="0"/>
        <w:spacing w:line="360" w:lineRule="auto"/>
        <w:ind w:firstLine="480" w:firstLineChars="200"/>
        <w:textAlignment w:val="auto"/>
        <w:outlineLvl w:val="0"/>
        <w:rPr>
          <w:rFonts w:ascii="宋体" w:hAnsi="宋体"/>
          <w:bCs/>
          <w:color w:val="auto"/>
          <w:sz w:val="24"/>
          <w:szCs w:val="24"/>
          <w:highlight w:val="none"/>
        </w:rPr>
      </w:pPr>
      <w:bookmarkStart w:id="421" w:name="_Toc24662"/>
      <w:bookmarkStart w:id="422" w:name="_Toc8586"/>
      <w:bookmarkStart w:id="423" w:name="_Toc3079"/>
      <w:bookmarkStart w:id="424" w:name="_Toc2375"/>
      <w:bookmarkStart w:id="425" w:name="_Toc5698"/>
      <w:r>
        <w:rPr>
          <w:rFonts w:hint="eastAsia" w:ascii="宋体" w:hAnsi="宋体"/>
          <w:bCs/>
          <w:color w:val="auto"/>
          <w:sz w:val="24"/>
          <w:szCs w:val="24"/>
          <w:highlight w:val="none"/>
        </w:rPr>
        <w:t>1.7.4若服务</w:t>
      </w:r>
      <w:r>
        <w:rPr>
          <w:rFonts w:hint="eastAsia"/>
          <w:bCs/>
          <w:color w:val="auto"/>
          <w:sz w:val="24"/>
          <w:szCs w:val="24"/>
          <w:highlight w:val="none"/>
        </w:rPr>
        <w:t>涉及货物的，则货物的：</w:t>
      </w:r>
    </w:p>
    <w:p w14:paraId="6F9EB41D">
      <w:pPr>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1.7.4.1 交付期限：详见</w:t>
      </w:r>
      <w:r>
        <w:rPr>
          <w:rFonts w:hint="eastAsia" w:ascii="宋体" w:hAnsi="宋体" w:cs="宋体"/>
          <w:b/>
          <w:i/>
          <w:color w:val="auto"/>
          <w:sz w:val="24"/>
          <w:szCs w:val="24"/>
          <w:highlight w:val="none"/>
          <w:u w:val="single"/>
        </w:rPr>
        <w:t>合同专用条款</w:t>
      </w:r>
      <w:r>
        <w:rPr>
          <w:rFonts w:hint="eastAsia" w:ascii="宋体" w:hAnsi="宋体" w:cs="宋体"/>
          <w:color w:val="auto"/>
          <w:sz w:val="24"/>
          <w:szCs w:val="24"/>
          <w:highlight w:val="none"/>
        </w:rPr>
        <w:t>；</w:t>
      </w:r>
    </w:p>
    <w:p w14:paraId="36313FC5">
      <w:pPr>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1.7.4.2 交付地点：</w:t>
      </w:r>
      <w:r>
        <w:rPr>
          <w:rFonts w:hint="eastAsia" w:ascii="宋体" w:hAnsi="宋体" w:cs="宋体"/>
          <w:b/>
          <w:i/>
          <w:color w:val="auto"/>
          <w:sz w:val="24"/>
          <w:szCs w:val="24"/>
          <w:highlight w:val="none"/>
          <w:u w:val="single"/>
        </w:rPr>
        <w:t>合同专用条款</w:t>
      </w:r>
      <w:r>
        <w:rPr>
          <w:rFonts w:hint="eastAsia" w:ascii="宋体" w:hAnsi="宋体" w:cs="宋体"/>
          <w:color w:val="auto"/>
          <w:sz w:val="24"/>
          <w:szCs w:val="24"/>
          <w:highlight w:val="none"/>
        </w:rPr>
        <w:t>；</w:t>
      </w:r>
    </w:p>
    <w:p w14:paraId="637218D8">
      <w:pPr>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1.7.4.3 交付方式：</w:t>
      </w:r>
      <w:r>
        <w:rPr>
          <w:rFonts w:hint="eastAsia" w:ascii="宋体" w:hAnsi="宋体" w:cs="宋体"/>
          <w:b/>
          <w:i/>
          <w:color w:val="auto"/>
          <w:sz w:val="24"/>
          <w:szCs w:val="24"/>
          <w:highlight w:val="none"/>
          <w:u w:val="single"/>
        </w:rPr>
        <w:t>合同专用条款</w:t>
      </w:r>
      <w:r>
        <w:rPr>
          <w:rFonts w:hint="eastAsia" w:ascii="宋体" w:hAnsi="宋体" w:cs="宋体"/>
          <w:color w:val="auto"/>
          <w:sz w:val="24"/>
          <w:szCs w:val="24"/>
          <w:highlight w:val="none"/>
        </w:rPr>
        <w:t>。</w:t>
      </w:r>
    </w:p>
    <w:p w14:paraId="7876C3D4">
      <w:pPr>
        <w:pageBreakBefore w:val="0"/>
        <w:kinsoku/>
        <w:wordWrap/>
        <w:overflowPunct/>
        <w:topLinePunct w:val="0"/>
        <w:autoSpaceDE/>
        <w:autoSpaceDN/>
        <w:bidi w:val="0"/>
        <w:snapToGrid w:val="0"/>
        <w:spacing w:line="360" w:lineRule="auto"/>
        <w:ind w:firstLine="482" w:firstLineChars="200"/>
        <w:textAlignment w:val="auto"/>
        <w:outlineLvl w:val="0"/>
        <w:rPr>
          <w:rFonts w:ascii="宋体" w:hAnsi="宋体"/>
          <w:color w:val="auto"/>
          <w:sz w:val="24"/>
          <w:szCs w:val="24"/>
          <w:highlight w:val="none"/>
          <w:u w:val="single"/>
        </w:rPr>
      </w:pPr>
      <w:r>
        <w:rPr>
          <w:rFonts w:ascii="宋体" w:hAnsi="宋体"/>
          <w:b/>
          <w:color w:val="auto"/>
          <w:sz w:val="24"/>
          <w:szCs w:val="24"/>
          <w:highlight w:val="none"/>
        </w:rPr>
        <w:t>1.</w:t>
      </w:r>
      <w:r>
        <w:rPr>
          <w:rFonts w:hint="eastAsia" w:ascii="宋体" w:hAnsi="宋体"/>
          <w:b/>
          <w:color w:val="auto"/>
          <w:sz w:val="24"/>
          <w:szCs w:val="24"/>
          <w:highlight w:val="none"/>
        </w:rPr>
        <w:t>8违约责任</w:t>
      </w:r>
      <w:bookmarkEnd w:id="421"/>
      <w:bookmarkEnd w:id="422"/>
      <w:bookmarkEnd w:id="423"/>
      <w:bookmarkEnd w:id="424"/>
      <w:bookmarkEnd w:id="425"/>
    </w:p>
    <w:p w14:paraId="4316CCEB">
      <w:pPr>
        <w:pageBreakBefore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8</w:t>
      </w:r>
      <w:r>
        <w:rPr>
          <w:rFonts w:ascii="宋体" w:hAnsi="宋体"/>
          <w:color w:val="auto"/>
          <w:sz w:val="24"/>
          <w:szCs w:val="24"/>
          <w:highlight w:val="none"/>
        </w:rPr>
        <w:t>.1 除不可抗力外，如果乙方没有按照本合同约定的期限</w:t>
      </w:r>
      <w:r>
        <w:rPr>
          <w:rFonts w:hint="eastAsia" w:ascii="宋体" w:hAnsi="宋体"/>
          <w:color w:val="auto"/>
          <w:sz w:val="24"/>
          <w:szCs w:val="24"/>
          <w:highlight w:val="none"/>
        </w:rPr>
        <w:t>、</w:t>
      </w:r>
      <w:r>
        <w:rPr>
          <w:rFonts w:ascii="宋体" w:hAnsi="宋体"/>
          <w:color w:val="auto"/>
          <w:sz w:val="24"/>
          <w:szCs w:val="24"/>
          <w:highlight w:val="none"/>
        </w:rPr>
        <w:t>地点和方式</w:t>
      </w:r>
      <w:r>
        <w:rPr>
          <w:rFonts w:hint="eastAsia" w:ascii="宋体" w:hAnsi="宋体"/>
          <w:color w:val="auto"/>
          <w:sz w:val="24"/>
          <w:szCs w:val="24"/>
          <w:highlight w:val="none"/>
        </w:rPr>
        <w:t>交付服务成果或者实施服务</w:t>
      </w:r>
      <w:r>
        <w:rPr>
          <w:rFonts w:ascii="宋体" w:hAnsi="宋体"/>
          <w:color w:val="auto"/>
          <w:sz w:val="24"/>
          <w:szCs w:val="24"/>
          <w:highlight w:val="none"/>
        </w:rPr>
        <w:t>，那么甲方可要求乙方支付违约金</w:t>
      </w:r>
      <w:r>
        <w:rPr>
          <w:rFonts w:hint="eastAsia" w:ascii="宋体" w:hAnsi="宋体"/>
          <w:color w:val="auto"/>
          <w:sz w:val="24"/>
          <w:szCs w:val="24"/>
          <w:highlight w:val="none"/>
        </w:rPr>
        <w:t>，迟延履行</w:t>
      </w:r>
      <w:r>
        <w:rPr>
          <w:rFonts w:ascii="宋体" w:hAnsi="宋体"/>
          <w:color w:val="auto"/>
          <w:sz w:val="24"/>
          <w:szCs w:val="24"/>
          <w:highlight w:val="none"/>
        </w:rPr>
        <w:t>违约金按每迟延</w:t>
      </w:r>
      <w:r>
        <w:rPr>
          <w:rFonts w:hint="eastAsia" w:ascii="宋体" w:hAnsi="宋体"/>
          <w:color w:val="auto"/>
          <w:sz w:val="24"/>
          <w:szCs w:val="24"/>
          <w:highlight w:val="none"/>
        </w:rPr>
        <w:t>履行</w:t>
      </w:r>
      <w:r>
        <w:rPr>
          <w:rFonts w:ascii="宋体" w:hAnsi="宋体"/>
          <w:color w:val="auto"/>
          <w:sz w:val="24"/>
          <w:szCs w:val="24"/>
          <w:highlight w:val="none"/>
        </w:rPr>
        <w:t>一日的应提供而未</w:t>
      </w:r>
      <w:r>
        <w:rPr>
          <w:rFonts w:hint="eastAsia" w:ascii="宋体" w:hAnsi="宋体"/>
          <w:color w:val="auto"/>
          <w:sz w:val="24"/>
          <w:szCs w:val="24"/>
          <w:highlight w:val="none"/>
        </w:rPr>
        <w:t>提供</w:t>
      </w:r>
      <w:r>
        <w:rPr>
          <w:rFonts w:ascii="宋体" w:hAnsi="宋体"/>
          <w:color w:val="auto"/>
          <w:sz w:val="24"/>
          <w:szCs w:val="24"/>
          <w:highlight w:val="none"/>
        </w:rPr>
        <w:t>服务价格的</w:t>
      </w:r>
      <w:r>
        <w:rPr>
          <w:rFonts w:hint="eastAsia" w:ascii="宋体" w:hAnsi="宋体"/>
          <w:color w:val="auto"/>
          <w:sz w:val="24"/>
          <w:szCs w:val="24"/>
          <w:highlight w:val="none"/>
          <w:u w:val="single"/>
        </w:rPr>
        <w:t>0.05</w:t>
      </w:r>
      <w:r>
        <w:rPr>
          <w:rFonts w:ascii="宋体" w:hAnsi="宋体"/>
          <w:color w:val="auto"/>
          <w:sz w:val="24"/>
          <w:szCs w:val="24"/>
          <w:highlight w:val="none"/>
          <w:u w:val="single"/>
        </w:rPr>
        <w:t xml:space="preserve"> </w:t>
      </w:r>
      <w:r>
        <w:rPr>
          <w:rFonts w:ascii="宋体" w:hAnsi="宋体"/>
          <w:color w:val="auto"/>
          <w:sz w:val="24"/>
          <w:szCs w:val="24"/>
          <w:highlight w:val="none"/>
        </w:rPr>
        <w:t>%计算</w:t>
      </w:r>
      <w:r>
        <w:rPr>
          <w:rFonts w:hint="eastAsia" w:ascii="宋体" w:hAnsi="宋体"/>
          <w:color w:val="auto"/>
          <w:sz w:val="24"/>
          <w:szCs w:val="24"/>
          <w:highlight w:val="none"/>
        </w:rPr>
        <w:t>，</w:t>
      </w:r>
      <w:r>
        <w:rPr>
          <w:rFonts w:ascii="宋体" w:hAnsi="宋体"/>
          <w:color w:val="auto"/>
          <w:sz w:val="24"/>
          <w:szCs w:val="24"/>
          <w:highlight w:val="none"/>
        </w:rPr>
        <w:t>最高限额为</w:t>
      </w:r>
      <w:r>
        <w:rPr>
          <w:rFonts w:hint="eastAsia" w:ascii="宋体" w:hAnsi="宋体"/>
          <w:color w:val="auto"/>
          <w:sz w:val="24"/>
          <w:szCs w:val="24"/>
          <w:highlight w:val="none"/>
        </w:rPr>
        <w:t>本</w:t>
      </w:r>
      <w:r>
        <w:rPr>
          <w:rFonts w:ascii="宋体" w:hAnsi="宋体"/>
          <w:color w:val="auto"/>
          <w:sz w:val="24"/>
          <w:szCs w:val="24"/>
          <w:highlight w:val="none"/>
        </w:rPr>
        <w:t>合同总价的</w:t>
      </w:r>
      <w:r>
        <w:rPr>
          <w:rFonts w:ascii="宋体" w:hAnsi="宋体"/>
          <w:color w:val="auto"/>
          <w:sz w:val="24"/>
          <w:szCs w:val="24"/>
          <w:highlight w:val="none"/>
          <w:u w:val="single"/>
        </w:rPr>
        <w:t xml:space="preserve">  20   </w:t>
      </w:r>
      <w:r>
        <w:rPr>
          <w:rFonts w:ascii="宋体" w:hAnsi="宋体"/>
          <w:color w:val="auto"/>
          <w:sz w:val="24"/>
          <w:szCs w:val="24"/>
          <w:highlight w:val="none"/>
        </w:rPr>
        <w:t>%</w:t>
      </w:r>
      <w:r>
        <w:rPr>
          <w:rFonts w:hint="eastAsia" w:ascii="宋体" w:hAnsi="宋体"/>
          <w:color w:val="auto"/>
          <w:sz w:val="24"/>
          <w:szCs w:val="24"/>
          <w:highlight w:val="none"/>
        </w:rPr>
        <w:t>；</w:t>
      </w:r>
      <w:r>
        <w:rPr>
          <w:rFonts w:ascii="宋体" w:hAnsi="宋体"/>
          <w:color w:val="auto"/>
          <w:sz w:val="24"/>
          <w:szCs w:val="24"/>
          <w:highlight w:val="none"/>
        </w:rPr>
        <w:t>迟延</w:t>
      </w:r>
      <w:r>
        <w:rPr>
          <w:rFonts w:hint="eastAsia" w:ascii="宋体" w:hAnsi="宋体"/>
          <w:color w:val="auto"/>
          <w:sz w:val="24"/>
          <w:szCs w:val="24"/>
          <w:highlight w:val="none"/>
        </w:rPr>
        <w:t>履行</w:t>
      </w:r>
      <w:r>
        <w:rPr>
          <w:rFonts w:ascii="宋体" w:hAnsi="宋体"/>
          <w:color w:val="auto"/>
          <w:sz w:val="24"/>
          <w:szCs w:val="24"/>
          <w:highlight w:val="none"/>
        </w:rPr>
        <w:t>的违约金计算数额达到前述最高限额之日起</w:t>
      </w:r>
      <w:r>
        <w:rPr>
          <w:rFonts w:hint="eastAsia" w:ascii="宋体" w:hAnsi="宋体"/>
          <w:color w:val="auto"/>
          <w:sz w:val="24"/>
          <w:szCs w:val="24"/>
          <w:highlight w:val="none"/>
        </w:rPr>
        <w:t>，</w:t>
      </w:r>
      <w:r>
        <w:rPr>
          <w:rFonts w:ascii="宋体" w:hAnsi="宋体"/>
          <w:color w:val="auto"/>
          <w:sz w:val="24"/>
          <w:szCs w:val="24"/>
          <w:highlight w:val="none"/>
        </w:rPr>
        <w:t>甲方有权在要求乙方支付违约金的同时</w:t>
      </w:r>
      <w:r>
        <w:rPr>
          <w:rFonts w:hint="eastAsia" w:ascii="宋体" w:hAnsi="宋体"/>
          <w:color w:val="auto"/>
          <w:sz w:val="24"/>
          <w:szCs w:val="24"/>
          <w:highlight w:val="none"/>
        </w:rPr>
        <w:t>，书面通知乙方</w:t>
      </w:r>
      <w:r>
        <w:rPr>
          <w:rFonts w:ascii="宋体" w:hAnsi="宋体"/>
          <w:color w:val="auto"/>
          <w:sz w:val="24"/>
          <w:szCs w:val="24"/>
          <w:highlight w:val="none"/>
        </w:rPr>
        <w:t>解除本合同</w:t>
      </w:r>
      <w:r>
        <w:rPr>
          <w:rFonts w:hint="eastAsia" w:ascii="宋体" w:hAnsi="宋体"/>
          <w:color w:val="auto"/>
          <w:sz w:val="24"/>
          <w:szCs w:val="24"/>
          <w:highlight w:val="none"/>
        </w:rPr>
        <w:t>；</w:t>
      </w:r>
    </w:p>
    <w:p w14:paraId="108D5C21">
      <w:pPr>
        <w:pStyle w:val="2"/>
        <w:pageBreakBefore w:val="0"/>
        <w:kinsoku/>
        <w:wordWrap/>
        <w:overflowPunct/>
        <w:topLinePunct w:val="0"/>
        <w:autoSpaceDE/>
        <w:autoSpaceDN/>
        <w:bidi w:val="0"/>
        <w:snapToGrid w:val="0"/>
        <w:spacing w:line="360" w:lineRule="auto"/>
        <w:ind w:left="0" w:firstLine="480" w:firstLineChars="200"/>
        <w:jc w:val="left"/>
        <w:textAlignment w:val="auto"/>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84433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8</w:t>
      </w:r>
      <w:r>
        <w:rPr>
          <w:rFonts w:ascii="宋体" w:hAnsi="宋体"/>
          <w:color w:val="auto"/>
          <w:sz w:val="24"/>
          <w:szCs w:val="24"/>
          <w:highlight w:val="none"/>
        </w:rPr>
        <w:t>.</w:t>
      </w:r>
      <w:r>
        <w:rPr>
          <w:rFonts w:hint="eastAsia" w:ascii="宋体" w:hAnsi="宋体"/>
          <w:color w:val="auto"/>
          <w:sz w:val="24"/>
          <w:szCs w:val="24"/>
          <w:highlight w:val="none"/>
        </w:rPr>
        <w:t>3</w:t>
      </w:r>
      <w:r>
        <w:rPr>
          <w:rFonts w:hint="eastAsia" w:ascii="宋体" w:hAnsi="宋体" w:cs="宋体"/>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szCs w:val="24"/>
          <w:highlight w:val="none"/>
          <w:u w:val="single"/>
        </w:rPr>
        <w:t xml:space="preserve">   0.05   </w:t>
      </w:r>
      <w:r>
        <w:rPr>
          <w:rFonts w:hint="eastAsia" w:ascii="宋体" w:hAnsi="宋体" w:cs="宋体"/>
          <w:color w:val="auto"/>
          <w:sz w:val="24"/>
          <w:szCs w:val="24"/>
          <w:highlight w:val="none"/>
        </w:rPr>
        <w:t>%计算，最高限额为本合同总价的</w:t>
      </w:r>
      <w:r>
        <w:rPr>
          <w:rFonts w:hint="eastAsia" w:ascii="宋体" w:hAnsi="宋体" w:cs="宋体"/>
          <w:color w:val="auto"/>
          <w:sz w:val="24"/>
          <w:szCs w:val="24"/>
          <w:highlight w:val="none"/>
          <w:u w:val="single"/>
        </w:rPr>
        <w:t xml:space="preserve">   20   </w:t>
      </w:r>
      <w:r>
        <w:rPr>
          <w:rFonts w:hint="eastAsia" w:ascii="宋体" w:hAnsi="宋体" w:cs="宋体"/>
          <w:color w:val="auto"/>
          <w:sz w:val="24"/>
          <w:szCs w:val="24"/>
          <w:highlight w:val="none"/>
        </w:rPr>
        <w:t>%；迟延付款的违约金计算数额达到前述最高限额之日起，乙方有权在要求甲方支付违约金的同时，书面通知甲方解除本合同</w:t>
      </w:r>
      <w:r>
        <w:rPr>
          <w:rFonts w:hint="eastAsia" w:ascii="宋体" w:hAnsi="宋体"/>
          <w:color w:val="auto"/>
          <w:sz w:val="24"/>
          <w:szCs w:val="24"/>
          <w:highlight w:val="none"/>
        </w:rPr>
        <w:t>；</w:t>
      </w:r>
    </w:p>
    <w:p w14:paraId="7369E3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bookmarkStart w:id="426" w:name="_Toc26807"/>
      <w:bookmarkStart w:id="427" w:name="_Toc30329"/>
      <w:bookmarkStart w:id="428" w:name="_Toc9497"/>
      <w:bookmarkStart w:id="429" w:name="_Toc18683"/>
      <w:bookmarkStart w:id="430" w:name="_Toc32454"/>
      <w:r>
        <w:rPr>
          <w:rFonts w:hint="eastAsia" w:ascii="宋体" w:hAnsi="宋体" w:cs="宋体"/>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3ED3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2C78A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AB40261">
      <w:pPr>
        <w:keepNext w:val="0"/>
        <w:keepLines w:val="0"/>
        <w:pageBreakBefore w:val="0"/>
        <w:widowControl w:val="0"/>
        <w:kinsoku/>
        <w:wordWrap/>
        <w:overflowPunct/>
        <w:topLinePunct w:val="0"/>
        <w:autoSpaceDE/>
        <w:autoSpaceDN/>
        <w:bidi w:val="0"/>
        <w:adjustRightInd w:val="0"/>
        <w:snapToGrid w:val="0"/>
        <w:spacing w:line="360" w:lineRule="auto"/>
        <w:ind w:right="-420" w:righ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1.8.7违约责任</w:t>
      </w:r>
      <w:r>
        <w:rPr>
          <w:rFonts w:hint="eastAsia" w:ascii="宋体" w:hAnsi="宋体" w:cs="宋体"/>
          <w:b/>
          <w:i/>
          <w:color w:val="auto"/>
          <w:sz w:val="24"/>
          <w:szCs w:val="24"/>
          <w:highlight w:val="none"/>
          <w:u w:val="single"/>
        </w:rPr>
        <w:t>合同专用条款</w:t>
      </w:r>
      <w:r>
        <w:rPr>
          <w:rFonts w:hint="eastAsia" w:ascii="宋体" w:hAnsi="宋体" w:cs="宋体"/>
          <w:color w:val="auto"/>
          <w:sz w:val="24"/>
          <w:szCs w:val="24"/>
          <w:highlight w:val="none"/>
        </w:rPr>
        <w:t>另有约定的，从其约定。</w:t>
      </w:r>
    </w:p>
    <w:bookmarkEnd w:id="426"/>
    <w:bookmarkEnd w:id="427"/>
    <w:bookmarkEnd w:id="428"/>
    <w:bookmarkEnd w:id="429"/>
    <w:bookmarkEnd w:id="430"/>
    <w:p w14:paraId="4A176BB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color w:val="auto"/>
          <w:sz w:val="24"/>
          <w:szCs w:val="24"/>
          <w:highlight w:val="none"/>
        </w:rPr>
      </w:pPr>
      <w:r>
        <w:rPr>
          <w:rFonts w:hint="eastAsia" w:ascii="宋体" w:hAnsi="宋体" w:cs="宋体"/>
          <w:b/>
          <w:color w:val="auto"/>
          <w:sz w:val="24"/>
          <w:szCs w:val="24"/>
          <w:highlight w:val="none"/>
        </w:rPr>
        <w:t>1.9合同争议的解决</w:t>
      </w:r>
    </w:p>
    <w:p w14:paraId="6B301EFF">
      <w:pPr>
        <w:keepNext w:val="0"/>
        <w:keepLines w:val="0"/>
        <w:pageBreakBefore w:val="0"/>
        <w:widowControl w:val="0"/>
        <w:kinsoku/>
        <w:wordWrap/>
        <w:overflowPunct/>
        <w:topLinePunct w:val="0"/>
        <w:autoSpaceDE/>
        <w:autoSpaceDN/>
        <w:bidi w:val="0"/>
        <w:adjustRightInd w:val="0"/>
        <w:snapToGrid w:val="0"/>
        <w:spacing w:line="360" w:lineRule="auto"/>
        <w:ind w:left="-61" w:leftChars="-29" w:right="-420" w:righ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szCs w:val="24"/>
          <w:highlight w:val="none"/>
          <w:u w:val="single"/>
        </w:rPr>
        <w:t>合同专用条款</w:t>
      </w:r>
      <w:r>
        <w:rPr>
          <w:rFonts w:hint="eastAsia" w:ascii="宋体" w:hAnsi="宋体" w:cs="宋体"/>
          <w:color w:val="auto"/>
          <w:sz w:val="24"/>
          <w:szCs w:val="24"/>
          <w:highlight w:val="none"/>
        </w:rPr>
        <w:t>条款规定的方式解决：</w:t>
      </w:r>
    </w:p>
    <w:p w14:paraId="17D8AFC7">
      <w:pPr>
        <w:keepNext w:val="0"/>
        <w:keepLines w:val="0"/>
        <w:pageBreakBefore w:val="0"/>
        <w:widowControl w:val="0"/>
        <w:kinsoku/>
        <w:wordWrap/>
        <w:overflowPunct/>
        <w:topLinePunct w:val="0"/>
        <w:autoSpaceDE/>
        <w:autoSpaceDN/>
        <w:bidi w:val="0"/>
        <w:adjustRightInd w:val="0"/>
        <w:snapToGrid w:val="0"/>
        <w:spacing w:line="360" w:lineRule="auto"/>
        <w:ind w:left="0" w:leftChars="0" w:right="-420" w:rightChars="-20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1.9.1 将争议提交</w:t>
      </w:r>
      <w:r>
        <w:rPr>
          <w:rFonts w:hint="eastAsia" w:ascii="宋体" w:hAnsi="宋体" w:cs="宋体"/>
          <w:b/>
          <w:i/>
          <w:color w:val="auto"/>
          <w:sz w:val="24"/>
          <w:szCs w:val="24"/>
          <w:highlight w:val="none"/>
          <w:u w:val="single"/>
        </w:rPr>
        <w:t>合同专用条款</w:t>
      </w:r>
      <w:r>
        <w:rPr>
          <w:rFonts w:hint="eastAsia" w:ascii="宋体" w:hAnsi="宋体" w:cs="宋体"/>
          <w:color w:val="auto"/>
          <w:sz w:val="24"/>
          <w:szCs w:val="24"/>
          <w:highlight w:val="none"/>
        </w:rPr>
        <w:t>仲裁委员会依申请仲裁时其现行有效的仲裁规则裁决；</w:t>
      </w:r>
    </w:p>
    <w:p w14:paraId="31A93247">
      <w:pPr>
        <w:keepNext w:val="0"/>
        <w:keepLines w:val="0"/>
        <w:pageBreakBefore w:val="0"/>
        <w:widowControl w:val="0"/>
        <w:kinsoku/>
        <w:wordWrap/>
        <w:overflowPunct/>
        <w:topLinePunct w:val="0"/>
        <w:autoSpaceDE/>
        <w:autoSpaceDN/>
        <w:bidi w:val="0"/>
        <w:adjustRightInd w:val="0"/>
        <w:snapToGrid w:val="0"/>
        <w:spacing w:line="360" w:lineRule="auto"/>
        <w:ind w:left="0" w:leftChars="0" w:right="-420" w:righ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1.9.2 向</w:t>
      </w:r>
      <w:r>
        <w:rPr>
          <w:rFonts w:hint="eastAsia" w:ascii="宋体" w:hAnsi="宋体" w:cs="宋体"/>
          <w:b/>
          <w:i/>
          <w:color w:val="auto"/>
          <w:sz w:val="24"/>
          <w:szCs w:val="24"/>
          <w:highlight w:val="none"/>
          <w:u w:val="single"/>
        </w:rPr>
        <w:t>合同专用条款</w:t>
      </w:r>
      <w:r>
        <w:rPr>
          <w:rFonts w:hint="eastAsia" w:ascii="宋体" w:hAnsi="宋体" w:cs="宋体"/>
          <w:color w:val="auto"/>
          <w:sz w:val="24"/>
          <w:szCs w:val="24"/>
          <w:highlight w:val="none"/>
        </w:rPr>
        <w:t>人民法院起诉。</w:t>
      </w:r>
    </w:p>
    <w:p w14:paraId="69900024">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outlineLvl w:val="0"/>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0 合同生效</w:t>
      </w:r>
    </w:p>
    <w:p w14:paraId="5861B46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auto"/>
          <w:sz w:val="24"/>
          <w:szCs w:val="24"/>
          <w:highlight w:val="none"/>
          <w:lang w:val="zh-CN"/>
        </w:rPr>
      </w:pPr>
      <w:r>
        <w:rPr>
          <w:rFonts w:hint="eastAsia" w:ascii="宋体" w:hAnsi="宋体" w:cs="宋体"/>
          <w:color w:val="auto"/>
          <w:sz w:val="24"/>
          <w:szCs w:val="24"/>
          <w:highlight w:val="none"/>
        </w:rPr>
        <w:t>本合同自双方当事人盖章签字时生效。</w:t>
      </w:r>
    </w:p>
    <w:p w14:paraId="11764411">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olor w:val="auto"/>
          <w:sz w:val="24"/>
          <w:szCs w:val="24"/>
          <w:highlight w:val="none"/>
          <w:lang w:val="zh-CN"/>
        </w:rPr>
      </w:pPr>
      <w:r>
        <w:rPr>
          <w:rFonts w:hint="eastAsia" w:ascii="宋体" w:hAnsi="宋体"/>
          <w:b/>
          <w:color w:val="auto"/>
          <w:sz w:val="24"/>
          <w:szCs w:val="24"/>
          <w:highlight w:val="none"/>
          <w:lang w:val="zh-CN"/>
        </w:rPr>
        <w:t>甲方</w:t>
      </w:r>
      <w:r>
        <w:rPr>
          <w:rFonts w:hint="eastAsia" w:ascii="宋体" w:hAnsi="宋体"/>
          <w:color w:val="auto"/>
          <w:sz w:val="24"/>
          <w:szCs w:val="24"/>
          <w:highlight w:val="none"/>
          <w:lang w:val="zh-CN"/>
        </w:rPr>
        <w:t>：</w:t>
      </w:r>
      <w:r>
        <w:rPr>
          <w:rFonts w:ascii="宋体" w:hAnsi="宋体"/>
          <w:color w:val="auto"/>
          <w:sz w:val="24"/>
          <w:szCs w:val="24"/>
          <w:highlight w:val="none"/>
          <w:lang w:val="zh-CN"/>
        </w:rPr>
        <w:t xml:space="preserve">                             </w:t>
      </w:r>
      <w:r>
        <w:rPr>
          <w:rFonts w:ascii="宋体" w:hAnsi="宋体"/>
          <w:b/>
          <w:color w:val="auto"/>
          <w:sz w:val="24"/>
          <w:szCs w:val="24"/>
          <w:highlight w:val="none"/>
          <w:lang w:val="zh-CN"/>
        </w:rPr>
        <w:t xml:space="preserve">      乙方</w:t>
      </w:r>
      <w:r>
        <w:rPr>
          <w:rFonts w:hint="eastAsia" w:ascii="宋体" w:hAnsi="宋体"/>
          <w:color w:val="auto"/>
          <w:sz w:val="24"/>
          <w:szCs w:val="24"/>
          <w:highlight w:val="none"/>
          <w:lang w:val="zh-CN"/>
        </w:rPr>
        <w:t>：</w:t>
      </w:r>
    </w:p>
    <w:p w14:paraId="0883160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olor w:val="auto"/>
          <w:sz w:val="24"/>
          <w:szCs w:val="24"/>
          <w:highlight w:val="none"/>
          <w:lang w:val="zh-CN"/>
        </w:rPr>
      </w:pPr>
      <w:r>
        <w:rPr>
          <w:rFonts w:hint="eastAsia" w:ascii="宋体" w:hAnsi="宋体"/>
          <w:color w:val="auto"/>
          <w:sz w:val="24"/>
          <w:szCs w:val="24"/>
          <w:highlight w:val="none"/>
          <w:lang w:val="zh-CN"/>
        </w:rPr>
        <w:t>统一社会信用代码：</w:t>
      </w:r>
      <w:r>
        <w:rPr>
          <w:rFonts w:ascii="宋体" w:hAnsi="宋体"/>
          <w:color w:val="auto"/>
          <w:sz w:val="24"/>
          <w:szCs w:val="24"/>
          <w:highlight w:val="none"/>
          <w:lang w:val="zh-CN"/>
        </w:rPr>
        <w:t xml:space="preserve">                       </w:t>
      </w:r>
      <w:r>
        <w:rPr>
          <w:rFonts w:hint="eastAsia" w:ascii="宋体" w:hAnsi="宋体"/>
          <w:color w:val="auto"/>
          <w:sz w:val="24"/>
          <w:szCs w:val="24"/>
          <w:highlight w:val="none"/>
          <w:lang w:val="zh-CN"/>
        </w:rPr>
        <w:t>统一社会信用代码或身份证号码：</w:t>
      </w:r>
    </w:p>
    <w:p w14:paraId="50FED5F1">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olor w:val="auto"/>
          <w:sz w:val="24"/>
          <w:szCs w:val="24"/>
          <w:highlight w:val="none"/>
          <w:lang w:val="zh-CN"/>
        </w:rPr>
      </w:pPr>
      <w:r>
        <w:rPr>
          <w:rFonts w:hint="eastAsia" w:ascii="宋体" w:hAnsi="宋体"/>
          <w:color w:val="auto"/>
          <w:sz w:val="24"/>
          <w:szCs w:val="24"/>
          <w:highlight w:val="none"/>
          <w:lang w:val="zh-CN"/>
        </w:rPr>
        <w:t>住所：</w:t>
      </w:r>
      <w:r>
        <w:rPr>
          <w:rFonts w:ascii="宋体" w:hAnsi="宋体"/>
          <w:color w:val="auto"/>
          <w:sz w:val="24"/>
          <w:szCs w:val="24"/>
          <w:highlight w:val="none"/>
          <w:lang w:val="zh-CN"/>
        </w:rPr>
        <w:t xml:space="preserve">                                   </w:t>
      </w:r>
      <w:r>
        <w:rPr>
          <w:rFonts w:hint="eastAsia" w:ascii="宋体" w:hAnsi="宋体"/>
          <w:color w:val="auto"/>
          <w:sz w:val="24"/>
          <w:szCs w:val="24"/>
          <w:highlight w:val="none"/>
          <w:lang w:val="zh-CN"/>
        </w:rPr>
        <w:t>住所：</w:t>
      </w:r>
    </w:p>
    <w:p w14:paraId="0E32A43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olor w:val="auto"/>
          <w:sz w:val="24"/>
          <w:szCs w:val="24"/>
          <w:highlight w:val="none"/>
          <w:lang w:val="zh-CN"/>
        </w:rPr>
      </w:pPr>
      <w:r>
        <w:rPr>
          <w:rFonts w:hint="eastAsia" w:ascii="宋体" w:hAnsi="宋体"/>
          <w:color w:val="auto"/>
          <w:sz w:val="24"/>
          <w:szCs w:val="24"/>
          <w:highlight w:val="none"/>
          <w:lang w:val="zh-CN"/>
        </w:rPr>
        <w:t>法定代表人或</w:t>
      </w:r>
      <w:r>
        <w:rPr>
          <w:rFonts w:ascii="宋体" w:hAnsi="宋体"/>
          <w:color w:val="auto"/>
          <w:sz w:val="24"/>
          <w:szCs w:val="24"/>
          <w:highlight w:val="none"/>
          <w:lang w:val="zh-CN"/>
        </w:rPr>
        <w:t xml:space="preserve">                             </w:t>
      </w:r>
      <w:r>
        <w:rPr>
          <w:rFonts w:hint="eastAsia" w:ascii="宋体" w:hAnsi="宋体"/>
          <w:color w:val="auto"/>
          <w:sz w:val="24"/>
          <w:szCs w:val="24"/>
          <w:highlight w:val="none"/>
          <w:lang w:val="zh-CN"/>
        </w:rPr>
        <w:t>法定代表人或</w:t>
      </w:r>
    </w:p>
    <w:p w14:paraId="548093D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olor w:val="auto"/>
          <w:sz w:val="24"/>
          <w:szCs w:val="24"/>
          <w:highlight w:val="none"/>
          <w:lang w:val="zh-CN"/>
        </w:rPr>
      </w:pPr>
      <w:r>
        <w:rPr>
          <w:rFonts w:hint="eastAsia" w:ascii="宋体" w:hAnsi="宋体"/>
          <w:color w:val="auto"/>
          <w:sz w:val="24"/>
          <w:szCs w:val="24"/>
          <w:highlight w:val="none"/>
          <w:lang w:val="zh-CN"/>
        </w:rPr>
        <w:t>授权代表（签字）：</w:t>
      </w:r>
      <w:r>
        <w:rPr>
          <w:rFonts w:ascii="宋体" w:hAnsi="宋体"/>
          <w:color w:val="auto"/>
          <w:sz w:val="24"/>
          <w:szCs w:val="24"/>
          <w:highlight w:val="none"/>
          <w:lang w:val="zh-CN"/>
        </w:rPr>
        <w:t xml:space="preserve">                       授权代表（签字）: </w:t>
      </w:r>
    </w:p>
    <w:p w14:paraId="708210D1">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olor w:val="auto"/>
          <w:sz w:val="24"/>
          <w:szCs w:val="24"/>
          <w:highlight w:val="none"/>
          <w:lang w:val="zh-CN"/>
        </w:rPr>
      </w:pPr>
      <w:r>
        <w:rPr>
          <w:rFonts w:hint="eastAsia" w:ascii="宋体" w:hAnsi="宋体"/>
          <w:color w:val="auto"/>
          <w:sz w:val="24"/>
          <w:szCs w:val="24"/>
          <w:highlight w:val="none"/>
          <w:lang w:val="zh-CN"/>
        </w:rPr>
        <w:t>联系人：</w:t>
      </w:r>
      <w:r>
        <w:rPr>
          <w:rFonts w:ascii="宋体" w:hAnsi="宋体"/>
          <w:color w:val="auto"/>
          <w:sz w:val="24"/>
          <w:szCs w:val="24"/>
          <w:highlight w:val="none"/>
          <w:lang w:val="zh-CN"/>
        </w:rPr>
        <w:t xml:space="preserve">                                 </w:t>
      </w:r>
      <w:r>
        <w:rPr>
          <w:rFonts w:hint="eastAsia" w:ascii="宋体" w:hAnsi="宋体"/>
          <w:color w:val="auto"/>
          <w:sz w:val="24"/>
          <w:szCs w:val="24"/>
          <w:highlight w:val="none"/>
          <w:lang w:val="zh-CN"/>
        </w:rPr>
        <w:t>联系人：</w:t>
      </w:r>
    </w:p>
    <w:p w14:paraId="7C141BEF">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olor w:val="auto"/>
          <w:sz w:val="24"/>
          <w:szCs w:val="24"/>
          <w:highlight w:val="none"/>
          <w:lang w:val="zh-CN"/>
        </w:rPr>
      </w:pPr>
      <w:r>
        <w:rPr>
          <w:rFonts w:hint="eastAsia" w:ascii="宋体" w:hAnsi="宋体"/>
          <w:color w:val="auto"/>
          <w:sz w:val="24"/>
          <w:szCs w:val="24"/>
          <w:highlight w:val="none"/>
          <w:lang w:val="zh-CN"/>
        </w:rPr>
        <w:t>约定送达地址：</w:t>
      </w:r>
      <w:r>
        <w:rPr>
          <w:rFonts w:ascii="宋体" w:hAnsi="宋体"/>
          <w:color w:val="auto"/>
          <w:sz w:val="24"/>
          <w:szCs w:val="24"/>
          <w:highlight w:val="none"/>
          <w:lang w:val="zh-CN"/>
        </w:rPr>
        <w:t xml:space="preserve">                           </w:t>
      </w:r>
      <w:r>
        <w:rPr>
          <w:rFonts w:hint="eastAsia" w:ascii="宋体" w:hAnsi="宋体"/>
          <w:color w:val="auto"/>
          <w:sz w:val="24"/>
          <w:szCs w:val="24"/>
          <w:highlight w:val="none"/>
          <w:lang w:val="zh-CN"/>
        </w:rPr>
        <w:t>约定送达地址：</w:t>
      </w:r>
    </w:p>
    <w:p w14:paraId="705B1F0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olor w:val="auto"/>
          <w:sz w:val="24"/>
          <w:szCs w:val="24"/>
          <w:highlight w:val="none"/>
          <w:lang w:val="zh-CN"/>
        </w:rPr>
      </w:pPr>
      <w:r>
        <w:rPr>
          <w:rFonts w:hint="eastAsia" w:ascii="宋体" w:hAnsi="宋体"/>
          <w:color w:val="auto"/>
          <w:sz w:val="24"/>
          <w:szCs w:val="24"/>
          <w:highlight w:val="none"/>
          <w:lang w:val="zh-CN"/>
        </w:rPr>
        <w:t>邮政编码：</w:t>
      </w:r>
      <w:r>
        <w:rPr>
          <w:rFonts w:ascii="宋体" w:hAnsi="宋体"/>
          <w:color w:val="auto"/>
          <w:sz w:val="24"/>
          <w:szCs w:val="24"/>
          <w:highlight w:val="none"/>
          <w:lang w:val="zh-CN"/>
        </w:rPr>
        <w:t xml:space="preserve">                               </w:t>
      </w:r>
      <w:r>
        <w:rPr>
          <w:rFonts w:hint="eastAsia" w:ascii="宋体" w:hAnsi="宋体"/>
          <w:color w:val="auto"/>
          <w:sz w:val="24"/>
          <w:szCs w:val="24"/>
          <w:highlight w:val="none"/>
          <w:lang w:val="zh-CN"/>
        </w:rPr>
        <w:t>邮政编码：</w:t>
      </w:r>
    </w:p>
    <w:p w14:paraId="1BC639A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olor w:val="auto"/>
          <w:sz w:val="24"/>
          <w:szCs w:val="24"/>
          <w:highlight w:val="none"/>
          <w:lang w:val="zh-CN"/>
        </w:rPr>
      </w:pPr>
      <w:r>
        <w:rPr>
          <w:rFonts w:hint="eastAsia" w:ascii="宋体" w:hAnsi="宋体"/>
          <w:color w:val="auto"/>
          <w:sz w:val="24"/>
          <w:szCs w:val="24"/>
          <w:highlight w:val="none"/>
          <w:lang w:val="zh-CN"/>
        </w:rPr>
        <w:t>电话</w:t>
      </w:r>
      <w:r>
        <w:rPr>
          <w:rFonts w:ascii="宋体" w:hAnsi="宋体"/>
          <w:color w:val="auto"/>
          <w:sz w:val="24"/>
          <w:szCs w:val="24"/>
          <w:highlight w:val="none"/>
          <w:lang w:val="zh-CN"/>
        </w:rPr>
        <w:t xml:space="preserve">:                                    电话: </w:t>
      </w:r>
    </w:p>
    <w:p w14:paraId="7471A1A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olor w:val="auto"/>
          <w:sz w:val="24"/>
          <w:szCs w:val="24"/>
          <w:highlight w:val="none"/>
          <w:lang w:val="zh-CN"/>
        </w:rPr>
      </w:pPr>
      <w:r>
        <w:rPr>
          <w:rFonts w:hint="eastAsia" w:ascii="宋体" w:hAnsi="宋体"/>
          <w:color w:val="auto"/>
          <w:sz w:val="24"/>
          <w:szCs w:val="24"/>
          <w:highlight w:val="none"/>
          <w:lang w:val="zh-CN"/>
        </w:rPr>
        <w:t>传真</w:t>
      </w:r>
      <w:r>
        <w:rPr>
          <w:rFonts w:ascii="宋体" w:hAnsi="宋体"/>
          <w:color w:val="auto"/>
          <w:sz w:val="24"/>
          <w:szCs w:val="24"/>
          <w:highlight w:val="none"/>
          <w:lang w:val="zh-CN"/>
        </w:rPr>
        <w:t xml:space="preserve">:                                    </w:t>
      </w:r>
      <w:r>
        <w:rPr>
          <w:rFonts w:hint="eastAsia" w:ascii="宋体" w:hAnsi="宋体"/>
          <w:color w:val="auto"/>
          <w:sz w:val="24"/>
          <w:szCs w:val="24"/>
          <w:highlight w:val="none"/>
          <w:lang w:val="zh-CN"/>
        </w:rPr>
        <w:t>传真</w:t>
      </w:r>
      <w:r>
        <w:rPr>
          <w:rFonts w:ascii="宋体" w:hAnsi="宋体"/>
          <w:color w:val="auto"/>
          <w:sz w:val="24"/>
          <w:szCs w:val="24"/>
          <w:highlight w:val="none"/>
          <w:lang w:val="zh-CN"/>
        </w:rPr>
        <w:t>:</w:t>
      </w:r>
    </w:p>
    <w:p w14:paraId="642446A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olor w:val="auto"/>
          <w:sz w:val="24"/>
          <w:szCs w:val="24"/>
          <w:highlight w:val="none"/>
        </w:rPr>
      </w:pPr>
      <w:r>
        <w:rPr>
          <w:rFonts w:hint="eastAsia" w:ascii="宋体" w:hAnsi="宋体"/>
          <w:color w:val="auto"/>
          <w:sz w:val="24"/>
          <w:szCs w:val="24"/>
          <w:highlight w:val="none"/>
          <w:lang w:val="zh-CN"/>
        </w:rPr>
        <w:t>电子邮箱：</w:t>
      </w:r>
      <w:r>
        <w:rPr>
          <w:rFonts w:ascii="宋体" w:hAnsi="宋体"/>
          <w:color w:val="auto"/>
          <w:sz w:val="24"/>
          <w:szCs w:val="24"/>
          <w:highlight w:val="none"/>
          <w:lang w:val="zh-CN"/>
        </w:rPr>
        <w:t xml:space="preserve">                               </w:t>
      </w:r>
      <w:r>
        <w:rPr>
          <w:rFonts w:hint="eastAsia" w:ascii="宋体" w:hAnsi="宋体"/>
          <w:color w:val="auto"/>
          <w:sz w:val="24"/>
          <w:szCs w:val="24"/>
          <w:highlight w:val="none"/>
          <w:lang w:val="zh-CN"/>
        </w:rPr>
        <w:t>电子邮箱：</w:t>
      </w:r>
    </w:p>
    <w:p w14:paraId="1B9E33A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开户银行：</w:t>
      </w:r>
      <w:r>
        <w:rPr>
          <w:rFonts w:ascii="宋体" w:hAnsi="宋体"/>
          <w:color w:val="auto"/>
          <w:sz w:val="24"/>
          <w:szCs w:val="24"/>
          <w:highlight w:val="none"/>
        </w:rPr>
        <w:t xml:space="preserve">                               开户银行： </w:t>
      </w:r>
    </w:p>
    <w:p w14:paraId="7B75573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开户名称：</w:t>
      </w:r>
      <w:r>
        <w:rPr>
          <w:rFonts w:ascii="宋体" w:hAnsi="宋体"/>
          <w:color w:val="auto"/>
          <w:sz w:val="24"/>
          <w:szCs w:val="24"/>
          <w:highlight w:val="none"/>
        </w:rPr>
        <w:t xml:space="preserve">                               开户名称： </w:t>
      </w:r>
    </w:p>
    <w:p w14:paraId="539B79D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开户账号：</w:t>
      </w:r>
      <w:r>
        <w:rPr>
          <w:rFonts w:ascii="宋体" w:hAnsi="宋体"/>
          <w:color w:val="auto"/>
          <w:sz w:val="24"/>
          <w:szCs w:val="24"/>
          <w:highlight w:val="none"/>
          <w:lang w:val="zh-CN"/>
        </w:rPr>
        <w:t xml:space="preserve">                               </w:t>
      </w:r>
      <w:r>
        <w:rPr>
          <w:rFonts w:hint="eastAsia" w:ascii="宋体" w:hAnsi="宋体"/>
          <w:color w:val="auto"/>
          <w:sz w:val="24"/>
          <w:szCs w:val="24"/>
          <w:highlight w:val="none"/>
        </w:rPr>
        <w:t>开户账号：</w:t>
      </w:r>
    </w:p>
    <w:p w14:paraId="717F9C1B">
      <w:pPr>
        <w:pStyle w:val="699"/>
        <w:keepNext w:val="0"/>
        <w:keepLines w:val="0"/>
        <w:pageBreakBefore w:val="0"/>
        <w:widowControl w:val="0"/>
        <w:kinsoku/>
        <w:wordWrap/>
        <w:overflowPunct/>
        <w:topLinePunct w:val="0"/>
        <w:bidi w:val="0"/>
        <w:adjustRightInd w:val="0"/>
        <w:snapToGrid w:val="0"/>
        <w:spacing w:after="0" w:line="360" w:lineRule="auto"/>
        <w:ind w:firstLine="482"/>
        <w:jc w:val="center"/>
        <w:textAlignment w:val="auto"/>
        <w:rPr>
          <w:rFonts w:ascii="宋体" w:hAnsi="宋体"/>
          <w:b/>
          <w:color w:val="auto"/>
          <w:sz w:val="24"/>
          <w:szCs w:val="24"/>
          <w:highlight w:val="none"/>
        </w:rPr>
      </w:pPr>
      <w:r>
        <w:rPr>
          <w:rFonts w:hint="eastAsia" w:ascii="宋体" w:hAnsi="宋体"/>
          <w:b/>
          <w:color w:val="auto"/>
          <w:sz w:val="24"/>
          <w:szCs w:val="24"/>
          <w:highlight w:val="none"/>
        </w:rPr>
        <w:t>第二部分</w:t>
      </w:r>
      <w:r>
        <w:rPr>
          <w:rFonts w:ascii="宋体" w:hAnsi="宋体"/>
          <w:b/>
          <w:color w:val="auto"/>
          <w:sz w:val="24"/>
          <w:szCs w:val="24"/>
          <w:highlight w:val="none"/>
        </w:rPr>
        <w:t xml:space="preserve"> </w:t>
      </w:r>
      <w:r>
        <w:rPr>
          <w:rFonts w:hint="eastAsia" w:ascii="宋体" w:hAnsi="宋体"/>
          <w:b/>
          <w:color w:val="auto"/>
          <w:sz w:val="24"/>
          <w:szCs w:val="24"/>
          <w:highlight w:val="none"/>
        </w:rPr>
        <w:t>合同一般条款</w:t>
      </w:r>
    </w:p>
    <w:p w14:paraId="3CD0E07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b/>
          <w:color w:val="auto"/>
          <w:sz w:val="24"/>
          <w:szCs w:val="24"/>
          <w:highlight w:val="none"/>
        </w:rPr>
      </w:pPr>
      <w:bookmarkStart w:id="431" w:name="_Toc31297"/>
      <w:bookmarkStart w:id="432" w:name="_Toc25079"/>
      <w:bookmarkStart w:id="433" w:name="_Toc14021"/>
      <w:bookmarkStart w:id="434" w:name="_Toc19680"/>
      <w:bookmarkStart w:id="435" w:name="_Toc5228"/>
      <w:r>
        <w:rPr>
          <w:rFonts w:ascii="宋体" w:hAnsi="宋体"/>
          <w:b/>
          <w:color w:val="auto"/>
          <w:sz w:val="24"/>
          <w:szCs w:val="24"/>
          <w:highlight w:val="none"/>
        </w:rPr>
        <w:t>2.1 定义</w:t>
      </w:r>
      <w:bookmarkEnd w:id="431"/>
      <w:bookmarkEnd w:id="432"/>
      <w:bookmarkEnd w:id="433"/>
      <w:bookmarkEnd w:id="434"/>
      <w:bookmarkEnd w:id="435"/>
    </w:p>
    <w:p w14:paraId="36D9FB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本合同中的下列</w:t>
      </w:r>
      <w:r>
        <w:rPr>
          <w:rFonts w:hint="eastAsia" w:ascii="宋体" w:hAnsi="宋体"/>
          <w:color w:val="auto"/>
          <w:sz w:val="24"/>
          <w:szCs w:val="24"/>
          <w:highlight w:val="none"/>
        </w:rPr>
        <w:t>词</w:t>
      </w:r>
      <w:r>
        <w:rPr>
          <w:rFonts w:ascii="宋体" w:hAnsi="宋体"/>
          <w:color w:val="auto"/>
          <w:sz w:val="24"/>
          <w:szCs w:val="24"/>
          <w:highlight w:val="none"/>
        </w:rPr>
        <w:t>语应</w:t>
      </w:r>
      <w:r>
        <w:rPr>
          <w:rFonts w:hint="eastAsia" w:ascii="宋体" w:hAnsi="宋体"/>
          <w:color w:val="auto"/>
          <w:sz w:val="24"/>
          <w:szCs w:val="24"/>
          <w:highlight w:val="none"/>
        </w:rPr>
        <w:t>按以下内容进行</w:t>
      </w:r>
      <w:r>
        <w:rPr>
          <w:rFonts w:ascii="宋体" w:hAnsi="宋体"/>
          <w:color w:val="auto"/>
          <w:sz w:val="24"/>
          <w:szCs w:val="24"/>
          <w:highlight w:val="none"/>
        </w:rPr>
        <w:t>解释：</w:t>
      </w:r>
    </w:p>
    <w:p w14:paraId="4DC694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2.1.1 “合同”系指采购人和</w:t>
      </w:r>
      <w:r>
        <w:rPr>
          <w:rFonts w:hint="eastAsia" w:ascii="宋体" w:hAnsi="宋体" w:cs="宋体"/>
          <w:color w:val="auto"/>
          <w:sz w:val="24"/>
          <w:szCs w:val="24"/>
          <w:highlight w:val="none"/>
        </w:rPr>
        <w:t>中标或成交</w:t>
      </w:r>
      <w:r>
        <w:rPr>
          <w:rFonts w:ascii="宋体" w:hAnsi="宋体"/>
          <w:color w:val="auto"/>
          <w:sz w:val="24"/>
          <w:szCs w:val="24"/>
          <w:highlight w:val="none"/>
        </w:rPr>
        <w:t>供应商签订的载明双方当事人所达成的协议，并包括所有的附件、附录和构成合同的其他文件。</w:t>
      </w:r>
    </w:p>
    <w:p w14:paraId="50B01B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2.1.2 “合同价”系指根据合同约定，</w:t>
      </w:r>
      <w:r>
        <w:rPr>
          <w:rFonts w:hint="eastAsia" w:ascii="宋体" w:hAnsi="宋体" w:cs="宋体"/>
          <w:color w:val="auto"/>
          <w:sz w:val="24"/>
          <w:szCs w:val="24"/>
          <w:highlight w:val="none"/>
        </w:rPr>
        <w:t>中标或成交</w:t>
      </w:r>
      <w:r>
        <w:rPr>
          <w:rFonts w:ascii="宋体" w:hAnsi="宋体"/>
          <w:color w:val="auto"/>
          <w:sz w:val="24"/>
          <w:szCs w:val="24"/>
          <w:highlight w:val="none"/>
        </w:rPr>
        <w:t>供应商在完全履行合同义务后</w:t>
      </w:r>
      <w:r>
        <w:rPr>
          <w:rFonts w:hint="eastAsia" w:ascii="宋体" w:hAnsi="宋体"/>
          <w:color w:val="auto"/>
          <w:sz w:val="24"/>
          <w:szCs w:val="24"/>
          <w:highlight w:val="none"/>
        </w:rPr>
        <w:t>，</w:t>
      </w:r>
      <w:r>
        <w:rPr>
          <w:rFonts w:ascii="宋体" w:hAnsi="宋体"/>
          <w:color w:val="auto"/>
          <w:sz w:val="24"/>
          <w:szCs w:val="24"/>
          <w:highlight w:val="none"/>
        </w:rPr>
        <w:t>采购人应支付给</w:t>
      </w:r>
      <w:r>
        <w:rPr>
          <w:rFonts w:hint="eastAsia" w:ascii="宋体" w:hAnsi="宋体" w:cs="宋体"/>
          <w:color w:val="auto"/>
          <w:sz w:val="24"/>
          <w:szCs w:val="24"/>
          <w:highlight w:val="none"/>
        </w:rPr>
        <w:t>中标或成交</w:t>
      </w:r>
      <w:r>
        <w:rPr>
          <w:rFonts w:ascii="宋体" w:hAnsi="宋体"/>
          <w:color w:val="auto"/>
          <w:sz w:val="24"/>
          <w:szCs w:val="24"/>
          <w:highlight w:val="none"/>
        </w:rPr>
        <w:t>供应商的价格。</w:t>
      </w:r>
    </w:p>
    <w:p w14:paraId="70AA3E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2.1.3 “</w:t>
      </w:r>
      <w:r>
        <w:rPr>
          <w:rFonts w:hint="eastAsia" w:ascii="宋体" w:hAnsi="宋体"/>
          <w:color w:val="auto"/>
          <w:sz w:val="24"/>
          <w:szCs w:val="24"/>
          <w:highlight w:val="none"/>
        </w:rPr>
        <w:t>服务</w:t>
      </w:r>
      <w:r>
        <w:rPr>
          <w:rFonts w:ascii="宋体" w:hAnsi="宋体"/>
          <w:color w:val="auto"/>
          <w:sz w:val="24"/>
          <w:szCs w:val="24"/>
          <w:highlight w:val="none"/>
        </w:rPr>
        <w:t>”系指</w:t>
      </w:r>
      <w:r>
        <w:rPr>
          <w:rFonts w:hint="eastAsia" w:ascii="宋体" w:hAnsi="宋体" w:cs="宋体"/>
          <w:color w:val="auto"/>
          <w:sz w:val="24"/>
          <w:szCs w:val="24"/>
          <w:highlight w:val="none"/>
        </w:rPr>
        <w:t>中标或成交</w:t>
      </w:r>
      <w:r>
        <w:rPr>
          <w:rFonts w:hint="eastAsia" w:ascii="宋体" w:hAnsi="宋体"/>
          <w:color w:val="auto"/>
          <w:sz w:val="24"/>
          <w:szCs w:val="24"/>
          <w:highlight w:val="none"/>
        </w:rPr>
        <w:t>供应商</w:t>
      </w:r>
      <w:r>
        <w:rPr>
          <w:rFonts w:ascii="宋体" w:hAnsi="宋体"/>
          <w:color w:val="auto"/>
          <w:sz w:val="24"/>
          <w:szCs w:val="24"/>
          <w:highlight w:val="none"/>
        </w:rPr>
        <w:t>根据合同约定应向采购人</w:t>
      </w:r>
      <w:r>
        <w:rPr>
          <w:rFonts w:hint="eastAsia" w:ascii="宋体" w:hAnsi="宋体"/>
          <w:color w:val="auto"/>
          <w:sz w:val="24"/>
          <w:szCs w:val="24"/>
          <w:highlight w:val="none"/>
        </w:rPr>
        <w:t>履行</w:t>
      </w:r>
      <w:r>
        <w:rPr>
          <w:rFonts w:ascii="宋体" w:hAnsi="宋体"/>
          <w:color w:val="auto"/>
          <w:sz w:val="24"/>
          <w:szCs w:val="24"/>
          <w:highlight w:val="none"/>
        </w:rPr>
        <w:t>的</w:t>
      </w:r>
      <w:r>
        <w:rPr>
          <w:rFonts w:hint="eastAsia" w:ascii="宋体" w:hAnsi="宋体"/>
          <w:color w:val="auto"/>
          <w:sz w:val="24"/>
          <w:szCs w:val="24"/>
          <w:highlight w:val="none"/>
        </w:rPr>
        <w:t>除货物和工程以外的其他政府采购对象，包括采购人自身需要的服务和向社会公众提供的公共服务。</w:t>
      </w:r>
    </w:p>
    <w:p w14:paraId="1D7EEE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2.1.4 “</w:t>
      </w:r>
      <w:r>
        <w:rPr>
          <w:rFonts w:hint="eastAsia" w:ascii="宋体" w:hAnsi="宋体"/>
          <w:color w:val="auto"/>
          <w:sz w:val="24"/>
          <w:szCs w:val="24"/>
          <w:highlight w:val="none"/>
        </w:rPr>
        <w:t>甲方</w:t>
      </w:r>
      <w:r>
        <w:rPr>
          <w:rFonts w:ascii="宋体" w:hAnsi="宋体"/>
          <w:color w:val="auto"/>
          <w:sz w:val="24"/>
          <w:szCs w:val="24"/>
          <w:highlight w:val="none"/>
        </w:rPr>
        <w:t>”系指与</w:t>
      </w:r>
      <w:r>
        <w:rPr>
          <w:rFonts w:hint="eastAsia" w:ascii="宋体" w:hAnsi="宋体" w:cs="宋体"/>
          <w:color w:val="auto"/>
          <w:sz w:val="24"/>
          <w:szCs w:val="24"/>
          <w:highlight w:val="none"/>
        </w:rPr>
        <w:t>中标或成交</w:t>
      </w:r>
      <w:r>
        <w:rPr>
          <w:rFonts w:hint="eastAsia" w:ascii="宋体" w:hAnsi="宋体"/>
          <w:color w:val="auto"/>
          <w:sz w:val="24"/>
          <w:szCs w:val="24"/>
          <w:highlight w:val="none"/>
        </w:rPr>
        <w:t>供应商</w:t>
      </w:r>
      <w:r>
        <w:rPr>
          <w:rFonts w:ascii="宋体" w:hAnsi="宋体"/>
          <w:color w:val="auto"/>
          <w:sz w:val="24"/>
          <w:szCs w:val="24"/>
          <w:highlight w:val="none"/>
        </w:rPr>
        <w:t>签署合同的采购人</w:t>
      </w:r>
      <w:r>
        <w:rPr>
          <w:rFonts w:hint="eastAsia" w:ascii="宋体" w:hAnsi="宋体"/>
          <w:color w:val="auto"/>
          <w:sz w:val="24"/>
          <w:szCs w:val="24"/>
          <w:highlight w:val="none"/>
        </w:rPr>
        <w:t>；采购人委托采购代理机构代表其与乙方签订合同的，采购人的授权委托书作为合同附件。</w:t>
      </w:r>
    </w:p>
    <w:p w14:paraId="23E213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2.1.5 “乙方”系指根据合同约定提供服务的</w:t>
      </w:r>
      <w:r>
        <w:rPr>
          <w:rFonts w:hint="eastAsia" w:ascii="宋体" w:hAnsi="宋体" w:cs="宋体"/>
          <w:color w:val="auto"/>
          <w:sz w:val="24"/>
          <w:szCs w:val="24"/>
          <w:highlight w:val="none"/>
        </w:rPr>
        <w:t>中标或成交</w:t>
      </w:r>
      <w:r>
        <w:rPr>
          <w:rFonts w:ascii="宋体" w:hAnsi="宋体"/>
          <w:color w:val="auto"/>
          <w:sz w:val="24"/>
          <w:szCs w:val="24"/>
          <w:highlight w:val="none"/>
        </w:rPr>
        <w:t>供应商</w:t>
      </w:r>
      <w:r>
        <w:rPr>
          <w:rFonts w:hint="eastAsia" w:ascii="宋体" w:hAnsi="宋体"/>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D2A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2.1.6 “现场”系指合同约定提供服务的地点。</w:t>
      </w:r>
    </w:p>
    <w:p w14:paraId="5D5DC67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b/>
          <w:color w:val="auto"/>
          <w:sz w:val="24"/>
          <w:szCs w:val="24"/>
          <w:highlight w:val="none"/>
        </w:rPr>
      </w:pPr>
      <w:bookmarkStart w:id="436" w:name="_Toc23289"/>
      <w:bookmarkStart w:id="437" w:name="_Toc31402"/>
      <w:bookmarkStart w:id="438" w:name="_Toc19539"/>
      <w:bookmarkStart w:id="439" w:name="_Toc3769"/>
      <w:bookmarkStart w:id="440" w:name="_Toc16752"/>
      <w:r>
        <w:rPr>
          <w:rFonts w:ascii="宋体" w:hAnsi="宋体"/>
          <w:b/>
          <w:color w:val="auto"/>
          <w:sz w:val="24"/>
          <w:szCs w:val="24"/>
          <w:highlight w:val="none"/>
        </w:rPr>
        <w:t>2.2 技术规范</w:t>
      </w:r>
      <w:bookmarkEnd w:id="436"/>
      <w:bookmarkEnd w:id="437"/>
      <w:bookmarkEnd w:id="438"/>
      <w:bookmarkEnd w:id="439"/>
      <w:bookmarkEnd w:id="440"/>
    </w:p>
    <w:p w14:paraId="3E7562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服务</w:t>
      </w:r>
      <w:r>
        <w:rPr>
          <w:rFonts w:ascii="宋体" w:hAnsi="宋体"/>
          <w:color w:val="auto"/>
          <w:sz w:val="24"/>
          <w:szCs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szCs w:val="24"/>
          <w:highlight w:val="none"/>
        </w:rPr>
        <w:t>；</w:t>
      </w:r>
      <w:r>
        <w:rPr>
          <w:rFonts w:ascii="宋体" w:hAnsi="宋体"/>
          <w:color w:val="auto"/>
          <w:sz w:val="24"/>
          <w:szCs w:val="24"/>
          <w:highlight w:val="none"/>
        </w:rPr>
        <w:t>如果采购文件中没有技术规范的相应说明，那么应以国家有关部门最新颁布的相应标准</w:t>
      </w:r>
      <w:r>
        <w:rPr>
          <w:rFonts w:hint="eastAsia" w:ascii="宋体" w:hAnsi="宋体"/>
          <w:color w:val="auto"/>
          <w:sz w:val="24"/>
          <w:szCs w:val="24"/>
          <w:highlight w:val="none"/>
        </w:rPr>
        <w:t>和</w:t>
      </w:r>
      <w:r>
        <w:rPr>
          <w:rFonts w:ascii="宋体" w:hAnsi="宋体"/>
          <w:color w:val="auto"/>
          <w:sz w:val="24"/>
          <w:szCs w:val="24"/>
          <w:highlight w:val="none"/>
        </w:rPr>
        <w:t>规范为准。</w:t>
      </w:r>
    </w:p>
    <w:p w14:paraId="3C12863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b/>
          <w:color w:val="auto"/>
          <w:sz w:val="24"/>
          <w:szCs w:val="24"/>
          <w:highlight w:val="none"/>
        </w:rPr>
      </w:pPr>
      <w:bookmarkStart w:id="441" w:name="_Toc12412"/>
      <w:bookmarkStart w:id="442" w:name="_Toc9161"/>
      <w:bookmarkStart w:id="443" w:name="_Toc27945"/>
      <w:bookmarkStart w:id="444" w:name="_Toc4133"/>
      <w:bookmarkStart w:id="445" w:name="_Toc13673"/>
      <w:r>
        <w:rPr>
          <w:rFonts w:ascii="宋体" w:hAnsi="宋体"/>
          <w:b/>
          <w:color w:val="auto"/>
          <w:sz w:val="24"/>
          <w:szCs w:val="24"/>
          <w:highlight w:val="none"/>
        </w:rPr>
        <w:t>2.3 知识产权</w:t>
      </w:r>
      <w:bookmarkEnd w:id="441"/>
      <w:bookmarkEnd w:id="442"/>
      <w:bookmarkEnd w:id="443"/>
      <w:bookmarkEnd w:id="444"/>
      <w:bookmarkEnd w:id="445"/>
    </w:p>
    <w:p w14:paraId="51F0A3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 xml:space="preserve">2.3.1 </w:t>
      </w:r>
      <w:r>
        <w:rPr>
          <w:rFonts w:hint="eastAsia" w:ascii="宋体" w:hAnsi="宋体"/>
          <w:color w:val="auto"/>
          <w:sz w:val="24"/>
          <w:szCs w:val="24"/>
          <w:highlight w:val="none"/>
        </w:rPr>
        <w:t>乙</w:t>
      </w:r>
      <w:r>
        <w:rPr>
          <w:rFonts w:ascii="宋体" w:hAnsi="宋体"/>
          <w:color w:val="auto"/>
          <w:sz w:val="24"/>
          <w:szCs w:val="24"/>
          <w:highlight w:val="none"/>
        </w:rPr>
        <w:t>方应保证</w:t>
      </w:r>
      <w:r>
        <w:rPr>
          <w:rFonts w:hint="eastAsia" w:ascii="宋体" w:hAnsi="宋体"/>
          <w:color w:val="auto"/>
          <w:sz w:val="24"/>
          <w:szCs w:val="24"/>
          <w:highlight w:val="none"/>
        </w:rPr>
        <w:t>其提供的服务</w:t>
      </w:r>
      <w:r>
        <w:rPr>
          <w:rFonts w:ascii="宋体" w:hAnsi="宋体"/>
          <w:color w:val="auto"/>
          <w:sz w:val="24"/>
          <w:szCs w:val="24"/>
          <w:highlight w:val="none"/>
        </w:rPr>
        <w:t>不受任何第三方提出的侵犯其著作权、商标权、专利权等知识产权方面的起诉</w:t>
      </w:r>
      <w:r>
        <w:rPr>
          <w:rFonts w:hint="eastAsia" w:ascii="宋体" w:hAnsi="宋体"/>
          <w:color w:val="auto"/>
          <w:sz w:val="24"/>
          <w:szCs w:val="24"/>
          <w:highlight w:val="none"/>
        </w:rPr>
        <w:t>；</w:t>
      </w:r>
      <w:r>
        <w:rPr>
          <w:rFonts w:ascii="宋体" w:hAnsi="宋体"/>
          <w:color w:val="auto"/>
          <w:sz w:val="24"/>
          <w:szCs w:val="24"/>
          <w:highlight w:val="none"/>
        </w:rPr>
        <w:t>如果任何第三方提出侵权</w:t>
      </w:r>
      <w:r>
        <w:rPr>
          <w:rFonts w:hint="eastAsia" w:ascii="宋体" w:hAnsi="宋体"/>
          <w:color w:val="auto"/>
          <w:sz w:val="24"/>
          <w:szCs w:val="24"/>
          <w:highlight w:val="none"/>
        </w:rPr>
        <w:t>指控</w:t>
      </w:r>
      <w:r>
        <w:rPr>
          <w:rFonts w:ascii="宋体" w:hAnsi="宋体"/>
          <w:color w:val="auto"/>
          <w:sz w:val="24"/>
          <w:szCs w:val="24"/>
          <w:highlight w:val="none"/>
        </w:rPr>
        <w:t>，那么乙方须与该第三方交涉并承担由此发生的一切责任、费用和赔偿</w:t>
      </w:r>
      <w:r>
        <w:rPr>
          <w:rFonts w:hint="eastAsia" w:ascii="宋体" w:hAnsi="宋体"/>
          <w:color w:val="auto"/>
          <w:sz w:val="24"/>
          <w:szCs w:val="24"/>
          <w:highlight w:val="none"/>
        </w:rPr>
        <w:t>，乙方还应及时澄清相关信息，使甲方声誉免受损害，甲方保留追责的权利。</w:t>
      </w:r>
    </w:p>
    <w:p w14:paraId="4B0509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 xml:space="preserve">2.3.2 </w:t>
      </w:r>
      <w:r>
        <w:rPr>
          <w:rFonts w:hint="eastAsia" w:ascii="宋体" w:hAnsi="宋体"/>
          <w:color w:val="auto"/>
          <w:sz w:val="24"/>
          <w:szCs w:val="24"/>
          <w:highlight w:val="none"/>
        </w:rPr>
        <w:t>合同涉及技术成果的归属和收益的分成办法的，</w:t>
      </w:r>
      <w:r>
        <w:rPr>
          <w:rFonts w:ascii="宋体" w:hAnsi="宋体"/>
          <w:color w:val="auto"/>
          <w:sz w:val="24"/>
          <w:szCs w:val="24"/>
          <w:highlight w:val="none"/>
        </w:rPr>
        <w:t>详见</w:t>
      </w:r>
      <w:r>
        <w:rPr>
          <w:rFonts w:ascii="宋体" w:hAnsi="宋体"/>
          <w:b/>
          <w:i/>
          <w:color w:val="auto"/>
          <w:sz w:val="24"/>
          <w:szCs w:val="24"/>
          <w:highlight w:val="none"/>
          <w:u w:val="single"/>
        </w:rPr>
        <w:t>合同专用条款</w:t>
      </w:r>
      <w:r>
        <w:rPr>
          <w:rFonts w:ascii="宋体" w:hAnsi="宋体"/>
          <w:color w:val="auto"/>
          <w:sz w:val="24"/>
          <w:szCs w:val="24"/>
          <w:highlight w:val="none"/>
        </w:rPr>
        <w:t>。</w:t>
      </w:r>
    </w:p>
    <w:p w14:paraId="0FB7C0E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auto"/>
          <w:sz w:val="24"/>
          <w:szCs w:val="24"/>
          <w:highlight w:val="none"/>
        </w:rPr>
      </w:pPr>
      <w:r>
        <w:rPr>
          <w:rFonts w:ascii="宋体" w:hAnsi="宋体"/>
          <w:b/>
          <w:color w:val="auto"/>
          <w:sz w:val="24"/>
          <w:szCs w:val="24"/>
          <w:highlight w:val="none"/>
        </w:rPr>
        <w:t xml:space="preserve">2.4 </w:t>
      </w:r>
      <w:r>
        <w:rPr>
          <w:rFonts w:hint="eastAsia" w:ascii="宋体" w:hAnsi="宋体"/>
          <w:b/>
          <w:color w:val="auto"/>
          <w:sz w:val="24"/>
          <w:szCs w:val="24"/>
          <w:highlight w:val="none"/>
        </w:rPr>
        <w:t>履约检查和问题反馈</w:t>
      </w:r>
    </w:p>
    <w:p w14:paraId="690A48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2.4.1甲方</w:t>
      </w:r>
      <w:r>
        <w:rPr>
          <w:rFonts w:hint="eastAsia" w:ascii="宋体" w:hAnsi="宋体"/>
          <w:color w:val="auto"/>
          <w:sz w:val="24"/>
          <w:szCs w:val="24"/>
          <w:highlight w:val="none"/>
        </w:rPr>
        <w:t>有权</w:t>
      </w:r>
      <w:r>
        <w:rPr>
          <w:rFonts w:ascii="宋体" w:hAnsi="宋体"/>
          <w:color w:val="auto"/>
          <w:sz w:val="24"/>
          <w:szCs w:val="24"/>
          <w:highlight w:val="none"/>
        </w:rPr>
        <w:t>在其认为必要时</w:t>
      </w:r>
      <w:r>
        <w:rPr>
          <w:rFonts w:hint="eastAsia" w:ascii="宋体" w:hAnsi="宋体"/>
          <w:color w:val="auto"/>
          <w:sz w:val="24"/>
          <w:szCs w:val="24"/>
          <w:highlight w:val="none"/>
        </w:rPr>
        <w:t>，对乙方是否能够按照合同约定提供服务进行履约检查，以确保乙方所提供的服务能够依约满足甲方之项目需求，但不得因履约检查妨碍乙方的正常工作，乙方应予积极配合；</w:t>
      </w:r>
    </w:p>
    <w:p w14:paraId="34E169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 xml:space="preserve">2.4.2 </w:t>
      </w:r>
      <w:r>
        <w:rPr>
          <w:rFonts w:hint="eastAsia" w:ascii="宋体" w:hAnsi="宋体"/>
          <w:color w:val="auto"/>
          <w:sz w:val="24"/>
          <w:szCs w:val="24"/>
          <w:highlight w:val="none"/>
        </w:rPr>
        <w:t>合同履行期间，甲方有权将履行过程中出现的问题反馈给乙方，双方当事人应以书面形式约定需要完善和改进的内容。</w:t>
      </w:r>
    </w:p>
    <w:p w14:paraId="51863DC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b/>
          <w:color w:val="auto"/>
          <w:sz w:val="24"/>
          <w:szCs w:val="24"/>
          <w:highlight w:val="none"/>
        </w:rPr>
      </w:pPr>
      <w:bookmarkStart w:id="446" w:name="_Toc26555"/>
      <w:bookmarkStart w:id="447" w:name="_Toc22011"/>
      <w:bookmarkStart w:id="448" w:name="_Toc15447"/>
      <w:bookmarkStart w:id="449" w:name="_Toc31233"/>
      <w:bookmarkStart w:id="450" w:name="_Toc32670"/>
      <w:r>
        <w:rPr>
          <w:rFonts w:ascii="宋体" w:hAnsi="宋体"/>
          <w:b/>
          <w:color w:val="auto"/>
          <w:sz w:val="24"/>
          <w:szCs w:val="24"/>
          <w:highlight w:val="none"/>
        </w:rPr>
        <w:t>2.5 结算方式和付款条件</w:t>
      </w:r>
      <w:bookmarkEnd w:id="446"/>
      <w:bookmarkEnd w:id="447"/>
      <w:bookmarkEnd w:id="448"/>
      <w:bookmarkEnd w:id="449"/>
      <w:bookmarkEnd w:id="450"/>
    </w:p>
    <w:p w14:paraId="7D7B2F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详见</w:t>
      </w:r>
      <w:r>
        <w:rPr>
          <w:rFonts w:ascii="宋体" w:hAnsi="宋体"/>
          <w:b/>
          <w:i/>
          <w:color w:val="auto"/>
          <w:sz w:val="24"/>
          <w:szCs w:val="24"/>
          <w:highlight w:val="none"/>
          <w:u w:val="single"/>
        </w:rPr>
        <w:t>合同专用条款</w:t>
      </w:r>
      <w:r>
        <w:rPr>
          <w:rFonts w:ascii="宋体" w:hAnsi="宋体"/>
          <w:color w:val="auto"/>
          <w:sz w:val="24"/>
          <w:szCs w:val="24"/>
          <w:highlight w:val="none"/>
        </w:rPr>
        <w:t>。</w:t>
      </w:r>
    </w:p>
    <w:p w14:paraId="1682C14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b/>
          <w:color w:val="auto"/>
          <w:sz w:val="24"/>
          <w:szCs w:val="24"/>
          <w:highlight w:val="none"/>
        </w:rPr>
      </w:pPr>
      <w:bookmarkStart w:id="451" w:name="_Toc30507"/>
      <w:bookmarkStart w:id="452" w:name="_Toc18990"/>
      <w:bookmarkStart w:id="453" w:name="_Toc13154"/>
      <w:bookmarkStart w:id="454" w:name="_Toc13467"/>
      <w:bookmarkStart w:id="455" w:name="_Toc16163"/>
      <w:r>
        <w:rPr>
          <w:rFonts w:ascii="宋体" w:hAnsi="宋体"/>
          <w:b/>
          <w:color w:val="auto"/>
          <w:sz w:val="24"/>
          <w:szCs w:val="24"/>
          <w:highlight w:val="none"/>
        </w:rPr>
        <w:t>2.6 技术资料和保密义务</w:t>
      </w:r>
      <w:bookmarkEnd w:id="451"/>
      <w:bookmarkEnd w:id="452"/>
      <w:bookmarkEnd w:id="453"/>
      <w:bookmarkEnd w:id="454"/>
      <w:bookmarkEnd w:id="455"/>
    </w:p>
    <w:p w14:paraId="58835E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2.6.1 乙方有权依据合同约定和项目需要，向甲方了解有关情况，调阅有关资料等，甲方应予积极配合；</w:t>
      </w:r>
    </w:p>
    <w:p w14:paraId="7F58EE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 xml:space="preserve">2.6.2 </w:t>
      </w:r>
      <w:r>
        <w:rPr>
          <w:rFonts w:hint="eastAsia" w:ascii="宋体" w:hAnsi="宋体"/>
          <w:color w:val="auto"/>
          <w:sz w:val="24"/>
          <w:szCs w:val="24"/>
          <w:highlight w:val="none"/>
        </w:rPr>
        <w:t>乙方有义务妥善保管和保护由甲方提供的前款信息和资料等；</w:t>
      </w:r>
    </w:p>
    <w:p w14:paraId="34C94B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 xml:space="preserve">2.6.3 </w:t>
      </w:r>
      <w:r>
        <w:rPr>
          <w:rFonts w:hint="eastAsia" w:ascii="宋体" w:hAnsi="宋体"/>
          <w:color w:val="auto"/>
          <w:sz w:val="24"/>
          <w:szCs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szCs w:val="24"/>
          <w:highlight w:val="none"/>
        </w:rPr>
        <w:t>技术情报</w:t>
      </w:r>
      <w:r>
        <w:rPr>
          <w:rFonts w:hint="eastAsia" w:ascii="宋体" w:hAnsi="宋体"/>
          <w:color w:val="auto"/>
          <w:sz w:val="24"/>
          <w:szCs w:val="24"/>
          <w:highlight w:val="none"/>
        </w:rPr>
        <w:t>、</w:t>
      </w:r>
      <w:r>
        <w:rPr>
          <w:rFonts w:ascii="宋体" w:hAnsi="宋体"/>
          <w:color w:val="auto"/>
          <w:sz w:val="24"/>
          <w:szCs w:val="24"/>
          <w:highlight w:val="none"/>
        </w:rPr>
        <w:t>技术资料</w:t>
      </w:r>
      <w:r>
        <w:rPr>
          <w:rFonts w:hint="eastAsia" w:ascii="宋体" w:hAnsi="宋体"/>
          <w:color w:val="auto"/>
          <w:sz w:val="24"/>
          <w:szCs w:val="24"/>
          <w:highlight w:val="none"/>
        </w:rPr>
        <w:t>、商业秘密和商业信息等，并采取一切合理和必要措施和方式防止任何第三方接触到对方当事人的上述保密信息和资料。</w:t>
      </w:r>
    </w:p>
    <w:p w14:paraId="3702BA0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b/>
          <w:color w:val="auto"/>
          <w:sz w:val="24"/>
          <w:szCs w:val="24"/>
          <w:highlight w:val="none"/>
        </w:rPr>
      </w:pPr>
      <w:bookmarkStart w:id="456" w:name="_Toc19069"/>
      <w:r>
        <w:rPr>
          <w:rFonts w:ascii="宋体" w:hAnsi="宋体"/>
          <w:b/>
          <w:color w:val="auto"/>
          <w:sz w:val="24"/>
          <w:szCs w:val="24"/>
          <w:highlight w:val="none"/>
        </w:rPr>
        <w:t xml:space="preserve">2.7 </w:t>
      </w:r>
      <w:r>
        <w:rPr>
          <w:rFonts w:hint="eastAsia" w:ascii="宋体" w:hAnsi="宋体"/>
          <w:b/>
          <w:color w:val="auto"/>
          <w:sz w:val="24"/>
          <w:szCs w:val="24"/>
          <w:highlight w:val="none"/>
        </w:rPr>
        <w:t>质量保证</w:t>
      </w:r>
      <w:bookmarkEnd w:id="456"/>
    </w:p>
    <w:p w14:paraId="218724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 xml:space="preserve">2.7.1 </w:t>
      </w:r>
      <w:r>
        <w:rPr>
          <w:rFonts w:hint="eastAsia" w:ascii="宋体" w:hAnsi="宋体"/>
          <w:color w:val="auto"/>
          <w:sz w:val="24"/>
          <w:szCs w:val="24"/>
          <w:highlight w:val="none"/>
        </w:rPr>
        <w:t>乙方应建立和完善履行合同的内部质量保证体系，并提供相关内部规章制度给甲方，以便甲方进行监督检查；</w:t>
      </w:r>
    </w:p>
    <w:p w14:paraId="62AB73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 xml:space="preserve">2.7.2 </w:t>
      </w:r>
      <w:r>
        <w:rPr>
          <w:rFonts w:hint="eastAsia" w:ascii="宋体" w:hAnsi="宋体"/>
          <w:color w:val="auto"/>
          <w:sz w:val="24"/>
          <w:szCs w:val="24"/>
          <w:highlight w:val="none"/>
        </w:rPr>
        <w:t>乙方应保证履行合同的人员数量和素质、软件和硬件设备的配置、场地、环境和设施等满足全面履行合同的要求，并应接受甲方的监督检查。</w:t>
      </w:r>
    </w:p>
    <w:p w14:paraId="17AADF5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b/>
          <w:color w:val="auto"/>
          <w:sz w:val="24"/>
          <w:szCs w:val="24"/>
          <w:highlight w:val="none"/>
        </w:rPr>
      </w:pPr>
      <w:bookmarkStart w:id="457" w:name="_Toc22267"/>
      <w:r>
        <w:rPr>
          <w:rFonts w:ascii="宋体" w:hAnsi="宋体"/>
          <w:b/>
          <w:color w:val="auto"/>
          <w:sz w:val="24"/>
          <w:szCs w:val="24"/>
          <w:highlight w:val="none"/>
        </w:rPr>
        <w:t xml:space="preserve">2.8 </w:t>
      </w:r>
      <w:r>
        <w:rPr>
          <w:rFonts w:hint="eastAsia" w:ascii="宋体" w:hAnsi="宋体"/>
          <w:b/>
          <w:color w:val="auto"/>
          <w:sz w:val="24"/>
          <w:szCs w:val="24"/>
          <w:highlight w:val="none"/>
        </w:rPr>
        <w:t>延迟履行</w:t>
      </w:r>
      <w:bookmarkEnd w:id="457"/>
    </w:p>
    <w:p w14:paraId="72F4A8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rPr>
        <w:t>甲乙双方签订合同后，乙方应按照合同约定履行合同义务，除不可抗力外，</w:t>
      </w:r>
      <w:r>
        <w:rPr>
          <w:rFonts w:hint="eastAsia" w:ascii="宋体" w:hAnsi="宋体" w:eastAsia="宋体" w:cs="宋体"/>
          <w:color w:val="auto"/>
          <w:sz w:val="24"/>
          <w:szCs w:val="24"/>
          <w:highlight w:val="none"/>
        </w:rPr>
        <w:t>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972C13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58" w:name="_Toc10611"/>
      <w:r>
        <w:rPr>
          <w:rFonts w:hint="eastAsia" w:ascii="宋体" w:hAnsi="宋体" w:eastAsia="宋体" w:cs="宋体"/>
          <w:b/>
          <w:color w:val="auto"/>
          <w:sz w:val="24"/>
          <w:szCs w:val="24"/>
          <w:highlight w:val="none"/>
        </w:rPr>
        <w:t>2.9 合同变更</w:t>
      </w:r>
      <w:bookmarkEnd w:id="458"/>
    </w:p>
    <w:p w14:paraId="765316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2F6A823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59" w:name="_Toc23368"/>
      <w:bookmarkStart w:id="460" w:name="_Toc26689"/>
      <w:bookmarkStart w:id="461" w:name="_Toc10663"/>
      <w:bookmarkStart w:id="462" w:name="_Toc42"/>
      <w:bookmarkStart w:id="463" w:name="_Toc21830"/>
      <w:r>
        <w:rPr>
          <w:rFonts w:hint="eastAsia" w:ascii="宋体" w:hAnsi="宋体" w:eastAsia="宋体" w:cs="宋体"/>
          <w:b/>
          <w:color w:val="auto"/>
          <w:sz w:val="24"/>
          <w:szCs w:val="24"/>
          <w:highlight w:val="none"/>
        </w:rPr>
        <w:t>2.10 合同转让和分包</w:t>
      </w:r>
      <w:bookmarkEnd w:id="459"/>
      <w:bookmarkEnd w:id="460"/>
      <w:bookmarkEnd w:id="461"/>
      <w:bookmarkEnd w:id="462"/>
      <w:bookmarkEnd w:id="463"/>
    </w:p>
    <w:p w14:paraId="001E92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948284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64" w:name="_Toc26633"/>
      <w:bookmarkStart w:id="465" w:name="_Toc25571"/>
      <w:bookmarkStart w:id="466" w:name="_Toc14371"/>
      <w:bookmarkStart w:id="467" w:name="_Toc32494"/>
      <w:bookmarkStart w:id="468" w:name="_Toc4720"/>
      <w:r>
        <w:rPr>
          <w:rFonts w:hint="eastAsia" w:ascii="宋体" w:hAnsi="宋体" w:eastAsia="宋体" w:cs="宋体"/>
          <w:b/>
          <w:color w:val="auto"/>
          <w:sz w:val="24"/>
          <w:szCs w:val="24"/>
          <w:highlight w:val="none"/>
        </w:rPr>
        <w:t>2.11 不可抗力</w:t>
      </w:r>
      <w:bookmarkEnd w:id="464"/>
      <w:bookmarkEnd w:id="465"/>
      <w:bookmarkEnd w:id="466"/>
      <w:bookmarkEnd w:id="467"/>
      <w:bookmarkEnd w:id="468"/>
    </w:p>
    <w:p w14:paraId="5403D3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269586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因不可抗力致使不能实现合同目的的，当事人可以解除合同；</w:t>
      </w:r>
    </w:p>
    <w:p w14:paraId="0BE30A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 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5E1DC5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5540D30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69" w:name="_Toc14115"/>
      <w:bookmarkStart w:id="470" w:name="_Toc23854"/>
      <w:bookmarkStart w:id="471" w:name="_Toc24465"/>
      <w:bookmarkStart w:id="472" w:name="_Toc25783"/>
      <w:bookmarkStart w:id="473" w:name="_Toc3638"/>
      <w:r>
        <w:rPr>
          <w:rFonts w:hint="eastAsia" w:ascii="宋体" w:hAnsi="宋体" w:eastAsia="宋体" w:cs="宋体"/>
          <w:b/>
          <w:color w:val="auto"/>
          <w:sz w:val="24"/>
          <w:szCs w:val="24"/>
          <w:highlight w:val="none"/>
        </w:rPr>
        <w:t>2.12 税费</w:t>
      </w:r>
      <w:bookmarkEnd w:id="469"/>
      <w:bookmarkEnd w:id="470"/>
      <w:bookmarkEnd w:id="471"/>
      <w:bookmarkEnd w:id="472"/>
      <w:bookmarkEnd w:id="473"/>
    </w:p>
    <w:p w14:paraId="54AE1D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4917C02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74" w:name="_Toc30105"/>
      <w:bookmarkStart w:id="475" w:name="_Toc25525"/>
      <w:bookmarkStart w:id="476" w:name="_Toc26883"/>
      <w:bookmarkStart w:id="477" w:name="_Toc7315"/>
      <w:bookmarkStart w:id="478" w:name="_Toc14814"/>
      <w:r>
        <w:rPr>
          <w:rFonts w:hint="eastAsia" w:ascii="宋体" w:hAnsi="宋体" w:eastAsia="宋体" w:cs="宋体"/>
          <w:b/>
          <w:color w:val="auto"/>
          <w:sz w:val="24"/>
          <w:szCs w:val="24"/>
          <w:highlight w:val="none"/>
        </w:rPr>
        <w:t>2.13 乙方破产</w:t>
      </w:r>
      <w:bookmarkEnd w:id="474"/>
      <w:bookmarkEnd w:id="475"/>
      <w:bookmarkEnd w:id="476"/>
      <w:bookmarkEnd w:id="477"/>
      <w:bookmarkEnd w:id="478"/>
    </w:p>
    <w:p w14:paraId="0C91A5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BE5DC2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79" w:name="_Toc2016"/>
      <w:bookmarkStart w:id="480" w:name="_Toc23323"/>
      <w:bookmarkStart w:id="481" w:name="_Toc1123"/>
      <w:r>
        <w:rPr>
          <w:rFonts w:hint="eastAsia" w:ascii="宋体" w:hAnsi="宋体" w:eastAsia="宋体" w:cs="宋体"/>
          <w:b/>
          <w:color w:val="auto"/>
          <w:sz w:val="24"/>
          <w:szCs w:val="24"/>
          <w:highlight w:val="none"/>
        </w:rPr>
        <w:t>2.14 合同中止、终止</w:t>
      </w:r>
      <w:bookmarkEnd w:id="479"/>
      <w:bookmarkEnd w:id="480"/>
      <w:bookmarkEnd w:id="481"/>
    </w:p>
    <w:p w14:paraId="64DFE6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双方当事人不得擅自中止或者终止合同；</w:t>
      </w:r>
    </w:p>
    <w:p w14:paraId="326012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2C11473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82" w:name="_Toc14525"/>
      <w:bookmarkStart w:id="483" w:name="_Toc1969"/>
      <w:bookmarkStart w:id="484" w:name="_Toc17363"/>
      <w:r>
        <w:rPr>
          <w:rFonts w:hint="eastAsia" w:ascii="宋体" w:hAnsi="宋体" w:eastAsia="宋体" w:cs="宋体"/>
          <w:b/>
          <w:color w:val="auto"/>
          <w:sz w:val="24"/>
          <w:szCs w:val="24"/>
          <w:highlight w:val="none"/>
        </w:rPr>
        <w:t>2.15 检验和验收</w:t>
      </w:r>
      <w:bookmarkEnd w:id="482"/>
      <w:bookmarkEnd w:id="483"/>
      <w:bookmarkEnd w:id="484"/>
    </w:p>
    <w:p w14:paraId="6C246CDE">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 乙方按照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48FFD394">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52D718B">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 检验和验收标准、程序等具体内容以及前述验收书的效力详见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i/>
          <w:color w:val="auto"/>
          <w:sz w:val="24"/>
          <w:szCs w:val="24"/>
          <w:highlight w:val="none"/>
        </w:rPr>
        <w:t>。</w:t>
      </w:r>
    </w:p>
    <w:p w14:paraId="3E987D4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85" w:name="_Toc25198"/>
      <w:bookmarkStart w:id="486" w:name="_Toc9808"/>
      <w:bookmarkStart w:id="487" w:name="_Toc12666"/>
      <w:bookmarkStart w:id="488" w:name="_Toc31892"/>
      <w:bookmarkStart w:id="489" w:name="_Toc2308"/>
      <w:r>
        <w:rPr>
          <w:rFonts w:hint="eastAsia" w:ascii="宋体" w:hAnsi="宋体" w:eastAsia="宋体" w:cs="宋体"/>
          <w:b/>
          <w:color w:val="auto"/>
          <w:sz w:val="24"/>
          <w:szCs w:val="24"/>
          <w:highlight w:val="none"/>
        </w:rPr>
        <w:t>2.16 通知和送达</w:t>
      </w:r>
      <w:bookmarkEnd w:id="485"/>
      <w:bookmarkEnd w:id="486"/>
      <w:bookmarkEnd w:id="487"/>
      <w:bookmarkEnd w:id="488"/>
      <w:bookmarkEnd w:id="489"/>
    </w:p>
    <w:p w14:paraId="6DBAE8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bookmarkStart w:id="490" w:name="_Toc27674"/>
      <w:bookmarkStart w:id="491" w:name="_Toc18401"/>
      <w:r>
        <w:rPr>
          <w:rFonts w:hint="eastAsia" w:ascii="宋体" w:hAnsi="宋体" w:eastAsia="宋体" w:cs="宋体"/>
          <w:color w:val="auto"/>
          <w:sz w:val="24"/>
          <w:szCs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个工作日内书面通知对方当事人，在对方当事人收到有关变更通知之前，变更前的约定送达方式或者地址仍视为有效。</w:t>
      </w:r>
    </w:p>
    <w:p w14:paraId="18087A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0"/>
      <w:bookmarkEnd w:id="491"/>
    </w:p>
    <w:p w14:paraId="3A41645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492" w:name="_Toc5063"/>
      <w:bookmarkStart w:id="493" w:name="_Toc20808"/>
      <w:bookmarkStart w:id="494" w:name="_Toc28906"/>
      <w:bookmarkStart w:id="495" w:name="_Toc12254"/>
      <w:bookmarkStart w:id="496" w:name="_Toc27644"/>
      <w:r>
        <w:rPr>
          <w:rFonts w:hint="eastAsia" w:ascii="宋体" w:hAnsi="宋体" w:eastAsia="宋体" w:cs="宋体"/>
          <w:b/>
          <w:color w:val="auto"/>
          <w:sz w:val="24"/>
          <w:szCs w:val="24"/>
          <w:highlight w:val="none"/>
        </w:rPr>
        <w:t>2.17 合同使用的文字和适用的法律</w:t>
      </w:r>
      <w:bookmarkEnd w:id="492"/>
      <w:bookmarkEnd w:id="493"/>
      <w:bookmarkEnd w:id="494"/>
      <w:bookmarkEnd w:id="495"/>
      <w:bookmarkEnd w:id="496"/>
    </w:p>
    <w:p w14:paraId="3D20D1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 合同使用汉语书就、变更和解释；</w:t>
      </w:r>
    </w:p>
    <w:p w14:paraId="3B42C4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 合同适用中华人民共和国法律。</w:t>
      </w:r>
    </w:p>
    <w:p w14:paraId="3592188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2.18 计量单位</w:t>
      </w:r>
    </w:p>
    <w:p w14:paraId="13FA6C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除技术规范中另有规定外,合同的计量单位均使用国家法定计量单位。</w:t>
      </w:r>
    </w:p>
    <w:p w14:paraId="118D9F2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2.19合同份数</w:t>
      </w:r>
    </w:p>
    <w:p w14:paraId="2C1984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14:paraId="7F7ED6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第三部分  合同专用条款</w:t>
      </w:r>
    </w:p>
    <w:p w14:paraId="1B259E7D">
      <w:pPr>
        <w:keepNext w:val="0"/>
        <w:keepLines w:val="0"/>
        <w:pageBreakBefore w:val="0"/>
        <w:widowControl w:val="0"/>
        <w:kinsoku/>
        <w:wordWrap/>
        <w:overflowPunct/>
        <w:topLinePunct w:val="0"/>
        <w:autoSpaceDE/>
        <w:autoSpaceDN/>
        <w:bidi w:val="0"/>
        <w:adjustRightInd w:val="0"/>
        <w:snapToGrid w:val="0"/>
        <w:spacing w:line="360" w:lineRule="auto"/>
        <w:ind w:left="-420" w:leftChars="-200"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4BC1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A325AD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49" w:type="dxa"/>
            <w:vAlign w:val="center"/>
          </w:tcPr>
          <w:p w14:paraId="173BB19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60159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8A1E3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8149" w:type="dxa"/>
            <w:vAlign w:val="center"/>
          </w:tcPr>
          <w:p w14:paraId="1C3595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w:t>
            </w:r>
          </w:p>
        </w:tc>
      </w:tr>
      <w:tr w14:paraId="1E788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2745CA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8149" w:type="dxa"/>
            <w:vAlign w:val="center"/>
          </w:tcPr>
          <w:p w14:paraId="0A1FF6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1DFD7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53F50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8149" w:type="dxa"/>
            <w:vAlign w:val="center"/>
          </w:tcPr>
          <w:p w14:paraId="4FA656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w:t>
            </w:r>
          </w:p>
        </w:tc>
      </w:tr>
      <w:tr w14:paraId="38EF0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72F085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1.4.1</w:t>
            </w:r>
          </w:p>
        </w:tc>
        <w:tc>
          <w:tcPr>
            <w:tcW w:w="8149" w:type="dxa"/>
            <w:vAlign w:val="center"/>
          </w:tcPr>
          <w:p w14:paraId="00624BF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5D62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1B261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8149" w:type="dxa"/>
            <w:vAlign w:val="center"/>
          </w:tcPr>
          <w:p w14:paraId="1D75E7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w:t>
            </w:r>
          </w:p>
        </w:tc>
      </w:tr>
      <w:tr w14:paraId="42FFB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F4529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8149" w:type="dxa"/>
            <w:vAlign w:val="center"/>
          </w:tcPr>
          <w:p w14:paraId="0B678A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w:t>
            </w:r>
          </w:p>
        </w:tc>
      </w:tr>
      <w:tr w14:paraId="61DFC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1C3B6D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1.5.1 </w:t>
            </w:r>
          </w:p>
        </w:tc>
        <w:tc>
          <w:tcPr>
            <w:tcW w:w="8149" w:type="dxa"/>
            <w:vAlign w:val="center"/>
          </w:tcPr>
          <w:p w14:paraId="26EA775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4B6EF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98F090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8149" w:type="dxa"/>
            <w:vAlign w:val="center"/>
          </w:tcPr>
          <w:p w14:paraId="10F6AC9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654E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224CB8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 </w:t>
            </w:r>
          </w:p>
        </w:tc>
        <w:tc>
          <w:tcPr>
            <w:tcW w:w="8149" w:type="dxa"/>
            <w:vAlign w:val="center"/>
          </w:tcPr>
          <w:p w14:paraId="5371405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91A9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E60EC5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8149" w:type="dxa"/>
            <w:vAlign w:val="center"/>
          </w:tcPr>
          <w:p w14:paraId="4D4CF4A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根据每月实际发生岗位数结算，次月15日乙方提供等额发票，甲方进行支付。</w:t>
            </w:r>
          </w:p>
        </w:tc>
      </w:tr>
      <w:tr w14:paraId="50114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FD491A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149" w:type="dxa"/>
            <w:vAlign w:val="center"/>
          </w:tcPr>
          <w:p w14:paraId="463982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2025</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月</w:t>
            </w:r>
            <w:r>
              <w:rPr>
                <w:rFonts w:hint="eastAsia" w:ascii="宋体" w:hAnsi="宋体" w:eastAsia="宋体" w:cs="宋体"/>
                <w:color w:val="auto"/>
                <w:sz w:val="24"/>
                <w:szCs w:val="24"/>
                <w:highlight w:val="none"/>
                <w:lang w:val="en-US" w:eastAsia="zh-CN"/>
              </w:rPr>
              <w:t>-2026</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月</w:t>
            </w:r>
          </w:p>
        </w:tc>
      </w:tr>
      <w:tr w14:paraId="28E63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FF1F16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8149" w:type="dxa"/>
            <w:vAlign w:val="center"/>
          </w:tcPr>
          <w:p w14:paraId="2F8A31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萧山区尚德实验学校</w:t>
            </w:r>
          </w:p>
        </w:tc>
      </w:tr>
      <w:tr w14:paraId="2501F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05FE5F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8149" w:type="dxa"/>
            <w:vAlign w:val="center"/>
          </w:tcPr>
          <w:p w14:paraId="2722C0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萧山区尚德实验学校</w:t>
            </w:r>
            <w:r>
              <w:rPr>
                <w:rFonts w:hint="eastAsia" w:ascii="宋体" w:hAnsi="宋体" w:cs="宋体"/>
                <w:color w:val="auto"/>
                <w:sz w:val="24"/>
                <w:szCs w:val="24"/>
                <w:highlight w:val="none"/>
                <w:lang w:val="en-US" w:eastAsia="zh-CN"/>
              </w:rPr>
              <w:t>校内服务</w:t>
            </w:r>
          </w:p>
        </w:tc>
      </w:tr>
      <w:tr w14:paraId="5CA97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C6C888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w:t>
            </w:r>
          </w:p>
        </w:tc>
        <w:tc>
          <w:tcPr>
            <w:tcW w:w="8149" w:type="dxa"/>
            <w:vAlign w:val="center"/>
          </w:tcPr>
          <w:p w14:paraId="55DF07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75BD9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B80329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w:t>
            </w:r>
          </w:p>
        </w:tc>
        <w:tc>
          <w:tcPr>
            <w:tcW w:w="8149" w:type="dxa"/>
            <w:vAlign w:val="center"/>
          </w:tcPr>
          <w:p w14:paraId="73DFF6A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AD6E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A8511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w:t>
            </w:r>
          </w:p>
        </w:tc>
        <w:tc>
          <w:tcPr>
            <w:tcW w:w="8149" w:type="dxa"/>
            <w:vAlign w:val="center"/>
          </w:tcPr>
          <w:p w14:paraId="028575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C8AC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B60EB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w:t>
            </w:r>
          </w:p>
        </w:tc>
        <w:tc>
          <w:tcPr>
            <w:tcW w:w="8149" w:type="dxa"/>
            <w:vAlign w:val="center"/>
          </w:tcPr>
          <w:p w14:paraId="5BD5F7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AD0E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15F709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149" w:type="dxa"/>
            <w:vAlign w:val="center"/>
          </w:tcPr>
          <w:p w14:paraId="08D76E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1DFF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1AB2C5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8149" w:type="dxa"/>
            <w:vAlign w:val="center"/>
          </w:tcPr>
          <w:p w14:paraId="28D115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所在地区</w:t>
            </w:r>
          </w:p>
        </w:tc>
      </w:tr>
      <w:tr w14:paraId="11127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8776F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8149" w:type="dxa"/>
            <w:vAlign w:val="center"/>
          </w:tcPr>
          <w:p w14:paraId="6B11FB7E">
            <w:pPr>
              <w:keepNext w:val="0"/>
              <w:keepLines w:val="0"/>
              <w:pageBreakBefore w:val="0"/>
              <w:widowControl w:val="0"/>
              <w:kinsoku/>
              <w:wordWrap/>
              <w:overflowPunct/>
              <w:topLinePunct w:val="0"/>
              <w:autoSpaceDE/>
              <w:autoSpaceDN/>
              <w:bidi w:val="0"/>
              <w:adjustRightInd w:val="0"/>
              <w:snapToGrid w:val="0"/>
              <w:spacing w:line="360" w:lineRule="auto"/>
              <w:ind w:left="0" w:leftChars="0" w:right="-420" w:righ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所在地区</w:t>
            </w:r>
          </w:p>
        </w:tc>
      </w:tr>
      <w:tr w14:paraId="44636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F1A87F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w:t>
            </w:r>
          </w:p>
        </w:tc>
        <w:tc>
          <w:tcPr>
            <w:tcW w:w="8149" w:type="dxa"/>
            <w:vAlign w:val="center"/>
          </w:tcPr>
          <w:p w14:paraId="2A4306E1">
            <w:pPr>
              <w:keepNext w:val="0"/>
              <w:keepLines w:val="0"/>
              <w:pageBreakBefore w:val="0"/>
              <w:widowControl w:val="0"/>
              <w:kinsoku/>
              <w:wordWrap/>
              <w:overflowPunct/>
              <w:topLinePunct w:val="0"/>
              <w:autoSpaceDE/>
              <w:autoSpaceDN/>
              <w:bidi w:val="0"/>
              <w:adjustRightInd w:val="0"/>
              <w:snapToGrid w:val="0"/>
              <w:spacing w:line="360" w:lineRule="auto"/>
              <w:ind w:left="0" w:leftChars="0" w:right="-420" w:rightChars="-20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B279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9" w:hRule="atLeast"/>
        </w:trPr>
        <w:tc>
          <w:tcPr>
            <w:tcW w:w="977" w:type="dxa"/>
            <w:tcBorders>
              <w:left w:val="single" w:color="auto" w:sz="4" w:space="0"/>
            </w:tcBorders>
            <w:vAlign w:val="center"/>
          </w:tcPr>
          <w:p w14:paraId="48839BF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8149" w:type="dxa"/>
            <w:vAlign w:val="center"/>
          </w:tcPr>
          <w:p w14:paraId="51C0E798">
            <w:pPr>
              <w:keepNext w:val="0"/>
              <w:keepLines w:val="0"/>
              <w:pageBreakBefore w:val="0"/>
              <w:widowControl w:val="0"/>
              <w:kinsoku/>
              <w:wordWrap/>
              <w:overflowPunct/>
              <w:topLinePunct w:val="0"/>
              <w:autoSpaceDE/>
              <w:autoSpaceDN/>
              <w:bidi w:val="0"/>
              <w:adjustRightInd w:val="0"/>
              <w:snapToGrid w:val="0"/>
              <w:spacing w:line="360" w:lineRule="auto"/>
              <w:ind w:left="0" w:leftChars="0" w:right="111" w:rightChars="53"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按月结算物业费。中标人与采购人协商一致后，采购人按季度向中标人支付物业费，具体支付周期在合同中约定。采购人每月组织对物业服务内容及质量进行考核，费用按考核拨付。</w:t>
            </w:r>
          </w:p>
        </w:tc>
      </w:tr>
      <w:tr w14:paraId="4D590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1CDBA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8149" w:type="dxa"/>
            <w:vAlign w:val="center"/>
          </w:tcPr>
          <w:p w14:paraId="7EC91F7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C940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235842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2.11.4 </w:t>
            </w:r>
          </w:p>
        </w:tc>
        <w:tc>
          <w:tcPr>
            <w:tcW w:w="8149" w:type="dxa"/>
          </w:tcPr>
          <w:p w14:paraId="55981A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4DB7B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9" w:hRule="atLeast"/>
        </w:trPr>
        <w:tc>
          <w:tcPr>
            <w:tcW w:w="977" w:type="dxa"/>
            <w:tcBorders>
              <w:left w:val="single" w:color="auto" w:sz="4" w:space="0"/>
            </w:tcBorders>
            <w:vAlign w:val="center"/>
          </w:tcPr>
          <w:p w14:paraId="1668D6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8149" w:type="dxa"/>
            <w:vAlign w:val="center"/>
          </w:tcPr>
          <w:p w14:paraId="3C886D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乙方按照投标文件的承诺和招标文件的要求约定</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甲方按照招标文件的要求</w:t>
            </w:r>
          </w:p>
        </w:tc>
      </w:tr>
      <w:tr w14:paraId="5D108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77" w:type="dxa"/>
            <w:tcBorders>
              <w:left w:val="single" w:color="auto" w:sz="4" w:space="0"/>
            </w:tcBorders>
            <w:vAlign w:val="center"/>
          </w:tcPr>
          <w:p w14:paraId="7534AA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8149" w:type="dxa"/>
            <w:vAlign w:val="center"/>
          </w:tcPr>
          <w:p w14:paraId="314FEDA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检验和验收标准，以及前述验收文件的有效性以招标采购需求为准。</w:t>
            </w:r>
          </w:p>
        </w:tc>
      </w:tr>
      <w:tr w14:paraId="36D7E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77" w:type="dxa"/>
            <w:tcBorders>
              <w:left w:val="single" w:color="auto" w:sz="4" w:space="0"/>
            </w:tcBorders>
          </w:tcPr>
          <w:p w14:paraId="44CD2AA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8149" w:type="dxa"/>
          </w:tcPr>
          <w:p w14:paraId="7DF18CE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共计4份，双方各执2份</w:t>
            </w:r>
          </w:p>
        </w:tc>
      </w:tr>
    </w:tbl>
    <w:p w14:paraId="71E94AA5">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2AA80825">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69769E3E">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color w:val="auto"/>
          <w:kern w:val="0"/>
          <w:sz w:val="36"/>
          <w:szCs w:val="36"/>
          <w:highlight w:val="none"/>
        </w:rPr>
      </w:pPr>
    </w:p>
    <w:p w14:paraId="5083E837">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E357302">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B552835">
      <w:pPr>
        <w:spacing w:line="360" w:lineRule="auto"/>
        <w:jc w:val="center"/>
        <w:outlineLvl w:val="0"/>
        <w:rPr>
          <w:rFonts w:ascii="宋体" w:hAnsi="宋体" w:cs="宋体"/>
          <w:b/>
          <w:color w:val="auto"/>
          <w:kern w:val="0"/>
          <w:sz w:val="36"/>
          <w:szCs w:val="36"/>
          <w:highlight w:val="none"/>
        </w:rPr>
      </w:pPr>
    </w:p>
    <w:p w14:paraId="41F5A0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CE74F8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76EB5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CFA85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CE21FE9">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ED3D3DB">
      <w:pPr>
        <w:snapToGrid w:val="0"/>
        <w:spacing w:line="360" w:lineRule="auto"/>
        <w:ind w:right="30" w:right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0B7C86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C997F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12188C0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493EC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322BE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B5C52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7E141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41A3C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CA523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B9D67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77998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CAB16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AAF94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805D0A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BDFF76C">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39E064">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9D8808E">
      <w:pPr>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b/>
          <w:color w:val="auto"/>
          <w:sz w:val="24"/>
          <w:highlight w:val="none"/>
          <w:u w:val="single"/>
        </w:rPr>
        <w:br w:type="page"/>
      </w:r>
    </w:p>
    <w:p w14:paraId="01CED2E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2D9206B">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16958BB">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1FE07B9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9180213">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F275431">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BDE629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0BCA71B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D707623">
      <w:pPr>
        <w:rPr>
          <w:rFonts w:hint="eastAsia" w:ascii="宋体" w:hAnsi="宋体" w:cs="宋体"/>
          <w:color w:val="auto"/>
          <w:sz w:val="24"/>
          <w:highlight w:val="none"/>
        </w:rPr>
      </w:pPr>
      <w:r>
        <w:rPr>
          <w:rFonts w:hint="eastAsia" w:ascii="宋体" w:hAnsi="宋体" w:cs="宋体"/>
          <w:color w:val="auto"/>
          <w:sz w:val="24"/>
          <w:highlight w:val="none"/>
        </w:rPr>
        <w:br w:type="page"/>
      </w:r>
    </w:p>
    <w:p w14:paraId="68BC5CD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B68B58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7839FE2">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D6613F6">
      <w:pPr>
        <w:spacing w:line="360" w:lineRule="auto"/>
        <w:ind w:right="30" w:rightChars="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21F695A">
      <w:pPr>
        <w:spacing w:line="360" w:lineRule="auto"/>
        <w:ind w:right="420"/>
        <w:jc w:val="center"/>
        <w:rPr>
          <w:rFonts w:hint="eastAsia" w:ascii="宋体" w:hAnsi="宋体" w:eastAsia="宋体" w:cs="宋体"/>
          <w:b/>
          <w:color w:val="auto"/>
          <w:kern w:val="0"/>
          <w:sz w:val="36"/>
          <w:szCs w:val="36"/>
          <w:highlight w:val="none"/>
        </w:rPr>
      </w:pPr>
    </w:p>
    <w:p w14:paraId="26F426A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8CB127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DB4D68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B17AB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AA1DF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73AAAC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8641BD9">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60F619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DAF69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B9783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BD64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CF869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9A56FF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47DE4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2C403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7" w:name="_Hlk101257010"/>
      <w:r>
        <w:rPr>
          <w:rFonts w:hint="eastAsia" w:ascii="宋体" w:hAnsi="宋体" w:cs="宋体"/>
          <w:color w:val="auto"/>
          <w:sz w:val="24"/>
          <w:highlight w:val="none"/>
        </w:rPr>
        <w:t>（如果有)</w:t>
      </w:r>
      <w:bookmarkEnd w:id="497"/>
      <w:r>
        <w:rPr>
          <w:rFonts w:hint="eastAsia" w:ascii="宋体" w:hAnsi="宋体" w:cs="宋体"/>
          <w:snapToGrid w:val="0"/>
          <w:color w:val="auto"/>
          <w:kern w:val="28"/>
          <w:sz w:val="24"/>
          <w:szCs w:val="20"/>
          <w:highlight w:val="none"/>
        </w:rPr>
        <w:t>；</w:t>
      </w:r>
    </w:p>
    <w:p w14:paraId="32103F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8671C2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76EDE4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1F41B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D25FE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6B1BA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B5EAF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6A1DD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91769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A7B68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57EADB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8148C2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7E3E3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9D122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8E73E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3EFAFF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B4BA6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A5396B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25ADC3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251C07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F9D818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20655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33250C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F7CC49">
      <w:pPr>
        <w:snapToGrid w:val="0"/>
        <w:spacing w:line="360" w:lineRule="auto"/>
        <w:ind w:left="420" w:leftChars="200" w:firstLine="4200" w:firstLineChars="1750"/>
        <w:rPr>
          <w:rFonts w:ascii="宋体" w:hAnsi="宋体" w:cs="宋体"/>
          <w:color w:val="auto"/>
          <w:kern w:val="0"/>
          <w:sz w:val="24"/>
          <w:highlight w:val="none"/>
          <w:u w:val="single"/>
        </w:rPr>
      </w:pPr>
    </w:p>
    <w:p w14:paraId="7E05FCB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1E207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3D6B3FC">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8061C39">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C642F17">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11B89A9">
      <w:pPr>
        <w:snapToGrid w:val="0"/>
        <w:spacing w:line="360" w:lineRule="auto"/>
        <w:ind w:left="0" w:leftChars="0" w:firstLine="0" w:firstLineChars="0"/>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09089E4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55BE16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41C67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5CC5E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B8755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BB73F45">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1960E4D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80FF47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21252D3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25177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224AA0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1826185">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23C6C4A">
      <w:pPr>
        <w:rPr>
          <w:rFonts w:ascii="宋体" w:hAnsi="宋体" w:cs="宋体"/>
          <w:color w:val="auto"/>
          <w:highlight w:val="none"/>
        </w:rPr>
      </w:pPr>
    </w:p>
    <w:p w14:paraId="60AC15C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6202E5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B2047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92EA3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0E8AA55">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571A6D7">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2"/>
          <w:szCs w:val="32"/>
          <w:highlight w:val="none"/>
        </w:rPr>
        <w:t>的身份证明</w:t>
      </w:r>
      <w:r>
        <w:rPr>
          <w:rFonts w:hint="eastAsia" w:ascii="宋体" w:hAnsi="宋体" w:cs="宋体"/>
          <w:b/>
          <w:color w:val="auto"/>
          <w:sz w:val="30"/>
          <w:szCs w:val="30"/>
          <w:highlight w:val="none"/>
        </w:rPr>
        <w:t>（适用于法定代表人、单位负责人或者自然人本人代表投标人参加投标）</w:t>
      </w:r>
    </w:p>
    <w:p w14:paraId="5F2B4868">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6C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17818A">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FBCDF97">
            <w:pPr>
              <w:pStyle w:val="146"/>
              <w:adjustRightInd w:val="0"/>
              <w:spacing w:line="360" w:lineRule="auto"/>
              <w:rPr>
                <w:rFonts w:hAnsi="宋体" w:cs="宋体"/>
                <w:bCs/>
                <w:color w:val="auto"/>
                <w:sz w:val="24"/>
                <w:highlight w:val="none"/>
              </w:rPr>
            </w:pPr>
          </w:p>
        </w:tc>
      </w:tr>
    </w:tbl>
    <w:p w14:paraId="3D7E312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088FDB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CD2478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04F137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87E8C1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FA9326D">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1A0D115">
      <w:pPr>
        <w:rPr>
          <w:rFonts w:hint="eastAsia" w:ascii="宋体" w:hAnsi="宋体" w:cs="宋体"/>
          <w:color w:val="auto"/>
          <w:sz w:val="24"/>
          <w:highlight w:val="none"/>
        </w:rPr>
      </w:pPr>
      <w:r>
        <w:rPr>
          <w:rFonts w:hint="eastAsia" w:ascii="宋体" w:hAnsi="宋体" w:cs="宋体"/>
          <w:color w:val="auto"/>
          <w:sz w:val="24"/>
          <w:highlight w:val="none"/>
        </w:rPr>
        <w:br w:type="page"/>
      </w:r>
    </w:p>
    <w:p w14:paraId="6A4A963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962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35480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5B6E2D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8A5304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30E4CB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E96A75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A99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ED553A">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D96335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EB6D34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E48F8C3">
            <w:pPr>
              <w:rPr>
                <w:rFonts w:ascii="宋体" w:hAnsi="宋体" w:cs="宋体"/>
                <w:color w:val="auto"/>
                <w:sz w:val="24"/>
                <w:highlight w:val="none"/>
              </w:rPr>
            </w:pPr>
          </w:p>
          <w:p w14:paraId="25A258EC">
            <w:pPr>
              <w:rPr>
                <w:rFonts w:ascii="宋体" w:hAnsi="宋体" w:cs="宋体"/>
                <w:color w:val="auto"/>
                <w:sz w:val="24"/>
                <w:highlight w:val="none"/>
              </w:rPr>
            </w:pPr>
            <w:r>
              <w:rPr>
                <w:rFonts w:hint="eastAsia" w:ascii="宋体" w:hAnsi="宋体" w:cs="宋体"/>
                <w:color w:val="auto"/>
                <w:sz w:val="24"/>
                <w:highlight w:val="none"/>
              </w:rPr>
              <w:t>见投标文件</w:t>
            </w:r>
          </w:p>
          <w:p w14:paraId="64CFAC6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7B9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5FF0C9">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48E82CD">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C91303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0DFFAC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EFC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270769">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E4C1B47">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C3AB40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60AF8F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9F95AB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6A6FD5F">
      <w:pPr>
        <w:rPr>
          <w:rFonts w:hint="eastAsia" w:ascii="宋体" w:hAnsi="宋体" w:cs="宋体"/>
          <w:color w:val="auto"/>
          <w:sz w:val="24"/>
          <w:highlight w:val="none"/>
        </w:rPr>
      </w:pPr>
      <w:r>
        <w:rPr>
          <w:rFonts w:hint="eastAsia" w:ascii="宋体" w:hAnsi="宋体" w:cs="宋体"/>
          <w:color w:val="auto"/>
          <w:sz w:val="24"/>
          <w:highlight w:val="none"/>
        </w:rPr>
        <w:br w:type="page"/>
      </w:r>
    </w:p>
    <w:p w14:paraId="4082CDA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2FF30D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8246F3F">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4C4A395">
      <w:pPr>
        <w:keepNext w:val="0"/>
        <w:keepLines w:val="0"/>
        <w:pageBreakBefore w:val="0"/>
        <w:widowControl w:val="0"/>
        <w:kinsoku/>
        <w:wordWrap/>
        <w:overflowPunct/>
        <w:topLinePunct w:val="0"/>
        <w:autoSpaceDE/>
        <w:autoSpaceDN/>
        <w:bidi w:val="0"/>
        <w:adjustRightInd w:val="0"/>
        <w:snapToGrid w:val="0"/>
        <w:spacing w:line="360" w:lineRule="auto"/>
        <w:ind w:firstLine="2891" w:firstLineChars="900"/>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C40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822D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D3A51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EC8D83D">
            <w:pPr>
              <w:spacing w:line="360" w:lineRule="auto"/>
              <w:jc w:val="center"/>
              <w:rPr>
                <w:rFonts w:ascii="宋体" w:hAnsi="宋体" w:cs="宋体"/>
                <w:b/>
                <w:color w:val="auto"/>
                <w:sz w:val="24"/>
                <w:highlight w:val="none"/>
              </w:rPr>
            </w:pPr>
          </w:p>
          <w:p w14:paraId="5D5A74C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6B22E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597B1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3BC4A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8DB53D5">
            <w:pPr>
              <w:spacing w:line="360" w:lineRule="auto"/>
              <w:jc w:val="center"/>
              <w:rPr>
                <w:rFonts w:ascii="宋体" w:hAnsi="宋体" w:cs="宋体"/>
                <w:b/>
                <w:color w:val="auto"/>
                <w:sz w:val="24"/>
                <w:highlight w:val="none"/>
              </w:rPr>
            </w:pPr>
          </w:p>
          <w:p w14:paraId="30E5F6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4D512A5">
            <w:pPr>
              <w:spacing w:line="360" w:lineRule="auto"/>
              <w:jc w:val="center"/>
              <w:rPr>
                <w:rFonts w:ascii="宋体" w:hAnsi="宋体" w:cs="宋体"/>
                <w:b/>
                <w:color w:val="auto"/>
                <w:sz w:val="24"/>
                <w:highlight w:val="none"/>
              </w:rPr>
            </w:pPr>
          </w:p>
        </w:tc>
      </w:tr>
      <w:tr w14:paraId="4212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1F4D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863A3B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4EAF3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DC4344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6D3A8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C1A20F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33BC5B5">
            <w:pPr>
              <w:spacing w:line="360" w:lineRule="auto"/>
              <w:jc w:val="center"/>
              <w:rPr>
                <w:rFonts w:ascii="宋体" w:hAnsi="宋体" w:cs="宋体"/>
                <w:color w:val="auto"/>
                <w:sz w:val="24"/>
                <w:highlight w:val="none"/>
              </w:rPr>
            </w:pPr>
          </w:p>
        </w:tc>
      </w:tr>
      <w:tr w14:paraId="4547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CA626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E1F7E4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530968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658B2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081AA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9AF26B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264B1A4">
            <w:pPr>
              <w:spacing w:line="360" w:lineRule="auto"/>
              <w:jc w:val="center"/>
              <w:rPr>
                <w:rFonts w:ascii="宋体" w:hAnsi="宋体" w:cs="宋体"/>
                <w:color w:val="auto"/>
                <w:sz w:val="24"/>
                <w:highlight w:val="none"/>
              </w:rPr>
            </w:pPr>
          </w:p>
        </w:tc>
      </w:tr>
      <w:tr w14:paraId="506E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43D3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040AC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0434B8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F1915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85DC71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3147D5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F1224F7">
            <w:pPr>
              <w:spacing w:line="360" w:lineRule="auto"/>
              <w:jc w:val="center"/>
              <w:rPr>
                <w:rFonts w:ascii="宋体" w:hAnsi="宋体" w:cs="宋体"/>
                <w:color w:val="auto"/>
                <w:sz w:val="24"/>
                <w:highlight w:val="none"/>
              </w:rPr>
            </w:pPr>
          </w:p>
        </w:tc>
      </w:tr>
    </w:tbl>
    <w:p w14:paraId="07D4C61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5F42FAE">
      <w:pPr>
        <w:rPr>
          <w:rFonts w:hint="eastAsia" w:ascii="宋体" w:hAnsi="宋体" w:cs="宋体"/>
          <w:color w:val="auto"/>
          <w:sz w:val="24"/>
          <w:highlight w:val="none"/>
        </w:rPr>
      </w:pPr>
      <w:r>
        <w:rPr>
          <w:rFonts w:hint="eastAsia" w:ascii="宋体" w:hAnsi="宋体" w:cs="宋体"/>
          <w:color w:val="auto"/>
          <w:sz w:val="24"/>
          <w:highlight w:val="none"/>
        </w:rPr>
        <w:br w:type="page"/>
      </w:r>
    </w:p>
    <w:p w14:paraId="62DF11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CA4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C9158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177BF2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64DB094">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FE2184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943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4076D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F86B953">
            <w:pPr>
              <w:jc w:val="center"/>
              <w:rPr>
                <w:rFonts w:ascii="宋体" w:hAnsi="宋体" w:cs="宋体"/>
                <w:b/>
                <w:color w:val="auto"/>
                <w:kern w:val="0"/>
                <w:sz w:val="32"/>
                <w:szCs w:val="32"/>
                <w:highlight w:val="none"/>
              </w:rPr>
            </w:pPr>
          </w:p>
        </w:tc>
        <w:tc>
          <w:tcPr>
            <w:tcW w:w="3546" w:type="dxa"/>
          </w:tcPr>
          <w:p w14:paraId="13A1B327">
            <w:pPr>
              <w:jc w:val="center"/>
              <w:rPr>
                <w:rFonts w:ascii="宋体" w:hAnsi="宋体" w:cs="宋体"/>
                <w:b/>
                <w:color w:val="auto"/>
                <w:kern w:val="0"/>
                <w:sz w:val="32"/>
                <w:szCs w:val="32"/>
                <w:highlight w:val="none"/>
              </w:rPr>
            </w:pPr>
          </w:p>
        </w:tc>
        <w:tc>
          <w:tcPr>
            <w:tcW w:w="1276" w:type="dxa"/>
          </w:tcPr>
          <w:p w14:paraId="76C51E66">
            <w:pPr>
              <w:jc w:val="center"/>
              <w:rPr>
                <w:rFonts w:ascii="宋体" w:hAnsi="宋体" w:cs="宋体"/>
                <w:b/>
                <w:color w:val="auto"/>
                <w:kern w:val="0"/>
                <w:sz w:val="32"/>
                <w:szCs w:val="32"/>
                <w:highlight w:val="none"/>
              </w:rPr>
            </w:pPr>
          </w:p>
        </w:tc>
      </w:tr>
      <w:tr w14:paraId="2FB3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8D182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2E0B382">
            <w:pPr>
              <w:jc w:val="center"/>
              <w:rPr>
                <w:rFonts w:ascii="宋体" w:hAnsi="宋体" w:cs="宋体"/>
                <w:b/>
                <w:color w:val="auto"/>
                <w:kern w:val="0"/>
                <w:sz w:val="32"/>
                <w:szCs w:val="32"/>
                <w:highlight w:val="none"/>
              </w:rPr>
            </w:pPr>
          </w:p>
        </w:tc>
        <w:tc>
          <w:tcPr>
            <w:tcW w:w="3546" w:type="dxa"/>
          </w:tcPr>
          <w:p w14:paraId="23BB6F07">
            <w:pPr>
              <w:jc w:val="center"/>
              <w:rPr>
                <w:rFonts w:ascii="宋体" w:hAnsi="宋体" w:cs="宋体"/>
                <w:b/>
                <w:color w:val="auto"/>
                <w:kern w:val="0"/>
                <w:sz w:val="32"/>
                <w:szCs w:val="32"/>
                <w:highlight w:val="none"/>
              </w:rPr>
            </w:pPr>
          </w:p>
        </w:tc>
        <w:tc>
          <w:tcPr>
            <w:tcW w:w="1276" w:type="dxa"/>
          </w:tcPr>
          <w:p w14:paraId="07DB9D1C">
            <w:pPr>
              <w:jc w:val="center"/>
              <w:rPr>
                <w:rFonts w:ascii="宋体" w:hAnsi="宋体" w:cs="宋体"/>
                <w:b/>
                <w:color w:val="auto"/>
                <w:kern w:val="0"/>
                <w:sz w:val="32"/>
                <w:szCs w:val="32"/>
                <w:highlight w:val="none"/>
              </w:rPr>
            </w:pPr>
          </w:p>
        </w:tc>
      </w:tr>
      <w:tr w14:paraId="2D0E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13371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5E1620B">
            <w:pPr>
              <w:jc w:val="center"/>
              <w:rPr>
                <w:rFonts w:ascii="宋体" w:hAnsi="宋体" w:cs="宋体"/>
                <w:b/>
                <w:color w:val="auto"/>
                <w:kern w:val="0"/>
                <w:sz w:val="32"/>
                <w:szCs w:val="32"/>
                <w:highlight w:val="none"/>
              </w:rPr>
            </w:pPr>
          </w:p>
        </w:tc>
        <w:tc>
          <w:tcPr>
            <w:tcW w:w="3546" w:type="dxa"/>
          </w:tcPr>
          <w:p w14:paraId="106E8B68">
            <w:pPr>
              <w:jc w:val="center"/>
              <w:rPr>
                <w:rFonts w:ascii="宋体" w:hAnsi="宋体" w:cs="宋体"/>
                <w:b/>
                <w:color w:val="auto"/>
                <w:kern w:val="0"/>
                <w:sz w:val="32"/>
                <w:szCs w:val="32"/>
                <w:highlight w:val="none"/>
              </w:rPr>
            </w:pPr>
          </w:p>
        </w:tc>
        <w:tc>
          <w:tcPr>
            <w:tcW w:w="1276" w:type="dxa"/>
          </w:tcPr>
          <w:p w14:paraId="3A740703">
            <w:pPr>
              <w:jc w:val="center"/>
              <w:rPr>
                <w:rFonts w:ascii="宋体" w:hAnsi="宋体" w:cs="宋体"/>
                <w:b/>
                <w:color w:val="auto"/>
                <w:kern w:val="0"/>
                <w:sz w:val="32"/>
                <w:szCs w:val="32"/>
                <w:highlight w:val="none"/>
              </w:rPr>
            </w:pPr>
          </w:p>
        </w:tc>
      </w:tr>
    </w:tbl>
    <w:p w14:paraId="7ED8F4DF">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8FECB55">
      <w:pPr>
        <w:jc w:val="left"/>
        <w:rPr>
          <w:rFonts w:hint="eastAsia" w:ascii="宋体" w:hAnsi="宋体" w:eastAsia="宋体" w:cs="宋体"/>
          <w:color w:val="auto"/>
          <w:kern w:val="0"/>
          <w:sz w:val="24"/>
          <w:highlight w:val="none"/>
        </w:rPr>
      </w:pPr>
    </w:p>
    <w:p w14:paraId="0DCD0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5AE154">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0EBB25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08A30B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CF9425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7D9AD1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03A80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AA15C1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0CAFF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9BCF21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8DC7C9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EC4709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262EA7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18592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ED62C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2A64A2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B90B034">
      <w:pPr>
        <w:spacing w:line="360" w:lineRule="auto"/>
        <w:jc w:val="center"/>
        <w:rPr>
          <w:rFonts w:ascii="宋体" w:hAnsi="宋体" w:cs="宋体"/>
          <w:b/>
          <w:bCs/>
          <w:color w:val="auto"/>
          <w:sz w:val="24"/>
          <w:highlight w:val="none"/>
        </w:rPr>
      </w:pPr>
    </w:p>
    <w:p w14:paraId="27971E3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71E7D8">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E0AAA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E8ADEF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6A69CDA">
      <w:pPr>
        <w:spacing w:line="360" w:lineRule="auto"/>
        <w:jc w:val="center"/>
        <w:outlineLvl w:val="0"/>
        <w:rPr>
          <w:rFonts w:ascii="宋体" w:hAnsi="宋体" w:cs="宋体"/>
          <w:b/>
          <w:color w:val="auto"/>
          <w:kern w:val="0"/>
          <w:sz w:val="36"/>
          <w:szCs w:val="36"/>
          <w:highlight w:val="none"/>
        </w:rPr>
      </w:pPr>
    </w:p>
    <w:p w14:paraId="0A6DAC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B03E5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094BEAAF">
      <w:pPr>
        <w:rPr>
          <w:rFonts w:hint="eastAsia" w:ascii="宋体" w:hAnsi="宋体" w:eastAsia="宋体" w:cs="宋体"/>
          <w:color w:val="auto"/>
          <w:kern w:val="2"/>
          <w:sz w:val="32"/>
          <w:szCs w:val="32"/>
          <w:highlight w:val="none"/>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014542BC">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3FB7B8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D201E9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01A673B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AA9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AC10D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445E84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40D32EAE">
            <w:pPr>
              <w:spacing w:line="360" w:lineRule="auto"/>
              <w:jc w:val="center"/>
              <w:rPr>
                <w:rFonts w:ascii="宋体" w:hAnsi="宋体" w:cs="宋体"/>
                <w:b/>
                <w:color w:val="auto"/>
                <w:sz w:val="24"/>
                <w:highlight w:val="none"/>
              </w:rPr>
            </w:pPr>
          </w:p>
          <w:p w14:paraId="3879EC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35C3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26A4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B1218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456C74E5">
            <w:pPr>
              <w:spacing w:line="360" w:lineRule="auto"/>
              <w:jc w:val="center"/>
              <w:rPr>
                <w:rFonts w:ascii="宋体" w:hAnsi="宋体" w:cs="宋体"/>
                <w:b/>
                <w:color w:val="auto"/>
                <w:sz w:val="24"/>
                <w:highlight w:val="none"/>
              </w:rPr>
            </w:pPr>
          </w:p>
          <w:p w14:paraId="60472E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9753D07">
            <w:pPr>
              <w:spacing w:line="360" w:lineRule="auto"/>
              <w:jc w:val="center"/>
              <w:rPr>
                <w:rFonts w:ascii="宋体" w:hAnsi="宋体" w:cs="宋体"/>
                <w:b/>
                <w:color w:val="auto"/>
                <w:sz w:val="24"/>
                <w:highlight w:val="none"/>
              </w:rPr>
            </w:pPr>
          </w:p>
          <w:p w14:paraId="22787A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390605C">
            <w:pPr>
              <w:spacing w:line="360" w:lineRule="auto"/>
              <w:jc w:val="center"/>
              <w:rPr>
                <w:rFonts w:ascii="宋体" w:hAnsi="宋体" w:cs="宋体"/>
                <w:b/>
                <w:color w:val="auto"/>
                <w:sz w:val="24"/>
                <w:highlight w:val="none"/>
              </w:rPr>
            </w:pPr>
          </w:p>
        </w:tc>
      </w:tr>
      <w:tr w14:paraId="418D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B5674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28BBB1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5B565F8">
            <w:pPr>
              <w:snapToGrid w:val="0"/>
              <w:spacing w:line="360" w:lineRule="auto"/>
              <w:jc w:val="center"/>
              <w:rPr>
                <w:rFonts w:ascii="宋体" w:hAnsi="宋体" w:cs="宋体"/>
                <w:color w:val="auto"/>
                <w:sz w:val="24"/>
                <w:highlight w:val="none"/>
              </w:rPr>
            </w:pPr>
          </w:p>
        </w:tc>
        <w:tc>
          <w:tcPr>
            <w:tcW w:w="2410" w:type="dxa"/>
            <w:vAlign w:val="center"/>
          </w:tcPr>
          <w:p w14:paraId="7DE54E54">
            <w:pPr>
              <w:snapToGrid w:val="0"/>
              <w:spacing w:line="360" w:lineRule="auto"/>
              <w:jc w:val="center"/>
              <w:rPr>
                <w:rFonts w:ascii="宋体" w:hAnsi="宋体" w:cs="宋体"/>
                <w:color w:val="auto"/>
                <w:sz w:val="24"/>
                <w:highlight w:val="none"/>
              </w:rPr>
            </w:pPr>
          </w:p>
        </w:tc>
        <w:tc>
          <w:tcPr>
            <w:tcW w:w="2268" w:type="dxa"/>
            <w:vAlign w:val="center"/>
          </w:tcPr>
          <w:p w14:paraId="48EB9B6A">
            <w:pPr>
              <w:snapToGrid w:val="0"/>
              <w:spacing w:line="360" w:lineRule="auto"/>
              <w:jc w:val="center"/>
              <w:rPr>
                <w:rFonts w:ascii="宋体" w:hAnsi="宋体" w:cs="宋体"/>
                <w:color w:val="auto"/>
                <w:sz w:val="24"/>
                <w:highlight w:val="none"/>
              </w:rPr>
            </w:pPr>
          </w:p>
        </w:tc>
        <w:tc>
          <w:tcPr>
            <w:tcW w:w="2126" w:type="dxa"/>
            <w:vAlign w:val="center"/>
          </w:tcPr>
          <w:p w14:paraId="20D06CFF">
            <w:pPr>
              <w:spacing w:line="360" w:lineRule="auto"/>
              <w:jc w:val="center"/>
              <w:rPr>
                <w:rFonts w:ascii="宋体" w:hAnsi="宋体" w:cs="宋体"/>
                <w:color w:val="auto"/>
                <w:sz w:val="24"/>
                <w:highlight w:val="none"/>
              </w:rPr>
            </w:pPr>
          </w:p>
        </w:tc>
        <w:tc>
          <w:tcPr>
            <w:tcW w:w="2127" w:type="dxa"/>
          </w:tcPr>
          <w:p w14:paraId="591C79C2">
            <w:pPr>
              <w:spacing w:line="360" w:lineRule="auto"/>
              <w:jc w:val="center"/>
              <w:rPr>
                <w:rFonts w:ascii="宋体" w:hAnsi="宋体" w:cs="宋体"/>
                <w:color w:val="auto"/>
                <w:sz w:val="24"/>
                <w:highlight w:val="none"/>
              </w:rPr>
            </w:pPr>
          </w:p>
        </w:tc>
        <w:tc>
          <w:tcPr>
            <w:tcW w:w="2126" w:type="dxa"/>
            <w:vAlign w:val="center"/>
          </w:tcPr>
          <w:p w14:paraId="0A5F7F81">
            <w:pPr>
              <w:spacing w:line="360" w:lineRule="auto"/>
              <w:jc w:val="center"/>
              <w:rPr>
                <w:rFonts w:ascii="宋体" w:hAnsi="宋体" w:cs="宋体"/>
                <w:color w:val="auto"/>
                <w:sz w:val="24"/>
                <w:highlight w:val="none"/>
              </w:rPr>
            </w:pPr>
          </w:p>
        </w:tc>
      </w:tr>
      <w:tr w14:paraId="1347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F400F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B14D4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FC04372">
            <w:pPr>
              <w:snapToGrid w:val="0"/>
              <w:spacing w:line="360" w:lineRule="auto"/>
              <w:jc w:val="center"/>
              <w:rPr>
                <w:rFonts w:ascii="宋体" w:hAnsi="宋体" w:cs="宋体"/>
                <w:color w:val="auto"/>
                <w:sz w:val="24"/>
                <w:highlight w:val="none"/>
              </w:rPr>
            </w:pPr>
          </w:p>
        </w:tc>
        <w:tc>
          <w:tcPr>
            <w:tcW w:w="2410" w:type="dxa"/>
            <w:vAlign w:val="center"/>
          </w:tcPr>
          <w:p w14:paraId="7AFF48CE">
            <w:pPr>
              <w:snapToGrid w:val="0"/>
              <w:spacing w:line="360" w:lineRule="auto"/>
              <w:jc w:val="center"/>
              <w:rPr>
                <w:rFonts w:ascii="宋体" w:hAnsi="宋体" w:cs="宋体"/>
                <w:color w:val="auto"/>
                <w:sz w:val="24"/>
                <w:highlight w:val="none"/>
              </w:rPr>
            </w:pPr>
          </w:p>
        </w:tc>
        <w:tc>
          <w:tcPr>
            <w:tcW w:w="2268" w:type="dxa"/>
            <w:vAlign w:val="center"/>
          </w:tcPr>
          <w:p w14:paraId="2C3C695B">
            <w:pPr>
              <w:snapToGrid w:val="0"/>
              <w:spacing w:line="360" w:lineRule="auto"/>
              <w:jc w:val="center"/>
              <w:rPr>
                <w:rFonts w:ascii="宋体" w:hAnsi="宋体" w:cs="宋体"/>
                <w:color w:val="auto"/>
                <w:sz w:val="24"/>
                <w:highlight w:val="none"/>
              </w:rPr>
            </w:pPr>
          </w:p>
        </w:tc>
        <w:tc>
          <w:tcPr>
            <w:tcW w:w="2126" w:type="dxa"/>
            <w:vAlign w:val="center"/>
          </w:tcPr>
          <w:p w14:paraId="1D85E40A">
            <w:pPr>
              <w:spacing w:line="360" w:lineRule="auto"/>
              <w:jc w:val="center"/>
              <w:rPr>
                <w:rFonts w:ascii="宋体" w:hAnsi="宋体" w:cs="宋体"/>
                <w:color w:val="auto"/>
                <w:sz w:val="24"/>
                <w:highlight w:val="none"/>
              </w:rPr>
            </w:pPr>
          </w:p>
        </w:tc>
        <w:tc>
          <w:tcPr>
            <w:tcW w:w="2127" w:type="dxa"/>
          </w:tcPr>
          <w:p w14:paraId="03E4C7BC">
            <w:pPr>
              <w:spacing w:line="360" w:lineRule="auto"/>
              <w:jc w:val="center"/>
              <w:rPr>
                <w:rFonts w:ascii="宋体" w:hAnsi="宋体" w:cs="宋体"/>
                <w:color w:val="auto"/>
                <w:sz w:val="24"/>
                <w:highlight w:val="none"/>
              </w:rPr>
            </w:pPr>
          </w:p>
        </w:tc>
        <w:tc>
          <w:tcPr>
            <w:tcW w:w="2126" w:type="dxa"/>
            <w:vAlign w:val="center"/>
          </w:tcPr>
          <w:p w14:paraId="0D34937A">
            <w:pPr>
              <w:spacing w:line="360" w:lineRule="auto"/>
              <w:jc w:val="center"/>
              <w:rPr>
                <w:rFonts w:ascii="宋体" w:hAnsi="宋体" w:cs="宋体"/>
                <w:color w:val="auto"/>
                <w:sz w:val="24"/>
                <w:highlight w:val="none"/>
              </w:rPr>
            </w:pPr>
          </w:p>
        </w:tc>
      </w:tr>
      <w:tr w14:paraId="2EFC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502F5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4E0BD535">
            <w:pPr>
              <w:snapToGrid w:val="0"/>
              <w:spacing w:line="360" w:lineRule="auto"/>
              <w:jc w:val="center"/>
              <w:rPr>
                <w:rFonts w:ascii="宋体" w:hAnsi="宋体" w:cs="宋体"/>
                <w:color w:val="auto"/>
                <w:sz w:val="24"/>
                <w:highlight w:val="none"/>
              </w:rPr>
            </w:pPr>
          </w:p>
        </w:tc>
        <w:tc>
          <w:tcPr>
            <w:tcW w:w="2268" w:type="dxa"/>
            <w:vAlign w:val="center"/>
          </w:tcPr>
          <w:p w14:paraId="676A01CC">
            <w:pPr>
              <w:snapToGrid w:val="0"/>
              <w:spacing w:line="360" w:lineRule="auto"/>
              <w:jc w:val="center"/>
              <w:rPr>
                <w:rFonts w:ascii="宋体" w:hAnsi="宋体" w:cs="宋体"/>
                <w:color w:val="auto"/>
                <w:sz w:val="24"/>
                <w:highlight w:val="none"/>
              </w:rPr>
            </w:pPr>
          </w:p>
        </w:tc>
        <w:tc>
          <w:tcPr>
            <w:tcW w:w="2410" w:type="dxa"/>
            <w:vAlign w:val="center"/>
          </w:tcPr>
          <w:p w14:paraId="6E45C83A">
            <w:pPr>
              <w:snapToGrid w:val="0"/>
              <w:spacing w:line="360" w:lineRule="auto"/>
              <w:jc w:val="center"/>
              <w:rPr>
                <w:rFonts w:ascii="宋体" w:hAnsi="宋体" w:cs="宋体"/>
                <w:color w:val="auto"/>
                <w:sz w:val="24"/>
                <w:highlight w:val="none"/>
              </w:rPr>
            </w:pPr>
          </w:p>
        </w:tc>
        <w:tc>
          <w:tcPr>
            <w:tcW w:w="2268" w:type="dxa"/>
            <w:vAlign w:val="center"/>
          </w:tcPr>
          <w:p w14:paraId="340BC44E">
            <w:pPr>
              <w:snapToGrid w:val="0"/>
              <w:spacing w:line="360" w:lineRule="auto"/>
              <w:jc w:val="center"/>
              <w:rPr>
                <w:rFonts w:ascii="宋体" w:hAnsi="宋体" w:cs="宋体"/>
                <w:color w:val="auto"/>
                <w:sz w:val="24"/>
                <w:highlight w:val="none"/>
              </w:rPr>
            </w:pPr>
          </w:p>
        </w:tc>
        <w:tc>
          <w:tcPr>
            <w:tcW w:w="2126" w:type="dxa"/>
            <w:vAlign w:val="center"/>
          </w:tcPr>
          <w:p w14:paraId="2F803565">
            <w:pPr>
              <w:spacing w:line="360" w:lineRule="auto"/>
              <w:jc w:val="center"/>
              <w:rPr>
                <w:rFonts w:ascii="宋体" w:hAnsi="宋体" w:cs="宋体"/>
                <w:color w:val="auto"/>
                <w:sz w:val="24"/>
                <w:highlight w:val="none"/>
              </w:rPr>
            </w:pPr>
          </w:p>
        </w:tc>
        <w:tc>
          <w:tcPr>
            <w:tcW w:w="2127" w:type="dxa"/>
          </w:tcPr>
          <w:p w14:paraId="1379352A">
            <w:pPr>
              <w:spacing w:line="360" w:lineRule="auto"/>
              <w:jc w:val="center"/>
              <w:rPr>
                <w:rFonts w:ascii="宋体" w:hAnsi="宋体" w:cs="宋体"/>
                <w:color w:val="auto"/>
                <w:sz w:val="24"/>
                <w:highlight w:val="none"/>
              </w:rPr>
            </w:pPr>
          </w:p>
        </w:tc>
        <w:tc>
          <w:tcPr>
            <w:tcW w:w="2126" w:type="dxa"/>
            <w:vAlign w:val="center"/>
          </w:tcPr>
          <w:p w14:paraId="06659938">
            <w:pPr>
              <w:spacing w:line="360" w:lineRule="auto"/>
              <w:jc w:val="center"/>
              <w:rPr>
                <w:rFonts w:ascii="宋体" w:hAnsi="宋体" w:cs="宋体"/>
                <w:color w:val="auto"/>
                <w:sz w:val="24"/>
                <w:highlight w:val="none"/>
              </w:rPr>
            </w:pPr>
          </w:p>
        </w:tc>
      </w:tr>
      <w:tr w14:paraId="0DFA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068AFF">
            <w:pPr>
              <w:spacing w:line="360" w:lineRule="auto"/>
              <w:jc w:val="center"/>
              <w:rPr>
                <w:rFonts w:ascii="宋体" w:hAnsi="宋体" w:cs="宋体"/>
                <w:color w:val="auto"/>
                <w:sz w:val="24"/>
                <w:highlight w:val="none"/>
              </w:rPr>
            </w:pPr>
          </w:p>
        </w:tc>
        <w:tc>
          <w:tcPr>
            <w:tcW w:w="992" w:type="dxa"/>
            <w:vAlign w:val="center"/>
          </w:tcPr>
          <w:p w14:paraId="20A1567F">
            <w:pPr>
              <w:snapToGrid w:val="0"/>
              <w:spacing w:line="360" w:lineRule="auto"/>
              <w:jc w:val="center"/>
              <w:rPr>
                <w:rFonts w:ascii="宋体" w:hAnsi="宋体" w:cs="宋体"/>
                <w:color w:val="auto"/>
                <w:sz w:val="24"/>
                <w:highlight w:val="none"/>
              </w:rPr>
            </w:pPr>
          </w:p>
        </w:tc>
        <w:tc>
          <w:tcPr>
            <w:tcW w:w="2268" w:type="dxa"/>
            <w:vAlign w:val="center"/>
          </w:tcPr>
          <w:p w14:paraId="0F361F9D">
            <w:pPr>
              <w:snapToGrid w:val="0"/>
              <w:spacing w:line="360" w:lineRule="auto"/>
              <w:jc w:val="center"/>
              <w:rPr>
                <w:rFonts w:ascii="宋体" w:hAnsi="宋体" w:cs="宋体"/>
                <w:color w:val="auto"/>
                <w:sz w:val="24"/>
                <w:highlight w:val="none"/>
              </w:rPr>
            </w:pPr>
          </w:p>
        </w:tc>
        <w:tc>
          <w:tcPr>
            <w:tcW w:w="2410" w:type="dxa"/>
            <w:vAlign w:val="center"/>
          </w:tcPr>
          <w:p w14:paraId="6B84B97F">
            <w:pPr>
              <w:snapToGrid w:val="0"/>
              <w:spacing w:line="360" w:lineRule="auto"/>
              <w:jc w:val="center"/>
              <w:rPr>
                <w:rFonts w:ascii="宋体" w:hAnsi="宋体" w:cs="宋体"/>
                <w:color w:val="auto"/>
                <w:sz w:val="24"/>
                <w:highlight w:val="none"/>
              </w:rPr>
            </w:pPr>
          </w:p>
        </w:tc>
        <w:tc>
          <w:tcPr>
            <w:tcW w:w="2268" w:type="dxa"/>
            <w:vAlign w:val="center"/>
          </w:tcPr>
          <w:p w14:paraId="57442B5D">
            <w:pPr>
              <w:snapToGrid w:val="0"/>
              <w:spacing w:line="360" w:lineRule="auto"/>
              <w:jc w:val="center"/>
              <w:rPr>
                <w:rFonts w:ascii="宋体" w:hAnsi="宋体" w:cs="宋体"/>
                <w:color w:val="auto"/>
                <w:sz w:val="24"/>
                <w:highlight w:val="none"/>
              </w:rPr>
            </w:pPr>
          </w:p>
        </w:tc>
        <w:tc>
          <w:tcPr>
            <w:tcW w:w="2126" w:type="dxa"/>
            <w:vAlign w:val="center"/>
          </w:tcPr>
          <w:p w14:paraId="701092EF">
            <w:pPr>
              <w:spacing w:line="360" w:lineRule="auto"/>
              <w:jc w:val="center"/>
              <w:rPr>
                <w:rFonts w:ascii="宋体" w:hAnsi="宋体" w:cs="宋体"/>
                <w:color w:val="auto"/>
                <w:sz w:val="24"/>
                <w:highlight w:val="none"/>
              </w:rPr>
            </w:pPr>
          </w:p>
        </w:tc>
        <w:tc>
          <w:tcPr>
            <w:tcW w:w="2127" w:type="dxa"/>
          </w:tcPr>
          <w:p w14:paraId="6D50434F">
            <w:pPr>
              <w:spacing w:line="360" w:lineRule="auto"/>
              <w:jc w:val="center"/>
              <w:rPr>
                <w:rFonts w:ascii="宋体" w:hAnsi="宋体" w:cs="宋体"/>
                <w:color w:val="auto"/>
                <w:sz w:val="24"/>
                <w:highlight w:val="none"/>
              </w:rPr>
            </w:pPr>
          </w:p>
        </w:tc>
        <w:tc>
          <w:tcPr>
            <w:tcW w:w="2126" w:type="dxa"/>
            <w:vAlign w:val="center"/>
          </w:tcPr>
          <w:p w14:paraId="187AA050">
            <w:pPr>
              <w:spacing w:line="360" w:lineRule="auto"/>
              <w:jc w:val="center"/>
              <w:rPr>
                <w:rFonts w:ascii="宋体" w:hAnsi="宋体" w:cs="宋体"/>
                <w:color w:val="auto"/>
                <w:sz w:val="24"/>
                <w:highlight w:val="none"/>
              </w:rPr>
            </w:pPr>
          </w:p>
        </w:tc>
      </w:tr>
      <w:tr w14:paraId="290D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C27B3C5">
            <w:pPr>
              <w:spacing w:line="360" w:lineRule="auto"/>
              <w:jc w:val="center"/>
              <w:rPr>
                <w:rFonts w:ascii="宋体" w:hAnsi="宋体" w:cs="宋体"/>
                <w:color w:val="auto"/>
                <w:sz w:val="24"/>
                <w:highlight w:val="none"/>
              </w:rPr>
            </w:pPr>
          </w:p>
        </w:tc>
        <w:tc>
          <w:tcPr>
            <w:tcW w:w="992" w:type="dxa"/>
            <w:vAlign w:val="center"/>
          </w:tcPr>
          <w:p w14:paraId="261D7484">
            <w:pPr>
              <w:snapToGrid w:val="0"/>
              <w:spacing w:line="360" w:lineRule="auto"/>
              <w:jc w:val="center"/>
              <w:rPr>
                <w:rFonts w:ascii="宋体" w:hAnsi="宋体" w:cs="宋体"/>
                <w:color w:val="auto"/>
                <w:sz w:val="24"/>
                <w:highlight w:val="none"/>
              </w:rPr>
            </w:pPr>
          </w:p>
        </w:tc>
        <w:tc>
          <w:tcPr>
            <w:tcW w:w="2268" w:type="dxa"/>
            <w:vAlign w:val="center"/>
          </w:tcPr>
          <w:p w14:paraId="62B555BE">
            <w:pPr>
              <w:snapToGrid w:val="0"/>
              <w:spacing w:line="360" w:lineRule="auto"/>
              <w:jc w:val="center"/>
              <w:rPr>
                <w:rFonts w:ascii="宋体" w:hAnsi="宋体" w:cs="宋体"/>
                <w:color w:val="auto"/>
                <w:sz w:val="24"/>
                <w:highlight w:val="none"/>
              </w:rPr>
            </w:pPr>
          </w:p>
        </w:tc>
        <w:tc>
          <w:tcPr>
            <w:tcW w:w="2410" w:type="dxa"/>
            <w:vAlign w:val="center"/>
          </w:tcPr>
          <w:p w14:paraId="7BA89435">
            <w:pPr>
              <w:snapToGrid w:val="0"/>
              <w:spacing w:line="360" w:lineRule="auto"/>
              <w:jc w:val="center"/>
              <w:rPr>
                <w:rFonts w:ascii="宋体" w:hAnsi="宋体" w:cs="宋体"/>
                <w:color w:val="auto"/>
                <w:sz w:val="24"/>
                <w:highlight w:val="none"/>
              </w:rPr>
            </w:pPr>
          </w:p>
        </w:tc>
        <w:tc>
          <w:tcPr>
            <w:tcW w:w="2268" w:type="dxa"/>
            <w:vAlign w:val="center"/>
          </w:tcPr>
          <w:p w14:paraId="2241D28F">
            <w:pPr>
              <w:snapToGrid w:val="0"/>
              <w:spacing w:line="360" w:lineRule="auto"/>
              <w:jc w:val="center"/>
              <w:rPr>
                <w:rFonts w:ascii="宋体" w:hAnsi="宋体" w:cs="宋体"/>
                <w:color w:val="auto"/>
                <w:sz w:val="24"/>
                <w:highlight w:val="none"/>
              </w:rPr>
            </w:pPr>
          </w:p>
        </w:tc>
        <w:tc>
          <w:tcPr>
            <w:tcW w:w="2126" w:type="dxa"/>
            <w:vAlign w:val="center"/>
          </w:tcPr>
          <w:p w14:paraId="74058D57">
            <w:pPr>
              <w:spacing w:line="360" w:lineRule="auto"/>
              <w:jc w:val="center"/>
              <w:rPr>
                <w:rFonts w:ascii="宋体" w:hAnsi="宋体" w:cs="宋体"/>
                <w:color w:val="auto"/>
                <w:sz w:val="24"/>
                <w:highlight w:val="none"/>
              </w:rPr>
            </w:pPr>
          </w:p>
        </w:tc>
        <w:tc>
          <w:tcPr>
            <w:tcW w:w="2127" w:type="dxa"/>
          </w:tcPr>
          <w:p w14:paraId="71501DF8">
            <w:pPr>
              <w:spacing w:line="360" w:lineRule="auto"/>
              <w:jc w:val="center"/>
              <w:rPr>
                <w:rFonts w:ascii="宋体" w:hAnsi="宋体" w:cs="宋体"/>
                <w:color w:val="auto"/>
                <w:sz w:val="24"/>
                <w:highlight w:val="none"/>
              </w:rPr>
            </w:pPr>
          </w:p>
        </w:tc>
        <w:tc>
          <w:tcPr>
            <w:tcW w:w="2126" w:type="dxa"/>
            <w:vAlign w:val="center"/>
          </w:tcPr>
          <w:p w14:paraId="1EF68936">
            <w:pPr>
              <w:spacing w:line="360" w:lineRule="auto"/>
              <w:jc w:val="center"/>
              <w:rPr>
                <w:rFonts w:ascii="宋体" w:hAnsi="宋体" w:cs="宋体"/>
                <w:color w:val="auto"/>
                <w:sz w:val="24"/>
                <w:highlight w:val="none"/>
              </w:rPr>
            </w:pPr>
          </w:p>
        </w:tc>
      </w:tr>
      <w:tr w14:paraId="7200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AFBA5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4B58F9D8">
            <w:pPr>
              <w:spacing w:line="360" w:lineRule="auto"/>
              <w:jc w:val="center"/>
              <w:rPr>
                <w:rFonts w:ascii="宋体" w:hAnsi="宋体" w:cs="宋体"/>
                <w:color w:val="auto"/>
                <w:sz w:val="24"/>
                <w:highlight w:val="none"/>
              </w:rPr>
            </w:pPr>
          </w:p>
        </w:tc>
      </w:tr>
      <w:tr w14:paraId="3A6A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BB1C38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242D0DB3">
            <w:pPr>
              <w:spacing w:line="360" w:lineRule="auto"/>
              <w:jc w:val="center"/>
              <w:rPr>
                <w:rFonts w:ascii="宋体" w:hAnsi="宋体" w:cs="宋体"/>
                <w:color w:val="auto"/>
                <w:sz w:val="24"/>
                <w:highlight w:val="none"/>
              </w:rPr>
            </w:pPr>
          </w:p>
        </w:tc>
      </w:tr>
    </w:tbl>
    <w:p w14:paraId="0B186FC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B2174D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D65D3C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EA0142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3691C33">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471388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14:paraId="1FDC0B5E">
      <w:pPr>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377E7394">
      <w:pPr>
        <w:pStyle w:val="690"/>
        <w:keepNext w:val="0"/>
        <w:keepLines w:val="0"/>
        <w:pageBreakBefore w:val="0"/>
        <w:widowControl w:val="0"/>
        <w:tabs>
          <w:tab w:val="clear" w:pos="720"/>
        </w:tabs>
        <w:kinsoku/>
        <w:wordWrap/>
        <w:overflowPunct/>
        <w:topLinePunct w:val="0"/>
        <w:autoSpaceDE/>
        <w:autoSpaceDN/>
        <w:bidi w:val="0"/>
        <w:adjustRightInd w:val="0"/>
        <w:snapToGrid w:val="0"/>
        <w:ind w:firstLine="0"/>
        <w:textAlignment w:val="auto"/>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4389E05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CCFC553">
      <w:pPr>
        <w:rPr>
          <w:color w:val="auto"/>
          <w:highlight w:val="none"/>
        </w:rPr>
      </w:pPr>
      <w:r>
        <w:rPr>
          <w:rFonts w:hint="eastAsia" w:ascii="宋体" w:hAnsi="宋体" w:cs="宋体"/>
          <w:b/>
          <w:color w:val="auto"/>
          <w:sz w:val="24"/>
          <w:highlight w:val="none"/>
        </w:rPr>
        <w:br w:type="page"/>
      </w:r>
    </w:p>
    <w:p w14:paraId="69F71BCB">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附件</w:t>
      </w:r>
    </w:p>
    <w:p w14:paraId="2414919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35FA772">
      <w:pPr>
        <w:spacing w:line="360" w:lineRule="auto"/>
        <w:jc w:val="center"/>
        <w:rPr>
          <w:rFonts w:ascii="宋体" w:hAnsi="宋体" w:cs="宋体"/>
          <w:b/>
          <w:color w:val="auto"/>
          <w:spacing w:val="6"/>
          <w:sz w:val="32"/>
          <w:szCs w:val="32"/>
          <w:highlight w:val="none"/>
        </w:rPr>
      </w:pPr>
      <w:bookmarkStart w:id="498" w:name="OLE_LINK14"/>
      <w:bookmarkStart w:id="499" w:name="OLE_LINK13"/>
      <w:r>
        <w:rPr>
          <w:rFonts w:hint="eastAsia" w:ascii="宋体" w:hAnsi="宋体" w:cs="宋体"/>
          <w:b/>
          <w:color w:val="auto"/>
          <w:spacing w:val="6"/>
          <w:sz w:val="32"/>
          <w:szCs w:val="32"/>
          <w:highlight w:val="none"/>
        </w:rPr>
        <w:t>残疾人福利性单位声明函</w:t>
      </w:r>
    </w:p>
    <w:bookmarkEnd w:id="498"/>
    <w:bookmarkEnd w:id="499"/>
    <w:p w14:paraId="687A8B28">
      <w:pPr>
        <w:spacing w:line="360" w:lineRule="auto"/>
        <w:rPr>
          <w:rFonts w:ascii="宋体" w:hAnsi="宋体" w:cs="宋体"/>
          <w:b/>
          <w:color w:val="auto"/>
          <w:spacing w:val="6"/>
          <w:sz w:val="30"/>
          <w:szCs w:val="30"/>
          <w:highlight w:val="none"/>
        </w:rPr>
      </w:pPr>
    </w:p>
    <w:p w14:paraId="055ED2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369D4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F23C860">
      <w:pPr>
        <w:spacing w:line="360" w:lineRule="auto"/>
        <w:ind w:firstLine="480" w:firstLineChars="200"/>
        <w:rPr>
          <w:rFonts w:ascii="宋体" w:hAnsi="宋体" w:cs="宋体"/>
          <w:color w:val="auto"/>
          <w:sz w:val="24"/>
          <w:highlight w:val="none"/>
        </w:rPr>
      </w:pPr>
    </w:p>
    <w:p w14:paraId="6FC6B28E">
      <w:pPr>
        <w:spacing w:line="360" w:lineRule="auto"/>
        <w:ind w:firstLine="480" w:firstLineChars="200"/>
        <w:rPr>
          <w:rFonts w:ascii="宋体" w:hAnsi="宋体" w:cs="宋体"/>
          <w:color w:val="auto"/>
          <w:sz w:val="24"/>
          <w:highlight w:val="none"/>
        </w:rPr>
      </w:pPr>
    </w:p>
    <w:p w14:paraId="1615741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69ED77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CF9A5A4">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6AC9D6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6FD37C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787928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F95A54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F246B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1A7412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090F2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4708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EA43B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0554BD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FCD43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895A1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7E1B4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661C98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86DB3F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54AA52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91179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324A5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B635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7BE536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541BC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C98823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C6774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AA783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BBBD4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F934F7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4726C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1701AF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3A8D4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092B61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D1B9D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B34CA5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1DDFE0A">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3B6C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F419DF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A2431A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5796FD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CFC03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385BA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53310E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890F0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D624E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1782F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4D1B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9B06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86722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DAD290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705160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2D50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BD09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5B158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927231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B5065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431F6B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07B6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10FA35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AA99E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4F2A4C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0DEAD7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863273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0016A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AE2F6F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EC8E3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6CE856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FF9836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1DF0C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F4CBB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2C22E7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78D344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018A73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3A72C8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D808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D4CE1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0A4D989">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日期：    </w:t>
      </w:r>
    </w:p>
    <w:p w14:paraId="370A491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A596C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15916B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F83E6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B9FB8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FAB03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BBA62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3A0809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DC5458A">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E97F11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DA4409D">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2403C2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8C455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3D64A06">
      <w:pPr>
        <w:spacing w:line="360" w:lineRule="auto"/>
        <w:ind w:firstLine="494"/>
        <w:rPr>
          <w:rFonts w:ascii="宋体" w:hAnsi="宋体" w:cs="宋体"/>
          <w:color w:val="auto"/>
          <w:sz w:val="24"/>
          <w:highlight w:val="none"/>
        </w:rPr>
      </w:pPr>
    </w:p>
    <w:p w14:paraId="5A0BA2D2">
      <w:pPr>
        <w:spacing w:line="360" w:lineRule="auto"/>
        <w:ind w:firstLine="494"/>
        <w:rPr>
          <w:rFonts w:ascii="宋体" w:hAnsi="宋体" w:cs="宋体"/>
          <w:color w:val="auto"/>
          <w:sz w:val="24"/>
          <w:highlight w:val="none"/>
        </w:rPr>
      </w:pPr>
    </w:p>
    <w:p w14:paraId="57D4329B">
      <w:pPr>
        <w:spacing w:line="360" w:lineRule="auto"/>
        <w:rPr>
          <w:rFonts w:ascii="宋体" w:hAnsi="宋体" w:cs="宋体"/>
          <w:color w:val="auto"/>
          <w:sz w:val="24"/>
          <w:highlight w:val="none"/>
        </w:rPr>
      </w:pPr>
    </w:p>
    <w:p w14:paraId="1DF15B0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23D169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55ACDBD">
      <w:pPr>
        <w:rPr>
          <w:rFonts w:ascii="宋体" w:hAnsi="宋体" w:cs="宋体"/>
          <w:color w:val="auto"/>
          <w:sz w:val="24"/>
          <w:highlight w:val="none"/>
        </w:rPr>
      </w:pPr>
      <w:r>
        <w:rPr>
          <w:rFonts w:hint="eastAsia" w:ascii="宋体" w:hAnsi="宋体" w:cs="宋体"/>
          <w:b/>
          <w:bCs/>
          <w:color w:val="auto"/>
          <w:sz w:val="24"/>
          <w:highlight w:val="none"/>
        </w:rPr>
        <w:t>附：</w:t>
      </w:r>
    </w:p>
    <w:p w14:paraId="1431176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F709C10">
      <w:pPr>
        <w:autoSpaceDE w:val="0"/>
        <w:autoSpaceDN w:val="0"/>
        <w:jc w:val="center"/>
        <w:rPr>
          <w:rFonts w:ascii="宋体" w:hAnsi="宋体" w:cs="宋体"/>
          <w:b/>
          <w:color w:val="auto"/>
          <w:spacing w:val="6"/>
          <w:sz w:val="32"/>
          <w:szCs w:val="32"/>
          <w:highlight w:val="none"/>
        </w:rPr>
      </w:pPr>
    </w:p>
    <w:p w14:paraId="3C87E3D1">
      <w:pPr>
        <w:autoSpaceDE w:val="0"/>
        <w:autoSpaceDN w:val="0"/>
        <w:jc w:val="center"/>
        <w:rPr>
          <w:rFonts w:ascii="宋体" w:hAnsi="宋体" w:cs="宋体"/>
          <w:b/>
          <w:color w:val="auto"/>
          <w:spacing w:val="6"/>
          <w:sz w:val="32"/>
          <w:szCs w:val="32"/>
          <w:highlight w:val="none"/>
        </w:rPr>
      </w:pPr>
    </w:p>
    <w:p w14:paraId="5FB8B1D2">
      <w:pPr>
        <w:autoSpaceDE w:val="0"/>
        <w:autoSpaceDN w:val="0"/>
        <w:jc w:val="center"/>
        <w:rPr>
          <w:rFonts w:ascii="宋体" w:hAnsi="宋体" w:cs="宋体"/>
          <w:b/>
          <w:color w:val="auto"/>
          <w:spacing w:val="6"/>
          <w:sz w:val="32"/>
          <w:szCs w:val="32"/>
          <w:highlight w:val="none"/>
        </w:rPr>
      </w:pPr>
    </w:p>
    <w:p w14:paraId="592562A6">
      <w:pPr>
        <w:autoSpaceDE w:val="0"/>
        <w:autoSpaceDN w:val="0"/>
        <w:jc w:val="center"/>
        <w:rPr>
          <w:rFonts w:ascii="宋体" w:hAnsi="宋体" w:cs="宋体"/>
          <w:b/>
          <w:color w:val="auto"/>
          <w:spacing w:val="6"/>
          <w:sz w:val="32"/>
          <w:szCs w:val="32"/>
          <w:highlight w:val="none"/>
        </w:rPr>
      </w:pPr>
    </w:p>
    <w:p w14:paraId="7B45313F">
      <w:pPr>
        <w:autoSpaceDE w:val="0"/>
        <w:autoSpaceDN w:val="0"/>
        <w:jc w:val="center"/>
        <w:rPr>
          <w:rFonts w:ascii="宋体" w:hAnsi="宋体" w:cs="宋体"/>
          <w:b/>
          <w:color w:val="auto"/>
          <w:spacing w:val="6"/>
          <w:sz w:val="32"/>
          <w:szCs w:val="32"/>
          <w:highlight w:val="none"/>
        </w:rPr>
      </w:pPr>
    </w:p>
    <w:p w14:paraId="45F93B76">
      <w:pPr>
        <w:autoSpaceDE w:val="0"/>
        <w:autoSpaceDN w:val="0"/>
        <w:jc w:val="center"/>
        <w:rPr>
          <w:rFonts w:ascii="宋体" w:hAnsi="宋体" w:cs="宋体"/>
          <w:b/>
          <w:color w:val="auto"/>
          <w:spacing w:val="6"/>
          <w:sz w:val="32"/>
          <w:szCs w:val="32"/>
          <w:highlight w:val="none"/>
        </w:rPr>
      </w:pPr>
    </w:p>
    <w:p w14:paraId="7E03B18E">
      <w:pPr>
        <w:autoSpaceDE w:val="0"/>
        <w:autoSpaceDN w:val="0"/>
        <w:jc w:val="center"/>
        <w:rPr>
          <w:rFonts w:ascii="宋体" w:hAnsi="宋体" w:cs="宋体"/>
          <w:b/>
          <w:color w:val="auto"/>
          <w:spacing w:val="6"/>
          <w:sz w:val="32"/>
          <w:szCs w:val="32"/>
          <w:highlight w:val="none"/>
        </w:rPr>
      </w:pPr>
    </w:p>
    <w:p w14:paraId="5F243D91">
      <w:pPr>
        <w:autoSpaceDE w:val="0"/>
        <w:autoSpaceDN w:val="0"/>
        <w:jc w:val="center"/>
        <w:rPr>
          <w:rFonts w:ascii="宋体" w:hAnsi="宋体" w:cs="宋体"/>
          <w:b/>
          <w:color w:val="auto"/>
          <w:spacing w:val="6"/>
          <w:sz w:val="32"/>
          <w:szCs w:val="32"/>
          <w:highlight w:val="none"/>
        </w:rPr>
      </w:pPr>
    </w:p>
    <w:p w14:paraId="2D363B53">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D7471A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5B8B7F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705EA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64E28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44292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7B21E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7A10A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E42EC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A1C00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2769D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236A1C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1"/>
      <w:r>
        <w:rPr>
          <w:rFonts w:hint="eastAsia" w:ascii="宋体" w:hAnsi="宋体" w:cs="宋体"/>
          <w:b/>
          <w:color w:val="auto"/>
          <w:kern w:val="0"/>
          <w:sz w:val="24"/>
          <w:highlight w:val="none"/>
          <w:lang w:val="zh-CN"/>
        </w:rPr>
        <w:t>）</w:t>
      </w:r>
    </w:p>
    <w:p w14:paraId="5D82C49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2"/>
    </w:p>
    <w:p w14:paraId="09B984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AEB4B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EAB55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A9800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3EC84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732793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C1624C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E8263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F26730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B9A34A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A91A9E">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4E20EE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51F67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0C83A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1982F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344B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026C8A1">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E236918">
      <w:pPr>
        <w:rPr>
          <w:color w:val="auto"/>
          <w:highlight w:val="none"/>
        </w:rPr>
      </w:pPr>
      <w:r>
        <w:rPr>
          <w:rFonts w:hint="eastAsia"/>
          <w:color w:val="auto"/>
          <w:highlight w:val="none"/>
          <w:lang w:val="zh-CN"/>
        </w:rPr>
        <w:t xml:space="preserve"> </w:t>
      </w:r>
    </w:p>
    <w:p w14:paraId="496906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54C967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2E141C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F7A50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221CBA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7C97A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64B6D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20C9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AD4732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F17DF4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0BEF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14A9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72024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9C78F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23A485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0A6D48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5DDCE7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E15B7F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2C8BB7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2534A6">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59E9373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w:t>
      </w:r>
      <w:r>
        <w:rPr>
          <w:rFonts w:ascii="宋体" w:hAnsi="宋体" w:cs="宋体"/>
          <w:b/>
          <w:color w:val="auto"/>
          <w:sz w:val="32"/>
          <w:szCs w:val="18"/>
          <w:highlight w:val="none"/>
        </w:rPr>
        <w:t>7</w:t>
      </w:r>
      <w:r>
        <w:rPr>
          <w:rFonts w:hint="eastAsia" w:ascii="宋体" w:hAnsi="宋体" w:cs="宋体"/>
          <w:b/>
          <w:color w:val="auto"/>
          <w:sz w:val="32"/>
          <w:szCs w:val="18"/>
          <w:highlight w:val="none"/>
        </w:rPr>
        <w:t>：中小企业声明函</w:t>
      </w:r>
    </w:p>
    <w:p w14:paraId="11D700E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296C62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2F644F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ECBFA8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3F3F7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CF339B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8C49F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2E2175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8AB3D4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25D7347">
      <w:pPr>
        <w:spacing w:line="360" w:lineRule="auto"/>
        <w:ind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977071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AF5924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1E6FC083">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D583572">
      <w:pPr>
        <w:rPr>
          <w:color w:val="auto"/>
          <w:highlight w:val="none"/>
        </w:rPr>
      </w:pPr>
      <w:r>
        <w:rPr>
          <w:rFonts w:hint="eastAsia"/>
          <w:color w:val="auto"/>
          <w:highlight w:val="none"/>
        </w:rPr>
        <w:br w:type="page"/>
      </w:r>
    </w:p>
    <w:p w14:paraId="3588DBB1">
      <w:pPr>
        <w:pStyle w:val="2"/>
        <w:keepNext/>
        <w:keepLines/>
        <w:pageBreakBefore w:val="0"/>
        <w:widowControl w:val="0"/>
        <w:kinsoku/>
        <w:wordWrap/>
        <w:overflowPunct/>
        <w:topLinePunct w:val="0"/>
        <w:autoSpaceDE/>
        <w:autoSpaceDN/>
        <w:bidi w:val="0"/>
        <w:adjustRightInd/>
        <w:snapToGrid w:val="0"/>
        <w:ind w:left="0" w:firstLine="0"/>
        <w:jc w:val="center"/>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样品（演示）授权委托书</w:t>
      </w:r>
    </w:p>
    <w:p w14:paraId="4F952616">
      <w:pPr>
        <w:jc w:val="center"/>
        <w:rPr>
          <w:color w:val="auto"/>
          <w:sz w:val="40"/>
          <w:highlight w:val="none"/>
        </w:rPr>
      </w:pPr>
      <w:r>
        <w:rPr>
          <w:rFonts w:hint="eastAsia"/>
          <w:color w:val="auto"/>
          <w:sz w:val="40"/>
          <w:highlight w:val="none"/>
        </w:rPr>
        <w:t>样品（演示）授权委托书</w:t>
      </w:r>
    </w:p>
    <w:p w14:paraId="3886A441">
      <w:pPr>
        <w:jc w:val="center"/>
        <w:rPr>
          <w:color w:val="auto"/>
          <w:sz w:val="40"/>
          <w:highlight w:val="none"/>
        </w:rPr>
      </w:pPr>
    </w:p>
    <w:p w14:paraId="2AC0806B">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71D35EBC">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57361797">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3872550A">
      <w:pPr>
        <w:snapToGrid w:val="0"/>
        <w:spacing w:line="360" w:lineRule="auto"/>
        <w:rPr>
          <w:rFonts w:cs="仿宋"/>
          <w:color w:val="auto"/>
          <w:highlight w:val="none"/>
          <w:lang w:val="zh-CN"/>
        </w:rPr>
      </w:pPr>
      <w:r>
        <w:rPr>
          <w:rFonts w:hint="eastAsia" w:cs="仿宋"/>
          <w:color w:val="auto"/>
          <w:highlight w:val="none"/>
          <w:lang w:val="zh-CN"/>
        </w:rPr>
        <w:t xml:space="preserve">  </w:t>
      </w:r>
    </w:p>
    <w:p w14:paraId="597AEB77">
      <w:pPr>
        <w:snapToGrid w:val="0"/>
        <w:spacing w:line="360" w:lineRule="auto"/>
        <w:rPr>
          <w:rFonts w:cs="仿宋"/>
          <w:color w:val="auto"/>
          <w:highlight w:val="none"/>
        </w:rPr>
      </w:pPr>
      <w:r>
        <w:rPr>
          <w:rFonts w:hint="eastAsia" w:cs="仿宋"/>
          <w:color w:val="auto"/>
          <w:highlight w:val="none"/>
          <w:lang w:val="zh-CN"/>
        </w:rPr>
        <w:t xml:space="preserve">    特此告知。</w:t>
      </w:r>
    </w:p>
    <w:p w14:paraId="393B3555">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53490242">
      <w:pPr>
        <w:snapToGrid w:val="0"/>
        <w:spacing w:line="360" w:lineRule="auto"/>
        <w:rPr>
          <w:rFonts w:cs="仿宋"/>
          <w:color w:val="auto"/>
          <w:highlight w:val="none"/>
        </w:rPr>
      </w:pPr>
      <w:r>
        <w:rPr>
          <w:rFonts w:hint="eastAsia" w:cs="仿宋"/>
          <w:color w:val="auto"/>
          <w:highlight w:val="none"/>
          <w:lang w:val="zh-CN"/>
        </w:rPr>
        <w:t xml:space="preserve">                                                  </w:t>
      </w:r>
    </w:p>
    <w:p w14:paraId="724EA180">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519032C1">
      <w:pPr>
        <w:snapToGrid w:val="0"/>
        <w:spacing w:line="360" w:lineRule="auto"/>
        <w:ind w:right="240"/>
        <w:jc w:val="right"/>
        <w:rPr>
          <w:rFonts w:cs="仿宋"/>
          <w:color w:val="auto"/>
          <w:highlight w:val="none"/>
          <w:lang w:val="zh-CN"/>
        </w:rPr>
      </w:pPr>
    </w:p>
    <w:p w14:paraId="79F238E0">
      <w:pPr>
        <w:snapToGrid w:val="0"/>
        <w:spacing w:line="360" w:lineRule="auto"/>
        <w:ind w:right="1920"/>
        <w:rPr>
          <w:rFonts w:cs="仿宋"/>
          <w:color w:val="auto"/>
          <w:highlight w:val="none"/>
          <w:lang w:val="zh-CN"/>
        </w:rPr>
      </w:pPr>
    </w:p>
    <w:p w14:paraId="58333899">
      <w:pPr>
        <w:snapToGrid w:val="0"/>
        <w:spacing w:line="360" w:lineRule="auto"/>
        <w:ind w:right="240"/>
        <w:jc w:val="right"/>
        <w:rPr>
          <w:rFonts w:cs="仿宋"/>
          <w:color w:val="auto"/>
          <w:highlight w:val="none"/>
          <w:lang w:val="zh-CN"/>
        </w:rPr>
      </w:pPr>
    </w:p>
    <w:p w14:paraId="66703A2F">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639F4F38">
      <w:pPr>
        <w:snapToGrid w:val="0"/>
        <w:spacing w:line="360" w:lineRule="auto"/>
        <w:ind w:right="240"/>
        <w:rPr>
          <w:rFonts w:cs="仿宋"/>
          <w:color w:val="auto"/>
          <w:highlight w:val="none"/>
          <w:lang w:val="zh-CN"/>
        </w:rPr>
      </w:pPr>
    </w:p>
    <w:p w14:paraId="002AB4B4">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1DBEC14B">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EAC8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23C1">
    <w:pPr>
      <w:pStyle w:val="39"/>
      <w:framePr w:wrap="around" w:vAnchor="text" w:hAnchor="margin" w:xAlign="right" w:y="1"/>
      <w:rPr>
        <w:rStyle w:val="72"/>
      </w:rPr>
    </w:pPr>
    <w:r>
      <w:fldChar w:fldCharType="begin"/>
    </w:r>
    <w:r>
      <w:rPr>
        <w:rStyle w:val="72"/>
      </w:rPr>
      <w:instrText xml:space="preserve">PAGE  </w:instrText>
    </w:r>
    <w:r>
      <w:fldChar w:fldCharType="end"/>
    </w:r>
  </w:p>
  <w:p w14:paraId="77B1969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4D89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3" w:name="_Toc164085800"/>
    <w:bookmarkStart w:id="504" w:name="_Toc131845147"/>
    <w:bookmarkStart w:id="505" w:name="_Toc91899912"/>
    <w:bookmarkStart w:id="506" w:name="_Toc36110187"/>
    <w:r>
      <w:rPr>
        <w:rFonts w:hint="eastAsia" w:ascii="仿宋_GB2312" w:eastAsia="仿宋_GB2312"/>
        <w:kern w:val="0"/>
        <w:szCs w:val="21"/>
      </w:rPr>
      <w:t xml:space="preserve"> 页</w:t>
    </w:r>
    <w:bookmarkEnd w:id="503"/>
    <w:bookmarkEnd w:id="504"/>
    <w:bookmarkEnd w:id="505"/>
    <w:bookmarkEnd w:id="50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4D747">
    <w:pPr>
      <w:pStyle w:val="40"/>
      <w:jc w:val="right"/>
      <w:rPr>
        <w:rFonts w:ascii="仿宋_GB2312" w:eastAsia="仿宋_GB2312"/>
        <w:b/>
        <w:i/>
        <w:u w:val="single"/>
      </w:rPr>
    </w:pPr>
    <w:r>
      <w:t>杭州市政府采购公开招标文件</w:t>
    </w:r>
  </w:p>
  <w:p w14:paraId="59D77917">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67D0B">
    <w:pPr>
      <w:pStyle w:val="40"/>
      <w:jc w:val="right"/>
      <w:rPr>
        <w:rFonts w:ascii="仿宋_GB2312" w:eastAsia="仿宋_GB2312"/>
        <w:b/>
        <w:i/>
        <w:u w:val="single"/>
      </w:rPr>
    </w:pPr>
    <w:r>
      <w:t>杭州市政府采购公开招标文件</w:t>
    </w:r>
  </w:p>
  <w:p w14:paraId="069846B0">
    <w:pPr>
      <w:keepNext w:val="0"/>
      <w:keepLines w:val="0"/>
      <w:pageBreakBefore w:val="0"/>
      <w:widowControl w:val="0"/>
      <w:kinsoku/>
      <w:wordWrap/>
      <w:overflowPunct/>
      <w:topLinePunct w:val="0"/>
      <w:bidi w:val="0"/>
      <w:adjustRightInd w:val="0"/>
      <w:snapToGrid w:val="0"/>
      <w:textAlignment w:val="auto"/>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F7A04"/>
    <w:multiLevelType w:val="singleLevel"/>
    <w:tmpl w:val="90AF7A04"/>
    <w:lvl w:ilvl="0" w:tentative="0">
      <w:start w:val="8"/>
      <w:numFmt w:val="decimal"/>
      <w:suff w:val="space"/>
      <w:lvlText w:val="%1."/>
      <w:lvlJc w:val="left"/>
    </w:lvl>
  </w:abstractNum>
  <w:abstractNum w:abstractNumId="1">
    <w:nsid w:val="DF7B5DEF"/>
    <w:multiLevelType w:val="singleLevel"/>
    <w:tmpl w:val="DF7B5DEF"/>
    <w:lvl w:ilvl="0" w:tentative="0">
      <w:start w:val="5"/>
      <w:numFmt w:val="chineseCounting"/>
      <w:suff w:val="space"/>
      <w:lvlText w:val="第%1部分"/>
      <w:lvlJc w:val="left"/>
      <w:rPr>
        <w:rFonts w:hint="eastAsia"/>
      </w:rPr>
    </w:lvl>
  </w:abstractNum>
  <w:abstractNum w:abstractNumId="2">
    <w:nsid w:val="FB75ABB1"/>
    <w:multiLevelType w:val="singleLevel"/>
    <w:tmpl w:val="FB75ABB1"/>
    <w:lvl w:ilvl="0" w:tentative="0">
      <w:start w:val="1"/>
      <w:numFmt w:val="chineseCounting"/>
      <w:suff w:val="nothing"/>
      <w:lvlText w:val="%1、"/>
      <w:lvlJc w:val="left"/>
      <w:rPr>
        <w:rFonts w:hint="eastAsia"/>
      </w:rPr>
    </w:lvl>
  </w:abstractNum>
  <w:abstractNum w:abstractNumId="3">
    <w:nsid w:val="FEBA56D7"/>
    <w:multiLevelType w:val="singleLevel"/>
    <w:tmpl w:val="FEBA56D7"/>
    <w:lvl w:ilvl="0" w:tentative="0">
      <w:start w:val="1"/>
      <w:numFmt w:val="chineseCounting"/>
      <w:suff w:val="space"/>
      <w:lvlText w:val="第%1部分"/>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ZDg1MDQxYTFhNTJmYzkzNDRiZGU1ZjI0YjZi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968"/>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C6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E32C1D"/>
    <w:rsid w:val="02F36323"/>
    <w:rsid w:val="02F5619C"/>
    <w:rsid w:val="0326446A"/>
    <w:rsid w:val="032D5555"/>
    <w:rsid w:val="036634D2"/>
    <w:rsid w:val="039115C9"/>
    <w:rsid w:val="03DD35E4"/>
    <w:rsid w:val="04076900"/>
    <w:rsid w:val="041A5A3B"/>
    <w:rsid w:val="042311BA"/>
    <w:rsid w:val="042A28FC"/>
    <w:rsid w:val="042B157A"/>
    <w:rsid w:val="048F763B"/>
    <w:rsid w:val="049A7F93"/>
    <w:rsid w:val="049F330E"/>
    <w:rsid w:val="04AA775C"/>
    <w:rsid w:val="04AF1889"/>
    <w:rsid w:val="04F66F48"/>
    <w:rsid w:val="05043453"/>
    <w:rsid w:val="05251E14"/>
    <w:rsid w:val="05A16594"/>
    <w:rsid w:val="05A7762D"/>
    <w:rsid w:val="060E5941"/>
    <w:rsid w:val="06110FAF"/>
    <w:rsid w:val="06493CA7"/>
    <w:rsid w:val="065A6178"/>
    <w:rsid w:val="066F1CF3"/>
    <w:rsid w:val="06930BB8"/>
    <w:rsid w:val="06F3181D"/>
    <w:rsid w:val="06FC6969"/>
    <w:rsid w:val="07245D42"/>
    <w:rsid w:val="07264C62"/>
    <w:rsid w:val="0739361B"/>
    <w:rsid w:val="073C002F"/>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275FB6"/>
    <w:rsid w:val="0C571A41"/>
    <w:rsid w:val="0C5C1171"/>
    <w:rsid w:val="0C5E1CBC"/>
    <w:rsid w:val="0C615B50"/>
    <w:rsid w:val="0C8445DA"/>
    <w:rsid w:val="0C87121B"/>
    <w:rsid w:val="0CB2271C"/>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80DB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44F0A"/>
    <w:rsid w:val="12862074"/>
    <w:rsid w:val="12883966"/>
    <w:rsid w:val="129E45B4"/>
    <w:rsid w:val="12D81596"/>
    <w:rsid w:val="13072A44"/>
    <w:rsid w:val="135F4BE2"/>
    <w:rsid w:val="1363297A"/>
    <w:rsid w:val="139B1A0A"/>
    <w:rsid w:val="139D25C7"/>
    <w:rsid w:val="13BF3CE4"/>
    <w:rsid w:val="141008D8"/>
    <w:rsid w:val="14125FE6"/>
    <w:rsid w:val="146D271E"/>
    <w:rsid w:val="14982588"/>
    <w:rsid w:val="149A5AD9"/>
    <w:rsid w:val="14A7619D"/>
    <w:rsid w:val="150536C3"/>
    <w:rsid w:val="150C1963"/>
    <w:rsid w:val="15121A08"/>
    <w:rsid w:val="151447A0"/>
    <w:rsid w:val="154A6454"/>
    <w:rsid w:val="15762120"/>
    <w:rsid w:val="1579415B"/>
    <w:rsid w:val="15C10692"/>
    <w:rsid w:val="15DF2E6B"/>
    <w:rsid w:val="1632430B"/>
    <w:rsid w:val="1662251B"/>
    <w:rsid w:val="16A8729C"/>
    <w:rsid w:val="16B33777"/>
    <w:rsid w:val="16BC70A7"/>
    <w:rsid w:val="16C6339E"/>
    <w:rsid w:val="172F2D79"/>
    <w:rsid w:val="17557BEF"/>
    <w:rsid w:val="17836BED"/>
    <w:rsid w:val="17D349C1"/>
    <w:rsid w:val="1830729E"/>
    <w:rsid w:val="186B4E30"/>
    <w:rsid w:val="1870062C"/>
    <w:rsid w:val="18817102"/>
    <w:rsid w:val="18830A15"/>
    <w:rsid w:val="18852B28"/>
    <w:rsid w:val="188B5321"/>
    <w:rsid w:val="189941A6"/>
    <w:rsid w:val="189E35C3"/>
    <w:rsid w:val="18FD09C1"/>
    <w:rsid w:val="19932372"/>
    <w:rsid w:val="19A20DD5"/>
    <w:rsid w:val="19AE03F1"/>
    <w:rsid w:val="19FF64B5"/>
    <w:rsid w:val="1A071A03"/>
    <w:rsid w:val="1A1F16AE"/>
    <w:rsid w:val="1A3B5C77"/>
    <w:rsid w:val="1A951111"/>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1E7C3E"/>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9064FF"/>
    <w:rsid w:val="26A53EF9"/>
    <w:rsid w:val="26A94201"/>
    <w:rsid w:val="26AC274F"/>
    <w:rsid w:val="27044A29"/>
    <w:rsid w:val="271D34C8"/>
    <w:rsid w:val="274517C9"/>
    <w:rsid w:val="276142BF"/>
    <w:rsid w:val="27783712"/>
    <w:rsid w:val="27907362"/>
    <w:rsid w:val="28333E1D"/>
    <w:rsid w:val="28454BD6"/>
    <w:rsid w:val="28455253"/>
    <w:rsid w:val="28551971"/>
    <w:rsid w:val="285B1C53"/>
    <w:rsid w:val="28812ADB"/>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B3005"/>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5D321E"/>
    <w:rsid w:val="2DA60A8B"/>
    <w:rsid w:val="2DD15014"/>
    <w:rsid w:val="2DF72DE4"/>
    <w:rsid w:val="2E0220AF"/>
    <w:rsid w:val="2E4B082A"/>
    <w:rsid w:val="2E5D4E86"/>
    <w:rsid w:val="2E5D790B"/>
    <w:rsid w:val="2E9A3C18"/>
    <w:rsid w:val="2EBB0FEE"/>
    <w:rsid w:val="2EC63002"/>
    <w:rsid w:val="2F0A6B38"/>
    <w:rsid w:val="2F387579"/>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1F767B3"/>
    <w:rsid w:val="32517576"/>
    <w:rsid w:val="325D52DC"/>
    <w:rsid w:val="32BE5C2C"/>
    <w:rsid w:val="32DA370D"/>
    <w:rsid w:val="32FB6478"/>
    <w:rsid w:val="33263B3F"/>
    <w:rsid w:val="336963EB"/>
    <w:rsid w:val="33816EEB"/>
    <w:rsid w:val="33EB55CD"/>
    <w:rsid w:val="33EC4C02"/>
    <w:rsid w:val="340D2360"/>
    <w:rsid w:val="3410665D"/>
    <w:rsid w:val="34211214"/>
    <w:rsid w:val="342E63AB"/>
    <w:rsid w:val="34394463"/>
    <w:rsid w:val="34950E68"/>
    <w:rsid w:val="34986E94"/>
    <w:rsid w:val="34AF62C9"/>
    <w:rsid w:val="34CB4388"/>
    <w:rsid w:val="34FA6E12"/>
    <w:rsid w:val="354D7158"/>
    <w:rsid w:val="358D5588"/>
    <w:rsid w:val="363A3B40"/>
    <w:rsid w:val="365302AE"/>
    <w:rsid w:val="36607A0A"/>
    <w:rsid w:val="366E227C"/>
    <w:rsid w:val="366F2E0D"/>
    <w:rsid w:val="367B6A5C"/>
    <w:rsid w:val="367D1B25"/>
    <w:rsid w:val="36A74ADA"/>
    <w:rsid w:val="36AD60D5"/>
    <w:rsid w:val="36B224F9"/>
    <w:rsid w:val="36EC0CC9"/>
    <w:rsid w:val="373F410B"/>
    <w:rsid w:val="37EE7094"/>
    <w:rsid w:val="38296C89"/>
    <w:rsid w:val="383002EB"/>
    <w:rsid w:val="38586797"/>
    <w:rsid w:val="38BC0149"/>
    <w:rsid w:val="38D87D1C"/>
    <w:rsid w:val="39416E46"/>
    <w:rsid w:val="395D613E"/>
    <w:rsid w:val="39636459"/>
    <w:rsid w:val="396B7F6C"/>
    <w:rsid w:val="397C586A"/>
    <w:rsid w:val="39A959E1"/>
    <w:rsid w:val="39B417A9"/>
    <w:rsid w:val="39F77D6C"/>
    <w:rsid w:val="39FC5695"/>
    <w:rsid w:val="3A006D8E"/>
    <w:rsid w:val="3A3651E5"/>
    <w:rsid w:val="3A744481"/>
    <w:rsid w:val="3A8C7BEF"/>
    <w:rsid w:val="3A906246"/>
    <w:rsid w:val="3B2349B7"/>
    <w:rsid w:val="3B616CFF"/>
    <w:rsid w:val="3B6259F6"/>
    <w:rsid w:val="3B976654"/>
    <w:rsid w:val="3BA4714B"/>
    <w:rsid w:val="3BC01EFC"/>
    <w:rsid w:val="3BCA786A"/>
    <w:rsid w:val="3BD31E2F"/>
    <w:rsid w:val="3BF15831"/>
    <w:rsid w:val="3C105946"/>
    <w:rsid w:val="3C1E1CA2"/>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21A15"/>
    <w:rsid w:val="3EC33DFA"/>
    <w:rsid w:val="3EF9DF22"/>
    <w:rsid w:val="3F060E16"/>
    <w:rsid w:val="3F1D1096"/>
    <w:rsid w:val="3F1F0523"/>
    <w:rsid w:val="3F2F0234"/>
    <w:rsid w:val="3F6363FE"/>
    <w:rsid w:val="3F756B8F"/>
    <w:rsid w:val="3F77BA1B"/>
    <w:rsid w:val="3F95482B"/>
    <w:rsid w:val="3FBA7C46"/>
    <w:rsid w:val="4019356B"/>
    <w:rsid w:val="40592157"/>
    <w:rsid w:val="406E1CAE"/>
    <w:rsid w:val="40A0133A"/>
    <w:rsid w:val="40C31A53"/>
    <w:rsid w:val="40FF545D"/>
    <w:rsid w:val="410067C8"/>
    <w:rsid w:val="41381E47"/>
    <w:rsid w:val="418F0D2A"/>
    <w:rsid w:val="41D01505"/>
    <w:rsid w:val="41F504DE"/>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4817E1"/>
    <w:rsid w:val="456D3CE4"/>
    <w:rsid w:val="4579042C"/>
    <w:rsid w:val="457F0571"/>
    <w:rsid w:val="45851176"/>
    <w:rsid w:val="45C63B94"/>
    <w:rsid w:val="460E7DA5"/>
    <w:rsid w:val="46422483"/>
    <w:rsid w:val="4659254A"/>
    <w:rsid w:val="465B0637"/>
    <w:rsid w:val="465E3F0D"/>
    <w:rsid w:val="466A16E6"/>
    <w:rsid w:val="46893F2B"/>
    <w:rsid w:val="46C4686E"/>
    <w:rsid w:val="47376F28"/>
    <w:rsid w:val="477B778F"/>
    <w:rsid w:val="478203EC"/>
    <w:rsid w:val="47B025FA"/>
    <w:rsid w:val="4809698F"/>
    <w:rsid w:val="4811697D"/>
    <w:rsid w:val="4816240A"/>
    <w:rsid w:val="4850203D"/>
    <w:rsid w:val="487A3E25"/>
    <w:rsid w:val="488B5503"/>
    <w:rsid w:val="48937E21"/>
    <w:rsid w:val="489546D5"/>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C07235"/>
    <w:rsid w:val="4AEB7664"/>
    <w:rsid w:val="4AFD7C19"/>
    <w:rsid w:val="4B0567D1"/>
    <w:rsid w:val="4B236AAE"/>
    <w:rsid w:val="4B363761"/>
    <w:rsid w:val="4B707271"/>
    <w:rsid w:val="4B9739F7"/>
    <w:rsid w:val="4BDD5A2A"/>
    <w:rsid w:val="4BEE2503"/>
    <w:rsid w:val="4C245A30"/>
    <w:rsid w:val="4CB6685F"/>
    <w:rsid w:val="4CC367FE"/>
    <w:rsid w:val="4D077F3C"/>
    <w:rsid w:val="4D123355"/>
    <w:rsid w:val="4D2A3B31"/>
    <w:rsid w:val="4D312C52"/>
    <w:rsid w:val="4D905305"/>
    <w:rsid w:val="4D964A72"/>
    <w:rsid w:val="4D97278D"/>
    <w:rsid w:val="4D9C1254"/>
    <w:rsid w:val="4E793892"/>
    <w:rsid w:val="4E800872"/>
    <w:rsid w:val="4E9F3F1A"/>
    <w:rsid w:val="4EC569ED"/>
    <w:rsid w:val="4ED50EA1"/>
    <w:rsid w:val="4EEC050C"/>
    <w:rsid w:val="4F104EC3"/>
    <w:rsid w:val="4F47354A"/>
    <w:rsid w:val="4F911C54"/>
    <w:rsid w:val="4FE625E0"/>
    <w:rsid w:val="5021480F"/>
    <w:rsid w:val="50565954"/>
    <w:rsid w:val="50882014"/>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3098E"/>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454D4A"/>
    <w:rsid w:val="575D12B5"/>
    <w:rsid w:val="57610A87"/>
    <w:rsid w:val="577B1140"/>
    <w:rsid w:val="577B7F21"/>
    <w:rsid w:val="577F181B"/>
    <w:rsid w:val="57921984"/>
    <w:rsid w:val="579737F0"/>
    <w:rsid w:val="57A737BE"/>
    <w:rsid w:val="57AB7B30"/>
    <w:rsid w:val="57AF5251"/>
    <w:rsid w:val="57B26373"/>
    <w:rsid w:val="57B63F04"/>
    <w:rsid w:val="57CD20C2"/>
    <w:rsid w:val="57D675AB"/>
    <w:rsid w:val="57D95FDD"/>
    <w:rsid w:val="57E30A7D"/>
    <w:rsid w:val="58917D2F"/>
    <w:rsid w:val="5894085C"/>
    <w:rsid w:val="589F6B36"/>
    <w:rsid w:val="58AE4F0C"/>
    <w:rsid w:val="58B85899"/>
    <w:rsid w:val="58E363A9"/>
    <w:rsid w:val="595E1678"/>
    <w:rsid w:val="596D5BD4"/>
    <w:rsid w:val="597E3DD8"/>
    <w:rsid w:val="59D92186"/>
    <w:rsid w:val="59F80043"/>
    <w:rsid w:val="5A09252F"/>
    <w:rsid w:val="5A0B2778"/>
    <w:rsid w:val="5A2A7C7B"/>
    <w:rsid w:val="5A3757B9"/>
    <w:rsid w:val="5A3E2560"/>
    <w:rsid w:val="5A5D3B6E"/>
    <w:rsid w:val="5A637A76"/>
    <w:rsid w:val="5A6D33BA"/>
    <w:rsid w:val="5A792B1F"/>
    <w:rsid w:val="5A874767"/>
    <w:rsid w:val="5AA85BE2"/>
    <w:rsid w:val="5AAD6F28"/>
    <w:rsid w:val="5AD63A24"/>
    <w:rsid w:val="5B2E1A1D"/>
    <w:rsid w:val="5B316CA1"/>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B5D65"/>
    <w:rsid w:val="5E006862"/>
    <w:rsid w:val="5E0207B9"/>
    <w:rsid w:val="5E1834A1"/>
    <w:rsid w:val="5E261785"/>
    <w:rsid w:val="5E4A7017"/>
    <w:rsid w:val="5E552BBA"/>
    <w:rsid w:val="5E611C10"/>
    <w:rsid w:val="5E7A0F3F"/>
    <w:rsid w:val="5EFC7377"/>
    <w:rsid w:val="5F06174D"/>
    <w:rsid w:val="5F177342"/>
    <w:rsid w:val="5F3A3602"/>
    <w:rsid w:val="5F45733B"/>
    <w:rsid w:val="5F6277C6"/>
    <w:rsid w:val="5F6D0B1D"/>
    <w:rsid w:val="5F8D0B82"/>
    <w:rsid w:val="5FCA1DC6"/>
    <w:rsid w:val="5FCC5339"/>
    <w:rsid w:val="5FE34A5B"/>
    <w:rsid w:val="5FFE1E36"/>
    <w:rsid w:val="60232584"/>
    <w:rsid w:val="603911C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3DC7894"/>
    <w:rsid w:val="63F670BF"/>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44C1E"/>
    <w:rsid w:val="693E15D3"/>
    <w:rsid w:val="69627681"/>
    <w:rsid w:val="6977531D"/>
    <w:rsid w:val="69CC2BFF"/>
    <w:rsid w:val="69FD55B8"/>
    <w:rsid w:val="6A0B1C62"/>
    <w:rsid w:val="6A2406C8"/>
    <w:rsid w:val="6A4F537B"/>
    <w:rsid w:val="6ADE0BD1"/>
    <w:rsid w:val="6AE96859"/>
    <w:rsid w:val="6B147746"/>
    <w:rsid w:val="6B24787C"/>
    <w:rsid w:val="6B573233"/>
    <w:rsid w:val="6B5B6274"/>
    <w:rsid w:val="6B935D53"/>
    <w:rsid w:val="6BAA5DB2"/>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F093A"/>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2FB2045"/>
    <w:rsid w:val="735540DE"/>
    <w:rsid w:val="7355410F"/>
    <w:rsid w:val="73C0646E"/>
    <w:rsid w:val="73C22DCA"/>
    <w:rsid w:val="742222F5"/>
    <w:rsid w:val="742A559B"/>
    <w:rsid w:val="74476126"/>
    <w:rsid w:val="745A0F89"/>
    <w:rsid w:val="74706664"/>
    <w:rsid w:val="747F3682"/>
    <w:rsid w:val="749C4185"/>
    <w:rsid w:val="75067759"/>
    <w:rsid w:val="752E6DCD"/>
    <w:rsid w:val="7551380D"/>
    <w:rsid w:val="75600BE5"/>
    <w:rsid w:val="7564475C"/>
    <w:rsid w:val="7583797F"/>
    <w:rsid w:val="75D20F1D"/>
    <w:rsid w:val="75DA2C18"/>
    <w:rsid w:val="75F54412"/>
    <w:rsid w:val="761A519B"/>
    <w:rsid w:val="761D08E0"/>
    <w:rsid w:val="765D347C"/>
    <w:rsid w:val="767E1BCE"/>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80B57"/>
    <w:rsid w:val="797E66A9"/>
    <w:rsid w:val="798518A4"/>
    <w:rsid w:val="79A97383"/>
    <w:rsid w:val="79D9178E"/>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AFDF3D28"/>
    <w:rsid w:val="BB7FA927"/>
    <w:rsid w:val="BE0F2857"/>
    <w:rsid w:val="C543CA59"/>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2"/>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5"/>
    <w:autoRedefine/>
    <w:qFormat/>
    <w:uiPriority w:val="0"/>
    <w:rPr>
      <w:rFonts w:ascii="宋体"/>
      <w:kern w:val="2"/>
      <w:sz w:val="24"/>
      <w:szCs w:val="21"/>
      <w:lang w:val="zh-CN"/>
    </w:rPr>
  </w:style>
  <w:style w:type="character" w:customStyle="1" w:styleId="179">
    <w:name w:val="标题 9 字符"/>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6"/>
    <w:autoRedefine/>
    <w:qFormat/>
    <w:uiPriority w:val="0"/>
    <w:rPr>
      <w:rFonts w:ascii="黑体" w:hAnsi="Courier New" w:eastAsia="黑体"/>
    </w:rPr>
  </w:style>
  <w:style w:type="character" w:customStyle="1" w:styleId="299">
    <w:name w:val="正文文本 2 字符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5"/>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8"/>
    <w:autoRedefine/>
    <w:qFormat/>
    <w:uiPriority w:val="0"/>
    <w:rPr>
      <w:b/>
      <w:bCs/>
      <w:kern w:val="2"/>
      <w:sz w:val="24"/>
      <w:szCs w:val="24"/>
    </w:rPr>
  </w:style>
  <w:style w:type="character" w:customStyle="1" w:styleId="305">
    <w:name w:val="正文文本缩进 2 字符"/>
    <w:link w:val="36"/>
    <w:autoRedefine/>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autoRedefine/>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5"/>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99"/>
    <w:rPr>
      <w:kern w:val="2"/>
      <w:sz w:val="21"/>
      <w:szCs w:val="24"/>
    </w:rPr>
  </w:style>
  <w:style w:type="character" w:customStyle="1" w:styleId="342">
    <w:name w:val="签名 字符"/>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6"/>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16276</Words>
  <Characters>17537</Characters>
  <Lines>295</Lines>
  <Paragraphs>83</Paragraphs>
  <TotalTime>24</TotalTime>
  <ScaleCrop>false</ScaleCrop>
  <LinksUpToDate>false</LinksUpToDate>
  <CharactersWithSpaces>17801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Administrator</cp:lastModifiedBy>
  <cp:lastPrinted>2021-12-31T11:06:00Z</cp:lastPrinted>
  <dcterms:modified xsi:type="dcterms:W3CDTF">2025-01-24T08:00:32Z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0CC057D085794072ACF967E01C38B66A_13</vt:lpwstr>
  </property>
  <property fmtid="{D5CDD505-2E9C-101B-9397-08002B2CF9AE}" pid="5" name="KSOTemplateDocerSaveRecord">
    <vt:lpwstr>eyJoZGlkIjoiMjg2ZDg1MDQxYTFhNTJmYzkzNDRiZGU1ZjI0YjZiNTkifQ==</vt:lpwstr>
  </property>
</Properties>
</file>