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9BBBC">
      <w:pPr>
        <w:spacing w:line="360" w:lineRule="auto"/>
        <w:jc w:val="center"/>
        <w:rPr>
          <w:rFonts w:hint="eastAsia" w:ascii="宋体" w:hAnsi="宋体" w:eastAsia="宋体" w:cs="宋体"/>
          <w:b/>
          <w:color w:val="auto"/>
          <w:sz w:val="24"/>
          <w:highlight w:val="none"/>
        </w:rPr>
      </w:pPr>
    </w:p>
    <w:p w14:paraId="7FE035EB">
      <w:pPr>
        <w:spacing w:line="360" w:lineRule="auto"/>
        <w:jc w:val="center"/>
        <w:rPr>
          <w:rFonts w:hint="eastAsia" w:ascii="宋体" w:hAnsi="宋体" w:eastAsia="宋体" w:cs="宋体"/>
          <w:b/>
          <w:color w:val="auto"/>
          <w:sz w:val="24"/>
          <w:highlight w:val="none"/>
        </w:rPr>
      </w:pPr>
    </w:p>
    <w:p w14:paraId="092C3A12">
      <w:pPr>
        <w:adjustRightInd/>
        <w:spacing w:line="360" w:lineRule="auto"/>
        <w:jc w:val="center"/>
        <w:rPr>
          <w:rFonts w:hint="eastAsia" w:ascii="宋体" w:hAnsi="宋体" w:eastAsia="宋体" w:cs="宋体"/>
          <w:b/>
          <w:color w:val="auto"/>
          <w:sz w:val="44"/>
          <w:szCs w:val="44"/>
          <w:highlight w:val="none"/>
        </w:rPr>
      </w:pPr>
    </w:p>
    <w:p w14:paraId="1BDF15B6">
      <w:pPr>
        <w:adjustRightInd/>
        <w:spacing w:line="360" w:lineRule="auto"/>
        <w:jc w:val="center"/>
        <w:rPr>
          <w:rFonts w:hint="eastAsia" w:ascii="宋体" w:hAnsi="宋体" w:eastAsia="宋体" w:cs="宋体"/>
          <w:b/>
          <w:color w:val="auto"/>
          <w:sz w:val="48"/>
          <w:szCs w:val="48"/>
          <w:highlight w:val="none"/>
        </w:rPr>
      </w:pPr>
    </w:p>
    <w:p w14:paraId="4412800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前进街道河道保洁项目</w:t>
      </w:r>
    </w:p>
    <w:p w14:paraId="69F14D2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4FC77AC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ABEA07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QTCG-GK-2025-034</w:t>
      </w:r>
    </w:p>
    <w:p w14:paraId="65F7D9D6">
      <w:pPr>
        <w:adjustRightInd/>
        <w:spacing w:line="360" w:lineRule="auto"/>
        <w:rPr>
          <w:rFonts w:hint="eastAsia" w:ascii="宋体" w:hAnsi="宋体" w:eastAsia="宋体" w:cs="宋体"/>
          <w:color w:val="auto"/>
          <w:sz w:val="28"/>
          <w:szCs w:val="20"/>
          <w:highlight w:val="none"/>
        </w:rPr>
      </w:pPr>
    </w:p>
    <w:p w14:paraId="30A3CC1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3EAA468">
      <w:pPr>
        <w:spacing w:line="360" w:lineRule="auto"/>
        <w:jc w:val="center"/>
        <w:rPr>
          <w:rFonts w:hint="eastAsia" w:ascii="宋体" w:hAnsi="宋体" w:eastAsia="宋体" w:cs="宋体"/>
          <w:b/>
          <w:color w:val="auto"/>
          <w:sz w:val="44"/>
          <w:szCs w:val="44"/>
          <w:highlight w:val="none"/>
        </w:rPr>
      </w:pPr>
    </w:p>
    <w:p w14:paraId="78C2B597">
      <w:pPr>
        <w:spacing w:line="360" w:lineRule="auto"/>
        <w:jc w:val="center"/>
        <w:rPr>
          <w:rFonts w:hint="eastAsia" w:ascii="宋体" w:hAnsi="宋体" w:eastAsia="宋体" w:cs="宋体"/>
          <w:color w:val="auto"/>
          <w:sz w:val="24"/>
          <w:highlight w:val="none"/>
        </w:rPr>
      </w:pPr>
    </w:p>
    <w:p w14:paraId="1D2AFE58">
      <w:pPr>
        <w:spacing w:line="360" w:lineRule="auto"/>
        <w:jc w:val="center"/>
        <w:rPr>
          <w:rFonts w:hint="eastAsia" w:ascii="宋体" w:hAnsi="宋体" w:eastAsia="宋体" w:cs="宋体"/>
          <w:color w:val="auto"/>
          <w:sz w:val="24"/>
          <w:highlight w:val="none"/>
        </w:rPr>
      </w:pPr>
    </w:p>
    <w:p w14:paraId="201EFE94">
      <w:pPr>
        <w:spacing w:line="360" w:lineRule="auto"/>
        <w:rPr>
          <w:rFonts w:hint="eastAsia" w:ascii="宋体" w:hAnsi="宋体" w:eastAsia="宋体" w:cs="宋体"/>
          <w:color w:val="auto"/>
          <w:sz w:val="32"/>
          <w:szCs w:val="32"/>
          <w:highlight w:val="none"/>
        </w:rPr>
      </w:pPr>
    </w:p>
    <w:p w14:paraId="4698B98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杭州市钱塘区人民政府前进街道办事处</w:t>
      </w:r>
    </w:p>
    <w:p w14:paraId="1029B8C6">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浙江经济建设投资咨询中心有限公司</w:t>
      </w:r>
    </w:p>
    <w:p w14:paraId="60C2264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十</w:t>
      </w:r>
      <w:r>
        <w:rPr>
          <w:rFonts w:hint="eastAsia" w:ascii="宋体" w:hAnsi="宋体" w:eastAsia="宋体" w:cs="宋体"/>
          <w:bCs/>
          <w:color w:val="auto"/>
          <w:sz w:val="32"/>
          <w:szCs w:val="32"/>
          <w:highlight w:val="none"/>
        </w:rPr>
        <w:t>日</w:t>
      </w:r>
    </w:p>
    <w:p w14:paraId="54B78C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933476D">
      <w:pPr>
        <w:spacing w:line="360" w:lineRule="auto"/>
        <w:jc w:val="center"/>
        <w:rPr>
          <w:rFonts w:hint="eastAsia" w:ascii="宋体" w:hAnsi="宋体" w:eastAsia="宋体" w:cs="宋体"/>
          <w:color w:val="auto"/>
          <w:sz w:val="24"/>
          <w:highlight w:val="none"/>
        </w:rPr>
      </w:pPr>
    </w:p>
    <w:p w14:paraId="542B2AC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410F1E0">
      <w:pPr>
        <w:spacing w:line="360" w:lineRule="auto"/>
        <w:rPr>
          <w:rFonts w:hint="eastAsia" w:ascii="宋体" w:hAnsi="宋体" w:eastAsia="宋体" w:cs="宋体"/>
          <w:color w:val="auto"/>
          <w:sz w:val="32"/>
          <w:szCs w:val="32"/>
          <w:highlight w:val="none"/>
        </w:rPr>
      </w:pPr>
    </w:p>
    <w:p w14:paraId="18BEA327">
      <w:pPr>
        <w:spacing w:line="360" w:lineRule="auto"/>
        <w:rPr>
          <w:rFonts w:hint="eastAsia" w:ascii="宋体" w:hAnsi="宋体" w:eastAsia="宋体" w:cs="宋体"/>
          <w:color w:val="auto"/>
          <w:sz w:val="32"/>
          <w:szCs w:val="32"/>
          <w:highlight w:val="none"/>
        </w:rPr>
      </w:pPr>
    </w:p>
    <w:p w14:paraId="315DC81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8B5500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81D78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556F56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282B8A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0C19FC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6801EDC">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5EA8D1F">
      <w:pPr>
        <w:spacing w:line="360" w:lineRule="auto"/>
        <w:ind w:firstLine="549" w:firstLineChars="229"/>
        <w:rPr>
          <w:rFonts w:hint="eastAsia" w:ascii="宋体" w:hAnsi="宋体" w:eastAsia="宋体" w:cs="宋体"/>
          <w:color w:val="auto"/>
          <w:sz w:val="24"/>
          <w:highlight w:val="none"/>
        </w:rPr>
      </w:pPr>
    </w:p>
    <w:p w14:paraId="66C3BA46">
      <w:pPr>
        <w:spacing w:line="360" w:lineRule="auto"/>
        <w:ind w:firstLine="549" w:firstLineChars="229"/>
        <w:rPr>
          <w:rFonts w:hint="eastAsia" w:ascii="宋体" w:hAnsi="宋体" w:eastAsia="宋体" w:cs="宋体"/>
          <w:color w:val="auto"/>
          <w:sz w:val="24"/>
          <w:highlight w:val="none"/>
        </w:rPr>
      </w:pPr>
    </w:p>
    <w:p w14:paraId="04ADEA6C">
      <w:pPr>
        <w:spacing w:line="360" w:lineRule="auto"/>
        <w:ind w:firstLine="549" w:firstLineChars="229"/>
        <w:rPr>
          <w:rFonts w:hint="eastAsia" w:ascii="宋体" w:hAnsi="宋体" w:eastAsia="宋体" w:cs="宋体"/>
          <w:color w:val="auto"/>
          <w:sz w:val="24"/>
          <w:highlight w:val="none"/>
        </w:rPr>
      </w:pPr>
    </w:p>
    <w:p w14:paraId="7A1C8BC5">
      <w:pPr>
        <w:spacing w:line="360" w:lineRule="auto"/>
        <w:ind w:firstLine="549" w:firstLineChars="229"/>
        <w:rPr>
          <w:rFonts w:hint="eastAsia" w:ascii="宋体" w:hAnsi="宋体" w:eastAsia="宋体" w:cs="宋体"/>
          <w:color w:val="auto"/>
          <w:sz w:val="24"/>
          <w:highlight w:val="none"/>
        </w:rPr>
      </w:pPr>
    </w:p>
    <w:p w14:paraId="16C73906">
      <w:pPr>
        <w:spacing w:line="360" w:lineRule="auto"/>
        <w:ind w:firstLine="549" w:firstLineChars="229"/>
        <w:rPr>
          <w:rFonts w:hint="eastAsia" w:ascii="宋体" w:hAnsi="宋体" w:eastAsia="宋体" w:cs="宋体"/>
          <w:color w:val="auto"/>
          <w:sz w:val="24"/>
          <w:highlight w:val="none"/>
        </w:rPr>
      </w:pPr>
    </w:p>
    <w:p w14:paraId="74367163">
      <w:pPr>
        <w:spacing w:line="360" w:lineRule="auto"/>
        <w:ind w:firstLine="549" w:firstLineChars="229"/>
        <w:rPr>
          <w:rFonts w:hint="eastAsia" w:ascii="宋体" w:hAnsi="宋体" w:eastAsia="宋体" w:cs="宋体"/>
          <w:color w:val="auto"/>
          <w:sz w:val="24"/>
          <w:highlight w:val="none"/>
        </w:rPr>
      </w:pPr>
    </w:p>
    <w:p w14:paraId="29635C2E">
      <w:pPr>
        <w:spacing w:line="360" w:lineRule="auto"/>
        <w:ind w:firstLine="549" w:firstLineChars="229"/>
        <w:rPr>
          <w:rFonts w:hint="eastAsia" w:ascii="宋体" w:hAnsi="宋体" w:eastAsia="宋体" w:cs="宋体"/>
          <w:color w:val="auto"/>
          <w:sz w:val="24"/>
          <w:highlight w:val="none"/>
        </w:rPr>
      </w:pPr>
    </w:p>
    <w:p w14:paraId="2F479429">
      <w:pPr>
        <w:spacing w:line="360" w:lineRule="auto"/>
        <w:ind w:firstLine="549" w:firstLineChars="229"/>
        <w:rPr>
          <w:rFonts w:hint="eastAsia" w:ascii="宋体" w:hAnsi="宋体" w:eastAsia="宋体" w:cs="宋体"/>
          <w:color w:val="auto"/>
          <w:sz w:val="24"/>
          <w:highlight w:val="none"/>
        </w:rPr>
      </w:pPr>
    </w:p>
    <w:p w14:paraId="3578D2FD">
      <w:pPr>
        <w:spacing w:line="360" w:lineRule="auto"/>
        <w:ind w:firstLine="549" w:firstLineChars="229"/>
        <w:rPr>
          <w:rFonts w:hint="eastAsia" w:ascii="宋体" w:hAnsi="宋体" w:eastAsia="宋体" w:cs="宋体"/>
          <w:color w:val="auto"/>
          <w:sz w:val="24"/>
          <w:highlight w:val="none"/>
        </w:rPr>
      </w:pPr>
    </w:p>
    <w:p w14:paraId="6CE536DA">
      <w:pPr>
        <w:spacing w:line="360" w:lineRule="auto"/>
        <w:ind w:firstLine="549" w:firstLineChars="229"/>
        <w:rPr>
          <w:rFonts w:hint="eastAsia" w:ascii="宋体" w:hAnsi="宋体" w:eastAsia="宋体" w:cs="宋体"/>
          <w:color w:val="auto"/>
          <w:sz w:val="24"/>
          <w:highlight w:val="none"/>
        </w:rPr>
      </w:pPr>
    </w:p>
    <w:p w14:paraId="2377FB19">
      <w:pPr>
        <w:spacing w:line="360" w:lineRule="auto"/>
        <w:ind w:firstLine="549" w:firstLineChars="229"/>
        <w:rPr>
          <w:rFonts w:hint="eastAsia" w:ascii="宋体" w:hAnsi="宋体" w:eastAsia="宋体" w:cs="宋体"/>
          <w:color w:val="auto"/>
          <w:sz w:val="24"/>
          <w:highlight w:val="none"/>
        </w:rPr>
      </w:pPr>
    </w:p>
    <w:p w14:paraId="21612DFC">
      <w:pPr>
        <w:spacing w:line="360" w:lineRule="auto"/>
        <w:ind w:firstLine="549" w:firstLineChars="229"/>
        <w:rPr>
          <w:rFonts w:hint="eastAsia" w:ascii="宋体" w:hAnsi="宋体" w:eastAsia="宋体" w:cs="宋体"/>
          <w:color w:val="auto"/>
          <w:sz w:val="24"/>
          <w:highlight w:val="none"/>
        </w:rPr>
      </w:pPr>
    </w:p>
    <w:p w14:paraId="62E57335">
      <w:pPr>
        <w:spacing w:line="360" w:lineRule="auto"/>
        <w:rPr>
          <w:rFonts w:hint="eastAsia" w:ascii="宋体" w:hAnsi="宋体" w:eastAsia="宋体" w:cs="宋体"/>
          <w:color w:val="auto"/>
          <w:sz w:val="24"/>
          <w:highlight w:val="none"/>
        </w:rPr>
      </w:pPr>
    </w:p>
    <w:p w14:paraId="55B8788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CEDC64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251FB7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前进街道河道保洁项目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 xml:space="preserve">5 </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 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1 </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 xml:space="preserve"> 点</w:t>
      </w:r>
      <w:r>
        <w:rPr>
          <w:rStyle w:val="77"/>
          <w:rFonts w:hint="eastAsia" w:ascii="宋体" w:hAnsi="宋体" w:eastAsia="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023F0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DA84049">
      <w:pPr>
        <w:spacing w:line="360" w:lineRule="auto"/>
        <w:rPr>
          <w:rFonts w:hint="eastAsia" w:ascii="宋体" w:hAnsi="宋体" w:eastAsia="宋体" w:cs="宋体"/>
          <w:b w:val="0"/>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QTCG-GK-2025-034</w:t>
      </w:r>
      <w:r>
        <w:rPr>
          <w:rFonts w:hint="eastAsia" w:ascii="宋体" w:hAnsi="宋体" w:cs="宋体"/>
          <w:b w:val="0"/>
          <w:bCs/>
          <w:color w:val="auto"/>
          <w:sz w:val="24"/>
          <w:highlight w:val="none"/>
          <w:lang w:val="en-US" w:eastAsia="zh-CN"/>
        </w:rPr>
        <w:t xml:space="preserve"> </w:t>
      </w:r>
    </w:p>
    <w:p w14:paraId="718D2C5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前进街道河道保洁项目</w:t>
      </w:r>
    </w:p>
    <w:p w14:paraId="3782A279">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预算金额（万元）：</w:t>
      </w:r>
      <w:r>
        <w:rPr>
          <w:rFonts w:hint="eastAsia" w:ascii="宋体" w:hAnsi="宋体" w:cs="宋体"/>
          <w:b/>
          <w:color w:val="auto"/>
          <w:sz w:val="24"/>
          <w:highlight w:val="none"/>
          <w:lang w:val="en-US" w:eastAsia="zh-CN"/>
        </w:rPr>
        <w:t>133.5117</w:t>
      </w:r>
    </w:p>
    <w:p w14:paraId="6DCD7A6A">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最高限价（万元）：</w:t>
      </w:r>
      <w:r>
        <w:rPr>
          <w:rFonts w:hint="eastAsia" w:ascii="宋体" w:hAnsi="宋体" w:cs="宋体"/>
          <w:b/>
          <w:color w:val="auto"/>
          <w:sz w:val="24"/>
          <w:highlight w:val="none"/>
          <w:lang w:val="en-US" w:eastAsia="zh-CN"/>
        </w:rPr>
        <w:t>133.5117</w:t>
      </w:r>
    </w:p>
    <w:p w14:paraId="6F6F1604">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p>
    <w:p w14:paraId="547F98F8">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标项1：</w:t>
      </w:r>
    </w:p>
    <w:p w14:paraId="02FAFA48">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标项名称：</w:t>
      </w:r>
      <w:r>
        <w:rPr>
          <w:rFonts w:hint="eastAsia" w:hAnsi="宋体" w:cs="宋体"/>
          <w:color w:val="auto"/>
          <w:sz w:val="24"/>
          <w:highlight w:val="none"/>
          <w:lang w:eastAsia="zh-CN"/>
        </w:rPr>
        <w:t>前进街道河道保洁项目</w:t>
      </w:r>
    </w:p>
    <w:p w14:paraId="42DC2EF1">
      <w:pPr>
        <w:pStyle w:val="15"/>
        <w:spacing w:line="360" w:lineRule="auto"/>
        <w:ind w:firstLine="48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1</w:t>
      </w:r>
    </w:p>
    <w:p w14:paraId="4B1B0C3F">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 xml:space="preserve">预算金额（万元）：133.5117 </w:t>
      </w:r>
    </w:p>
    <w:p w14:paraId="119CE078">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单位：项</w:t>
      </w:r>
    </w:p>
    <w:p w14:paraId="16A1FCA5">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简要规格描述：</w:t>
      </w:r>
      <w:r>
        <w:rPr>
          <w:rFonts w:hint="eastAsia" w:hAnsi="宋体" w:cs="宋体"/>
          <w:color w:val="auto"/>
          <w:sz w:val="24"/>
          <w:highlight w:val="none"/>
          <w:lang w:eastAsia="zh-CN"/>
        </w:rPr>
        <w:t>对前进街道辖区14条河道进行河面河岸长效保洁</w:t>
      </w:r>
      <w:r>
        <w:rPr>
          <w:rFonts w:hint="eastAsia" w:ascii="宋体" w:hAnsi="宋体" w:eastAsia="宋体" w:cs="宋体"/>
          <w:bCs/>
          <w:snapToGrid/>
          <w:color w:val="auto"/>
          <w:kern w:val="2"/>
          <w:sz w:val="24"/>
          <w:szCs w:val="24"/>
          <w:highlight w:val="none"/>
        </w:rPr>
        <w:t>。详见招标文件第三部分采购需求。</w:t>
      </w:r>
    </w:p>
    <w:p w14:paraId="2290A332">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备注：</w:t>
      </w:r>
    </w:p>
    <w:p w14:paraId="73EC121A">
      <w:pPr>
        <w:pStyle w:val="131"/>
        <w:ind w:firstLine="482"/>
        <w:outlineLvl w:val="2"/>
        <w:rPr>
          <w:rFonts w:hint="default"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合同签订且生效之日起至1年。</w:t>
      </w:r>
    </w:p>
    <w:p w14:paraId="51FB723E">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55A92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1B38A0B4">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A2311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B321F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574E2C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1B16357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1A86D6F">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服务全部由符合政策要求的中小企业承接，提供中小企业声明函</w:t>
      </w:r>
      <w:r>
        <w:rPr>
          <w:rFonts w:hint="eastAsia" w:ascii="宋体" w:hAnsi="宋体" w:eastAsia="宋体" w:cs="宋体"/>
          <w:color w:val="auto"/>
          <w:sz w:val="24"/>
          <w:highlight w:val="none"/>
        </w:rPr>
        <w:t>；</w:t>
      </w:r>
    </w:p>
    <w:p w14:paraId="7737FAD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3BED13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6A20139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5ADF25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46648B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2F800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BE016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4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A7252E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103570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1A182F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41E832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A300E6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4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41E2BD6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CAD662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4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14:paraId="1D24E675">
      <w:pPr>
        <w:shd w:val="clear" w:color="auto" w:fill="auto"/>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07D1763">
      <w:pPr>
        <w:spacing w:line="360" w:lineRule="auto"/>
        <w:ind w:firstLine="1446" w:firstLineChars="600"/>
        <w:rPr>
          <w:rFonts w:hint="eastAsia" w:ascii="宋体" w:hAnsi="宋体" w:cs="宋体"/>
          <w:color w:val="auto"/>
          <w:sz w:val="24"/>
          <w:highlight w:val="none"/>
        </w:rPr>
      </w:pPr>
      <w:r>
        <w:rPr>
          <w:rFonts w:hint="eastAsia" w:ascii="宋体" w:hAnsi="宋体" w:cs="宋体"/>
          <w:b/>
          <w:bCs/>
          <w:color w:val="auto"/>
          <w:sz w:val="24"/>
          <w:highlight w:val="none"/>
        </w:rPr>
        <w:t>（线下）：</w:t>
      </w:r>
      <w:r>
        <w:rPr>
          <w:rFonts w:hint="eastAsia" w:ascii="宋体" w:hAnsi="宋体" w:cs="宋体"/>
          <w:color w:val="auto"/>
          <w:sz w:val="24"/>
          <w:highlight w:val="none"/>
        </w:rPr>
        <w:t>浙江省杭州市钱塘区下沙街道金沙大道600号东楼6楼</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号开标室。</w:t>
      </w:r>
    </w:p>
    <w:p w14:paraId="686BE1D7">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五、</w:t>
      </w:r>
      <w:r>
        <w:rPr>
          <w:rFonts w:hint="eastAsia" w:ascii="宋体" w:hAnsi="宋体" w:eastAsia="宋体" w:cs="宋体"/>
          <w:b/>
          <w:color w:val="auto"/>
          <w:sz w:val="24"/>
          <w:highlight w:val="none"/>
          <w:lang w:eastAsia="zh-CN"/>
        </w:rPr>
        <w:t>采购意向公开链接</w:t>
      </w:r>
    </w:p>
    <w:p w14:paraId="1607196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"https://zfcg.czt.zj.gov.cn/site/detail?parentId=600007&amp;articleId=ql5hmr04mMb7gmrFTFt5%2Bg%3D%3D" </w:instrText>
      </w:r>
      <w:r>
        <w:rPr>
          <w:rFonts w:hint="eastAsia" w:ascii="宋体" w:hAnsi="宋体" w:eastAsia="宋体" w:cs="宋体"/>
          <w:color w:val="auto"/>
          <w:sz w:val="24"/>
          <w:highlight w:val="none"/>
          <w:lang w:eastAsia="zh-CN"/>
        </w:rPr>
        <w:fldChar w:fldCharType="separate"/>
      </w:r>
      <w:r>
        <w:rPr>
          <w:rStyle w:val="77"/>
          <w:rFonts w:hint="eastAsia" w:ascii="宋体" w:hAnsi="宋体" w:eastAsia="宋体" w:cs="宋体"/>
          <w:sz w:val="24"/>
          <w:highlight w:val="none"/>
          <w:lang w:eastAsia="zh-CN"/>
        </w:rPr>
        <w:t>https://zfcg.czt.zj.gov.cn/site/detail?parentId=600007&amp;articleId=ql5hmr04mMb7gmrFTFt5%2Bg%3D%3D</w:t>
      </w:r>
      <w:r>
        <w:rPr>
          <w:rFonts w:hint="eastAsia" w:ascii="宋体" w:hAnsi="宋体" w:eastAsia="宋体" w:cs="宋体"/>
          <w:color w:val="auto"/>
          <w:sz w:val="24"/>
          <w:highlight w:val="none"/>
          <w:lang w:eastAsia="zh-CN"/>
        </w:rPr>
        <w:fldChar w:fldCharType="end"/>
      </w:r>
    </w:p>
    <w:p w14:paraId="30076CA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 xml:space="preserve">公告期限 </w:t>
      </w:r>
    </w:p>
    <w:p w14:paraId="7662BD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73489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、其他补充事宜</w:t>
      </w:r>
    </w:p>
    <w:p w14:paraId="56F5B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61EB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29A9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DA94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w:t>
      </w:r>
    </w:p>
    <w:p w14:paraId="09400C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85FB0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（3）钱塘区政府采购支持中小企业信用融资：</w:t>
      </w:r>
    </w:p>
    <w:p w14:paraId="23A89C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EB868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A.适用对象：在浙江“政采云”平台注册入库，并取得钱塘区政府采购合同的中小企业供应商。</w:t>
      </w:r>
    </w:p>
    <w:p w14:paraId="508B0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B.相关信息获取方式：具体合作银行及联系方式详见采购文件。登陆杭州钱塘新区管理委员会官网（http://qt.hangzhou.gov.cn） “公告公示”专栏，可查看信用融资政策文件及各相关银行服务方案。</w:t>
      </w:r>
    </w:p>
    <w:p w14:paraId="39B6F5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0A33E7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3567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本项目招标文件公告期限与招标公告的公告期限一致。</w:t>
      </w:r>
    </w:p>
    <w:p w14:paraId="504F4EC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70BC9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30126C2">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杭州市钱塘区人民政府前进街道办事处</w:t>
      </w:r>
    </w:p>
    <w:p w14:paraId="387B953A">
      <w:pPr>
        <w:adjustRightIn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址：钱塘区前进街道江东一路5000号      </w:t>
      </w:r>
    </w:p>
    <w:p w14:paraId="720059DA">
      <w:pPr>
        <w:adjustRightIn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04E77E6">
      <w:pPr>
        <w:adjustRightInd/>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谢</w:t>
      </w:r>
      <w:r>
        <w:rPr>
          <w:rFonts w:hint="eastAsia" w:ascii="宋体" w:hAnsi="宋体" w:eastAsia="宋体" w:cs="宋体"/>
          <w:color w:val="auto"/>
          <w:sz w:val="24"/>
          <w:highlight w:val="none"/>
        </w:rPr>
        <w:t>工</w:t>
      </w:r>
    </w:p>
    <w:p w14:paraId="7292CBD8">
      <w:pPr>
        <w:adjustRightInd/>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eastAsia="宋体" w:cs="宋体"/>
          <w:sz w:val="24"/>
          <w:highlight w:val="none"/>
        </w:rPr>
        <w:t>0571-82106627</w:t>
      </w:r>
      <w:r>
        <w:rPr>
          <w:rFonts w:hint="eastAsia" w:ascii="宋体" w:hAnsi="宋体" w:eastAsia="宋体" w:cs="宋体"/>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61E8D06D">
      <w:pPr>
        <w:adjustRightIn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徐调</w:t>
      </w:r>
      <w:r>
        <w:rPr>
          <w:rFonts w:hint="eastAsia" w:ascii="宋体" w:hAnsi="宋体" w:eastAsia="宋体" w:cs="宋体"/>
          <w:color w:val="auto"/>
          <w:sz w:val="24"/>
          <w:highlight w:val="none"/>
        </w:rPr>
        <w:t> </w:t>
      </w:r>
    </w:p>
    <w:p w14:paraId="1B72AF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0571-82106628</w:t>
      </w:r>
      <w:r>
        <w:rPr>
          <w:rFonts w:hint="eastAsia" w:ascii="宋体" w:hAnsi="宋体" w:eastAsia="宋体" w:cs="宋体"/>
          <w:color w:val="auto"/>
          <w:sz w:val="24"/>
          <w:highlight w:val="none"/>
        </w:rPr>
        <w:t xml:space="preserve"> </w:t>
      </w:r>
    </w:p>
    <w:p w14:paraId="7C5D30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21E65082">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称：浙江经济建设投资咨询中心有限公司</w:t>
      </w:r>
    </w:p>
    <w:p w14:paraId="3AA70C6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址：杭州市萧山区空间结构产业园3号楼317号</w:t>
      </w:r>
    </w:p>
    <w:p w14:paraId="18E18C91">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19D8FDCF">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项目联系人（询问）：陈俏</w:t>
      </w:r>
    </w:p>
    <w:p w14:paraId="20529287">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项目联系方式（询问）：18268803655</w:t>
      </w:r>
    </w:p>
    <w:p w14:paraId="423FA526">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质疑联系人：高杰</w:t>
      </w:r>
    </w:p>
    <w:p w14:paraId="35178E6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质疑联系方式：13867138864</w:t>
      </w:r>
    </w:p>
    <w:p w14:paraId="0FAB72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50841B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称：杭州市钱塘区财政局、浙江省政府采购行政裁决服务中心（杭州）</w:t>
      </w:r>
    </w:p>
    <w:p w14:paraId="1D47D0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 </w:t>
      </w:r>
    </w:p>
    <w:p w14:paraId="7EE376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007C4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1DD59F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监督投诉电话：0571-87800218,0571-87227671</w:t>
      </w:r>
    </w:p>
    <w:p w14:paraId="7A63DEA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1A00B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91929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F70EE9D">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09B2FD27">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bookmarkStart w:id="397" w:name="_GoBack"/>
      <w:bookmarkEnd w:id="397"/>
    </w:p>
    <w:p w14:paraId="0775AFF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3487C4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640" w:type="dxa"/>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168"/>
      </w:tblGrid>
      <w:tr w14:paraId="0CF5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trPr>
        <w:tc>
          <w:tcPr>
            <w:tcW w:w="629" w:type="dxa"/>
          </w:tcPr>
          <w:p w14:paraId="5A7585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03A6708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168" w:type="dxa"/>
            <w:vAlign w:val="center"/>
          </w:tcPr>
          <w:p w14:paraId="2190ADC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193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trPr>
        <w:tc>
          <w:tcPr>
            <w:tcW w:w="629" w:type="dxa"/>
          </w:tcPr>
          <w:p w14:paraId="7634FBA3">
            <w:pPr>
              <w:snapToGrid w:val="0"/>
              <w:spacing w:line="360" w:lineRule="auto"/>
              <w:jc w:val="center"/>
              <w:rPr>
                <w:rFonts w:hint="eastAsia" w:ascii="宋体" w:hAnsi="宋体" w:eastAsia="宋体" w:cs="宋体"/>
                <w:color w:val="auto"/>
                <w:sz w:val="24"/>
                <w:highlight w:val="none"/>
              </w:rPr>
            </w:pPr>
          </w:p>
          <w:p w14:paraId="0B59BD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0D1F53C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168" w:type="dxa"/>
            <w:vAlign w:val="center"/>
          </w:tcPr>
          <w:p w14:paraId="46E6949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类。</w:t>
            </w:r>
          </w:p>
        </w:tc>
      </w:tr>
      <w:tr w14:paraId="7860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31" w:hRule="atLeast"/>
        </w:trPr>
        <w:tc>
          <w:tcPr>
            <w:tcW w:w="629" w:type="dxa"/>
          </w:tcPr>
          <w:p w14:paraId="630D40FE">
            <w:pPr>
              <w:snapToGrid w:val="0"/>
              <w:spacing w:line="360" w:lineRule="auto"/>
              <w:jc w:val="center"/>
              <w:rPr>
                <w:rFonts w:hint="eastAsia" w:ascii="宋体" w:hAnsi="宋体" w:eastAsia="宋体" w:cs="宋体"/>
                <w:color w:val="auto"/>
                <w:sz w:val="24"/>
                <w:highlight w:val="none"/>
              </w:rPr>
            </w:pPr>
          </w:p>
          <w:p w14:paraId="29ADFC8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456418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168" w:type="dxa"/>
            <w:vAlign w:val="center"/>
          </w:tcPr>
          <w:p w14:paraId="2A1671C2">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标</w:t>
            </w:r>
            <w:r>
              <w:rPr>
                <w:rFonts w:hint="eastAsia" w:ascii="宋体" w:hAnsi="宋体" w:eastAsia="宋体" w:cs="宋体"/>
                <w:color w:val="auto"/>
                <w:kern w:val="0"/>
                <w:sz w:val="24"/>
                <w:highlight w:val="none"/>
                <w:lang w:eastAsia="zh-CN"/>
              </w:rPr>
              <w:t>项</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eastAsia="宋体" w:cs="宋体"/>
                <w:strike w:val="0"/>
                <w:dstrike w:val="0"/>
                <w:color w:val="auto"/>
                <w:kern w:val="0"/>
                <w:sz w:val="24"/>
                <w:highlight w:val="none"/>
                <w:u w:val="single"/>
              </w:rPr>
              <w:t xml:space="preserve"> </w:t>
            </w:r>
            <w:r>
              <w:rPr>
                <w:rFonts w:hint="eastAsia" w:ascii="宋体" w:hAnsi="宋体" w:cs="宋体"/>
                <w:strike w:val="0"/>
                <w:dstrike w:val="0"/>
                <w:color w:val="auto"/>
                <w:kern w:val="0"/>
                <w:sz w:val="24"/>
                <w:highlight w:val="none"/>
                <w:u w:val="single"/>
                <w:lang w:eastAsia="zh-CN"/>
              </w:rPr>
              <w:t>前进街道河道保洁项目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b w:val="0"/>
                <w:bCs w:val="0"/>
                <w:color w:val="auto"/>
                <w:sz w:val="24"/>
                <w:szCs w:val="24"/>
                <w:highlight w:val="none"/>
                <w:u w:val="single"/>
              </w:rPr>
              <w:t>其他未列明</w:t>
            </w:r>
            <w:r>
              <w:rPr>
                <w:rFonts w:hint="eastAsia" w:ascii="宋体" w:hAnsi="宋体" w:eastAsia="宋体" w:cs="宋体"/>
                <w:b/>
                <w:bCs/>
                <w:color w:val="auto"/>
                <w:sz w:val="24"/>
                <w:szCs w:val="24"/>
                <w:highlight w:val="none"/>
              </w:rPr>
              <w:t>行业；</w:t>
            </w:r>
            <w:r>
              <w:rPr>
                <w:rFonts w:hint="eastAsia" w:ascii="宋体" w:hAnsi="宋体" w:eastAsia="宋体" w:cs="宋体"/>
                <w:color w:val="auto"/>
                <w:highlight w:val="none"/>
              </w:rPr>
              <w:t xml:space="preserve"> </w:t>
            </w:r>
          </w:p>
          <w:p w14:paraId="556638FB">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根据《关于印发中小企业划型标准规定的通知》工信部联企业〔2011〕300号文件规定，从业人员300人以下的为中小微型企业。其中，从业人员100人及以上的为中型企业;从业人员10人及以上的为小型企业;从业人员10人以下的为微型企业。。</w:t>
            </w:r>
          </w:p>
        </w:tc>
      </w:tr>
      <w:tr w14:paraId="0474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trPr>
        <w:tc>
          <w:tcPr>
            <w:tcW w:w="629" w:type="dxa"/>
          </w:tcPr>
          <w:p w14:paraId="76CFD37C">
            <w:pPr>
              <w:snapToGrid w:val="0"/>
              <w:spacing w:line="360" w:lineRule="auto"/>
              <w:jc w:val="center"/>
              <w:rPr>
                <w:rFonts w:hint="eastAsia" w:ascii="宋体" w:hAnsi="宋体" w:eastAsia="宋体" w:cs="宋体"/>
                <w:color w:val="auto"/>
                <w:sz w:val="24"/>
                <w:highlight w:val="none"/>
              </w:rPr>
            </w:pPr>
          </w:p>
          <w:p w14:paraId="23209C6A">
            <w:pPr>
              <w:snapToGrid w:val="0"/>
              <w:spacing w:line="360" w:lineRule="auto"/>
              <w:jc w:val="center"/>
              <w:rPr>
                <w:rFonts w:hint="eastAsia" w:ascii="宋体" w:hAnsi="宋体" w:eastAsia="宋体" w:cs="宋体"/>
                <w:color w:val="auto"/>
                <w:sz w:val="24"/>
                <w:highlight w:val="none"/>
              </w:rPr>
            </w:pPr>
          </w:p>
          <w:p w14:paraId="4206C1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3AEE72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168" w:type="dxa"/>
            <w:vAlign w:val="center"/>
          </w:tcPr>
          <w:p w14:paraId="7600C94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DAA72D1">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F0D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45" w:hRule="atLeast"/>
        </w:trPr>
        <w:tc>
          <w:tcPr>
            <w:tcW w:w="629" w:type="dxa"/>
            <w:vAlign w:val="center"/>
          </w:tcPr>
          <w:p w14:paraId="209A6D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56D0A13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168" w:type="dxa"/>
            <w:vAlign w:val="center"/>
          </w:tcPr>
          <w:p w14:paraId="11873AB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辅助  </w:t>
            </w:r>
            <w:r>
              <w:rPr>
                <w:rFonts w:hint="eastAsia" w:ascii="宋体" w:hAnsi="宋体" w:eastAsia="宋体" w:cs="宋体"/>
                <w:color w:val="auto"/>
                <w:sz w:val="24"/>
                <w:highlight w:val="none"/>
              </w:rPr>
              <w:t>工作分包。</w:t>
            </w:r>
          </w:p>
          <w:p w14:paraId="47152CF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41F10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96F7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0" w:hRule="atLeast"/>
        </w:trPr>
        <w:tc>
          <w:tcPr>
            <w:tcW w:w="629" w:type="dxa"/>
          </w:tcPr>
          <w:p w14:paraId="3A8D1A15">
            <w:pPr>
              <w:snapToGrid w:val="0"/>
              <w:spacing w:line="360" w:lineRule="auto"/>
              <w:jc w:val="center"/>
              <w:rPr>
                <w:rFonts w:hint="eastAsia" w:ascii="宋体" w:hAnsi="宋体" w:eastAsia="宋体" w:cs="宋体"/>
                <w:color w:val="auto"/>
                <w:sz w:val="24"/>
                <w:highlight w:val="none"/>
              </w:rPr>
            </w:pPr>
          </w:p>
          <w:p w14:paraId="6720A030">
            <w:pPr>
              <w:snapToGrid w:val="0"/>
              <w:spacing w:line="360" w:lineRule="auto"/>
              <w:jc w:val="center"/>
              <w:rPr>
                <w:rFonts w:hint="eastAsia" w:ascii="宋体" w:hAnsi="宋体" w:eastAsia="宋体" w:cs="宋体"/>
                <w:color w:val="auto"/>
                <w:sz w:val="24"/>
                <w:highlight w:val="none"/>
              </w:rPr>
            </w:pPr>
          </w:p>
          <w:p w14:paraId="07CF00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0C4764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168" w:type="dxa"/>
            <w:vAlign w:val="center"/>
          </w:tcPr>
          <w:p w14:paraId="26F946D1">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65BA9F2">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2AC7F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29" w:type="dxa"/>
          </w:tcPr>
          <w:p w14:paraId="39738D28">
            <w:pPr>
              <w:snapToGrid w:val="0"/>
              <w:spacing w:line="360" w:lineRule="auto"/>
              <w:jc w:val="center"/>
              <w:rPr>
                <w:rFonts w:hint="eastAsia" w:ascii="宋体" w:hAnsi="宋体" w:eastAsia="宋体" w:cs="宋体"/>
                <w:color w:val="auto"/>
                <w:sz w:val="24"/>
                <w:highlight w:val="none"/>
              </w:rPr>
            </w:pPr>
          </w:p>
          <w:p w14:paraId="2C5A07E3">
            <w:pPr>
              <w:snapToGrid w:val="0"/>
              <w:spacing w:line="360" w:lineRule="auto"/>
              <w:jc w:val="center"/>
              <w:rPr>
                <w:rFonts w:hint="eastAsia" w:ascii="宋体" w:hAnsi="宋体" w:eastAsia="宋体" w:cs="宋体"/>
                <w:color w:val="auto"/>
                <w:sz w:val="24"/>
                <w:highlight w:val="none"/>
              </w:rPr>
            </w:pPr>
          </w:p>
          <w:p w14:paraId="4C491570">
            <w:pPr>
              <w:snapToGrid w:val="0"/>
              <w:spacing w:line="360" w:lineRule="auto"/>
              <w:jc w:val="center"/>
              <w:rPr>
                <w:rFonts w:hint="eastAsia" w:ascii="宋体" w:hAnsi="宋体" w:eastAsia="宋体" w:cs="宋体"/>
                <w:color w:val="auto"/>
                <w:sz w:val="24"/>
                <w:highlight w:val="none"/>
              </w:rPr>
            </w:pPr>
          </w:p>
          <w:p w14:paraId="4B66CCD1">
            <w:pPr>
              <w:snapToGrid w:val="0"/>
              <w:spacing w:line="360" w:lineRule="auto"/>
              <w:jc w:val="center"/>
              <w:rPr>
                <w:rFonts w:hint="eastAsia" w:ascii="宋体" w:hAnsi="宋体" w:eastAsia="宋体" w:cs="宋体"/>
                <w:color w:val="auto"/>
                <w:sz w:val="24"/>
                <w:highlight w:val="none"/>
              </w:rPr>
            </w:pPr>
          </w:p>
          <w:p w14:paraId="2EEDA566">
            <w:pPr>
              <w:snapToGrid w:val="0"/>
              <w:spacing w:line="360" w:lineRule="auto"/>
              <w:jc w:val="center"/>
              <w:rPr>
                <w:rFonts w:hint="eastAsia" w:ascii="宋体" w:hAnsi="宋体" w:eastAsia="宋体" w:cs="宋体"/>
                <w:color w:val="auto"/>
                <w:sz w:val="24"/>
                <w:highlight w:val="none"/>
              </w:rPr>
            </w:pPr>
          </w:p>
          <w:p w14:paraId="0DB83973">
            <w:pPr>
              <w:snapToGrid w:val="0"/>
              <w:spacing w:line="360" w:lineRule="auto"/>
              <w:jc w:val="center"/>
              <w:rPr>
                <w:rFonts w:hint="eastAsia" w:ascii="宋体" w:hAnsi="宋体" w:eastAsia="宋体" w:cs="宋体"/>
                <w:color w:val="auto"/>
                <w:sz w:val="24"/>
                <w:highlight w:val="none"/>
              </w:rPr>
            </w:pPr>
          </w:p>
          <w:p w14:paraId="36B3F4C3">
            <w:pPr>
              <w:snapToGrid w:val="0"/>
              <w:spacing w:line="360" w:lineRule="auto"/>
              <w:jc w:val="center"/>
              <w:rPr>
                <w:rFonts w:hint="eastAsia" w:ascii="宋体" w:hAnsi="宋体" w:eastAsia="宋体" w:cs="宋体"/>
                <w:color w:val="auto"/>
                <w:sz w:val="24"/>
                <w:highlight w:val="none"/>
              </w:rPr>
            </w:pPr>
          </w:p>
          <w:p w14:paraId="3102902D">
            <w:pPr>
              <w:snapToGrid w:val="0"/>
              <w:spacing w:line="360" w:lineRule="auto"/>
              <w:jc w:val="center"/>
              <w:rPr>
                <w:rFonts w:hint="eastAsia" w:ascii="宋体" w:hAnsi="宋体" w:eastAsia="宋体" w:cs="宋体"/>
                <w:color w:val="auto"/>
                <w:sz w:val="24"/>
                <w:highlight w:val="none"/>
              </w:rPr>
            </w:pPr>
          </w:p>
          <w:p w14:paraId="0FCC4479">
            <w:pPr>
              <w:snapToGrid w:val="0"/>
              <w:spacing w:line="360" w:lineRule="auto"/>
              <w:jc w:val="center"/>
              <w:rPr>
                <w:rFonts w:hint="eastAsia" w:ascii="宋体" w:hAnsi="宋体" w:eastAsia="宋体" w:cs="宋体"/>
                <w:color w:val="auto"/>
                <w:sz w:val="24"/>
                <w:highlight w:val="none"/>
              </w:rPr>
            </w:pPr>
          </w:p>
          <w:p w14:paraId="682EB5E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2F73B59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168" w:type="dxa"/>
            <w:vAlign w:val="center"/>
          </w:tcPr>
          <w:p w14:paraId="70A83C8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51BD18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2FE7E3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9187BF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EC67B4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6ADC5F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219FB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13B8A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428BB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1A4DB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7" w:hRule="atLeast"/>
        </w:trPr>
        <w:tc>
          <w:tcPr>
            <w:tcW w:w="629" w:type="dxa"/>
          </w:tcPr>
          <w:p w14:paraId="3323C3C6">
            <w:pPr>
              <w:snapToGrid w:val="0"/>
              <w:spacing w:line="360" w:lineRule="auto"/>
              <w:jc w:val="center"/>
              <w:rPr>
                <w:rFonts w:hint="eastAsia" w:ascii="宋体" w:hAnsi="宋体" w:eastAsia="宋体" w:cs="宋体"/>
                <w:color w:val="auto"/>
                <w:sz w:val="24"/>
                <w:highlight w:val="none"/>
              </w:rPr>
            </w:pPr>
          </w:p>
          <w:p w14:paraId="13AAAE9F">
            <w:pPr>
              <w:snapToGrid w:val="0"/>
              <w:spacing w:line="360" w:lineRule="auto"/>
              <w:jc w:val="center"/>
              <w:rPr>
                <w:rFonts w:hint="eastAsia" w:ascii="宋体" w:hAnsi="宋体" w:eastAsia="宋体" w:cs="宋体"/>
                <w:color w:val="auto"/>
                <w:sz w:val="24"/>
                <w:highlight w:val="none"/>
              </w:rPr>
            </w:pPr>
          </w:p>
          <w:p w14:paraId="006CC952">
            <w:pPr>
              <w:snapToGrid w:val="0"/>
              <w:spacing w:line="360" w:lineRule="auto"/>
              <w:jc w:val="center"/>
              <w:rPr>
                <w:rFonts w:hint="eastAsia" w:ascii="宋体" w:hAnsi="宋体" w:eastAsia="宋体" w:cs="宋体"/>
                <w:color w:val="auto"/>
                <w:sz w:val="24"/>
                <w:highlight w:val="none"/>
              </w:rPr>
            </w:pPr>
          </w:p>
          <w:p w14:paraId="6CEC29C6">
            <w:pPr>
              <w:snapToGrid w:val="0"/>
              <w:spacing w:line="360" w:lineRule="auto"/>
              <w:jc w:val="center"/>
              <w:rPr>
                <w:rFonts w:hint="eastAsia" w:ascii="宋体" w:hAnsi="宋体" w:eastAsia="宋体" w:cs="宋体"/>
                <w:color w:val="auto"/>
                <w:sz w:val="24"/>
                <w:highlight w:val="none"/>
              </w:rPr>
            </w:pPr>
          </w:p>
          <w:p w14:paraId="5746A7AB">
            <w:pPr>
              <w:snapToGrid w:val="0"/>
              <w:spacing w:line="360" w:lineRule="auto"/>
              <w:jc w:val="center"/>
              <w:rPr>
                <w:rFonts w:hint="eastAsia" w:ascii="宋体" w:hAnsi="宋体" w:eastAsia="宋体" w:cs="宋体"/>
                <w:color w:val="auto"/>
                <w:sz w:val="24"/>
                <w:highlight w:val="none"/>
              </w:rPr>
            </w:pPr>
          </w:p>
          <w:p w14:paraId="52FEF0F4">
            <w:pPr>
              <w:snapToGrid w:val="0"/>
              <w:spacing w:line="360" w:lineRule="auto"/>
              <w:jc w:val="center"/>
              <w:rPr>
                <w:rFonts w:hint="eastAsia" w:ascii="宋体" w:hAnsi="宋体" w:eastAsia="宋体" w:cs="宋体"/>
                <w:color w:val="auto"/>
                <w:sz w:val="24"/>
                <w:highlight w:val="none"/>
              </w:rPr>
            </w:pPr>
          </w:p>
          <w:p w14:paraId="38A116F5">
            <w:pPr>
              <w:snapToGrid w:val="0"/>
              <w:spacing w:line="360" w:lineRule="auto"/>
              <w:jc w:val="center"/>
              <w:rPr>
                <w:rFonts w:hint="eastAsia" w:ascii="宋体" w:hAnsi="宋体" w:eastAsia="宋体" w:cs="宋体"/>
                <w:color w:val="auto"/>
                <w:sz w:val="24"/>
                <w:highlight w:val="none"/>
              </w:rPr>
            </w:pPr>
          </w:p>
          <w:p w14:paraId="6643E46E">
            <w:pPr>
              <w:snapToGrid w:val="0"/>
              <w:spacing w:line="360" w:lineRule="auto"/>
              <w:jc w:val="center"/>
              <w:rPr>
                <w:rFonts w:hint="eastAsia" w:ascii="宋体" w:hAnsi="宋体" w:eastAsia="宋体" w:cs="宋体"/>
                <w:color w:val="auto"/>
                <w:sz w:val="24"/>
                <w:highlight w:val="none"/>
              </w:rPr>
            </w:pPr>
          </w:p>
          <w:p w14:paraId="5C43574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6F1E845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168" w:type="dxa"/>
            <w:vAlign w:val="center"/>
          </w:tcPr>
          <w:p w14:paraId="3DAE60A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69A5F3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C8EB0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16F412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AA7596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1446F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EB70BA9">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52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29" w:type="dxa"/>
            <w:vMerge w:val="restart"/>
          </w:tcPr>
          <w:p w14:paraId="5EBCA224">
            <w:pPr>
              <w:snapToGrid w:val="0"/>
              <w:spacing w:line="360" w:lineRule="auto"/>
              <w:jc w:val="center"/>
              <w:rPr>
                <w:rFonts w:hint="eastAsia" w:ascii="宋体" w:hAnsi="宋体" w:eastAsia="宋体" w:cs="宋体"/>
                <w:color w:val="auto"/>
                <w:sz w:val="24"/>
                <w:highlight w:val="none"/>
              </w:rPr>
            </w:pPr>
          </w:p>
          <w:p w14:paraId="609C00F4">
            <w:pPr>
              <w:snapToGrid w:val="0"/>
              <w:spacing w:line="360" w:lineRule="auto"/>
              <w:jc w:val="center"/>
              <w:rPr>
                <w:rFonts w:hint="eastAsia" w:ascii="宋体" w:hAnsi="宋体" w:eastAsia="宋体" w:cs="宋体"/>
                <w:color w:val="auto"/>
                <w:sz w:val="24"/>
                <w:highlight w:val="none"/>
              </w:rPr>
            </w:pPr>
          </w:p>
          <w:p w14:paraId="499DC5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5304594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168" w:type="dxa"/>
            <w:vAlign w:val="center"/>
          </w:tcPr>
          <w:p w14:paraId="43DDE7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12501D9">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23E52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7" w:hRule="atLeast"/>
        </w:trPr>
        <w:tc>
          <w:tcPr>
            <w:tcW w:w="629" w:type="dxa"/>
            <w:vMerge w:val="continue"/>
          </w:tcPr>
          <w:p w14:paraId="716978E7">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26AF894D">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26AFBD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18F08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629" w:type="dxa"/>
          </w:tcPr>
          <w:p w14:paraId="3E9AAAB7">
            <w:pPr>
              <w:snapToGrid w:val="0"/>
              <w:spacing w:line="360" w:lineRule="auto"/>
              <w:jc w:val="center"/>
              <w:rPr>
                <w:rFonts w:hint="eastAsia" w:ascii="宋体" w:hAnsi="宋体" w:eastAsia="宋体" w:cs="宋体"/>
                <w:color w:val="auto"/>
                <w:sz w:val="24"/>
                <w:highlight w:val="none"/>
              </w:rPr>
            </w:pPr>
          </w:p>
          <w:p w14:paraId="644818CB">
            <w:pPr>
              <w:snapToGrid w:val="0"/>
              <w:spacing w:line="360" w:lineRule="auto"/>
              <w:jc w:val="center"/>
              <w:rPr>
                <w:rFonts w:hint="eastAsia" w:ascii="宋体" w:hAnsi="宋体" w:eastAsia="宋体" w:cs="宋体"/>
                <w:color w:val="auto"/>
                <w:sz w:val="24"/>
                <w:highlight w:val="none"/>
              </w:rPr>
            </w:pPr>
          </w:p>
          <w:p w14:paraId="4CE8BBC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3B695D3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168" w:type="dxa"/>
            <w:vAlign w:val="center"/>
          </w:tcPr>
          <w:p w14:paraId="1167148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9C3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6" w:hRule="atLeast"/>
        </w:trPr>
        <w:tc>
          <w:tcPr>
            <w:tcW w:w="629" w:type="dxa"/>
          </w:tcPr>
          <w:p w14:paraId="06AB2BAE">
            <w:pPr>
              <w:snapToGrid w:val="0"/>
              <w:spacing w:line="360" w:lineRule="auto"/>
              <w:jc w:val="center"/>
              <w:rPr>
                <w:rFonts w:hint="eastAsia" w:ascii="宋体" w:hAnsi="宋体" w:eastAsia="宋体" w:cs="宋体"/>
                <w:color w:val="auto"/>
                <w:sz w:val="24"/>
                <w:highlight w:val="none"/>
              </w:rPr>
            </w:pPr>
          </w:p>
          <w:p w14:paraId="42572E5C">
            <w:pPr>
              <w:snapToGrid w:val="0"/>
              <w:spacing w:line="360" w:lineRule="auto"/>
              <w:jc w:val="center"/>
              <w:rPr>
                <w:rFonts w:hint="eastAsia" w:ascii="宋体" w:hAnsi="宋体" w:eastAsia="宋体" w:cs="宋体"/>
                <w:color w:val="auto"/>
                <w:sz w:val="24"/>
                <w:highlight w:val="none"/>
              </w:rPr>
            </w:pPr>
          </w:p>
          <w:p w14:paraId="294FD8A2">
            <w:pPr>
              <w:snapToGrid w:val="0"/>
              <w:spacing w:line="360" w:lineRule="auto"/>
              <w:jc w:val="center"/>
              <w:rPr>
                <w:rFonts w:hint="eastAsia" w:ascii="宋体" w:hAnsi="宋体" w:eastAsia="宋体" w:cs="宋体"/>
                <w:color w:val="auto"/>
                <w:sz w:val="24"/>
                <w:highlight w:val="none"/>
              </w:rPr>
            </w:pPr>
          </w:p>
          <w:p w14:paraId="6500E165">
            <w:pPr>
              <w:snapToGrid w:val="0"/>
              <w:spacing w:line="360" w:lineRule="auto"/>
              <w:jc w:val="center"/>
              <w:rPr>
                <w:rFonts w:hint="eastAsia" w:ascii="宋体" w:hAnsi="宋体" w:eastAsia="宋体" w:cs="宋体"/>
                <w:color w:val="auto"/>
                <w:sz w:val="24"/>
                <w:highlight w:val="none"/>
              </w:rPr>
            </w:pPr>
          </w:p>
          <w:p w14:paraId="1080C9B6">
            <w:pPr>
              <w:snapToGrid w:val="0"/>
              <w:spacing w:line="360" w:lineRule="auto"/>
              <w:jc w:val="center"/>
              <w:rPr>
                <w:rFonts w:hint="eastAsia" w:ascii="宋体" w:hAnsi="宋体" w:eastAsia="宋体" w:cs="宋体"/>
                <w:color w:val="auto"/>
                <w:sz w:val="24"/>
                <w:highlight w:val="none"/>
              </w:rPr>
            </w:pPr>
          </w:p>
          <w:p w14:paraId="4F414EA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21FB45A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168" w:type="dxa"/>
            <w:vAlign w:val="center"/>
          </w:tcPr>
          <w:p w14:paraId="7217951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C5A112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FE2A38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08F375C8">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0758E1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8614F8D">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8BF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6" w:hRule="atLeast"/>
        </w:trPr>
        <w:tc>
          <w:tcPr>
            <w:tcW w:w="629" w:type="dxa"/>
          </w:tcPr>
          <w:p w14:paraId="5FA2D851">
            <w:pPr>
              <w:snapToGrid w:val="0"/>
              <w:spacing w:line="360" w:lineRule="auto"/>
              <w:jc w:val="center"/>
              <w:rPr>
                <w:rFonts w:hint="eastAsia" w:ascii="宋体" w:hAnsi="宋体" w:eastAsia="宋体" w:cs="宋体"/>
                <w:color w:val="auto"/>
                <w:sz w:val="24"/>
                <w:highlight w:val="none"/>
              </w:rPr>
            </w:pPr>
          </w:p>
          <w:p w14:paraId="1C8827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3E309E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168" w:type="dxa"/>
            <w:vAlign w:val="center"/>
          </w:tcPr>
          <w:p w14:paraId="41A3BD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82F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9" w:hRule="atLeast"/>
        </w:trPr>
        <w:tc>
          <w:tcPr>
            <w:tcW w:w="629" w:type="dxa"/>
          </w:tcPr>
          <w:p w14:paraId="612D4BE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6E2E434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168" w:type="dxa"/>
            <w:vAlign w:val="center"/>
          </w:tcPr>
          <w:p w14:paraId="34A69E09">
            <w:pPr>
              <w:pStyle w:val="33"/>
              <w:spacing w:line="360" w:lineRule="auto"/>
              <w:rPr>
                <w:rFonts w:hint="eastAsia" w:ascii="宋体" w:hAnsi="宋体" w:eastAsia="宋体" w:cs="宋体"/>
                <w:color w:val="auto"/>
                <w:kern w:val="28"/>
                <w:sz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kern w:val="28"/>
                <w:sz w:val="24"/>
                <w:szCs w:val="24"/>
                <w:highlight w:val="none"/>
                <w:u w:val="single"/>
              </w:rPr>
              <w:t>杭州市萧山区空间结构产业园3号楼</w:t>
            </w:r>
            <w:r>
              <w:rPr>
                <w:rStyle w:val="964"/>
                <w:rFonts w:hint="default" w:ascii="宋体" w:hAnsi="宋体" w:eastAsia="宋体" w:cs="宋体"/>
                <w:highlight w:val="none"/>
              </w:rPr>
              <w:t>，</w:t>
            </w:r>
            <w:r>
              <w:rPr>
                <w:rFonts w:hint="eastAsia" w:hAnsi="宋体" w:cs="宋体"/>
                <w:color w:val="000000"/>
                <w:kern w:val="28"/>
                <w:sz w:val="24"/>
                <w:szCs w:val="24"/>
                <w:highlight w:val="none"/>
              </w:rPr>
              <w:t>备份投标文件签收人员联系电话：</w:t>
            </w:r>
            <w:r>
              <w:rPr>
                <w:rFonts w:hint="eastAsia" w:hAnsi="宋体" w:cs="宋体"/>
                <w:color w:val="000000"/>
                <w:kern w:val="28"/>
                <w:sz w:val="24"/>
                <w:szCs w:val="24"/>
                <w:highlight w:val="none"/>
                <w:u w:val="single"/>
              </w:rPr>
              <w:t>陈工18268803655</w:t>
            </w:r>
            <w:r>
              <w:rPr>
                <w:rFonts w:hint="eastAsia" w:hAnsi="宋体" w:cs="宋体"/>
                <w:color w:val="000000"/>
                <w:sz w:val="24"/>
                <w:szCs w:val="24"/>
                <w:highlight w:val="none"/>
              </w:rPr>
              <w:t>。</w:t>
            </w:r>
            <w:r>
              <w:rPr>
                <w:rFonts w:hint="eastAsia" w:hAnsi="宋体" w:cs="宋体"/>
                <w:color w:val="000000"/>
                <w:kern w:val="28"/>
                <w:sz w:val="24"/>
                <w:szCs w:val="24"/>
                <w:highlight w:val="none"/>
              </w:rPr>
              <w:t>因开标地点与代理机构办公地点不在同一处，备份文件如开标当天送出，请在投标截止时间之前，送至</w:t>
            </w:r>
            <w:r>
              <w:rPr>
                <w:rFonts w:hint="eastAsia" w:hAnsi="宋体" w:cs="宋体"/>
                <w:color w:val="000000"/>
                <w:kern w:val="28"/>
                <w:sz w:val="24"/>
                <w:szCs w:val="24"/>
                <w:highlight w:val="none"/>
                <w:u w:val="single"/>
              </w:rPr>
              <w:t>杭州市钱塘区金沙大道600号东楼6楼</w:t>
            </w:r>
            <w:r>
              <w:rPr>
                <w:rFonts w:hint="eastAsia" w:hAnsi="宋体" w:cs="宋体"/>
                <w:color w:val="000000"/>
                <w:kern w:val="28"/>
                <w:sz w:val="24"/>
                <w:szCs w:val="24"/>
                <w:highlight w:val="none"/>
                <w:u w:val="single"/>
                <w:lang w:val="en-US" w:eastAsia="zh-CN"/>
              </w:rPr>
              <w:t>5</w:t>
            </w:r>
            <w:r>
              <w:rPr>
                <w:rFonts w:hint="eastAsia" w:hAnsi="宋体" w:cs="宋体"/>
                <w:color w:val="000000"/>
                <w:kern w:val="28"/>
                <w:sz w:val="24"/>
                <w:szCs w:val="24"/>
                <w:highlight w:val="none"/>
                <w:u w:val="single"/>
              </w:rPr>
              <w:t>号开标室</w:t>
            </w:r>
            <w:r>
              <w:rPr>
                <w:rFonts w:hint="eastAsia" w:hAnsi="宋体" w:cs="宋体"/>
                <w:color w:val="000000"/>
                <w:kern w:val="28"/>
                <w:sz w:val="24"/>
                <w:szCs w:val="24"/>
                <w:highlight w:val="none"/>
              </w:rPr>
              <w:t>。</w:t>
            </w:r>
            <w:r>
              <w:rPr>
                <w:rFonts w:hint="eastAsia" w:hAnsi="宋体" w:cs="宋体"/>
                <w:b/>
                <w:color w:val="000000"/>
                <w:sz w:val="24"/>
                <w:szCs w:val="24"/>
                <w:highlight w:val="none"/>
              </w:rPr>
              <w:t>采购人、采购机构不强制或变相强制投标人提交备份投标文件。</w:t>
            </w:r>
          </w:p>
        </w:tc>
      </w:tr>
      <w:tr w14:paraId="108F7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restart"/>
          </w:tcPr>
          <w:p w14:paraId="35D0811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7A1660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168" w:type="dxa"/>
            <w:vAlign w:val="center"/>
          </w:tcPr>
          <w:p w14:paraId="44FF1C25">
            <w:pPr>
              <w:spacing w:line="360" w:lineRule="auto"/>
              <w:rPr>
                <w:rFonts w:hint="eastAsia" w:ascii="宋体" w:hAnsi="宋体" w:eastAsia="宋体" w:cs="宋体"/>
                <w:snapToGrid w:val="0"/>
                <w:color w:val="auto"/>
                <w:kern w:val="28"/>
                <w:sz w:val="24"/>
                <w:highlight w:val="none"/>
              </w:rPr>
            </w:pPr>
            <w:r>
              <w:rPr>
                <w:rFonts w:hint="eastAsia" w:hAnsi="宋体" w:cs="宋体"/>
                <w:sz w:val="24"/>
                <w:highlight w:val="none"/>
              </w:rPr>
              <w:t>以联合体形式投标的，提供联合协议，格式见采购文件第六部分。供应商不以联合体形式投标的，则无需提供。</w:t>
            </w:r>
          </w:p>
        </w:tc>
      </w:tr>
      <w:tr w14:paraId="31E54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continue"/>
          </w:tcPr>
          <w:p w14:paraId="605FA7ED">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6D77E068">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1D0A0D66">
            <w:pPr>
              <w:spacing w:line="360" w:lineRule="auto"/>
              <w:rPr>
                <w:rFonts w:hint="eastAsia" w:hAnsi="宋体" w:cs="宋体"/>
                <w:sz w:val="24"/>
                <w:highlight w:val="none"/>
              </w:rPr>
            </w:pPr>
            <w:r>
              <w:rPr>
                <w:rFonts w:hint="eastAsia" w:hAnsi="宋体" w:cs="宋体"/>
                <w:b/>
                <w:bCs/>
                <w:color w:val="auto"/>
                <w:sz w:val="24"/>
                <w:highlight w:val="none"/>
              </w:rPr>
              <w:t>以联合体形式投标的，除联合体协议书、</w:t>
            </w:r>
            <w:r>
              <w:rPr>
                <w:rFonts w:hint="eastAsia" w:ascii="宋体" w:hAnsi="宋体" w:eastAsia="宋体" w:cs="宋体"/>
                <w:b/>
                <w:bCs/>
                <w:color w:val="auto"/>
                <w:sz w:val="24"/>
                <w:highlight w:val="none"/>
              </w:rPr>
              <w:t>符合参加政府采购活动应当具备的一般条件的承诺函</w:t>
            </w:r>
            <w:r>
              <w:rPr>
                <w:rFonts w:hint="eastAsia" w:ascii="宋体" w:hAnsi="宋体" w:cs="宋体"/>
                <w:b/>
                <w:bCs/>
                <w:color w:val="auto"/>
                <w:sz w:val="24"/>
                <w:highlight w:val="none"/>
                <w:lang w:eastAsia="zh-CN"/>
              </w:rPr>
              <w:t>、授权委托书</w:t>
            </w:r>
            <w:r>
              <w:rPr>
                <w:rFonts w:hint="eastAsia" w:hAnsi="宋体" w:cs="宋体"/>
                <w:b/>
                <w:bCs/>
                <w:color w:val="auto"/>
                <w:sz w:val="24"/>
                <w:highlight w:val="none"/>
              </w:rPr>
              <w:t>之外的仅由联合体牵头人加盖单位电子印章即可。</w:t>
            </w:r>
          </w:p>
        </w:tc>
      </w:tr>
      <w:tr w14:paraId="74CDA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continue"/>
          </w:tcPr>
          <w:p w14:paraId="410C689D">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467B6292">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1F8814E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D1F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629" w:type="dxa"/>
            <w:vMerge w:val="continue"/>
          </w:tcPr>
          <w:p w14:paraId="538DF96D">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5E64DBEE">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28FCBC4B">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294EF872">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F02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629" w:type="dxa"/>
            <w:vMerge w:val="continue"/>
          </w:tcPr>
          <w:p w14:paraId="7BBC2FB7">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3F43A166">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769A6F3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标项</w:t>
            </w:r>
            <w:r>
              <w:rPr>
                <w:rFonts w:hint="eastAsia" w:ascii="宋体" w:hAnsi="宋体" w:eastAsia="宋体" w:cs="宋体"/>
                <w:color w:val="auto"/>
                <w:kern w:val="0"/>
                <w:sz w:val="24"/>
                <w:highlight w:val="none"/>
              </w:rPr>
              <w:t>中标候选人个数：1人</w:t>
            </w:r>
          </w:p>
        </w:tc>
      </w:tr>
      <w:tr w14:paraId="53952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continue"/>
          </w:tcPr>
          <w:p w14:paraId="79508161">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4876C21C">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0EC0E2C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采购代理服务费：本项目的采购代理费由中标人支付。</w:t>
            </w:r>
          </w:p>
          <w:p w14:paraId="284B583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计费标准：按计价格【2002】1980号文件标准计取。</w:t>
            </w:r>
          </w:p>
          <w:p w14:paraId="71A7C373">
            <w:pPr>
              <w:spacing w:line="360" w:lineRule="auto"/>
              <w:rPr>
                <w:rFonts w:hint="eastAsia" w:ascii="宋体" w:hAnsi="宋体" w:eastAsia="宋体" w:cs="宋体"/>
                <w:color w:val="auto"/>
                <w:highlight w:val="none"/>
                <w:lang w:val="en-US"/>
              </w:rPr>
            </w:pPr>
            <w:r>
              <w:rPr>
                <w:rFonts w:hint="eastAsia" w:ascii="宋体" w:hAnsi="宋体" w:eastAsia="宋体" w:cs="宋体"/>
                <w:snapToGrid w:val="0"/>
                <w:color w:val="auto"/>
                <w:kern w:val="28"/>
                <w:sz w:val="24"/>
                <w:highlight w:val="none"/>
              </w:rPr>
              <w:t>结算方式及时间为：中标人在领取中标通知书后7个工作日内由中标供应商一次性向采购代理机构付清。</w:t>
            </w:r>
          </w:p>
        </w:tc>
      </w:tr>
      <w:tr w14:paraId="04AA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tcPr>
          <w:p w14:paraId="73DDE1A9">
            <w:pPr>
              <w:snapToGrid w:val="0"/>
              <w:spacing w:line="360" w:lineRule="auto"/>
              <w:jc w:val="center"/>
              <w:rPr>
                <w:rFonts w:hint="eastAsia" w:ascii="宋体" w:hAnsi="宋体" w:eastAsia="宋体" w:cs="宋体"/>
                <w:color w:val="auto"/>
                <w:sz w:val="24"/>
                <w:highlight w:val="none"/>
              </w:rPr>
            </w:pPr>
            <w:bookmarkStart w:id="13" w:name="_Toc164416483"/>
            <w:bookmarkStart w:id="14" w:name="第三部分"/>
          </w:p>
        </w:tc>
        <w:tc>
          <w:tcPr>
            <w:tcW w:w="1843" w:type="dxa"/>
            <w:vAlign w:val="center"/>
          </w:tcPr>
          <w:p w14:paraId="126F990F">
            <w:pPr>
              <w:shd w:val="clear" w:color="auto" w:fill="auto"/>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特别说明</w:t>
            </w:r>
          </w:p>
        </w:tc>
        <w:tc>
          <w:tcPr>
            <w:tcW w:w="7168" w:type="dxa"/>
            <w:vAlign w:val="center"/>
          </w:tcPr>
          <w:p w14:paraId="7FA31561">
            <w:pPr>
              <w:numPr>
                <w:ilvl w:val="0"/>
                <w:numId w:val="0"/>
              </w:num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▲1.不同供应商的电子投标（响应）文件上传计算机的网卡MAC地址或硬盘序列号等硬件信息相同的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p w14:paraId="2AA706FF">
            <w:pPr>
              <w:numPr>
                <w:ilvl w:val="0"/>
                <w:numId w:val="0"/>
              </w:num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highlight w:val="none"/>
              </w:rPr>
              <w:t>上传的电子投标（响应）文件若出现使用本项目其他投标（响应）供应商的数字证书加密的，或者加盖本项目其他投标（响应）供应商的电子印章的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p w14:paraId="3F4D7D4C">
            <w:pPr>
              <w:numPr>
                <w:ilvl w:val="0"/>
                <w:numId w:val="0"/>
              </w:numPr>
              <w:shd w:val="clear" w:color="auto" w:fill="auto"/>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highlight w:val="none"/>
              </w:rPr>
              <w:t>不同供应商的投标（响应）文件的内容存在三处（含）以上错误一致的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p w14:paraId="0CFC31E6">
            <w:pPr>
              <w:numPr>
                <w:ilvl w:val="0"/>
                <w:numId w:val="0"/>
              </w:numPr>
              <w:shd w:val="clear" w:color="auto" w:fill="auto"/>
              <w:spacing w:line="360" w:lineRule="auto"/>
              <w:ind w:leftChars="0"/>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▲4.不同供应商联系人为同一人或不同联系人的联系电话一致的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tc>
      </w:tr>
      <w:bookmarkEnd w:id="10"/>
    </w:tbl>
    <w:p w14:paraId="56AAD73C">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3"/>
    <w:bookmarkEnd w:id="14"/>
    <w:p w14:paraId="25386579">
      <w:pPr>
        <w:adjustRightInd/>
        <w:spacing w:line="360" w:lineRule="auto"/>
        <w:ind w:firstLine="3845" w:firstLineChars="1197"/>
        <w:outlineLvl w:val="0"/>
        <w:rPr>
          <w:rFonts w:hint="eastAsia" w:ascii="宋体" w:hAnsi="宋体" w:cs="宋体"/>
          <w:b/>
          <w:color w:val="auto"/>
          <w:sz w:val="32"/>
          <w:szCs w:val="20"/>
          <w:highlight w:val="none"/>
          <w14:ligatures w14:val="none"/>
        </w:rPr>
      </w:pPr>
      <w:bookmarkStart w:id="15" w:name="_Toc91899903"/>
      <w:bookmarkStart w:id="16" w:name="第四部分"/>
      <w:r>
        <w:rPr>
          <w:rFonts w:hint="eastAsia" w:ascii="宋体" w:hAnsi="宋体" w:cs="宋体"/>
          <w:b/>
          <w:color w:val="auto"/>
          <w:sz w:val="32"/>
          <w:szCs w:val="20"/>
          <w:highlight w:val="none"/>
          <w14:ligatures w14:val="none"/>
        </w:rPr>
        <w:t>一、总则</w:t>
      </w:r>
    </w:p>
    <w:p w14:paraId="7F99932B">
      <w:pPr>
        <w:snapToGrid w:val="0"/>
        <w:spacing w:line="360" w:lineRule="auto"/>
        <w:ind w:firstLine="361" w:firstLineChars="150"/>
        <w:jc w:val="left"/>
        <w:outlineLvl w:val="1"/>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 适用范围</w:t>
      </w:r>
    </w:p>
    <w:p w14:paraId="41AFCC03">
      <w:pPr>
        <w:snapToGrid w:val="0"/>
        <w:spacing w:line="360" w:lineRule="auto"/>
        <w:ind w:firstLine="480" w:firstLineChars="20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本招标文件适用于该项目的招标、投标、开标、资格审查及信用信息查询、评标、定标、合同、验收等行为（法律、法规另有规定的，从其规定）。</w:t>
      </w:r>
    </w:p>
    <w:p w14:paraId="10325E71">
      <w:pPr>
        <w:adjustRightInd/>
        <w:spacing w:line="360" w:lineRule="auto"/>
        <w:ind w:firstLine="482"/>
        <w:outlineLvl w:val="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 xml:space="preserve">   2.定义</w:t>
      </w:r>
    </w:p>
    <w:p w14:paraId="775DD63C">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2.1 “采购人”系指招标公告中载明的本项目的采购人。</w:t>
      </w:r>
    </w:p>
    <w:p w14:paraId="65F0BD0C">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2.2 “采购代理机构”系指招标公告中载明的本项目的采购代理机构。</w:t>
      </w:r>
    </w:p>
    <w:p w14:paraId="5F915BEF">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 “投标人”系指是指响应招标、参加投标竞争的法人、其他组织或者自然人。</w:t>
      </w:r>
    </w:p>
    <w:p w14:paraId="6680D336">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2.4 “负责人”系指法人企业的法定负责人，或其他组织为法律、行政法规规定代表单位行使职权的主要负责人，或自然人本人。</w:t>
      </w:r>
    </w:p>
    <w:p w14:paraId="7733B454">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99E212">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2.6“电子交易平台”系指本项目政府采购活动所依托的政府采购云平台（https://www.zcygov.cn/）。</w:t>
      </w:r>
    </w:p>
    <w:p w14:paraId="4B828137">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2.7 “▲” 系指实质性要求条款，“</w:t>
      </w:r>
      <w:r>
        <w:rPr>
          <w:rFonts w:ascii="Segoe UI Symbol" w:hAnsi="Segoe UI Symbol" w:cs="Segoe UI Symbol"/>
          <w:color w:val="auto"/>
          <w:sz w:val="24"/>
          <w:highlight w:val="none"/>
          <w14:ligatures w14:val="none"/>
        </w:rPr>
        <w:t>☑</w:t>
      </w:r>
      <w:r>
        <w:rPr>
          <w:rFonts w:hint="eastAsia" w:ascii="宋体" w:hAnsi="宋体" w:cs="宋体"/>
          <w:color w:val="auto"/>
          <w:sz w:val="24"/>
          <w:highlight w:val="none"/>
          <w14:ligatures w14:val="none"/>
        </w:rPr>
        <w:t>” 系指适用本项目的要求，“</w:t>
      </w:r>
      <w:sdt>
        <w:sdtPr>
          <w:rPr>
            <w:rFonts w:hint="eastAsia" w:ascii="宋体" w:hAnsi="宋体" w:cs="宋体"/>
            <w:color w:val="auto"/>
            <w:kern w:val="0"/>
            <w:sz w:val="24"/>
            <w:highlight w:val="none"/>
            <w14:ligatures w14:val="none"/>
          </w:rPr>
          <w:id w:val="147460674"/>
          <w14:checkbox>
            <w14:checked w14:val="0"/>
            <w14:checkedState w14:val="00FE" w14:font="Wingdings"/>
            <w14:uncheckedState w14:val="2610" w14:font="MS Gothic"/>
          </w14:checkbox>
        </w:sdtPr>
        <w:sdtEndPr>
          <w:rPr>
            <w:rFonts w:hint="eastAsia" w:ascii="宋体" w:hAnsi="宋体" w:cs="宋体"/>
            <w:color w:val="auto"/>
            <w:kern w:val="0"/>
            <w:sz w:val="24"/>
            <w:highlight w:val="none"/>
            <w14:ligatures w14:val="none"/>
          </w:rPr>
        </w:sdtEndPr>
        <w:sdtContent>
          <w:r>
            <w:rPr>
              <w:rFonts w:ascii="Segoe UI Symbol" w:hAnsi="Segoe UI Symbol" w:cs="Segoe UI Symbol"/>
              <w:color w:val="auto"/>
              <w:kern w:val="0"/>
              <w:sz w:val="24"/>
              <w:highlight w:val="none"/>
              <w14:ligatures w14:val="none"/>
            </w:rPr>
            <w:t>☐</w:t>
          </w:r>
        </w:sdtContent>
      </w:sdt>
      <w:r>
        <w:rPr>
          <w:rFonts w:hint="eastAsia" w:ascii="宋体" w:hAnsi="宋体" w:cs="宋体"/>
          <w:color w:val="auto"/>
          <w:sz w:val="24"/>
          <w:highlight w:val="none"/>
          <w14:ligatures w14:val="none"/>
        </w:rPr>
        <w:t>” 系指不适用本项目的要求。</w:t>
      </w:r>
    </w:p>
    <w:p w14:paraId="68A3E90E">
      <w:pPr>
        <w:spacing w:line="360" w:lineRule="auto"/>
        <w:ind w:firstLine="361" w:firstLineChars="15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3.</w:t>
      </w:r>
      <w:r>
        <w:rPr>
          <w:rFonts w:hint="eastAsia" w:ascii="宋体" w:hAnsi="宋体" w:cs="宋体"/>
          <w:color w:val="auto"/>
          <w:highlight w:val="none"/>
          <w14:ligatures w14:val="none"/>
        </w:rPr>
        <w:t xml:space="preserve"> </w:t>
      </w:r>
      <w:r>
        <w:rPr>
          <w:rFonts w:hint="eastAsia" w:ascii="宋体" w:hAnsi="宋体" w:cs="宋体"/>
          <w:b/>
          <w:color w:val="auto"/>
          <w:sz w:val="24"/>
          <w:highlight w:val="none"/>
          <w14:ligatures w14:val="none"/>
        </w:rPr>
        <w:t>采购项目需要落实的政府采购政策</w:t>
      </w:r>
    </w:p>
    <w:p w14:paraId="7330A243">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14:ligatures w14:val="none"/>
        </w:rPr>
        <w:t>优先采购向我国企业转让技术、与我国企业签订消化吸收再创新方案的供应商的进口产品</w:t>
      </w:r>
      <w:r>
        <w:rPr>
          <w:rFonts w:hint="eastAsia" w:ascii="宋体" w:hAnsi="宋体" w:cs="宋体"/>
          <w:color w:val="auto"/>
          <w:sz w:val="24"/>
          <w:highlight w:val="none"/>
          <w14:ligatures w14:val="none"/>
        </w:rPr>
        <w:t>。</w:t>
      </w:r>
    </w:p>
    <w:p w14:paraId="2BCDDEE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3.2 支持绿色发展</w:t>
      </w:r>
    </w:p>
    <w:p w14:paraId="13EDE3DF">
      <w:pPr>
        <w:spacing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sz w:val="24"/>
          <w:highlight w:val="none"/>
          <w14:ligatures w14: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14:ligatures w14:val="none"/>
        </w:rPr>
        <w:t>▲采购人拟采购的产品属于政府强制采购的节能产品品目清单范围的，投标人相应的投标产品未获得国家确定的认证机构出具的、处于有效期之内的节能产品认证证书的，投标无效。</w:t>
      </w:r>
    </w:p>
    <w:p w14:paraId="284B9736">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3.2.2 修缮、装修类项目采购建材的，采购人应将绿色建筑和绿色建材性能、指标等作为实质性条件纳入招标文件和合同。</w:t>
      </w:r>
    </w:p>
    <w:p w14:paraId="76F4CB1B">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820B881">
      <w:pPr>
        <w:spacing w:line="360" w:lineRule="auto"/>
        <w:ind w:firstLine="480" w:firstLineChars="200"/>
        <w:rPr>
          <w:rFonts w:hint="eastAsia" w:ascii="宋体" w:hAnsi="宋体" w:cs="宋体"/>
          <w:color w:val="auto"/>
          <w:sz w:val="24"/>
          <w:highlight w:val="none"/>
          <w14:ligatures w14:val="none"/>
        </w:rPr>
      </w:pPr>
      <w:r>
        <w:rPr>
          <w:rFonts w:ascii="宋体" w:hAnsi="宋体" w:cs="宋体"/>
          <w:color w:val="auto"/>
          <w:sz w:val="24"/>
          <w:highlight w:val="none"/>
          <w14:ligatures w14:val="none"/>
        </w:rPr>
        <w:t xml:space="preserve">3.2.4 </w:t>
      </w:r>
      <w:r>
        <w:rPr>
          <w:rFonts w:hint="eastAsia" w:ascii="宋体" w:hAnsi="宋体" w:cs="宋体"/>
          <w:color w:val="auto"/>
          <w:sz w:val="24"/>
          <w:highlight w:val="none"/>
          <w14:ligatures w14: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A5303B5">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3.3支持中小企业发展</w:t>
      </w:r>
    </w:p>
    <w:p w14:paraId="2DC1FE3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432894">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符合中小企业划分标准的个体工商户，在政府采购活动中视同中小企业。</w:t>
      </w:r>
    </w:p>
    <w:p w14:paraId="59787501">
      <w:pPr>
        <w:widowControl/>
        <w:spacing w:line="360" w:lineRule="auto"/>
        <w:ind w:firstLine="480" w:firstLineChars="200"/>
        <w:jc w:val="left"/>
        <w:rPr>
          <w:rFonts w:hint="eastAsia" w:ascii="宋体" w:hAnsi="宋体" w:cs="宋体"/>
          <w:color w:val="auto"/>
          <w:kern w:val="0"/>
          <w:sz w:val="24"/>
          <w:highlight w:val="none"/>
          <w14:ligatures w14:val="none"/>
        </w:rPr>
      </w:pPr>
      <w:r>
        <w:rPr>
          <w:rFonts w:ascii="宋体" w:hAnsi="宋体" w:cs="宋体"/>
          <w:bCs/>
          <w:color w:val="auto"/>
          <w:sz w:val="24"/>
          <w:highlight w:val="none"/>
          <w14:ligatures w14:val="none"/>
        </w:rPr>
        <w:t>3.3.2</w:t>
      </w:r>
      <w:r>
        <w:rPr>
          <w:rFonts w:hint="eastAsia" w:ascii="宋体" w:hAnsi="宋体" w:cs="宋体"/>
          <w:color w:val="auto"/>
          <w:kern w:val="0"/>
          <w:sz w:val="24"/>
          <w:highlight w:val="none"/>
          <w14:ligatures w14: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2D8CE3">
      <w:pPr>
        <w:widowControl/>
        <w:spacing w:line="360" w:lineRule="auto"/>
        <w:ind w:firstLine="480" w:firstLineChars="200"/>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以联合体形式参加政府采购活动，联合体各方均为中小企业的，联合体视同中小企业。其中，联合体各方均为小微企业的，联合体视同小微企业。</w:t>
      </w:r>
    </w:p>
    <w:p w14:paraId="5782E563">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14:ligatures w14:val="none"/>
        </w:rPr>
        <w:t>20</w:t>
      </w:r>
      <w:r>
        <w:rPr>
          <w:rFonts w:hint="eastAsia" w:ascii="宋体" w:hAnsi="宋体" w:cs="宋体"/>
          <w:color w:val="auto"/>
          <w:sz w:val="24"/>
          <w:highlight w:val="none"/>
          <w14:ligatures w14: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14:ligatures w14:val="none"/>
        </w:rPr>
        <w:t>6</w:t>
      </w:r>
      <w:r>
        <w:rPr>
          <w:rFonts w:hint="eastAsia" w:ascii="宋体" w:hAnsi="宋体" w:cs="宋体"/>
          <w:color w:val="auto"/>
          <w:sz w:val="24"/>
          <w:highlight w:val="none"/>
          <w14:ligatures w14:val="none"/>
        </w:rPr>
        <w:t>%的扣除，用扣除后的价格参加评审。组成联合体或者接受分包的小微企业与联合体内其他企业、分包企业之间存在直接控股、管理关系的，不享受价格扣除优惠政策。</w:t>
      </w:r>
    </w:p>
    <w:p w14:paraId="53A6E9CB">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3.3.4符合《关于促进残疾人就业政府采购政策的通知》（财库〔2017〕141号）规定的条件并提供《残疾人福利性单位声明函》（附件1）的残疾人福利性单位视同小型、微型企业；</w:t>
      </w:r>
    </w:p>
    <w:p w14:paraId="456400F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6C77F">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A027F4">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3.3.7中小企业享受扶持政策获得政府采购合同的，小微企业不得将合同分包给大中型企业，中型企业不得将合同分包给大型企业。</w:t>
      </w:r>
    </w:p>
    <w:p w14:paraId="7C29AD27">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w:t>
      </w:r>
      <w:r>
        <w:rPr>
          <w:rFonts w:hint="eastAsia" w:ascii="宋体" w:hAnsi="宋体" w:cs="宋体"/>
          <w:bCs/>
          <w:color w:val="auto"/>
          <w:sz w:val="24"/>
          <w:highlight w:val="none"/>
          <w14:ligatures w14:val="none"/>
        </w:rPr>
        <w:t>支持创新发展</w:t>
      </w:r>
    </w:p>
    <w:p w14:paraId="65E4B87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3.4.1 采购人优先采购被认定为首台套产品和“制造精品”的自主创新产品。</w:t>
      </w:r>
    </w:p>
    <w:p w14:paraId="12866F0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3.4.2首台套产品被纳入《首台套产品推广应用指导目录》之日起</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年内，以及产品核心技术高于国内领先水平，并具有明晰自主知识产权的“制造精品”产品，自认定之日起2年内视同已具备相应销售业绩，参加政府采购活动时业绩分值为满分。</w:t>
      </w:r>
    </w:p>
    <w:p w14:paraId="4A5EFED1">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3.4.3 采购人应当贯彻落实知识产权保护相关法律法规，应当采购使用正版软件。</w:t>
      </w:r>
    </w:p>
    <w:p w14:paraId="39628180">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3.5平等对待内外资企业和符合条件的破产重整企业</w:t>
      </w:r>
    </w:p>
    <w:p w14:paraId="130EE2B8">
      <w:pPr>
        <w:spacing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sz w:val="24"/>
          <w:highlight w:val="none"/>
          <w14:ligatures w14:val="none"/>
        </w:rPr>
        <w:t>平等对待内外资企业和符合条件的破产重整企业，切实保障企业公平竞争，平等维护企业的合法利益。</w:t>
      </w:r>
      <w:r>
        <w:rPr>
          <w:rFonts w:hint="eastAsia" w:ascii="宋体" w:hAnsi="宋体" w:cs="宋体"/>
          <w:color w:val="auto"/>
          <w:sz w:val="24"/>
          <w:highlight w:val="none"/>
          <w14:ligatures w14:val="none"/>
        </w:rPr>
        <w:cr/>
      </w:r>
      <w:r>
        <w:rPr>
          <w:rFonts w:hint="eastAsia" w:ascii="宋体" w:hAnsi="宋体" w:cs="宋体"/>
          <w:b/>
          <w:color w:val="auto"/>
          <w:sz w:val="24"/>
          <w:highlight w:val="none"/>
          <w14:ligatures w14:val="none"/>
        </w:rPr>
        <w:t>4. 询问、质疑、投诉、补偿救济</w:t>
      </w:r>
    </w:p>
    <w:p w14:paraId="3D1C70CE">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4.1在线询问、质疑、投诉。</w:t>
      </w:r>
    </w:p>
    <w:p w14:paraId="07205F03">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E9B733">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4.2供应商询问</w:t>
      </w:r>
    </w:p>
    <w:p w14:paraId="442619CF">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B904D3">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4.3供应商质疑</w:t>
      </w:r>
    </w:p>
    <w:p w14:paraId="48FAD856">
      <w:pPr>
        <w:spacing w:line="360" w:lineRule="auto"/>
        <w:ind w:firstLine="480" w:firstLineChars="200"/>
        <w:rPr>
          <w:rFonts w:hint="eastAsia" w:ascii="宋体" w:hAnsi="宋体" w:cs="宋体"/>
          <w:snapToGrid w:val="0"/>
          <w:color w:val="auto"/>
          <w:sz w:val="24"/>
          <w:szCs w:val="21"/>
          <w:highlight w:val="none"/>
          <w14:ligatures w14:val="none"/>
        </w:rPr>
      </w:pPr>
      <w:r>
        <w:rPr>
          <w:rFonts w:hint="eastAsia" w:ascii="宋体" w:hAnsi="宋体" w:cs="宋体"/>
          <w:snapToGrid w:val="0"/>
          <w:color w:val="auto"/>
          <w:kern w:val="0"/>
          <w:sz w:val="24"/>
          <w:szCs w:val="21"/>
          <w:highlight w:val="none"/>
          <w:lang w:val="zh-CN"/>
          <w14:ligatures w14:val="none"/>
        </w:rPr>
        <w:t>4.3</w:t>
      </w:r>
      <w:r>
        <w:rPr>
          <w:rFonts w:hint="eastAsia" w:ascii="宋体" w:hAnsi="宋体" w:cs="宋体"/>
          <w:snapToGrid w:val="0"/>
          <w:color w:val="auto"/>
          <w:sz w:val="24"/>
          <w:szCs w:val="21"/>
          <w:highlight w:val="none"/>
          <w14:ligatures w14:val="none"/>
        </w:rPr>
        <w:t>.1提出质疑的供应商应当是参与所质疑项目采购活动的供应商。潜在供应商已依法获取其可质疑的招标文件的，可以对该文件提出质疑。</w:t>
      </w:r>
    </w:p>
    <w:p w14:paraId="5A4A323C">
      <w:pPr>
        <w:spacing w:line="360" w:lineRule="auto"/>
        <w:ind w:firstLine="480" w:firstLineChars="200"/>
        <w:rPr>
          <w:rFonts w:hint="eastAsia" w:ascii="宋体" w:hAnsi="宋体" w:cs="宋体"/>
          <w:snapToGrid w:val="0"/>
          <w:color w:val="auto"/>
          <w:sz w:val="24"/>
          <w:szCs w:val="21"/>
          <w:highlight w:val="none"/>
          <w14:ligatures w14:val="none"/>
        </w:rPr>
      </w:pPr>
      <w:r>
        <w:rPr>
          <w:rFonts w:hint="eastAsia" w:ascii="宋体" w:hAnsi="宋体" w:cs="宋体"/>
          <w:snapToGrid w:val="0"/>
          <w:color w:val="auto"/>
          <w:kern w:val="0"/>
          <w:sz w:val="24"/>
          <w:szCs w:val="21"/>
          <w:highlight w:val="none"/>
          <w:lang w:val="zh-CN"/>
          <w14:ligatures w14:val="none"/>
        </w:rPr>
        <w:t>4.3</w:t>
      </w:r>
      <w:r>
        <w:rPr>
          <w:rFonts w:hint="eastAsia" w:ascii="宋体" w:hAnsi="宋体" w:cs="宋体"/>
          <w:snapToGrid w:val="0"/>
          <w:color w:val="auto"/>
          <w:sz w:val="24"/>
          <w:szCs w:val="21"/>
          <w:highlight w:val="none"/>
          <w14:ligatures w14: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75FD36">
      <w:pPr>
        <w:widowControl/>
        <w:snapToGrid w:val="0"/>
        <w:spacing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4.3.2.1对招标文件提出质疑的，质疑期限为供应商获得招标文件之日或者招标文件公告期限届满之日起计算。</w:t>
      </w:r>
    </w:p>
    <w:p w14:paraId="28800385">
      <w:pPr>
        <w:spacing w:line="360" w:lineRule="auto"/>
        <w:ind w:left="479" w:leftChars="228" w:firstLine="480"/>
        <w:rPr>
          <w:rFonts w:hint="eastAsia" w:ascii="宋体" w:hAnsi="宋体" w:cs="宋体"/>
          <w:snapToGrid w:val="0"/>
          <w:color w:val="auto"/>
          <w:sz w:val="24"/>
          <w:szCs w:val="21"/>
          <w:highlight w:val="none"/>
          <w14:ligatures w14:val="none"/>
        </w:rPr>
      </w:pPr>
      <w:r>
        <w:rPr>
          <w:rFonts w:hint="eastAsia" w:ascii="宋体" w:hAnsi="宋体" w:cs="宋体"/>
          <w:snapToGrid w:val="0"/>
          <w:color w:val="auto"/>
          <w:sz w:val="24"/>
          <w:szCs w:val="21"/>
          <w:highlight w:val="none"/>
          <w14:ligatures w14:val="none"/>
        </w:rPr>
        <w:t>4.3.2.2对采购过程提出质疑的，质疑期限为各采购程序环节结束之日起计算。4.3.2.3对采购结果提出质疑的，质疑期限自采购结果公告期限届满之日起计算。</w:t>
      </w:r>
    </w:p>
    <w:p w14:paraId="5213C561">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4.3.3</w:t>
      </w:r>
      <w:r>
        <w:rPr>
          <w:rFonts w:hint="eastAsia" w:ascii="宋体" w:hAnsi="宋体" w:cs="宋体"/>
          <w:snapToGrid w:val="0"/>
          <w:color w:val="auto"/>
          <w:sz w:val="24"/>
          <w:szCs w:val="21"/>
          <w:highlight w:val="none"/>
          <w14:ligatures w14:val="none"/>
        </w:rPr>
        <w:t>供应商提出质疑应当提交质疑函和必要的证明材料。质疑函应当包括下列内容：</w:t>
      </w:r>
    </w:p>
    <w:p w14:paraId="5B87FFB1">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4.3.3.1供应商的姓名或者名称、地址、邮编、联系人及联系电话；</w:t>
      </w:r>
    </w:p>
    <w:p w14:paraId="0B6900E5">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4.3.3.2质疑项目的名称、编号；</w:t>
      </w:r>
    </w:p>
    <w:p w14:paraId="565411A1">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4.3.3.3具体、明确的质疑事项和与质疑事项相关的请求；</w:t>
      </w:r>
    </w:p>
    <w:p w14:paraId="72352F6B">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4.3.3.4事实依据；</w:t>
      </w:r>
    </w:p>
    <w:p w14:paraId="7D690538">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4.3.3.5必要的法律依据；</w:t>
      </w:r>
    </w:p>
    <w:p w14:paraId="40FA1E2B">
      <w:pPr>
        <w:spacing w:line="360" w:lineRule="auto"/>
        <w:ind w:firstLine="960" w:firstLineChars="4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4.3.3.6提出质疑的日期。</w:t>
      </w:r>
    </w:p>
    <w:p w14:paraId="566435F4">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供应商提交的质疑函需一式三份。供应商为自然人的，应当由本人签字；供应商为法人或者其他组织的，应当由法定代表人、主要负责人，或者其授权代表签字或者盖章，并加盖公章。</w:t>
      </w:r>
    </w:p>
    <w:p w14:paraId="5D76C5C7">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质疑函范本及制作说明详见附件2。</w:t>
      </w:r>
    </w:p>
    <w:p w14:paraId="308E51F7">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4.3.4对同一采购程序环节的质疑，供应商须在法定质疑期内一次性提出。</w:t>
      </w:r>
    </w:p>
    <w:p w14:paraId="5EEB2F12">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lang w:val="zh-CN"/>
          <w14:ligatures w14:val="none"/>
        </w:rPr>
        <w:t>4.3</w:t>
      </w:r>
      <w:r>
        <w:rPr>
          <w:rFonts w:hint="eastAsia" w:ascii="宋体" w:hAnsi="宋体" w:cs="宋体"/>
          <w:color w:val="auto"/>
          <w:kern w:val="0"/>
          <w:sz w:val="24"/>
          <w:highlight w:val="none"/>
          <w14:ligatures w14: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79A42C">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4.3.6询问或者质疑事项可能影响采购结果的，采购人应当暂停签订合同，已经签订合同的，应当中止履行合同。</w:t>
      </w:r>
    </w:p>
    <w:p w14:paraId="789C15A1">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4.4供应商投诉</w:t>
      </w:r>
    </w:p>
    <w:p w14:paraId="16F6C630">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4.4.1质疑供应商对采购人、采购代理机构的答复不满意或者采购人、采购代理机构未在规定的时间内作出答复的，可以在答复期满后十五个工作日内向同级政府采购监督管理部门提出投诉。</w:t>
      </w:r>
    </w:p>
    <w:p w14:paraId="141DED4A">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w:t>
      </w:r>
      <w:r>
        <w:rPr>
          <w:rFonts w:hint="eastAsia" w:ascii="宋体" w:hAnsi="宋体" w:cs="宋体"/>
          <w:color w:val="auto"/>
          <w:kern w:val="0"/>
          <w:sz w:val="24"/>
          <w:highlight w:val="none"/>
          <w:lang w:val="zh-CN"/>
          <w14:ligatures w14:val="none"/>
        </w:rPr>
        <w:t>2</w:t>
      </w:r>
      <w:r>
        <w:rPr>
          <w:rFonts w:hint="eastAsia" w:ascii="宋体" w:hAnsi="宋体" w:cs="宋体"/>
          <w:color w:val="auto"/>
          <w:kern w:val="0"/>
          <w:sz w:val="24"/>
          <w:highlight w:val="none"/>
          <w14:ligatures w14:val="none"/>
        </w:rPr>
        <w:t>供应商投诉的事项不得超出已质疑事项的范围，基于质疑答复内容提出的投诉事项除外。</w:t>
      </w:r>
    </w:p>
    <w:p w14:paraId="5B24FF28">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4.4.3供应商投诉应当有明确的请求和必要的证明材料。</w:t>
      </w:r>
    </w:p>
    <w:p w14:paraId="355D821D">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4.4.4以联合体形式参加政府采购活动的，其投诉应当由组成联合体的所有供应商共同提出。</w:t>
      </w:r>
    </w:p>
    <w:p w14:paraId="5F55718B">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BF1C79F">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投诉书范本及制作说明详见附件3。</w:t>
      </w:r>
    </w:p>
    <w:p w14:paraId="35840EB5">
      <w:pPr>
        <w:widowControl/>
        <w:shd w:val="clear" w:color="auto" w:fill="FFFFFF"/>
        <w:adjustRightInd/>
        <w:snapToGrid w:val="0"/>
        <w:spacing w:before="120" w:beforeAutospacing="1" w:after="120" w:afterAutospacing="1"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4.5 补偿救济</w:t>
      </w:r>
    </w:p>
    <w:p w14:paraId="2634F79E">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采购人（行政机关）因政策变化、规划调整而不履行政府采购合同的，供应商可依据《杭州市涉企补偿救济实施办法（试行）》向采购人（行政机关）提起补偿申请。</w:t>
      </w:r>
    </w:p>
    <w:p w14:paraId="590C3546">
      <w:pPr>
        <w:snapToGrid w:val="0"/>
        <w:spacing w:before="120" w:line="360" w:lineRule="auto"/>
        <w:ind w:firstLine="360" w:firstLineChars="200"/>
        <w:rPr>
          <w:rFonts w:hint="eastAsia" w:ascii="宋体" w:hAnsi="宋体" w:cs="宋体"/>
          <w:color w:val="auto"/>
          <w:sz w:val="18"/>
          <w:szCs w:val="18"/>
          <w:highlight w:val="none"/>
          <w14:ligatures w14:val="none"/>
        </w:rPr>
      </w:pPr>
    </w:p>
    <w:p w14:paraId="4464A635">
      <w:pPr>
        <w:adjustRightInd/>
        <w:spacing w:line="360" w:lineRule="auto"/>
        <w:ind w:firstLine="643"/>
        <w:jc w:val="center"/>
        <w:outlineLvl w:val="0"/>
        <w:rPr>
          <w:rFonts w:hint="eastAsia" w:ascii="宋体" w:hAnsi="宋体" w:cs="宋体"/>
          <w:b/>
          <w:color w:val="auto"/>
          <w:sz w:val="32"/>
          <w:szCs w:val="20"/>
          <w:highlight w:val="none"/>
          <w14:ligatures w14:val="none"/>
        </w:rPr>
      </w:pPr>
      <w:r>
        <w:rPr>
          <w:rFonts w:hint="eastAsia" w:ascii="宋体" w:hAnsi="宋体" w:cs="宋体"/>
          <w:b/>
          <w:color w:val="auto"/>
          <w:sz w:val="32"/>
          <w:szCs w:val="20"/>
          <w:highlight w:val="none"/>
          <w14:ligatures w14:val="none"/>
        </w:rPr>
        <w:t>二、招标文件的构成、澄清、修改</w:t>
      </w:r>
    </w:p>
    <w:p w14:paraId="644908AF">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5．招标文件的构成</w:t>
      </w:r>
    </w:p>
    <w:p w14:paraId="60DEFBB6">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 招标文件包括下列文件及附件：</w:t>
      </w:r>
    </w:p>
    <w:p w14:paraId="656B62A9">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5.1.1招标公告；</w:t>
      </w:r>
    </w:p>
    <w:p w14:paraId="63B4DCA9">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5.1.2投标人须知；</w:t>
      </w:r>
    </w:p>
    <w:p w14:paraId="2C82357C">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5.1.3采购需求；</w:t>
      </w:r>
    </w:p>
    <w:p w14:paraId="1A4A93B7">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5.1.4评标办法；</w:t>
      </w:r>
    </w:p>
    <w:p w14:paraId="3A1199C4">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5.1.5拟签订的合同文本；</w:t>
      </w:r>
    </w:p>
    <w:p w14:paraId="5044B637">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szCs w:val="21"/>
          <w:highlight w:val="none"/>
          <w14:ligatures w14:val="none"/>
        </w:rPr>
        <w:t>5.1.6</w:t>
      </w:r>
      <w:r>
        <w:rPr>
          <w:rFonts w:hint="eastAsia" w:ascii="宋体" w:hAnsi="宋体" w:cs="宋体"/>
          <w:snapToGrid w:val="0"/>
          <w:color w:val="auto"/>
          <w:sz w:val="24"/>
          <w:highlight w:val="none"/>
          <w14:ligatures w14:val="none"/>
        </w:rPr>
        <w:t>应提交的有关格式范例。</w:t>
      </w:r>
    </w:p>
    <w:p w14:paraId="770F36CA">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5.2与本项目有关的</w:t>
      </w:r>
      <w:r>
        <w:rPr>
          <w:rFonts w:hint="eastAsia" w:ascii="宋体" w:hAnsi="宋体" w:cs="宋体"/>
          <w:bCs/>
          <w:color w:val="auto"/>
          <w:sz w:val="24"/>
          <w:highlight w:val="none"/>
          <w14:ligatures w14:val="none"/>
        </w:rPr>
        <w:t>澄清或者修改的内容为招标文件的组成部分</w:t>
      </w:r>
      <w:r>
        <w:rPr>
          <w:rFonts w:hint="eastAsia" w:ascii="宋体" w:hAnsi="宋体" w:cs="宋体"/>
          <w:color w:val="auto"/>
          <w:sz w:val="24"/>
          <w:highlight w:val="none"/>
          <w14:ligatures w14:val="none"/>
        </w:rPr>
        <w:t>。</w:t>
      </w:r>
    </w:p>
    <w:p w14:paraId="1DB5E948">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6. 招标文件的澄清、修改</w:t>
      </w:r>
    </w:p>
    <w:p w14:paraId="66C33968">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6.1已获取招标文件的潜在投标人，若有问题需要澄清，应于投标截止时间前，以书面形式向采购代理机构提出。</w:t>
      </w:r>
    </w:p>
    <w:p w14:paraId="6A7E4B35">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1816D6">
      <w:pPr>
        <w:autoSpaceDE w:val="0"/>
        <w:autoSpaceDN w:val="0"/>
        <w:spacing w:line="360" w:lineRule="auto"/>
        <w:ind w:firstLine="480"/>
        <w:rPr>
          <w:rFonts w:hint="eastAsia" w:ascii="宋体" w:hAnsi="宋体" w:cs="宋体"/>
          <w:snapToGrid w:val="0"/>
          <w:color w:val="auto"/>
          <w:sz w:val="18"/>
          <w:szCs w:val="18"/>
          <w:highlight w:val="none"/>
          <w14:ligatures w14:val="none"/>
        </w:rPr>
      </w:pPr>
      <w:r>
        <w:rPr>
          <w:rFonts w:hint="eastAsia" w:ascii="宋体" w:hAnsi="宋体" w:cs="宋体"/>
          <w:snapToGrid w:val="0"/>
          <w:color w:val="auto"/>
          <w:sz w:val="24"/>
          <w:highlight w:val="none"/>
          <w14:ligatures w14:val="none"/>
        </w:rPr>
        <w:t xml:space="preserve">    </w:t>
      </w:r>
    </w:p>
    <w:p w14:paraId="5930B667">
      <w:pPr>
        <w:adjustRightInd/>
        <w:spacing w:line="360" w:lineRule="auto"/>
        <w:ind w:firstLine="602"/>
        <w:jc w:val="center"/>
        <w:outlineLvl w:val="0"/>
        <w:rPr>
          <w:rFonts w:hint="eastAsia" w:ascii="宋体" w:hAnsi="宋体" w:cs="宋体"/>
          <w:b/>
          <w:color w:val="auto"/>
          <w:sz w:val="30"/>
          <w:szCs w:val="20"/>
          <w:highlight w:val="none"/>
          <w14:ligatures w14:val="none"/>
        </w:rPr>
      </w:pPr>
      <w:r>
        <w:rPr>
          <w:rFonts w:hint="eastAsia" w:ascii="宋体" w:hAnsi="宋体" w:cs="宋体"/>
          <w:b/>
          <w:color w:val="auto"/>
          <w:sz w:val="30"/>
          <w:szCs w:val="20"/>
          <w:highlight w:val="none"/>
          <w14:ligatures w14:val="none"/>
        </w:rPr>
        <w:t>三、投标</w:t>
      </w:r>
    </w:p>
    <w:p w14:paraId="3CD28321">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7. 招标文件的获取</w:t>
      </w:r>
    </w:p>
    <w:p w14:paraId="72FD7089">
      <w:pPr>
        <w:spacing w:line="360" w:lineRule="auto"/>
        <w:ind w:firstLine="480" w:firstLineChars="200"/>
        <w:rPr>
          <w:rFonts w:hint="eastAsia" w:ascii="宋体" w:hAnsi="宋体" w:cs="宋体"/>
          <w:snapToGrid w:val="0"/>
          <w:color w:val="auto"/>
          <w:kern w:val="28"/>
          <w:sz w:val="24"/>
          <w:highlight w:val="none"/>
          <w14:ligatures w14:val="none"/>
        </w:rPr>
      </w:pPr>
      <w:r>
        <w:rPr>
          <w:rFonts w:hint="eastAsia" w:ascii="宋体" w:hAnsi="宋体" w:cs="宋体"/>
          <w:snapToGrid w:val="0"/>
          <w:color w:val="auto"/>
          <w:kern w:val="28"/>
          <w:sz w:val="24"/>
          <w:highlight w:val="none"/>
          <w14:ligatures w14:val="none"/>
        </w:rPr>
        <w:t>详见招标公告中获取招标文件的时间期限、地点、方式及招标文件售价。</w:t>
      </w:r>
    </w:p>
    <w:p w14:paraId="7FD33904">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8.开标前答疑会或现场考察</w:t>
      </w:r>
    </w:p>
    <w:p w14:paraId="653F5B64">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采购人组织潜在投标人现场考察或者召开开标前答疑会的，潜在投标人按第二部分投标人须知前附表的规定参加现场考察或者开标前答疑会。</w:t>
      </w:r>
    </w:p>
    <w:p w14:paraId="4AA1FECB">
      <w:pPr>
        <w:spacing w:line="360" w:lineRule="auto"/>
        <w:ind w:firstLine="482"/>
        <w:rPr>
          <w:rFonts w:hint="eastAsia" w:ascii="宋体" w:hAnsi="宋体" w:cs="宋体"/>
          <w:b/>
          <w:snapToGrid w:val="0"/>
          <w:color w:val="auto"/>
          <w:highlight w:val="none"/>
          <w14:ligatures w14:val="none"/>
        </w:rPr>
      </w:pPr>
      <w:r>
        <w:rPr>
          <w:rFonts w:hint="eastAsia" w:ascii="宋体" w:hAnsi="宋体" w:cs="宋体"/>
          <w:b/>
          <w:snapToGrid w:val="0"/>
          <w:color w:val="auto"/>
          <w:kern w:val="28"/>
          <w:sz w:val="24"/>
          <w:highlight w:val="none"/>
          <w14:ligatures w14:val="none"/>
        </w:rPr>
        <w:t>9.投标保证金</w:t>
      </w:r>
    </w:p>
    <w:p w14:paraId="43B88810">
      <w:pPr>
        <w:widowControl/>
        <w:snapToGrid w:val="0"/>
        <w:spacing w:line="360" w:lineRule="auto"/>
        <w:ind w:firstLine="470" w:firstLineChars="196"/>
        <w:rPr>
          <w:rFonts w:hint="eastAsia" w:ascii="宋体" w:hAnsi="宋体" w:cs="宋体"/>
          <w:snapToGrid w:val="0"/>
          <w:color w:val="auto"/>
          <w:kern w:val="28"/>
          <w:sz w:val="24"/>
          <w:szCs w:val="20"/>
          <w:highlight w:val="none"/>
          <w14:ligatures w14:val="none"/>
        </w:rPr>
      </w:pPr>
      <w:r>
        <w:rPr>
          <w:rFonts w:hint="eastAsia" w:ascii="宋体" w:hAnsi="宋体" w:cs="宋体"/>
          <w:snapToGrid w:val="0"/>
          <w:kern w:val="28"/>
          <w:sz w:val="24"/>
          <w:szCs w:val="20"/>
          <w:highlight w:val="none"/>
          <w14:ligatures w14:val="none"/>
        </w:rPr>
        <w:t>本项目不需缴纳投标保证金</w:t>
      </w:r>
      <w:r>
        <w:rPr>
          <w:rFonts w:hint="eastAsia" w:ascii="宋体" w:hAnsi="宋体" w:cs="宋体"/>
          <w:snapToGrid w:val="0"/>
          <w:color w:val="auto"/>
          <w:kern w:val="28"/>
          <w:sz w:val="24"/>
          <w:szCs w:val="20"/>
          <w:highlight w:val="none"/>
          <w14:ligatures w14:val="none"/>
        </w:rPr>
        <w:t>。</w:t>
      </w:r>
    </w:p>
    <w:p w14:paraId="1948B13F">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10. 投标文件的语言</w:t>
      </w:r>
    </w:p>
    <w:p w14:paraId="14C472CA">
      <w:pPr>
        <w:autoSpaceDE w:val="0"/>
        <w:autoSpaceDN w:val="0"/>
        <w:spacing w:line="360" w:lineRule="auto"/>
        <w:ind w:firstLine="480" w:firstLineChars="200"/>
        <w:rPr>
          <w:rFonts w:hint="eastAsia" w:ascii="宋体" w:hAnsi="宋体" w:cs="宋体"/>
          <w:color w:val="auto"/>
          <w:sz w:val="24"/>
          <w:highlight w:val="none"/>
          <w:lang w:val="zh-CN"/>
          <w14:ligatures w14:val="none"/>
        </w:rPr>
      </w:pPr>
      <w:r>
        <w:rPr>
          <w:rFonts w:hint="eastAsia" w:ascii="宋体" w:hAnsi="宋体" w:cs="宋体"/>
          <w:color w:val="auto"/>
          <w:sz w:val="24"/>
          <w:highlight w:val="none"/>
          <w14:ligatures w14:val="none"/>
        </w:rPr>
        <w:t>投标文件及投标人与采购有关的来往通知、函件和文件均应使用中文。</w:t>
      </w:r>
    </w:p>
    <w:p w14:paraId="4F746C00">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11. 投标文件的组成</w:t>
      </w:r>
    </w:p>
    <w:p w14:paraId="406013D1">
      <w:pPr>
        <w:snapToGrid w:val="0"/>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w:t>
      </w:r>
      <w:r>
        <w:rPr>
          <w:rFonts w:hint="eastAsia" w:ascii="宋体" w:hAnsi="宋体" w:cs="宋体"/>
          <w:b/>
          <w:color w:val="auto"/>
          <w:sz w:val="24"/>
          <w:highlight w:val="none"/>
          <w14:ligatures w14:val="none"/>
        </w:rPr>
        <w:t>资格文件</w:t>
      </w:r>
      <w:r>
        <w:rPr>
          <w:rFonts w:hint="eastAsia" w:ascii="宋体" w:hAnsi="宋体" w:cs="宋体"/>
          <w:color w:val="auto"/>
          <w:sz w:val="24"/>
          <w:highlight w:val="none"/>
          <w14:ligatures w14:val="none"/>
        </w:rPr>
        <w:t>：</w:t>
      </w:r>
    </w:p>
    <w:p w14:paraId="40E50E45">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11.1.1符合参加政府采购活动应当具备的一般条件的承诺函；</w:t>
      </w:r>
    </w:p>
    <w:p w14:paraId="2E6142A3">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w:t>
      </w:r>
      <w:r>
        <w:rPr>
          <w:rFonts w:ascii="宋体" w:hAnsi="宋体" w:cs="宋体"/>
          <w:color w:val="auto"/>
          <w:sz w:val="24"/>
          <w:highlight w:val="none"/>
          <w14:ligatures w14:val="none"/>
        </w:rPr>
        <w:t>1.1.2</w:t>
      </w:r>
      <w:r>
        <w:rPr>
          <w:rFonts w:hint="eastAsia" w:ascii="宋体" w:hAnsi="宋体" w:cs="宋体"/>
          <w:snapToGrid w:val="0"/>
          <w:color w:val="auto"/>
          <w:kern w:val="28"/>
          <w:sz w:val="24"/>
          <w:szCs w:val="20"/>
          <w:highlight w:val="none"/>
          <w14:ligatures w14:val="none"/>
        </w:rPr>
        <w:t>联合协议（如果有)；</w:t>
      </w:r>
    </w:p>
    <w:p w14:paraId="64462B53">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落实政府采购政策需满足的资格要求</w:t>
      </w:r>
      <w:r>
        <w:rPr>
          <w:rFonts w:hint="eastAsia" w:ascii="宋体" w:hAnsi="宋体" w:cs="宋体"/>
          <w:snapToGrid w:val="0"/>
          <w:color w:val="auto"/>
          <w:kern w:val="28"/>
          <w:sz w:val="24"/>
          <w:szCs w:val="20"/>
          <w:highlight w:val="none"/>
          <w14:ligatures w14:val="none"/>
        </w:rPr>
        <w:t>（如果有)</w:t>
      </w:r>
      <w:r>
        <w:rPr>
          <w:rFonts w:hint="eastAsia" w:ascii="宋体" w:hAnsi="宋体" w:cs="宋体"/>
          <w:color w:val="auto"/>
          <w:sz w:val="24"/>
          <w:highlight w:val="none"/>
          <w14:ligatures w14:val="none"/>
        </w:rPr>
        <w:t>；</w:t>
      </w:r>
    </w:p>
    <w:p w14:paraId="72F8ED42">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w:t>
      </w:r>
      <w:r>
        <w:rPr>
          <w:rFonts w:ascii="宋体" w:hAnsi="宋体" w:cs="宋体"/>
          <w:color w:val="auto"/>
          <w:sz w:val="24"/>
          <w:highlight w:val="none"/>
          <w14:ligatures w14:val="none"/>
        </w:rPr>
        <w:t>4</w:t>
      </w:r>
      <w:r>
        <w:rPr>
          <w:rFonts w:hint="eastAsia" w:ascii="宋体" w:hAnsi="宋体" w:cs="宋体"/>
          <w:color w:val="auto"/>
          <w:sz w:val="24"/>
          <w:highlight w:val="none"/>
          <w14:ligatures w14:val="none"/>
        </w:rPr>
        <w:t>本项目的特定资格要求</w:t>
      </w:r>
      <w:r>
        <w:rPr>
          <w:rFonts w:hint="eastAsia" w:ascii="宋体" w:hAnsi="宋体" w:cs="宋体"/>
          <w:snapToGrid w:val="0"/>
          <w:color w:val="auto"/>
          <w:kern w:val="28"/>
          <w:sz w:val="24"/>
          <w:szCs w:val="20"/>
          <w:highlight w:val="none"/>
          <w14:ligatures w14:val="none"/>
        </w:rPr>
        <w:t>（如果有)</w:t>
      </w:r>
      <w:r>
        <w:rPr>
          <w:rFonts w:hint="eastAsia" w:ascii="宋体" w:hAnsi="宋体" w:cs="宋体"/>
          <w:color w:val="auto"/>
          <w:sz w:val="24"/>
          <w:highlight w:val="none"/>
          <w14:ligatures w14:val="none"/>
        </w:rPr>
        <w:t>。</w:t>
      </w:r>
    </w:p>
    <w:p w14:paraId="52B30293">
      <w:pPr>
        <w:snapToGrid w:val="0"/>
        <w:spacing w:line="360" w:lineRule="auto"/>
        <w:ind w:firstLine="480" w:firstLineChars="200"/>
        <w:rPr>
          <w:rFonts w:hint="eastAsia" w:ascii="宋体" w:hAnsi="宋体" w:cs="宋体"/>
          <w:color w:val="auto"/>
          <w:sz w:val="24"/>
          <w:highlight w:val="none"/>
          <w:lang w:val="zh-CN"/>
          <w14:ligatures w14:val="none"/>
        </w:rPr>
      </w:pPr>
      <w:r>
        <w:rPr>
          <w:rFonts w:hint="eastAsia" w:ascii="宋体" w:hAnsi="宋体" w:cs="宋体"/>
          <w:color w:val="auto"/>
          <w:sz w:val="24"/>
          <w:highlight w:val="none"/>
          <w:lang w:val="zh-CN"/>
          <w14:ligatures w14:val="none"/>
        </w:rPr>
        <w:t>11.</w:t>
      </w:r>
      <w:r>
        <w:rPr>
          <w:rFonts w:hint="eastAsia" w:ascii="宋体" w:hAnsi="宋体" w:cs="宋体"/>
          <w:color w:val="auto"/>
          <w:sz w:val="24"/>
          <w:highlight w:val="none"/>
          <w14:ligatures w14:val="none"/>
        </w:rPr>
        <w:t>2</w:t>
      </w:r>
      <w:r>
        <w:rPr>
          <w:rFonts w:hint="eastAsia" w:ascii="宋体" w:hAnsi="宋体" w:cs="宋体"/>
          <w:color w:val="auto"/>
          <w:sz w:val="24"/>
          <w:highlight w:val="none"/>
          <w:lang w:val="zh-CN"/>
          <w14:ligatures w14:val="none"/>
        </w:rPr>
        <w:t xml:space="preserve">  </w:t>
      </w:r>
      <w:r>
        <w:rPr>
          <w:rFonts w:hint="eastAsia" w:ascii="宋体" w:hAnsi="宋体" w:cs="宋体"/>
          <w:color w:val="auto"/>
          <w:sz w:val="24"/>
          <w:highlight w:val="none"/>
          <w14:ligatures w14:val="none"/>
        </w:rPr>
        <w:t>商务技术</w:t>
      </w:r>
      <w:r>
        <w:rPr>
          <w:rFonts w:hint="eastAsia" w:ascii="宋体" w:hAnsi="宋体" w:cs="宋体"/>
          <w:color w:val="auto"/>
          <w:sz w:val="24"/>
          <w:highlight w:val="none"/>
          <w:lang w:val="zh-CN"/>
          <w14:ligatures w14:val="none"/>
        </w:rPr>
        <w:t>文件：</w:t>
      </w:r>
    </w:p>
    <w:p w14:paraId="38769626">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11.2.1投标函；</w:t>
      </w:r>
      <w:r>
        <w:rPr>
          <w:rFonts w:hint="eastAsia" w:ascii="宋体" w:hAnsi="宋体" w:cs="宋体"/>
          <w:color w:val="auto"/>
          <w:sz w:val="24"/>
          <w:highlight w:val="none"/>
          <w:lang w:val="zh-CN"/>
          <w14:ligatures w14:val="none"/>
        </w:rPr>
        <w:t xml:space="preserve"> </w:t>
      </w:r>
    </w:p>
    <w:p w14:paraId="386AF3FD">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11.2.2授权委托书或法定代表人（单位负责人、自然人本人）身份证明；</w:t>
      </w:r>
    </w:p>
    <w:p w14:paraId="7A1F15FC">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分包意向协议</w:t>
      </w:r>
      <w:r>
        <w:rPr>
          <w:rFonts w:hint="eastAsia" w:ascii="宋体" w:hAnsi="宋体" w:cs="宋体"/>
          <w:snapToGrid w:val="0"/>
          <w:color w:val="auto"/>
          <w:kern w:val="28"/>
          <w:sz w:val="24"/>
          <w:szCs w:val="20"/>
          <w:highlight w:val="none"/>
          <w14:ligatures w14:val="none"/>
        </w:rPr>
        <w:t>（如果有)</w:t>
      </w:r>
      <w:r>
        <w:rPr>
          <w:rFonts w:hint="eastAsia" w:ascii="宋体" w:hAnsi="宋体" w:cs="宋体"/>
          <w:color w:val="auto"/>
          <w:sz w:val="24"/>
          <w:highlight w:val="none"/>
          <w14:ligatures w14:val="none"/>
        </w:rPr>
        <w:t>；</w:t>
      </w:r>
    </w:p>
    <w:p w14:paraId="159B6607">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4</w:t>
      </w:r>
      <w:r>
        <w:rPr>
          <w:rFonts w:hint="eastAsia" w:ascii="宋体" w:hAnsi="宋体" w:cs="宋体"/>
          <w:color w:val="auto"/>
          <w:sz w:val="24"/>
          <w:highlight w:val="none"/>
          <w14:ligatures w14:val="none"/>
        </w:rPr>
        <w:t>符合性审查资料；</w:t>
      </w:r>
    </w:p>
    <w:p w14:paraId="05A5C93A">
      <w:pPr>
        <w:snapToGrid w:val="0"/>
        <w:spacing w:line="360" w:lineRule="auto"/>
        <w:ind w:left="420" w:leftChars="200"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5</w:t>
      </w:r>
      <w:r>
        <w:rPr>
          <w:rFonts w:hint="eastAsia" w:ascii="宋体" w:hAnsi="宋体" w:cs="宋体"/>
          <w:color w:val="auto"/>
          <w:sz w:val="24"/>
          <w:highlight w:val="none"/>
          <w14:ligatures w14:val="none"/>
        </w:rPr>
        <w:t>评标标准相应的商务技术资料；</w:t>
      </w:r>
    </w:p>
    <w:p w14:paraId="44256FC4">
      <w:pPr>
        <w:snapToGrid w:val="0"/>
        <w:spacing w:line="360" w:lineRule="auto"/>
        <w:ind w:left="420" w:leftChars="200"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6</w:t>
      </w:r>
      <w:r>
        <w:rPr>
          <w:rFonts w:hint="eastAsia" w:ascii="宋体" w:hAnsi="宋体" w:cs="宋体"/>
          <w:color w:val="auto"/>
          <w:sz w:val="24"/>
          <w:highlight w:val="none"/>
          <w14:ligatures w14:val="none"/>
        </w:rPr>
        <w:t>投标标的清单；</w:t>
      </w:r>
    </w:p>
    <w:p w14:paraId="6B3D86CB">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7</w:t>
      </w:r>
      <w:r>
        <w:rPr>
          <w:rFonts w:hint="eastAsia" w:ascii="宋体" w:hAnsi="宋体" w:cs="宋体"/>
          <w:color w:val="auto"/>
          <w:sz w:val="24"/>
          <w:highlight w:val="none"/>
          <w14:ligatures w14:val="none"/>
        </w:rPr>
        <w:t>商务技术偏离表；</w:t>
      </w:r>
    </w:p>
    <w:p w14:paraId="32691CB9">
      <w:pPr>
        <w:snapToGrid w:val="0"/>
        <w:spacing w:line="360" w:lineRule="auto"/>
        <w:ind w:firstLine="960" w:firstLineChars="400"/>
        <w:rPr>
          <w:rFonts w:hint="eastAsia" w:ascii="宋体" w:hAnsi="宋体" w:cs="宋体"/>
          <w:color w:val="auto"/>
          <w:sz w:val="24"/>
          <w:highlight w:val="none"/>
          <w:lang w:val="zh-CN"/>
          <w14:ligatures w14:val="none"/>
        </w:rPr>
      </w:pPr>
      <w:r>
        <w:rPr>
          <w:rFonts w:hint="eastAsia" w:ascii="宋体" w:hAnsi="宋体" w:cs="宋体"/>
          <w:color w:val="auto"/>
          <w:sz w:val="24"/>
          <w:highlight w:val="none"/>
          <w:lang w:val="zh-CN"/>
          <w14:ligatures w14:val="none"/>
        </w:rPr>
        <w:t>11.</w:t>
      </w:r>
      <w:r>
        <w:rPr>
          <w:rFonts w:hint="eastAsia" w:ascii="宋体" w:hAnsi="宋体" w:cs="宋体"/>
          <w:color w:val="auto"/>
          <w:sz w:val="24"/>
          <w:highlight w:val="none"/>
          <w14:ligatures w14:val="none"/>
        </w:rPr>
        <w:t>2</w:t>
      </w:r>
      <w:r>
        <w:rPr>
          <w:rFonts w:hint="eastAsia" w:ascii="宋体" w:hAnsi="宋体" w:cs="宋体"/>
          <w:color w:val="auto"/>
          <w:sz w:val="24"/>
          <w:highlight w:val="none"/>
          <w:lang w:val="zh-CN"/>
          <w14:ligatures w14:val="none"/>
        </w:rPr>
        <w:t>.</w:t>
      </w:r>
      <w:r>
        <w:rPr>
          <w:rFonts w:ascii="宋体" w:hAnsi="宋体" w:cs="宋体"/>
          <w:color w:val="auto"/>
          <w:sz w:val="24"/>
          <w:highlight w:val="none"/>
          <w14:ligatures w14:val="none"/>
        </w:rPr>
        <w:t>8</w:t>
      </w:r>
      <w:r>
        <w:rPr>
          <w:rFonts w:hint="eastAsia" w:ascii="宋体" w:hAnsi="宋体" w:cs="宋体"/>
          <w:color w:val="auto"/>
          <w:sz w:val="24"/>
          <w:highlight w:val="none"/>
          <w:lang w:val="zh-CN"/>
          <w14:ligatures w14:val="none"/>
        </w:rPr>
        <w:t>政府采购供应商廉洁自律承诺书；</w:t>
      </w:r>
    </w:p>
    <w:p w14:paraId="057FAC2B">
      <w:pPr>
        <w:snapToGrid w:val="0"/>
        <w:spacing w:line="360" w:lineRule="auto"/>
        <w:ind w:firstLine="480" w:firstLineChars="200"/>
        <w:rPr>
          <w:rFonts w:hint="eastAsia" w:ascii="宋体" w:hAnsi="宋体" w:cs="宋体"/>
          <w:color w:val="auto"/>
          <w:sz w:val="24"/>
          <w:highlight w:val="none"/>
          <w:u w:val="single"/>
          <w:lang w:val="zh-CN"/>
          <w14:ligatures w14:val="none"/>
        </w:rPr>
      </w:pPr>
      <w:r>
        <w:rPr>
          <w:rFonts w:hint="eastAsia" w:ascii="宋体" w:hAnsi="宋体" w:cs="宋体"/>
          <w:color w:val="auto"/>
          <w:kern w:val="0"/>
          <w:sz w:val="24"/>
          <w:highlight w:val="none"/>
          <w:lang w:val="zh-CN"/>
          <w14:ligatures w14:val="none"/>
        </w:rPr>
        <w:t>11.</w:t>
      </w:r>
      <w:r>
        <w:rPr>
          <w:rFonts w:hint="eastAsia" w:ascii="宋体" w:hAnsi="宋体" w:cs="宋体"/>
          <w:color w:val="auto"/>
          <w:kern w:val="0"/>
          <w:sz w:val="24"/>
          <w:highlight w:val="none"/>
          <w14:ligatures w14:val="none"/>
        </w:rPr>
        <w:t>3</w:t>
      </w:r>
      <w:r>
        <w:rPr>
          <w:rFonts w:hint="eastAsia" w:ascii="宋体" w:hAnsi="宋体" w:cs="宋体"/>
          <w:b/>
          <w:color w:val="auto"/>
          <w:sz w:val="24"/>
          <w:highlight w:val="none"/>
          <w14:ligatures w14:val="none"/>
        </w:rPr>
        <w:t>报价文件：</w:t>
      </w:r>
      <w:r>
        <w:rPr>
          <w:rFonts w:hint="eastAsia" w:ascii="宋体" w:hAnsi="宋体" w:cs="宋体"/>
          <w:color w:val="auto"/>
          <w:sz w:val="24"/>
          <w:highlight w:val="none"/>
          <w14:ligatures w14:val="none"/>
        </w:rPr>
        <w:t xml:space="preserve"> </w:t>
      </w:r>
    </w:p>
    <w:p w14:paraId="0DFCA1A0">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11.3.1开标一览表（报价表）；</w:t>
      </w:r>
    </w:p>
    <w:p w14:paraId="2FD12CDA">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11.3.2中小企业声明函。</w:t>
      </w:r>
    </w:p>
    <w:p w14:paraId="06B263BE">
      <w:pPr>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11.3.</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报价说明（如有）。供应商报价低于项目预算50%的，应当在报价文件中详细阐述不影响产品质量或者诚信履约的具体原因。</w:t>
      </w:r>
    </w:p>
    <w:p w14:paraId="04A91A83">
      <w:pPr>
        <w:spacing w:line="360" w:lineRule="auto"/>
        <w:ind w:firstLine="723" w:firstLineChars="3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投标文件含有采购人不能接受的附加条件的，投标无效；</w:t>
      </w:r>
    </w:p>
    <w:p w14:paraId="666AC6B0">
      <w:pPr>
        <w:spacing w:line="360" w:lineRule="auto"/>
        <w:ind w:firstLine="723" w:firstLineChars="3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投标人提供虚假材料投标的，投标无效。</w:t>
      </w:r>
    </w:p>
    <w:p w14:paraId="2955497F">
      <w:pPr>
        <w:spacing w:line="360" w:lineRule="auto"/>
        <w:ind w:firstLine="723" w:firstLineChars="3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投标人应对投标文件中材料的真实性、合法性负责。</w:t>
      </w:r>
    </w:p>
    <w:p w14:paraId="47F154C5">
      <w:pPr>
        <w:snapToGrid w:val="0"/>
        <w:spacing w:before="120" w:line="360" w:lineRule="auto"/>
        <w:ind w:firstLine="482"/>
        <w:outlineLvl w:val="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12</w:t>
      </w:r>
      <w:r>
        <w:rPr>
          <w:rFonts w:hint="eastAsia" w:ascii="宋体" w:hAnsi="宋体" w:cs="宋体"/>
          <w:b/>
          <w:color w:val="auto"/>
          <w:kern w:val="0"/>
          <w:sz w:val="24"/>
          <w:highlight w:val="none"/>
          <w:lang w:val="zh-CN"/>
          <w14:ligatures w14:val="none"/>
        </w:rPr>
        <w:t xml:space="preserve">. </w:t>
      </w:r>
      <w:r>
        <w:rPr>
          <w:rFonts w:hint="eastAsia" w:ascii="宋体" w:hAnsi="宋体" w:cs="宋体"/>
          <w:b/>
          <w:color w:val="auto"/>
          <w:sz w:val="24"/>
          <w:highlight w:val="none"/>
          <w14:ligatures w14:val="none"/>
        </w:rPr>
        <w:t>投标文件的编制</w:t>
      </w:r>
    </w:p>
    <w:p w14:paraId="104DD5EC">
      <w:pPr>
        <w:spacing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kern w:val="0"/>
          <w:sz w:val="24"/>
          <w:highlight w:val="none"/>
          <w:lang w:val="zh-CN"/>
          <w14:ligatures w14: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1475BC">
      <w:pPr>
        <w:spacing w:line="360" w:lineRule="auto"/>
        <w:ind w:firstLine="480" w:firstLineChars="200"/>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12.2投标人进行电子投标应安装客户端软件—“政采云电子交易客户端”，并按照招标文件和电子交易平台的要求编制并加密投标文件。投标人未按规定加密的投标文件，电子交易平台将拒收并提示。</w:t>
      </w:r>
    </w:p>
    <w:p w14:paraId="4CF56D36">
      <w:pPr>
        <w:spacing w:line="360" w:lineRule="auto"/>
        <w:ind w:firstLine="480" w:firstLineChars="200"/>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12.3使用“政采云电子交易客户端”需要提前申领CA数字证书，申领流程请自行前往“浙江政府采购网-下载专区-电子交易客户端-CA驱动和申领流程”进行查阅。</w:t>
      </w:r>
    </w:p>
    <w:p w14:paraId="7E6B8821">
      <w:pPr>
        <w:snapToGrid w:val="0"/>
        <w:spacing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13.投标文件的签署、盖章</w:t>
      </w:r>
    </w:p>
    <w:p w14:paraId="7E52602E">
      <w:pPr>
        <w:snapToGrid w:val="0"/>
        <w:spacing w:before="120" w:line="360" w:lineRule="auto"/>
        <w:ind w:firstLine="480" w:firstLineChars="200"/>
        <w:rPr>
          <w:rFonts w:hint="eastAsia" w:ascii="宋体" w:hAnsi="宋体" w:cs="宋体"/>
          <w:b/>
          <w:color w:val="auto"/>
          <w:sz w:val="24"/>
          <w:szCs w:val="20"/>
          <w:highlight w:val="none"/>
          <w14:ligatures w14:val="none"/>
        </w:rPr>
      </w:pPr>
      <w:r>
        <w:rPr>
          <w:rFonts w:hint="eastAsia" w:ascii="宋体" w:hAnsi="宋体" w:cs="宋体"/>
          <w:color w:val="auto"/>
          <w:sz w:val="24"/>
          <w:highlight w:val="none"/>
          <w14:ligatures w14:val="none"/>
        </w:rPr>
        <w:t>13.1投标文件按照招标文件第六部分格式要</w:t>
      </w:r>
      <w:r>
        <w:rPr>
          <w:rFonts w:hint="eastAsia" w:ascii="宋体" w:hAnsi="宋体" w:cs="宋体"/>
          <w:color w:val="auto"/>
          <w:sz w:val="24"/>
          <w:szCs w:val="20"/>
          <w:highlight w:val="none"/>
          <w14:ligatures w14:val="none"/>
        </w:rPr>
        <w:t>求进行签署、盖章。</w:t>
      </w:r>
      <w:r>
        <w:rPr>
          <w:rFonts w:hint="eastAsia" w:ascii="宋体" w:hAnsi="宋体" w:cs="宋体"/>
          <w:b/>
          <w:color w:val="auto"/>
          <w:sz w:val="24"/>
          <w:szCs w:val="20"/>
          <w:highlight w:val="none"/>
          <w14:ligatures w14:val="none"/>
        </w:rPr>
        <w:t>▲投标人的投标文件未按照招标文件要求签署、盖章的，其投标无效</w:t>
      </w:r>
      <w:r>
        <w:rPr>
          <w:rFonts w:hint="eastAsia" w:ascii="宋体" w:hAnsi="宋体" w:cs="宋体"/>
          <w:color w:val="auto"/>
          <w:sz w:val="24"/>
          <w:highlight w:val="none"/>
          <w14:ligatures w14:val="none"/>
        </w:rPr>
        <w:t>。</w:t>
      </w:r>
    </w:p>
    <w:p w14:paraId="3940D134">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13.2为确保网上操作合法、有效和安全，投标人应当在投标截止时间前完成在“政府采购云平台”的身份认证，确保在电子投标过程中能够对相关数据电文进行加密和使用电子签名。</w:t>
      </w:r>
    </w:p>
    <w:p w14:paraId="06A6818D">
      <w:pPr>
        <w:snapToGrid w:val="0"/>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szCs w:val="20"/>
          <w:highlight w:val="none"/>
          <w14:ligatures w14:val="none"/>
        </w:rPr>
        <w:t>13.3招标文件对投标文件签署、盖章的要求适用于电子签名。</w:t>
      </w:r>
    </w:p>
    <w:p w14:paraId="3CC4A08A">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14. 投标文件的提交、补充、修改、撤回</w:t>
      </w:r>
    </w:p>
    <w:p w14:paraId="5E4FAF50">
      <w:pPr>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058075">
      <w:pPr>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14.2电子交易平台收到投标文件，将妥善保存并即时向供应商发出确认回执通知。在投标截止时间前，除供应商补充、修改或者撤回投标文件外，任何单位和个人不得解密或提取投标文件。</w:t>
      </w:r>
    </w:p>
    <w:p w14:paraId="181DCDAA">
      <w:pPr>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14.3采购人、采购代理机构可以视情况延长投标文件提交的截止时间。在上述情况下，采购代理机构与投标人以前在投标截止期方面的全部权利、责任和义务，将适用于延长至新的投标截止期。</w:t>
      </w:r>
    </w:p>
    <w:p w14:paraId="4A67BF56">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15.备份投标文件</w:t>
      </w:r>
    </w:p>
    <w:p w14:paraId="09241226">
      <w:pPr>
        <w:spacing w:line="360" w:lineRule="auto"/>
        <w:ind w:firstLine="360" w:firstLineChars="150"/>
        <w:rPr>
          <w:rFonts w:hint="eastAsia" w:ascii="宋体" w:hAnsi="宋体" w:cs="宋体"/>
          <w:b/>
          <w:snapToGrid w:val="0"/>
          <w:color w:val="auto"/>
          <w:sz w:val="24"/>
          <w:highlight w:val="none"/>
          <w14:ligatures w14:val="none"/>
        </w:rPr>
      </w:pPr>
      <w:r>
        <w:rPr>
          <w:rFonts w:hint="eastAsia" w:ascii="宋体" w:hAnsi="宋体" w:cs="宋体"/>
          <w:snapToGrid w:val="0"/>
          <w:color w:val="auto"/>
          <w:sz w:val="24"/>
          <w:highlight w:val="none"/>
          <w14:ligatures w14:val="none"/>
        </w:rPr>
        <w:t xml:space="preserve"> 15.1投标人在电子交易平台传输递交投标文件后，还可以在投标截止时间前直接提交或者以邮政快递方式递交备份投标文件1份，</w:t>
      </w:r>
      <w:r>
        <w:rPr>
          <w:rFonts w:hint="eastAsia" w:ascii="宋体" w:hAnsi="宋体" w:cs="宋体"/>
          <w:b/>
          <w:snapToGrid w:val="0"/>
          <w:color w:val="auto"/>
          <w:sz w:val="24"/>
          <w:highlight w:val="none"/>
          <w14:ligatures w14:val="none"/>
        </w:rPr>
        <w:t>但采购人、采购代理机构不强制或变相强制投标人提交备份投标文件。</w:t>
      </w:r>
    </w:p>
    <w:p w14:paraId="47D8EF5B">
      <w:pPr>
        <w:spacing w:line="360" w:lineRule="auto"/>
        <w:ind w:firstLine="480" w:firstLineChars="200"/>
        <w:rPr>
          <w:rFonts w:hint="eastAsia" w:ascii="宋体" w:hAnsi="宋体" w:cs="宋体"/>
          <w:b/>
          <w:snapToGrid w:val="0"/>
          <w:color w:val="auto"/>
          <w:sz w:val="24"/>
          <w:highlight w:val="none"/>
          <w14:ligatures w14:val="none"/>
        </w:rPr>
      </w:pPr>
      <w:r>
        <w:rPr>
          <w:rFonts w:hint="eastAsia" w:ascii="宋体" w:hAnsi="宋体" w:cs="宋体"/>
          <w:snapToGrid w:val="0"/>
          <w:color w:val="auto"/>
          <w:sz w:val="24"/>
          <w:highlight w:val="none"/>
          <w14:ligatures w14:val="none"/>
        </w:rPr>
        <w:t>15.2备份投标文件须在“政采云投标客户端”制作生成，并储存在</w:t>
      </w:r>
      <w:r>
        <w:rPr>
          <w:rFonts w:hint="eastAsia" w:ascii="宋体" w:hAnsi="宋体" w:cs="宋体"/>
          <w:snapToGrid w:val="0"/>
          <w:color w:val="auto"/>
          <w:sz w:val="24"/>
          <w:szCs w:val="21"/>
          <w:highlight w:val="none"/>
          <w14:ligatures w14:val="none"/>
        </w:rPr>
        <w:t>DVD光盘等存储介质</w:t>
      </w:r>
      <w:r>
        <w:rPr>
          <w:rFonts w:hint="eastAsia" w:ascii="宋体" w:hAnsi="宋体" w:cs="宋体"/>
          <w:snapToGrid w:val="0"/>
          <w:color w:val="auto"/>
          <w:sz w:val="24"/>
          <w:highlight w:val="none"/>
          <w14:ligatures w14: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color w:val="auto"/>
          <w:sz w:val="24"/>
          <w:szCs w:val="21"/>
          <w:highlight w:val="none"/>
          <w14:ligatures w14:val="none"/>
        </w:rPr>
        <w:t>不符合上述制作、</w:t>
      </w:r>
      <w:r>
        <w:rPr>
          <w:rFonts w:hint="eastAsia" w:ascii="宋体" w:hAnsi="宋体" w:cs="宋体"/>
          <w:b/>
          <w:snapToGrid w:val="0"/>
          <w:color w:val="auto"/>
          <w:sz w:val="24"/>
          <w:highlight w:val="none"/>
          <w14:ligatures w14:val="none"/>
        </w:rPr>
        <w:t>存储、密封规定的备份投标文件将被视为无效或者被拒绝接收。</w:t>
      </w:r>
    </w:p>
    <w:p w14:paraId="68634EB2">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15.3直接提交备份投标文件的，投标人应于投标截止时间前在招标公告中载明的开标地点将备份投标文件提交给采购代理机构，采购代理机构将拒绝接受逾期送达的备份投标文件。</w:t>
      </w:r>
    </w:p>
    <w:p w14:paraId="44CEFE4C">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15.4以邮政快递方式递交备份投标文件的，投标人应先将备份投标文件按要求密封和标记，再进行邮政快递包装后邮寄。备份投标文件须在投标截止时间之前送达</w:t>
      </w:r>
      <w:r>
        <w:rPr>
          <w:rFonts w:hint="eastAsia" w:ascii="宋体" w:hAnsi="宋体" w:cs="宋体"/>
          <w:color w:val="auto"/>
          <w:sz w:val="24"/>
          <w:highlight w:val="none"/>
          <w14:ligatures w14:val="none"/>
        </w:rPr>
        <w:t>招标文件第二部分投标人须知前附表规定的备份投标文件送达地点；</w:t>
      </w:r>
      <w:r>
        <w:rPr>
          <w:rFonts w:hint="eastAsia" w:ascii="宋体" w:hAnsi="宋体" w:cs="宋体"/>
          <w:snapToGrid w:val="0"/>
          <w:color w:val="auto"/>
          <w:sz w:val="24"/>
          <w:highlight w:val="none"/>
          <w14:ligatures w14:val="none"/>
        </w:rPr>
        <w:t>送达时间以签收人签收时间为准。采购代理机构将拒绝接受逾期送达的备份投标文件。邮寄过程中，电子备份投标文件发生泄露、遗失、损坏或延期送达等情况的，由投标人自行负责。</w:t>
      </w:r>
    </w:p>
    <w:p w14:paraId="53FE7835">
      <w:pPr>
        <w:spacing w:line="360" w:lineRule="auto"/>
        <w:ind w:firstLine="479" w:firstLineChars="199"/>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15.5投标人仅提交备份投标文件，未在电子交易平台传输递交投标文件的，投标无效。</w:t>
      </w:r>
    </w:p>
    <w:p w14:paraId="645677D9">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16.投标文件的无效处理</w:t>
      </w:r>
    </w:p>
    <w:p w14:paraId="64409D91">
      <w:pPr>
        <w:spacing w:line="360" w:lineRule="auto"/>
        <w:ind w:firstLine="360" w:firstLineChars="150"/>
        <w:rPr>
          <w:rFonts w:hint="eastAsia" w:ascii="宋体" w:hAnsi="宋体" w:cs="宋体"/>
          <w:color w:val="auto"/>
          <w:sz w:val="24"/>
          <w:szCs w:val="21"/>
          <w:highlight w:val="none"/>
          <w14:ligatures w14:val="none"/>
        </w:rPr>
      </w:pPr>
      <w:r>
        <w:rPr>
          <w:rFonts w:hint="eastAsia" w:ascii="宋体" w:hAnsi="宋体" w:cs="宋体"/>
          <w:color w:val="auto"/>
          <w:sz w:val="24"/>
          <w:szCs w:val="21"/>
          <w:highlight w:val="none"/>
          <w14:ligatures w14:val="none"/>
        </w:rPr>
        <w:t>有招标文件第四部分</w:t>
      </w:r>
      <w:r>
        <w:rPr>
          <w:rFonts w:ascii="宋体" w:hAnsi="宋体" w:cs="宋体"/>
          <w:color w:val="auto"/>
          <w:sz w:val="24"/>
          <w:szCs w:val="21"/>
          <w:highlight w:val="none"/>
          <w14:ligatures w14:val="none"/>
        </w:rPr>
        <w:t>4.2规定</w:t>
      </w:r>
      <w:r>
        <w:rPr>
          <w:rFonts w:hint="eastAsia" w:ascii="宋体" w:hAnsi="宋体" w:cs="宋体"/>
          <w:color w:val="auto"/>
          <w:sz w:val="24"/>
          <w:szCs w:val="21"/>
          <w:highlight w:val="none"/>
          <w14:ligatures w14:val="none"/>
        </w:rPr>
        <w:t>的情形之一的，投标无效：</w:t>
      </w:r>
    </w:p>
    <w:p w14:paraId="1DE9A66F">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17.投标有效期</w:t>
      </w:r>
    </w:p>
    <w:p w14:paraId="27A2B33D">
      <w:pPr>
        <w:spacing w:line="360" w:lineRule="auto"/>
        <w:ind w:firstLine="480" w:firstLineChars="200"/>
        <w:rPr>
          <w:rFonts w:hint="eastAsia" w:ascii="宋体" w:hAnsi="宋体" w:cs="宋体"/>
          <w:b/>
          <w:color w:val="auto"/>
          <w:sz w:val="24"/>
          <w:szCs w:val="21"/>
          <w:highlight w:val="none"/>
          <w14:ligatures w14:val="none"/>
        </w:rPr>
      </w:pPr>
      <w:r>
        <w:rPr>
          <w:rFonts w:hint="eastAsia" w:ascii="宋体" w:hAnsi="宋体" w:cs="宋体"/>
          <w:color w:val="auto"/>
          <w:sz w:val="24"/>
          <w:szCs w:val="20"/>
          <w:highlight w:val="none"/>
          <w14:ligatures w14:val="none"/>
        </w:rPr>
        <w:t>17.1投标有效期为从提交投标文件的截止之日起90天。▲</w:t>
      </w:r>
      <w:r>
        <w:rPr>
          <w:rFonts w:hint="eastAsia" w:ascii="宋体" w:hAnsi="宋体" w:cs="宋体"/>
          <w:b/>
          <w:color w:val="auto"/>
          <w:sz w:val="24"/>
          <w:szCs w:val="20"/>
          <w:highlight w:val="none"/>
          <w14:ligatures w14:val="none"/>
        </w:rPr>
        <w:t>投标人的投标文件中承</w:t>
      </w:r>
      <w:r>
        <w:rPr>
          <w:rFonts w:hint="eastAsia" w:ascii="宋体" w:hAnsi="宋体" w:cs="宋体"/>
          <w:b/>
          <w:color w:val="auto"/>
          <w:sz w:val="24"/>
          <w:szCs w:val="21"/>
          <w:highlight w:val="none"/>
          <w14:ligatures w14:val="none"/>
        </w:rPr>
        <w:t>诺的投标有效期少于招标文件中载明的投标有效期的，投标无效。</w:t>
      </w:r>
    </w:p>
    <w:p w14:paraId="27C2E681">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17.2投标文件合格投递后，自投标截止日期起，在投标有效期内有效。</w:t>
      </w:r>
    </w:p>
    <w:p w14:paraId="7B11B74E">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B2205F">
      <w:pPr>
        <w:spacing w:before="120" w:line="360" w:lineRule="auto"/>
        <w:ind w:firstLine="643" w:firstLineChars="200"/>
        <w:rPr>
          <w:rFonts w:hint="eastAsia" w:ascii="宋体" w:hAnsi="宋体" w:cs="宋体"/>
          <w:b/>
          <w:color w:val="auto"/>
          <w:sz w:val="32"/>
          <w:szCs w:val="20"/>
          <w:highlight w:val="none"/>
          <w14:ligatures w14:val="none"/>
        </w:rPr>
      </w:pPr>
    </w:p>
    <w:p w14:paraId="5990D239">
      <w:pPr>
        <w:spacing w:before="120" w:line="360" w:lineRule="auto"/>
        <w:ind w:firstLine="1928" w:firstLineChars="600"/>
        <w:rPr>
          <w:rFonts w:hint="eastAsia" w:ascii="宋体" w:hAnsi="宋体" w:cs="宋体"/>
          <w:b/>
          <w:color w:val="auto"/>
          <w:sz w:val="32"/>
          <w:szCs w:val="20"/>
          <w:highlight w:val="none"/>
          <w14:ligatures w14:val="none"/>
        </w:rPr>
      </w:pPr>
      <w:r>
        <w:rPr>
          <w:rFonts w:hint="eastAsia" w:ascii="宋体" w:hAnsi="宋体" w:cs="宋体"/>
          <w:b/>
          <w:color w:val="auto"/>
          <w:sz w:val="32"/>
          <w:szCs w:val="20"/>
          <w:highlight w:val="none"/>
          <w14:ligatures w14:val="none"/>
        </w:rPr>
        <w:t>四、开标、资格审查与信用信息查询</w:t>
      </w:r>
    </w:p>
    <w:p w14:paraId="23DDBC56">
      <w:pPr>
        <w:autoSpaceDE w:val="0"/>
        <w:autoSpaceDN w:val="0"/>
        <w:spacing w:line="360" w:lineRule="auto"/>
        <w:ind w:firstLine="241" w:firstLineChars="100"/>
        <w:contextualSpacing/>
        <w:rPr>
          <w:rFonts w:hint="eastAsia" w:ascii="宋体" w:hAnsi="宋体" w:cs="宋体"/>
          <w:color w:val="auto"/>
          <w:kern w:val="0"/>
          <w:sz w:val="24"/>
          <w:szCs w:val="20"/>
          <w:highlight w:val="none"/>
          <w14:ligatures w14:val="none"/>
        </w:rPr>
      </w:pPr>
      <w:r>
        <w:rPr>
          <w:rFonts w:hint="eastAsia" w:ascii="宋体" w:hAnsi="宋体" w:cs="宋体"/>
          <w:b/>
          <w:color w:val="auto"/>
          <w:kern w:val="0"/>
          <w:sz w:val="24"/>
          <w:highlight w:val="none"/>
          <w14:ligatures w14:val="none"/>
        </w:rPr>
        <w:t>18.开标</w:t>
      </w:r>
      <w:r>
        <w:rPr>
          <w:rFonts w:hint="eastAsia" w:ascii="宋体" w:hAnsi="宋体" w:cs="宋体"/>
          <w:color w:val="auto"/>
          <w:kern w:val="0"/>
          <w:sz w:val="24"/>
          <w:szCs w:val="20"/>
          <w:highlight w:val="none"/>
          <w14:ligatures w14:val="none"/>
        </w:rPr>
        <w:t xml:space="preserve"> </w:t>
      </w:r>
    </w:p>
    <w:p w14:paraId="0C8EEABD">
      <w:pPr>
        <w:autoSpaceDE w:val="0"/>
        <w:autoSpaceDN w:val="0"/>
        <w:spacing w:line="360" w:lineRule="auto"/>
        <w:ind w:firstLine="480" w:firstLineChars="200"/>
        <w:contextualSpacing/>
        <w:rPr>
          <w:rFonts w:hint="eastAsia" w:ascii="宋体" w:hAnsi="宋体" w:cs="宋体"/>
          <w:color w:val="auto"/>
          <w:kern w:val="0"/>
          <w:sz w:val="24"/>
          <w:szCs w:val="20"/>
          <w:highlight w:val="none"/>
          <w14:ligatures w14:val="none"/>
        </w:rPr>
      </w:pPr>
      <w:r>
        <w:rPr>
          <w:rFonts w:hint="eastAsia" w:ascii="宋体" w:hAnsi="宋体" w:cs="宋体"/>
          <w:color w:val="auto"/>
          <w:kern w:val="0"/>
          <w:sz w:val="24"/>
          <w:szCs w:val="20"/>
          <w:highlight w:val="none"/>
          <w14:ligatures w14:val="none"/>
        </w:rPr>
        <w:t>18.1采购代理机构按照招标文件规定的时间通过电子交易平台组织开标，所有投标人均应当准时在线参加。投标人不足3家的，不得开标。</w:t>
      </w:r>
    </w:p>
    <w:p w14:paraId="61D010AD">
      <w:pPr>
        <w:autoSpaceDE w:val="0"/>
        <w:autoSpaceDN w:val="0"/>
        <w:spacing w:line="360" w:lineRule="auto"/>
        <w:ind w:firstLine="240" w:firstLineChars="100"/>
        <w:contextualSpacing/>
        <w:rPr>
          <w:rFonts w:hint="eastAsia" w:ascii="宋体" w:hAnsi="宋体" w:cs="宋体"/>
          <w:color w:val="auto"/>
          <w:kern w:val="0"/>
          <w:sz w:val="24"/>
          <w:szCs w:val="20"/>
          <w:highlight w:val="none"/>
          <w14:ligatures w14:val="none"/>
        </w:rPr>
      </w:pPr>
      <w:r>
        <w:rPr>
          <w:rFonts w:hint="eastAsia" w:ascii="宋体" w:hAnsi="宋体" w:cs="宋体"/>
          <w:color w:val="auto"/>
          <w:kern w:val="0"/>
          <w:sz w:val="24"/>
          <w:szCs w:val="20"/>
          <w:highlight w:val="none"/>
          <w14:ligatures w14:val="none"/>
        </w:rPr>
        <w:t>　18.2开标时，电子交易平台按开标时间自动提取所有投标文件。采购代理机构依托电子交易平台发起开始解密指令，投标人按照平台提示和招标文件的规定在半小时内完成在线解密。</w:t>
      </w:r>
    </w:p>
    <w:p w14:paraId="061CA9A6">
      <w:pPr>
        <w:autoSpaceDE w:val="0"/>
        <w:autoSpaceDN w:val="0"/>
        <w:spacing w:line="360" w:lineRule="auto"/>
        <w:ind w:firstLine="240" w:firstLineChars="100"/>
        <w:contextualSpacing/>
        <w:rPr>
          <w:rFonts w:hint="eastAsia" w:ascii="宋体" w:hAnsi="宋体" w:cs="宋体"/>
          <w:b/>
          <w:color w:val="auto"/>
          <w:kern w:val="0"/>
          <w:sz w:val="24"/>
          <w:szCs w:val="20"/>
          <w:highlight w:val="none"/>
          <w14:ligatures w14:val="none"/>
        </w:rPr>
      </w:pPr>
      <w:r>
        <w:rPr>
          <w:rFonts w:hint="eastAsia" w:ascii="宋体" w:hAnsi="宋体" w:cs="宋体"/>
          <w:color w:val="auto"/>
          <w:kern w:val="0"/>
          <w:sz w:val="24"/>
          <w:szCs w:val="20"/>
          <w:highlight w:val="none"/>
          <w14:ligatures w14:val="none"/>
        </w:rPr>
        <w:t>　18.3</w:t>
      </w:r>
      <w:r>
        <w:rPr>
          <w:rFonts w:hint="eastAsia" w:ascii="宋体" w:hAnsi="宋体" w:cs="宋体"/>
          <w:b/>
          <w:color w:val="auto"/>
          <w:kern w:val="0"/>
          <w:sz w:val="24"/>
          <w:szCs w:val="20"/>
          <w:highlight w:val="none"/>
          <w14:ligatures w14:val="none"/>
        </w:rPr>
        <w:t>投标文件未按时解密，投标人提供了备份投标文件的，以备份投标文件作为依据，否则视为投标文件撤回。投标文件已按时解密的，备份投标文件自动失效。</w:t>
      </w:r>
    </w:p>
    <w:p w14:paraId="14A4EEE5">
      <w:pPr>
        <w:widowControl/>
        <w:spacing w:before="120" w:beforeAutospacing="1" w:after="120" w:line="360" w:lineRule="auto"/>
        <w:ind w:firstLine="482"/>
        <w:jc w:val="left"/>
        <w:rPr>
          <w:rFonts w:hint="eastAsia" w:ascii="宋体" w:hAnsi="宋体" w:cs="宋体"/>
          <w:b/>
          <w:color w:val="auto"/>
          <w:sz w:val="24"/>
          <w:szCs w:val="20"/>
          <w:highlight w:val="none"/>
          <w14:ligatures w14:val="none"/>
        </w:rPr>
      </w:pPr>
      <w:r>
        <w:rPr>
          <w:rFonts w:hint="eastAsia" w:ascii="宋体" w:hAnsi="宋体" w:cs="宋体"/>
          <w:b/>
          <w:color w:val="auto"/>
          <w:sz w:val="24"/>
          <w:szCs w:val="20"/>
          <w:highlight w:val="none"/>
          <w14:ligatures w14:val="none"/>
        </w:rPr>
        <w:t>　19、资格审查</w:t>
      </w:r>
    </w:p>
    <w:p w14:paraId="166D7367">
      <w:pPr>
        <w:snapToGrid w:val="0"/>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kern w:val="0"/>
          <w:sz w:val="24"/>
          <w:highlight w:val="none"/>
          <w14:ligatures w14:val="none"/>
        </w:rPr>
        <w:t>19.1</w:t>
      </w:r>
      <w:r>
        <w:rPr>
          <w:rFonts w:hint="eastAsia" w:ascii="宋体" w:hAnsi="宋体" w:cs="宋体"/>
          <w:color w:val="auto"/>
          <w:sz w:val="24"/>
          <w:highlight w:val="none"/>
          <w14:ligatures w14:val="none"/>
        </w:rPr>
        <w:t>采购人或采购代理机构依据法律法规和招标文件的规定，对投标人的资格进行审查。</w:t>
      </w:r>
    </w:p>
    <w:p w14:paraId="7FF0F055">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19.2投标人未按照招标文件要求提供与</w:t>
      </w:r>
      <w:r>
        <w:rPr>
          <w:rFonts w:hint="eastAsia" w:ascii="宋体" w:hAnsi="宋体" w:cs="宋体"/>
          <w:color w:val="auto"/>
          <w:sz w:val="24"/>
          <w:szCs w:val="20"/>
          <w:highlight w:val="none"/>
          <w14:ligatures w14:val="none"/>
        </w:rPr>
        <w:t>资格条件相应的</w:t>
      </w:r>
      <w:r>
        <w:rPr>
          <w:rFonts w:hint="eastAsia" w:ascii="宋体" w:hAnsi="宋体" w:cs="宋体"/>
          <w:color w:val="auto"/>
          <w:kern w:val="0"/>
          <w:sz w:val="24"/>
          <w:highlight w:val="none"/>
          <w14:ligatures w14:val="none"/>
        </w:rPr>
        <w:t>有效资格证明材料的，视为</w:t>
      </w:r>
      <w:r>
        <w:rPr>
          <w:rFonts w:hint="eastAsia" w:ascii="宋体" w:hAnsi="宋体" w:cs="宋体"/>
          <w:color w:val="auto"/>
          <w:sz w:val="24"/>
          <w:szCs w:val="20"/>
          <w:highlight w:val="none"/>
          <w14:ligatures w14:val="none"/>
        </w:rPr>
        <w:t>投标人不具备招标文件中规定的资格要求，其投标无效。</w:t>
      </w:r>
    </w:p>
    <w:p w14:paraId="5940FCBD">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19.</w:t>
      </w:r>
      <w:r>
        <w:rPr>
          <w:rFonts w:hint="eastAsia" w:ascii="宋体" w:hAnsi="宋体" w:cs="宋体"/>
          <w:color w:val="auto"/>
          <w:sz w:val="24"/>
          <w:szCs w:val="20"/>
          <w:highlight w:val="none"/>
          <w14:ligatures w14:val="none"/>
        </w:rPr>
        <w:t>3对未通过资格审查的投标人，采购人或采购代理机构告知其未通过的原因。</w:t>
      </w:r>
    </w:p>
    <w:p w14:paraId="2D2CD546">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19.</w:t>
      </w:r>
      <w:r>
        <w:rPr>
          <w:rFonts w:hint="eastAsia" w:ascii="宋体" w:hAnsi="宋体" w:cs="宋体"/>
          <w:color w:val="auto"/>
          <w:sz w:val="24"/>
          <w:szCs w:val="20"/>
          <w:highlight w:val="none"/>
          <w14:ligatures w14:val="none"/>
        </w:rPr>
        <w:t>4合格投标人不足3家的，不再评标。</w:t>
      </w:r>
    </w:p>
    <w:p w14:paraId="2BFEA683">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46BF63">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20、信用信息查询</w:t>
      </w:r>
    </w:p>
    <w:p w14:paraId="2C2923F7">
      <w:pPr>
        <w:spacing w:before="120"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20.1信用信息查询渠道及截止时间：采购代理机构将在资格审查时通过“信用中国”网站(www.creditchina.gov.cn)、中国政府采购网(www.ccgp.gov.cn)渠道查询投标人的信用记录。</w:t>
      </w:r>
    </w:p>
    <w:p w14:paraId="41557CE4">
      <w:pPr>
        <w:spacing w:before="120"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20.2信用信息查询记录和证据留存的具体方式：现场查询的投标人的信用记录、查询结果经确认后将与采购文件一起存档。</w:t>
      </w:r>
    </w:p>
    <w:p w14:paraId="07A51F95">
      <w:pPr>
        <w:spacing w:before="120"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20.3信用信息的使用规则：经查询列入失信被执行人名单、重大税收违法案件当事人名单、政府采购严重违法失信行为记录名单的投标人将被拒绝参与政府采购活动。</w:t>
      </w:r>
    </w:p>
    <w:p w14:paraId="64B9480E">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4"/>
          <w:szCs w:val="20"/>
          <w:highlight w:val="none"/>
          <w14:ligatures w14:val="none"/>
        </w:rPr>
        <w:t>。</w:t>
      </w:r>
    </w:p>
    <w:p w14:paraId="330E3261">
      <w:pPr>
        <w:spacing w:before="120" w:line="360" w:lineRule="auto"/>
        <w:ind w:firstLine="480"/>
        <w:rPr>
          <w:rFonts w:hint="eastAsia" w:ascii="宋体" w:hAnsi="宋体" w:cs="宋体"/>
          <w:color w:val="auto"/>
          <w:kern w:val="0"/>
          <w:sz w:val="24"/>
          <w:highlight w:val="none"/>
          <w14:ligatures w14:val="none"/>
        </w:rPr>
      </w:pPr>
    </w:p>
    <w:p w14:paraId="42AF7F4A">
      <w:pPr>
        <w:snapToGrid w:val="0"/>
        <w:spacing w:line="360" w:lineRule="auto"/>
        <w:ind w:firstLine="723"/>
        <w:jc w:val="center"/>
        <w:outlineLvl w:val="0"/>
        <w:rPr>
          <w:rFonts w:hint="eastAsia" w:ascii="宋体" w:hAnsi="宋体" w:cs="宋体"/>
          <w:b/>
          <w:color w:val="auto"/>
          <w:sz w:val="36"/>
          <w:szCs w:val="36"/>
          <w:highlight w:val="none"/>
          <w14:ligatures w14:val="none"/>
        </w:rPr>
      </w:pPr>
      <w:r>
        <w:rPr>
          <w:rFonts w:hint="eastAsia" w:ascii="宋体" w:hAnsi="宋体" w:cs="宋体"/>
          <w:b/>
          <w:color w:val="auto"/>
          <w:sz w:val="36"/>
          <w:szCs w:val="36"/>
          <w:highlight w:val="none"/>
          <w14:ligatures w14:val="none"/>
        </w:rPr>
        <w:t>五、评标</w:t>
      </w:r>
    </w:p>
    <w:p w14:paraId="61B321BB">
      <w:pPr>
        <w:spacing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21.</w:t>
      </w:r>
      <w:r>
        <w:rPr>
          <w:rFonts w:hint="eastAsia" w:ascii="宋体" w:hAnsi="宋体" w:cs="宋体"/>
          <w:color w:val="auto"/>
          <w:highlight w:val="none"/>
          <w14:ligatures w14:val="none"/>
        </w:rPr>
        <w:t xml:space="preserve"> </w:t>
      </w:r>
      <w:r>
        <w:rPr>
          <w:rFonts w:hint="eastAsia" w:ascii="宋体" w:hAnsi="宋体" w:cs="宋体"/>
          <w:color w:val="auto"/>
          <w:sz w:val="24"/>
          <w:highlight w:val="none"/>
          <w14:ligatures w14: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14:ligatures w14:val="none"/>
        </w:rPr>
        <w:t>详见招标文件第四部分评标办法。</w:t>
      </w:r>
    </w:p>
    <w:p w14:paraId="3021F9B2">
      <w:pPr>
        <w:spacing w:line="360" w:lineRule="auto"/>
        <w:ind w:firstLine="482"/>
        <w:rPr>
          <w:rFonts w:hint="eastAsia" w:ascii="宋体" w:hAnsi="宋体" w:cs="宋体"/>
          <w:b/>
          <w:color w:val="auto"/>
          <w:sz w:val="24"/>
          <w:highlight w:val="none"/>
          <w14:ligatures w14:val="none"/>
        </w:rPr>
      </w:pPr>
    </w:p>
    <w:p w14:paraId="2274F7AF">
      <w:pPr>
        <w:snapToGrid w:val="0"/>
        <w:spacing w:line="360" w:lineRule="auto"/>
        <w:ind w:firstLine="723"/>
        <w:jc w:val="center"/>
        <w:outlineLvl w:val="0"/>
        <w:rPr>
          <w:rFonts w:hint="eastAsia" w:ascii="宋体" w:hAnsi="宋体" w:cs="宋体"/>
          <w:b/>
          <w:color w:val="auto"/>
          <w:sz w:val="36"/>
          <w:szCs w:val="36"/>
          <w:highlight w:val="none"/>
          <w14:ligatures w14:val="none"/>
        </w:rPr>
      </w:pPr>
      <w:r>
        <w:rPr>
          <w:rFonts w:hint="eastAsia" w:ascii="宋体" w:hAnsi="宋体" w:cs="宋体"/>
          <w:b/>
          <w:color w:val="auto"/>
          <w:sz w:val="36"/>
          <w:szCs w:val="36"/>
          <w:highlight w:val="none"/>
          <w14:ligatures w14:val="none"/>
        </w:rPr>
        <w:t>六、定 标</w:t>
      </w:r>
    </w:p>
    <w:p w14:paraId="7C4EBC21">
      <w:pPr>
        <w:spacing w:line="360" w:lineRule="auto"/>
        <w:ind w:left="479" w:hanging="479" w:hangingChars="199"/>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22. 确定中标供应商</w:t>
      </w:r>
    </w:p>
    <w:p w14:paraId="739429BB">
      <w:pPr>
        <w:snapToGrid w:val="0"/>
        <w:spacing w:before="120"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sz w:val="24"/>
          <w:highlight w:val="none"/>
          <w14:ligatures w14: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611F2EE">
      <w:pPr>
        <w:snapToGrid w:val="0"/>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23. 中标通知与中标结果公告</w:t>
      </w:r>
    </w:p>
    <w:p w14:paraId="49A16203">
      <w:pPr>
        <w:widowControl/>
        <w:shd w:val="clear" w:color="auto" w:fill="FFFFFF"/>
        <w:spacing w:line="360" w:lineRule="auto"/>
        <w:ind w:firstLine="48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23.1自中标人确定之日起2个工作日内，采购代理机构通过电子交易平台向中标人发出中标通知书，同时编制发布采购结果公告。采购代理机构也可以以纸质形式进行中标通知。</w:t>
      </w:r>
    </w:p>
    <w:p w14:paraId="4F39E6DA">
      <w:pPr>
        <w:widowControl/>
        <w:shd w:val="clear" w:color="auto" w:fill="FFFFFF"/>
        <w:spacing w:line="360" w:lineRule="auto"/>
        <w:ind w:firstLine="48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color w:val="auto"/>
          <w:sz w:val="24"/>
          <w:highlight w:val="none"/>
          <w14:ligatures w14:val="none"/>
        </w:rPr>
        <w:t>资格审查情况、评审专家抽取规则、符合性审查情况、</w:t>
      </w:r>
      <w:bookmarkEnd w:id="17"/>
      <w:r>
        <w:rPr>
          <w:rFonts w:hint="eastAsia" w:ascii="宋体" w:hAnsi="宋体" w:cs="宋体"/>
          <w:color w:val="auto"/>
          <w:sz w:val="24"/>
          <w:highlight w:val="none"/>
          <w14:ligatures w14:val="none"/>
        </w:rPr>
        <w:t>未中标情况说明、中标公告期限以及评审专家名单、评分汇总及明细。</w:t>
      </w:r>
    </w:p>
    <w:p w14:paraId="7B5A2A42">
      <w:pPr>
        <w:widowControl/>
        <w:shd w:val="clear" w:color="auto" w:fill="FFFFFF"/>
        <w:spacing w:line="360" w:lineRule="auto"/>
        <w:ind w:firstLine="48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23.3公告期限为1个工作日。</w:t>
      </w:r>
    </w:p>
    <w:p w14:paraId="4D1429DA">
      <w:pPr>
        <w:snapToGrid w:val="0"/>
        <w:spacing w:before="120" w:line="360" w:lineRule="auto"/>
        <w:ind w:firstLine="482"/>
        <w:rPr>
          <w:rFonts w:hint="eastAsia" w:ascii="宋体" w:hAnsi="宋体" w:cs="宋体"/>
          <w:b/>
          <w:color w:val="auto"/>
          <w:sz w:val="32"/>
          <w:szCs w:val="20"/>
          <w:highlight w:val="none"/>
          <w14:ligatures w14:val="none"/>
        </w:rPr>
      </w:pPr>
      <w:r>
        <w:rPr>
          <w:rFonts w:hint="eastAsia" w:ascii="宋体" w:hAnsi="宋体" w:cs="宋体"/>
          <w:b/>
          <w:color w:val="auto"/>
          <w:sz w:val="24"/>
          <w:highlight w:val="none"/>
          <w14:ligatures w14:val="none"/>
        </w:rPr>
        <w:t>23.4.由于中标、成交供应商原因导致重新采购的，应当承担支付代理费和专家评审费等费用在内的赔偿责任。</w:t>
      </w:r>
    </w:p>
    <w:p w14:paraId="19965E0C">
      <w:pPr>
        <w:snapToGrid w:val="0"/>
        <w:spacing w:line="360" w:lineRule="auto"/>
        <w:ind w:left="120" w:leftChars="57" w:firstLine="482" w:firstLineChars="150"/>
        <w:jc w:val="center"/>
        <w:rPr>
          <w:rFonts w:hint="eastAsia" w:ascii="宋体" w:hAnsi="宋体" w:cs="宋体"/>
          <w:b/>
          <w:color w:val="auto"/>
          <w:sz w:val="32"/>
          <w:highlight w:val="none"/>
          <w14:ligatures w14:val="none"/>
        </w:rPr>
      </w:pPr>
      <w:r>
        <w:rPr>
          <w:rFonts w:hint="eastAsia" w:ascii="宋体" w:hAnsi="宋体" w:cs="宋体"/>
          <w:b/>
          <w:color w:val="auto"/>
          <w:sz w:val="32"/>
          <w:highlight w:val="none"/>
          <w14:ligatures w14:val="none"/>
        </w:rPr>
        <w:t>七、合同授予</w:t>
      </w:r>
    </w:p>
    <w:p w14:paraId="38A2C1A2">
      <w:pPr>
        <w:spacing w:line="360" w:lineRule="auto"/>
        <w:ind w:firstLine="482" w:firstLineChars="2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 xml:space="preserve">24. </w:t>
      </w:r>
      <w:r>
        <w:rPr>
          <w:rFonts w:hint="eastAsia" w:ascii="宋体" w:hAnsi="宋体" w:cs="宋体"/>
          <w:color w:val="auto"/>
          <w:sz w:val="24"/>
          <w:highlight w:val="none"/>
          <w14:ligatures w14:val="none"/>
        </w:rPr>
        <w:t>合同主要条款详见第五部分拟签订的合同文本。</w:t>
      </w:r>
    </w:p>
    <w:p w14:paraId="56EB446F">
      <w:pPr>
        <w:snapToGrid w:val="0"/>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25. 合同的签订</w:t>
      </w:r>
    </w:p>
    <w:p w14:paraId="1AAD3556">
      <w:pPr>
        <w:widowControl/>
        <w:shd w:val="clear" w:color="auto" w:fill="FFFFFF"/>
        <w:spacing w:line="360" w:lineRule="auto"/>
        <w:ind w:firstLine="480"/>
        <w:jc w:val="left"/>
        <w:rPr>
          <w:rFonts w:hint="eastAsia" w:ascii="宋体" w:hAnsi="宋体" w:cs="宋体"/>
          <w:color w:val="auto"/>
          <w:kern w:val="0"/>
          <w:sz w:val="24"/>
          <w:highlight w:val="none"/>
          <w14:ligatures w14:val="none"/>
        </w:rPr>
      </w:pPr>
      <w:r>
        <w:rPr>
          <w:rFonts w:hint="eastAsia" w:ascii="宋体" w:hAnsi="宋体" w:cs="宋体"/>
          <w:color w:val="auto"/>
          <w:sz w:val="24"/>
          <w:highlight w:val="none"/>
          <w14:ligatures w14:val="none"/>
        </w:rPr>
        <w:t>25.1</w:t>
      </w:r>
      <w:r>
        <w:rPr>
          <w:rFonts w:hint="eastAsia" w:ascii="宋体" w:hAnsi="宋体" w:cs="宋体"/>
          <w:color w:val="auto"/>
          <w:kern w:val="0"/>
          <w:sz w:val="24"/>
          <w:highlight w:val="none"/>
          <w14:ligatures w14: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E3E403">
      <w:pPr>
        <w:snapToGrid w:val="0"/>
        <w:spacing w:before="120" w:line="360" w:lineRule="auto"/>
        <w:ind w:firstLine="480" w:firstLineChars="200"/>
        <w:rPr>
          <w:rFonts w:hint="eastAsia" w:ascii="宋体" w:hAnsi="宋体" w:cs="宋体"/>
          <w:color w:val="auto"/>
          <w:kern w:val="0"/>
          <w:sz w:val="24"/>
          <w:szCs w:val="20"/>
          <w:highlight w:val="none"/>
          <w14:ligatures w14:val="none"/>
        </w:rPr>
      </w:pPr>
      <w:r>
        <w:rPr>
          <w:rFonts w:hint="eastAsia" w:ascii="宋体" w:hAnsi="宋体" w:cs="宋体"/>
          <w:color w:val="auto"/>
          <w:kern w:val="0"/>
          <w:sz w:val="24"/>
          <w:szCs w:val="20"/>
          <w:highlight w:val="none"/>
          <w:lang w:val="zh-CN"/>
          <w14:ligatures w14:val="none"/>
        </w:rPr>
        <w:t>25.2中标人按规定的日期、时间、地点，由法定代表人或其授权代表与采购人代表签订合同。如中标人为联合体的，由联合体成员各方法定代表人或其授权代表与采购人代表签订合同。</w:t>
      </w:r>
    </w:p>
    <w:p w14:paraId="1EAEEA4F">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25.3如签订合同并生效后，供应商无故拒绝或延期，除按照合同条款处理外，列入不良行为记录一次，并给予通报。</w:t>
      </w:r>
    </w:p>
    <w:p w14:paraId="375F9A6A">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25.4中标供应商拒绝与采购人签订合同的，采购人可以按照评审报告推荐的中标或者成交候选人名单排序，确定下一候选人为中标供应商，也可以重新开展政府采购活动。</w:t>
      </w:r>
    </w:p>
    <w:p w14:paraId="69B3AA73">
      <w:pPr>
        <w:snapToGrid w:val="0"/>
        <w:spacing w:before="120" w:after="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25.5采购合同由采购人与中标供应商根据招标文件、投标文件等内容通过政府采购电子交易平台在线签订，自动备案。</w:t>
      </w:r>
    </w:p>
    <w:p w14:paraId="2C9EE4BB">
      <w:pPr>
        <w:snapToGrid w:val="0"/>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26. 履约保证金</w:t>
      </w:r>
    </w:p>
    <w:p w14:paraId="66B9A370">
      <w:pPr>
        <w:tabs>
          <w:tab w:val="left" w:pos="0"/>
        </w:tabs>
        <w:spacing w:line="360" w:lineRule="auto"/>
        <w:ind w:firstLine="480"/>
        <w:rPr>
          <w:rFonts w:hint="eastAsia" w:ascii="宋体" w:hAnsi="宋体" w:cs="宋体"/>
          <w:color w:val="auto"/>
          <w:sz w:val="24"/>
          <w:highlight w:val="none"/>
          <w14:ligatures w14:val="none"/>
        </w:rPr>
      </w:pPr>
      <w:r>
        <w:rPr>
          <w:rFonts w:hint="eastAsia" w:ascii="宋体" w:hAnsi="宋体" w:cs="宋体"/>
          <w:color w:val="auto"/>
          <w:kern w:val="0"/>
          <w:sz w:val="24"/>
          <w:highlight w:val="none"/>
          <w14:ligatures w14: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14:ligatures w14:val="none"/>
        </w:rPr>
        <w:t>。履约保证金的数额不得超过政府采购合同金额的</w:t>
      </w:r>
      <w:r>
        <w:rPr>
          <w:rFonts w:ascii="宋体" w:hAnsi="宋体" w:cs="宋体"/>
          <w:color w:val="auto"/>
          <w:sz w:val="24"/>
          <w:highlight w:val="none"/>
          <w14:ligatures w14:val="none"/>
        </w:rPr>
        <w:t>1</w:t>
      </w:r>
      <w:r>
        <w:rPr>
          <w:rFonts w:hint="eastAsia" w:ascii="宋体" w:hAnsi="宋体" w:cs="宋体"/>
          <w:color w:val="auto"/>
          <w:sz w:val="24"/>
          <w:highlight w:val="none"/>
          <w14:ligatures w14: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14:ligatures w14:val="none"/>
        </w:rPr>
        <w:t>延迟退还的，应当按照合同约定和法律规定承担相应的赔偿责任</w:t>
      </w:r>
      <w:r>
        <w:rPr>
          <w:rFonts w:hint="eastAsia" w:ascii="宋体" w:hAnsi="宋体" w:cs="宋体"/>
          <w:color w:val="auto"/>
          <w:sz w:val="24"/>
          <w:highlight w:val="none"/>
          <w14:ligatures w14:val="none"/>
        </w:rPr>
        <w:t>。</w:t>
      </w:r>
    </w:p>
    <w:p w14:paraId="7ABFE0CB">
      <w:pPr>
        <w:tabs>
          <w:tab w:val="left" w:pos="0"/>
        </w:tabs>
        <w:spacing w:line="360" w:lineRule="auto"/>
        <w:ind w:firstLine="480"/>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供应商</w:t>
      </w:r>
      <w:r>
        <w:rPr>
          <w:rFonts w:hint="eastAsia" w:ascii="宋体" w:hAnsi="宋体" w:cs="宋体"/>
          <w:color w:val="auto"/>
          <w:kern w:val="0"/>
          <w:sz w:val="24"/>
          <w:highlight w:val="none"/>
          <w14:ligatures w14:val="none"/>
        </w:rPr>
        <w:t>可</w:t>
      </w:r>
      <w:r>
        <w:rPr>
          <w:rFonts w:hint="eastAsia" w:ascii="宋体" w:hAnsi="宋体" w:cs="宋体"/>
          <w:color w:val="auto"/>
          <w:kern w:val="0"/>
          <w:sz w:val="24"/>
          <w:highlight w:val="none"/>
          <w:lang w:val="zh-CN"/>
          <w14:ligatures w14: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E1FB52C">
      <w:pPr>
        <w:snapToGrid w:val="0"/>
        <w:spacing w:before="120" w:line="360" w:lineRule="auto"/>
        <w:ind w:firstLine="482"/>
        <w:rPr>
          <w:rFonts w:hint="eastAsia" w:ascii="宋体" w:hAnsi="宋体" w:cs="宋体"/>
          <w:b/>
          <w:color w:val="auto"/>
          <w:sz w:val="24"/>
          <w:highlight w:val="none"/>
          <w:lang w:val="zh-CN"/>
          <w14:ligatures w14:val="none"/>
        </w:rPr>
      </w:pPr>
      <w:r>
        <w:rPr>
          <w:rFonts w:hint="eastAsia" w:ascii="宋体" w:hAnsi="宋体" w:cs="宋体"/>
          <w:b/>
          <w:color w:val="auto"/>
          <w:sz w:val="24"/>
          <w:highlight w:val="none"/>
          <w14:ligatures w14:val="none"/>
        </w:rPr>
        <w:t>27.预付款</w:t>
      </w:r>
    </w:p>
    <w:p w14:paraId="11762258">
      <w:pPr>
        <w:adjustRightInd/>
        <w:spacing w:line="360" w:lineRule="auto"/>
        <w:ind w:firstLine="480" w:firstLineChars="200"/>
        <w:rPr>
          <w:rFonts w:hint="eastAsia" w:ascii="宋体" w:hAnsi="宋体"/>
          <w:color w:val="auto"/>
          <w:sz w:val="24"/>
          <w:highlight w:val="none"/>
          <w14:ligatures w14:val="none"/>
        </w:rPr>
      </w:pPr>
      <w:r>
        <w:rPr>
          <w:rFonts w:hint="eastAsia" w:ascii="宋体" w:hAnsi="宋体"/>
          <w:color w:val="auto"/>
          <w:sz w:val="24"/>
          <w:highlight w:val="none"/>
          <w14:ligatures w14:val="none"/>
        </w:rPr>
        <w:t>采购单位应当在政府采购合同中约定预付款，对中小企业合同预付款比例原则上不低于合同金额的</w:t>
      </w:r>
      <w:r>
        <w:rPr>
          <w:rFonts w:ascii="宋体" w:hAnsi="宋体"/>
          <w:color w:val="auto"/>
          <w:sz w:val="24"/>
          <w:highlight w:val="none"/>
          <w14:ligatures w14:val="none"/>
        </w:rPr>
        <w:t>40％</w:t>
      </w:r>
      <w:r>
        <w:rPr>
          <w:rFonts w:hint="eastAsia" w:ascii="宋体" w:hAnsi="宋体"/>
          <w:color w:val="auto"/>
          <w:sz w:val="24"/>
          <w:highlight w:val="none"/>
          <w14:ligatures w14:val="none"/>
        </w:rPr>
        <w:t>，不高于合同金额的</w:t>
      </w:r>
      <w:r>
        <w:rPr>
          <w:rFonts w:ascii="宋体" w:hAnsi="宋体"/>
          <w:color w:val="auto"/>
          <w:sz w:val="24"/>
          <w:highlight w:val="none"/>
          <w14:ligatures w14:val="none"/>
        </w:rPr>
        <w:t>70%；项目分年安排预算的，每年预付款比例</w:t>
      </w:r>
      <w:r>
        <w:rPr>
          <w:rFonts w:hint="eastAsia" w:ascii="宋体" w:hAnsi="宋体"/>
          <w:color w:val="auto"/>
          <w:sz w:val="24"/>
          <w:highlight w:val="none"/>
          <w14:ligatures w14:val="none"/>
        </w:rPr>
        <w:t>不低于</w:t>
      </w:r>
      <w:r>
        <w:rPr>
          <w:rFonts w:ascii="宋体" w:hAnsi="宋体"/>
          <w:color w:val="auto"/>
          <w:sz w:val="24"/>
          <w:highlight w:val="none"/>
          <w14:ligatures w14:val="none"/>
        </w:rPr>
        <w:t>项目年度计划支付资金额的40％</w:t>
      </w:r>
      <w:r>
        <w:rPr>
          <w:rFonts w:hint="eastAsia" w:ascii="宋体" w:hAnsi="宋体"/>
          <w:color w:val="auto"/>
          <w:sz w:val="24"/>
          <w:highlight w:val="none"/>
          <w14:ligatures w14:val="none"/>
        </w:rPr>
        <w:t>，不高于合同金额的</w:t>
      </w:r>
      <w:r>
        <w:rPr>
          <w:rFonts w:ascii="宋体" w:hAnsi="宋体"/>
          <w:color w:val="auto"/>
          <w:sz w:val="24"/>
          <w:highlight w:val="none"/>
          <w14:ligatures w14:val="none"/>
        </w:rPr>
        <w:t>70%；采购项目实施以人工投入为主的，</w:t>
      </w:r>
      <w:r>
        <w:rPr>
          <w:rFonts w:hint="eastAsia" w:ascii="宋体" w:hAnsi="宋体"/>
          <w:color w:val="auto"/>
          <w:sz w:val="24"/>
          <w:highlight w:val="none"/>
          <w14:ligatures w14:val="none"/>
        </w:rPr>
        <w:t>可适当降低预付款比例，但不得低于</w:t>
      </w:r>
      <w:r>
        <w:rPr>
          <w:rFonts w:ascii="宋体" w:hAnsi="宋体"/>
          <w:color w:val="auto"/>
          <w:sz w:val="24"/>
          <w:highlight w:val="none"/>
          <w14:ligatures w14: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14:ligatures w14:val="none"/>
        </w:rPr>
        <w:t>供应商</w:t>
      </w:r>
      <w:r>
        <w:rPr>
          <w:rFonts w:ascii="宋体" w:hAnsi="宋体"/>
          <w:color w:val="auto"/>
          <w:sz w:val="24"/>
          <w:highlight w:val="none"/>
          <w14:ligatures w14:val="none"/>
        </w:rPr>
        <w:t>明确表示无需预付款或者主动要求降低预付款比例的，</w:t>
      </w:r>
      <w:r>
        <w:rPr>
          <w:rFonts w:hint="eastAsia" w:ascii="宋体" w:hAnsi="宋体"/>
          <w:color w:val="auto"/>
          <w:sz w:val="24"/>
          <w:highlight w:val="none"/>
          <w14:ligatures w14:val="none"/>
        </w:rPr>
        <w:t>采购单位</w:t>
      </w:r>
      <w:r>
        <w:rPr>
          <w:rFonts w:ascii="宋体" w:hAnsi="宋体"/>
          <w:color w:val="auto"/>
          <w:sz w:val="24"/>
          <w:highlight w:val="none"/>
          <w14:ligatures w14:val="none"/>
        </w:rPr>
        <w:t>可不适用前述规定。</w:t>
      </w:r>
      <w:r>
        <w:rPr>
          <w:rFonts w:hint="eastAsia" w:ascii="宋体" w:hAnsi="宋体"/>
          <w:color w:val="auto"/>
          <w:sz w:val="24"/>
          <w:highlight w:val="none"/>
          <w14:ligatures w14:val="none"/>
        </w:rPr>
        <w:t>采购单位</w:t>
      </w:r>
      <w:r>
        <w:rPr>
          <w:rFonts w:ascii="宋体" w:hAnsi="宋体"/>
          <w:color w:val="auto"/>
          <w:sz w:val="24"/>
          <w:highlight w:val="none"/>
          <w14:ligatures w14:val="none"/>
        </w:rPr>
        <w:t>根据项目特点、供应商诚信等因素，可以要求</w:t>
      </w:r>
      <w:r>
        <w:rPr>
          <w:rFonts w:hint="eastAsia" w:ascii="宋体" w:hAnsi="宋体"/>
          <w:color w:val="auto"/>
          <w:sz w:val="24"/>
          <w:highlight w:val="none"/>
          <w14:ligatures w14:val="none"/>
        </w:rPr>
        <w:t>供应商</w:t>
      </w:r>
      <w:r>
        <w:rPr>
          <w:rFonts w:ascii="宋体" w:hAnsi="宋体"/>
          <w:color w:val="auto"/>
          <w:sz w:val="24"/>
          <w:highlight w:val="none"/>
          <w14:ligatures w14: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14:ligatures w14: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14:ligatures w14:val="none"/>
        </w:rPr>
        <w:t xml:space="preserve"> - </w:t>
      </w:r>
      <w:r>
        <w:rPr>
          <w:rFonts w:hint="eastAsia" w:ascii="宋体" w:hAnsi="宋体"/>
          <w:color w:val="auto"/>
          <w:sz w:val="24"/>
          <w:highlight w:val="none"/>
          <w14:ligatures w14:val="none"/>
        </w:rPr>
        <w:t>【保函保险服务】出具预付款保函，具体步骤：选择产品—填写供应商信息—选择中标项目—确认信息—等待保险</w:t>
      </w:r>
      <w:r>
        <w:rPr>
          <w:rFonts w:ascii="宋体" w:hAnsi="宋体"/>
          <w:color w:val="auto"/>
          <w:sz w:val="24"/>
          <w:highlight w:val="none"/>
          <w14:ligatures w14:val="none"/>
        </w:rPr>
        <w:t>/保函受理—确认保单—支付保费—成功出单。政</w:t>
      </w:r>
      <w:r>
        <w:rPr>
          <w:rFonts w:hint="eastAsia" w:ascii="宋体" w:hAnsi="宋体"/>
          <w:color w:val="auto"/>
          <w:sz w:val="24"/>
          <w:highlight w:val="none"/>
          <w14:ligatures w14:val="none"/>
        </w:rPr>
        <w:t>采云金融专线95763</w:t>
      </w:r>
      <w:r>
        <w:rPr>
          <w:rFonts w:ascii="宋体" w:hAnsi="宋体"/>
          <w:color w:val="auto"/>
          <w:sz w:val="24"/>
          <w:highlight w:val="none"/>
          <w14:ligatures w14:val="none"/>
        </w:rPr>
        <w:t>。</w:t>
      </w:r>
    </w:p>
    <w:p w14:paraId="7C1036C6">
      <w:pPr>
        <w:adjustRightInd/>
        <w:spacing w:line="360" w:lineRule="auto"/>
        <w:ind w:firstLine="480" w:firstLineChars="200"/>
        <w:rPr>
          <w:rFonts w:hint="eastAsia" w:ascii="宋体" w:hAnsi="宋体"/>
          <w:color w:val="auto"/>
          <w:sz w:val="24"/>
          <w:highlight w:val="none"/>
          <w14:ligatures w14:val="none"/>
        </w:rPr>
      </w:pPr>
    </w:p>
    <w:p w14:paraId="15123B99">
      <w:pPr>
        <w:snapToGrid w:val="0"/>
        <w:spacing w:line="360" w:lineRule="auto"/>
        <w:ind w:firstLine="3357" w:firstLineChars="1045"/>
        <w:rPr>
          <w:rFonts w:hint="eastAsia" w:ascii="宋体" w:hAnsi="宋体" w:cs="宋体"/>
          <w:b/>
          <w:color w:val="auto"/>
          <w:sz w:val="24"/>
          <w:highlight w:val="none"/>
          <w14:ligatures w14:val="none"/>
        </w:rPr>
      </w:pPr>
      <w:r>
        <w:rPr>
          <w:rFonts w:hint="eastAsia" w:ascii="宋体" w:hAnsi="宋体" w:cs="宋体"/>
          <w:b/>
          <w:color w:val="auto"/>
          <w:sz w:val="32"/>
          <w:highlight w:val="none"/>
          <w14:ligatures w14:val="none"/>
        </w:rPr>
        <w:t>八、电子交易活动的中止</w:t>
      </w:r>
    </w:p>
    <w:p w14:paraId="7785252F">
      <w:pPr>
        <w:snapToGrid w:val="0"/>
        <w:spacing w:before="120" w:line="360" w:lineRule="auto"/>
        <w:ind w:firstLine="482"/>
        <w:rPr>
          <w:rFonts w:hint="eastAsia" w:ascii="宋体" w:hAnsi="宋体" w:cs="宋体"/>
          <w:color w:val="auto"/>
          <w:sz w:val="24"/>
          <w:szCs w:val="20"/>
          <w:highlight w:val="none"/>
          <w14:ligatures w14:val="none"/>
        </w:rPr>
      </w:pPr>
      <w:r>
        <w:rPr>
          <w:rFonts w:ascii="宋体" w:hAnsi="宋体" w:cs="宋体"/>
          <w:b/>
          <w:bCs/>
          <w:color w:val="auto"/>
          <w:sz w:val="24"/>
          <w:szCs w:val="20"/>
          <w:highlight w:val="none"/>
          <w14:ligatures w14:val="none"/>
        </w:rPr>
        <w:t>2</w:t>
      </w:r>
      <w:r>
        <w:rPr>
          <w:rFonts w:ascii="宋体" w:hAnsi="宋体" w:cs="宋体"/>
          <w:b/>
          <w:bCs/>
          <w:color w:val="auto"/>
          <w:sz w:val="24"/>
          <w:highlight w:val="none"/>
          <w14:ligatures w14:val="none"/>
        </w:rPr>
        <w:t>8</w:t>
      </w:r>
      <w:r>
        <w:rPr>
          <w:rFonts w:hint="eastAsia" w:ascii="宋体" w:hAnsi="宋体" w:cs="宋体"/>
          <w:b/>
          <w:color w:val="auto"/>
          <w:sz w:val="24"/>
          <w:highlight w:val="none"/>
          <w14:ligatures w14:val="none"/>
        </w:rPr>
        <w:t>. 电子交易活动的中止。</w:t>
      </w:r>
      <w:r>
        <w:rPr>
          <w:rFonts w:hint="eastAsia" w:ascii="宋体" w:hAnsi="宋体" w:cs="宋体"/>
          <w:color w:val="auto"/>
          <w:sz w:val="24"/>
          <w:szCs w:val="20"/>
          <w:highlight w:val="none"/>
          <w14:ligatures w14:val="none"/>
        </w:rPr>
        <w:t>采购过程中出现以下情形，导致电子交易平台无法正常运行，或者无法保证电子交易的公平、公正和安全时，采购代理机构可中止电子交易活动：</w:t>
      </w:r>
    </w:p>
    <w:p w14:paraId="49F07CA7">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 xml:space="preserve">28.1电子交易平台发生故障而无法登录访问的； </w:t>
      </w:r>
    </w:p>
    <w:p w14:paraId="29EAE0D2">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28.2电子交易平台应用或数据库出现错误，不能进行正常操作的；</w:t>
      </w:r>
    </w:p>
    <w:p w14:paraId="32BF9D13">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28.3电子交易平台发现严重安全漏洞，有潜在泄密危险的；</w:t>
      </w:r>
    </w:p>
    <w:p w14:paraId="7BF9B1FF">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 xml:space="preserve">28.4病毒发作导致不能进行正常操作的； </w:t>
      </w:r>
    </w:p>
    <w:p w14:paraId="352E8A82">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28.5其他无法保证电子交易的公平、公正和安全的情况。</w:t>
      </w:r>
    </w:p>
    <w:p w14:paraId="55847544">
      <w:pPr>
        <w:snapToGrid w:val="0"/>
        <w:spacing w:before="120" w:line="360" w:lineRule="auto"/>
        <w:ind w:firstLine="48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29.出现以上情形，不影响采购公平、公正性的，采购组织机构可以待上述情形消除后继续组织电子交易活动，也可以决定某些环节以纸质形式进行；影响或可能影响采购公平、公正性的，应当重新采购。</w:t>
      </w:r>
    </w:p>
    <w:p w14:paraId="55939BF3">
      <w:pPr>
        <w:tabs>
          <w:tab w:val="left" w:pos="0"/>
        </w:tabs>
        <w:spacing w:line="360" w:lineRule="auto"/>
        <w:ind w:firstLine="480"/>
        <w:rPr>
          <w:rFonts w:hint="eastAsia" w:ascii="宋体" w:hAnsi="宋体" w:cs="宋体"/>
          <w:color w:val="auto"/>
          <w:sz w:val="24"/>
          <w:highlight w:val="none"/>
          <w14:ligatures w14:val="none"/>
        </w:rPr>
      </w:pPr>
    </w:p>
    <w:p w14:paraId="1AD2A8D9">
      <w:pPr>
        <w:snapToGrid w:val="0"/>
        <w:spacing w:line="360" w:lineRule="auto"/>
        <w:ind w:left="120" w:leftChars="57" w:firstLine="482" w:firstLineChars="150"/>
        <w:jc w:val="center"/>
        <w:rPr>
          <w:rFonts w:hint="eastAsia" w:ascii="宋体" w:hAnsi="宋体" w:cs="宋体"/>
          <w:b/>
          <w:color w:val="auto"/>
          <w:sz w:val="32"/>
          <w:highlight w:val="none"/>
          <w14:ligatures w14:val="none"/>
        </w:rPr>
      </w:pPr>
      <w:r>
        <w:rPr>
          <w:rFonts w:hint="eastAsia" w:ascii="宋体" w:hAnsi="宋体" w:cs="宋体"/>
          <w:b/>
          <w:color w:val="auto"/>
          <w:sz w:val="32"/>
          <w:highlight w:val="none"/>
          <w14:ligatures w14:val="none"/>
        </w:rPr>
        <w:t>九、验收</w:t>
      </w:r>
    </w:p>
    <w:p w14:paraId="1EA45211">
      <w:pPr>
        <w:spacing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30.验收</w:t>
      </w:r>
    </w:p>
    <w:p w14:paraId="20ED29B9">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6665FD">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30.2采购人可以邀请参加本项目的其他投标人或者第三方机构参与验收。参与验收的投标人或者第三方机构的意见作为验收书的参考资料一并存档。</w:t>
      </w:r>
    </w:p>
    <w:p w14:paraId="04637534">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93FAA5">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A92CF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14:ligatures w14: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p w14:paraId="2FC4592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758706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2CCB23B6">
      <w:pPr>
        <w:adjustRightInd/>
        <w:spacing w:line="360" w:lineRule="auto"/>
        <w:rPr>
          <w:rFonts w:hint="eastAsia" w:ascii="宋体" w:hAnsi="宋体" w:eastAsia="宋体" w:cs="宋体"/>
          <w:b/>
          <w:sz w:val="24"/>
          <w:szCs w:val="24"/>
        </w:rPr>
      </w:pPr>
      <w:r>
        <w:rPr>
          <w:rFonts w:hint="eastAsia" w:ascii="宋体" w:hAnsi="宋体" w:eastAsia="宋体" w:cs="宋体"/>
          <w:b/>
          <w:sz w:val="24"/>
          <w:szCs w:val="24"/>
        </w:rPr>
        <w:t>一、项目概况</w:t>
      </w:r>
    </w:p>
    <w:p w14:paraId="04FE9D33">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1、项目名称：前进街道河道保洁政府采购项目</w:t>
      </w:r>
    </w:p>
    <w:p w14:paraId="38F73FB4">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2、项目地点：钱塘区</w:t>
      </w:r>
    </w:p>
    <w:p w14:paraId="5DDC369B">
      <w:pPr>
        <w:adjustRightInd/>
        <w:spacing w:line="360" w:lineRule="auto"/>
        <w:rPr>
          <w:rFonts w:hint="eastAsia" w:ascii="宋体" w:hAnsi="宋体" w:eastAsia="宋体" w:cs="宋体"/>
          <w:sz w:val="24"/>
          <w:szCs w:val="24"/>
        </w:rPr>
      </w:pPr>
      <w:r>
        <w:rPr>
          <w:rFonts w:hint="eastAsia" w:ascii="宋体" w:hAnsi="宋体" w:eastAsia="宋体" w:cs="宋体"/>
          <w:b/>
          <w:sz w:val="24"/>
          <w:szCs w:val="24"/>
        </w:rPr>
        <w:t>二、采购招标范围</w:t>
      </w:r>
    </w:p>
    <w:p w14:paraId="19EEDD46">
      <w:pPr>
        <w:adjustRightIn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前进街道现有的围垦沿塘河、抢险河、九工段直河（围垦段）、0.7万亩沿塘河、八二直河、一万亩中心横河、新峰横河、前峰横直河、海丰横直河、山海直河、丰乐直河11条30800米的河道以及三处共3945米长的小微水体开展日常河岸、河面保洁，详见下表。</w:t>
      </w:r>
    </w:p>
    <w:p w14:paraId="6008798A">
      <w:pPr>
        <w:adjustRightIn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前进街道河道保洁明细表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25"/>
        <w:gridCol w:w="3150"/>
        <w:gridCol w:w="2294"/>
      </w:tblGrid>
      <w:tr w14:paraId="2809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432BCD2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序号</w:t>
            </w:r>
          </w:p>
        </w:tc>
        <w:tc>
          <w:tcPr>
            <w:tcW w:w="3125" w:type="dxa"/>
            <w:noWrap w:val="0"/>
            <w:vAlign w:val="top"/>
          </w:tcPr>
          <w:p w14:paraId="7750BE8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河道</w:t>
            </w:r>
            <w:r>
              <w:rPr>
                <w:rFonts w:hint="eastAsia" w:ascii="宋体" w:hAnsi="宋体" w:eastAsia="宋体" w:cs="宋体"/>
                <w:color w:val="auto"/>
                <w:sz w:val="24"/>
                <w:szCs w:val="24"/>
                <w:highlight w:val="none"/>
                <w:lang w:eastAsia="zh-CN"/>
              </w:rPr>
              <w:t>（小微水体）名称</w:t>
            </w:r>
          </w:p>
        </w:tc>
        <w:tc>
          <w:tcPr>
            <w:tcW w:w="3150" w:type="dxa"/>
            <w:noWrap w:val="0"/>
            <w:vAlign w:val="top"/>
          </w:tcPr>
          <w:p w14:paraId="30C5B60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起止地点</w:t>
            </w:r>
          </w:p>
        </w:tc>
        <w:tc>
          <w:tcPr>
            <w:tcW w:w="2294" w:type="dxa"/>
            <w:noWrap w:val="0"/>
            <w:vAlign w:val="top"/>
          </w:tcPr>
          <w:p w14:paraId="777F62A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长度（米）</w:t>
            </w:r>
          </w:p>
        </w:tc>
      </w:tr>
      <w:tr w14:paraId="5A60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0AFEBA5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3125" w:type="dxa"/>
            <w:noWrap w:val="0"/>
            <w:vAlign w:val="top"/>
          </w:tcPr>
          <w:p w14:paraId="10CDEF8A">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围垦沿塘河</w:t>
            </w:r>
          </w:p>
        </w:tc>
        <w:tc>
          <w:tcPr>
            <w:tcW w:w="3150" w:type="dxa"/>
            <w:noWrap w:val="0"/>
            <w:vAlign w:val="top"/>
          </w:tcPr>
          <w:p w14:paraId="0FD9878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七工段直河至九工段直河</w:t>
            </w:r>
          </w:p>
        </w:tc>
        <w:tc>
          <w:tcPr>
            <w:tcW w:w="2294" w:type="dxa"/>
            <w:noWrap w:val="0"/>
            <w:vAlign w:val="top"/>
          </w:tcPr>
          <w:p w14:paraId="355B215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5300</w:t>
            </w:r>
          </w:p>
        </w:tc>
      </w:tr>
      <w:tr w14:paraId="27EC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09A2AC6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3125" w:type="dxa"/>
            <w:noWrap w:val="0"/>
            <w:vAlign w:val="top"/>
          </w:tcPr>
          <w:p w14:paraId="3C6DE5A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抢险河</w:t>
            </w:r>
          </w:p>
        </w:tc>
        <w:tc>
          <w:tcPr>
            <w:tcW w:w="3150" w:type="dxa"/>
            <w:noWrap w:val="0"/>
            <w:vAlign w:val="top"/>
          </w:tcPr>
          <w:p w14:paraId="2BE70FF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外七工段至外九工段桥</w:t>
            </w:r>
          </w:p>
        </w:tc>
        <w:tc>
          <w:tcPr>
            <w:tcW w:w="2294" w:type="dxa"/>
            <w:noWrap w:val="0"/>
            <w:vAlign w:val="top"/>
          </w:tcPr>
          <w:p w14:paraId="1DE9ED0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6500</w:t>
            </w:r>
          </w:p>
        </w:tc>
      </w:tr>
      <w:tr w14:paraId="4050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487FCEA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3125" w:type="dxa"/>
            <w:noWrap w:val="0"/>
            <w:vAlign w:val="top"/>
          </w:tcPr>
          <w:p w14:paraId="28292A4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九工段直河</w:t>
            </w:r>
          </w:p>
        </w:tc>
        <w:tc>
          <w:tcPr>
            <w:tcW w:w="3150" w:type="dxa"/>
            <w:noWrap w:val="0"/>
            <w:vAlign w:val="top"/>
          </w:tcPr>
          <w:p w14:paraId="335B48C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围垦沿塘河至抢险河</w:t>
            </w:r>
          </w:p>
        </w:tc>
        <w:tc>
          <w:tcPr>
            <w:tcW w:w="2294" w:type="dxa"/>
            <w:noWrap w:val="0"/>
            <w:vAlign w:val="top"/>
          </w:tcPr>
          <w:p w14:paraId="5373171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3000</w:t>
            </w:r>
          </w:p>
        </w:tc>
      </w:tr>
      <w:tr w14:paraId="530A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449CAA2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3125" w:type="dxa"/>
            <w:noWrap w:val="0"/>
            <w:vAlign w:val="top"/>
          </w:tcPr>
          <w:p w14:paraId="43CDD37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0.7万亩沿塘河</w:t>
            </w:r>
          </w:p>
        </w:tc>
        <w:tc>
          <w:tcPr>
            <w:tcW w:w="3150" w:type="dxa"/>
            <w:noWrap w:val="0"/>
            <w:vAlign w:val="top"/>
          </w:tcPr>
          <w:p w14:paraId="7773166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八一闸至九工段直河</w:t>
            </w:r>
          </w:p>
        </w:tc>
        <w:tc>
          <w:tcPr>
            <w:tcW w:w="2294" w:type="dxa"/>
            <w:noWrap w:val="0"/>
            <w:vAlign w:val="top"/>
          </w:tcPr>
          <w:p w14:paraId="2D253C0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3300</w:t>
            </w:r>
          </w:p>
        </w:tc>
      </w:tr>
      <w:tr w14:paraId="32E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4E192D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3125" w:type="dxa"/>
            <w:noWrap w:val="0"/>
            <w:vAlign w:val="top"/>
          </w:tcPr>
          <w:p w14:paraId="58E8515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八二直河</w:t>
            </w:r>
          </w:p>
        </w:tc>
        <w:tc>
          <w:tcPr>
            <w:tcW w:w="3150" w:type="dxa"/>
            <w:noWrap w:val="0"/>
            <w:vAlign w:val="top"/>
          </w:tcPr>
          <w:p w14:paraId="75BDEE4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八二闸至抢险河</w:t>
            </w:r>
          </w:p>
        </w:tc>
        <w:tc>
          <w:tcPr>
            <w:tcW w:w="2294" w:type="dxa"/>
            <w:noWrap w:val="0"/>
            <w:vAlign w:val="top"/>
          </w:tcPr>
          <w:p w14:paraId="10B1582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1400</w:t>
            </w:r>
          </w:p>
        </w:tc>
      </w:tr>
      <w:tr w14:paraId="25FF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30A688A">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3125" w:type="dxa"/>
            <w:noWrap w:val="0"/>
            <w:vAlign w:val="top"/>
          </w:tcPr>
          <w:p w14:paraId="2626182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一万亩中心横河</w:t>
            </w:r>
          </w:p>
        </w:tc>
        <w:tc>
          <w:tcPr>
            <w:tcW w:w="3150" w:type="dxa"/>
            <w:noWrap w:val="0"/>
            <w:vAlign w:val="top"/>
          </w:tcPr>
          <w:p w14:paraId="4825BE3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抢险河至九工段直河</w:t>
            </w:r>
          </w:p>
        </w:tc>
        <w:tc>
          <w:tcPr>
            <w:tcW w:w="2294" w:type="dxa"/>
            <w:noWrap w:val="0"/>
            <w:vAlign w:val="top"/>
          </w:tcPr>
          <w:p w14:paraId="27F7D36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2300</w:t>
            </w:r>
          </w:p>
        </w:tc>
      </w:tr>
      <w:tr w14:paraId="74DC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12E9E72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125" w:type="dxa"/>
            <w:noWrap w:val="0"/>
            <w:vAlign w:val="top"/>
          </w:tcPr>
          <w:p w14:paraId="01E19D3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新峰横河</w:t>
            </w:r>
          </w:p>
        </w:tc>
        <w:tc>
          <w:tcPr>
            <w:tcW w:w="3150" w:type="dxa"/>
            <w:noWrap w:val="0"/>
            <w:vAlign w:val="top"/>
          </w:tcPr>
          <w:p w14:paraId="6D0544CA">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九工段直河至东升界</w:t>
            </w:r>
          </w:p>
        </w:tc>
        <w:tc>
          <w:tcPr>
            <w:tcW w:w="2294" w:type="dxa"/>
            <w:noWrap w:val="0"/>
            <w:vAlign w:val="top"/>
          </w:tcPr>
          <w:p w14:paraId="6D24EB5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1300</w:t>
            </w:r>
          </w:p>
        </w:tc>
      </w:tr>
      <w:tr w14:paraId="727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6CE681F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125" w:type="dxa"/>
            <w:noWrap w:val="0"/>
            <w:vAlign w:val="top"/>
          </w:tcPr>
          <w:p w14:paraId="56AD122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前峰横直河</w:t>
            </w:r>
          </w:p>
        </w:tc>
        <w:tc>
          <w:tcPr>
            <w:tcW w:w="3150" w:type="dxa"/>
            <w:noWrap w:val="0"/>
            <w:vAlign w:val="top"/>
          </w:tcPr>
          <w:p w14:paraId="63F0375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前峰村东界至西界</w:t>
            </w:r>
          </w:p>
        </w:tc>
        <w:tc>
          <w:tcPr>
            <w:tcW w:w="2294" w:type="dxa"/>
            <w:noWrap w:val="0"/>
            <w:vAlign w:val="top"/>
          </w:tcPr>
          <w:p w14:paraId="2269277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r>
      <w:tr w14:paraId="66A5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66958987">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125" w:type="dxa"/>
            <w:noWrap w:val="0"/>
            <w:vAlign w:val="top"/>
          </w:tcPr>
          <w:p w14:paraId="3E9B7E4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海丰横直河</w:t>
            </w:r>
          </w:p>
        </w:tc>
        <w:tc>
          <w:tcPr>
            <w:tcW w:w="3150" w:type="dxa"/>
            <w:noWrap w:val="0"/>
            <w:vAlign w:val="top"/>
          </w:tcPr>
          <w:p w14:paraId="3F9186C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九工段直河至四联闸横河</w:t>
            </w:r>
          </w:p>
        </w:tc>
        <w:tc>
          <w:tcPr>
            <w:tcW w:w="2294" w:type="dxa"/>
            <w:noWrap w:val="0"/>
            <w:vAlign w:val="top"/>
          </w:tcPr>
          <w:p w14:paraId="4005CC3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2100</w:t>
            </w:r>
          </w:p>
        </w:tc>
      </w:tr>
      <w:tr w14:paraId="6164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6B76ED4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125" w:type="dxa"/>
            <w:noWrap w:val="0"/>
            <w:vAlign w:val="top"/>
          </w:tcPr>
          <w:p w14:paraId="77F59D32">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山海直河</w:t>
            </w:r>
          </w:p>
        </w:tc>
        <w:tc>
          <w:tcPr>
            <w:tcW w:w="3150" w:type="dxa"/>
            <w:noWrap w:val="0"/>
            <w:vAlign w:val="top"/>
          </w:tcPr>
          <w:p w14:paraId="65929BF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四联闸横河至四工段横河</w:t>
            </w:r>
          </w:p>
        </w:tc>
        <w:tc>
          <w:tcPr>
            <w:tcW w:w="2294" w:type="dxa"/>
            <w:noWrap w:val="0"/>
            <w:vAlign w:val="top"/>
          </w:tcPr>
          <w:p w14:paraId="14F0F58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1400</w:t>
            </w:r>
          </w:p>
        </w:tc>
      </w:tr>
      <w:tr w14:paraId="500E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4C204E9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125" w:type="dxa"/>
            <w:noWrap w:val="0"/>
            <w:vAlign w:val="top"/>
          </w:tcPr>
          <w:p w14:paraId="74F84362">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丰乐直河</w:t>
            </w:r>
          </w:p>
        </w:tc>
        <w:tc>
          <w:tcPr>
            <w:tcW w:w="3150" w:type="dxa"/>
            <w:noWrap w:val="0"/>
            <w:vAlign w:val="top"/>
          </w:tcPr>
          <w:p w14:paraId="341FFAF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四工段横河至围垦沿塘河</w:t>
            </w:r>
          </w:p>
        </w:tc>
        <w:tc>
          <w:tcPr>
            <w:tcW w:w="2294" w:type="dxa"/>
            <w:noWrap w:val="0"/>
            <w:vAlign w:val="top"/>
          </w:tcPr>
          <w:p w14:paraId="37D3E0E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2200</w:t>
            </w:r>
          </w:p>
        </w:tc>
      </w:tr>
      <w:tr w14:paraId="773D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704BDF92">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125" w:type="dxa"/>
            <w:noWrap w:val="0"/>
            <w:vAlign w:val="top"/>
          </w:tcPr>
          <w:p w14:paraId="0893EFD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三垦中心横</w:t>
            </w:r>
            <w:r>
              <w:rPr>
                <w:rFonts w:hint="eastAsia" w:ascii="宋体" w:hAnsi="宋体" w:eastAsia="宋体" w:cs="宋体"/>
                <w:color w:val="auto"/>
                <w:sz w:val="24"/>
                <w:szCs w:val="24"/>
                <w:highlight w:val="none"/>
                <w:lang w:eastAsia="zh-CN"/>
              </w:rPr>
              <w:t>渠（小微水体）</w:t>
            </w:r>
          </w:p>
        </w:tc>
        <w:tc>
          <w:tcPr>
            <w:tcW w:w="3150" w:type="dxa"/>
            <w:noWrap w:val="0"/>
            <w:vAlign w:val="top"/>
          </w:tcPr>
          <w:p w14:paraId="6E567FF0">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丰乐直河至靖江垦种</w:t>
            </w:r>
          </w:p>
        </w:tc>
        <w:tc>
          <w:tcPr>
            <w:tcW w:w="2294" w:type="dxa"/>
            <w:noWrap w:val="0"/>
            <w:vAlign w:val="top"/>
          </w:tcPr>
          <w:p w14:paraId="79A5072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w:t>
            </w:r>
          </w:p>
        </w:tc>
      </w:tr>
      <w:tr w14:paraId="66EF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1FE5BCC2">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125" w:type="dxa"/>
            <w:noWrap w:val="0"/>
            <w:vAlign w:val="top"/>
          </w:tcPr>
          <w:p w14:paraId="1CAC1B57">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三垦中心直渠（小微水体）</w:t>
            </w:r>
          </w:p>
        </w:tc>
        <w:tc>
          <w:tcPr>
            <w:tcW w:w="3150" w:type="dxa"/>
            <w:noWrap w:val="0"/>
            <w:vAlign w:val="top"/>
          </w:tcPr>
          <w:p w14:paraId="4F6B1D20">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四工段横河至围垦沿塘河</w:t>
            </w:r>
          </w:p>
        </w:tc>
        <w:tc>
          <w:tcPr>
            <w:tcW w:w="2294" w:type="dxa"/>
            <w:noWrap w:val="0"/>
            <w:vAlign w:val="top"/>
          </w:tcPr>
          <w:p w14:paraId="1B8511A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1825</w:t>
            </w:r>
          </w:p>
        </w:tc>
      </w:tr>
      <w:tr w14:paraId="23CB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4254BA4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125" w:type="dxa"/>
            <w:noWrap w:val="0"/>
            <w:vAlign w:val="top"/>
          </w:tcPr>
          <w:p w14:paraId="23082B9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横梗头中心直渠（小微水体）</w:t>
            </w:r>
          </w:p>
        </w:tc>
        <w:tc>
          <w:tcPr>
            <w:tcW w:w="3150" w:type="dxa"/>
            <w:noWrap w:val="0"/>
            <w:vAlign w:val="top"/>
          </w:tcPr>
          <w:p w14:paraId="5E27A71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四工段横河至围垦沿塘河</w:t>
            </w:r>
          </w:p>
        </w:tc>
        <w:tc>
          <w:tcPr>
            <w:tcW w:w="2294" w:type="dxa"/>
            <w:noWrap w:val="0"/>
            <w:vAlign w:val="top"/>
          </w:tcPr>
          <w:p w14:paraId="7D3B491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1220</w:t>
            </w:r>
          </w:p>
        </w:tc>
      </w:tr>
      <w:tr w14:paraId="5D8C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gridSpan w:val="2"/>
            <w:noWrap w:val="0"/>
            <w:vAlign w:val="top"/>
          </w:tcPr>
          <w:p w14:paraId="690BBED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50" w:type="dxa"/>
            <w:noWrap w:val="0"/>
            <w:vAlign w:val="top"/>
          </w:tcPr>
          <w:p w14:paraId="2D2D25C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p>
        </w:tc>
        <w:tc>
          <w:tcPr>
            <w:tcW w:w="2294" w:type="dxa"/>
            <w:noWrap w:val="0"/>
            <w:vAlign w:val="top"/>
          </w:tcPr>
          <w:p w14:paraId="004AF6F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34745</w:t>
            </w:r>
          </w:p>
        </w:tc>
      </w:tr>
    </w:tbl>
    <w:p w14:paraId="2422D56E">
      <w:pPr>
        <w:adjustRightInd/>
        <w:spacing w:line="360" w:lineRule="auto"/>
        <w:rPr>
          <w:rFonts w:hint="eastAsia" w:ascii="宋体" w:hAnsi="宋体" w:eastAsia="宋体" w:cs="宋体"/>
          <w:b/>
          <w:sz w:val="24"/>
          <w:szCs w:val="24"/>
        </w:rPr>
      </w:pPr>
    </w:p>
    <w:p w14:paraId="34C85CB3">
      <w:pPr>
        <w:adjustRightInd/>
        <w:spacing w:line="360" w:lineRule="auto"/>
        <w:rPr>
          <w:rFonts w:hint="eastAsia" w:ascii="宋体" w:hAnsi="宋体" w:eastAsia="宋体" w:cs="宋体"/>
          <w:b/>
          <w:sz w:val="24"/>
          <w:szCs w:val="24"/>
        </w:rPr>
      </w:pPr>
      <w:r>
        <w:rPr>
          <w:rFonts w:hint="eastAsia" w:ascii="宋体" w:hAnsi="宋体" w:eastAsia="宋体" w:cs="宋体"/>
          <w:b/>
          <w:sz w:val="24"/>
          <w:szCs w:val="24"/>
        </w:rPr>
        <w:t>三、河道保洁范围及具体要求</w:t>
      </w:r>
    </w:p>
    <w:p w14:paraId="6699A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1、保洁内容：河面上跃进斗、地笼、竹木桩、水生杂草、漂浮物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蓝藻水华、</w:t>
      </w:r>
      <w:r>
        <w:rPr>
          <w:rFonts w:hint="eastAsia" w:ascii="宋体" w:hAnsi="宋体" w:eastAsia="宋体" w:cs="宋体"/>
          <w:color w:val="auto"/>
          <w:sz w:val="24"/>
          <w:szCs w:val="24"/>
          <w:highlight w:val="none"/>
        </w:rPr>
        <w:t>油污，两岸石坎、绿化上的垃圾杂草等要及时清除。上述河道两岸20米范围内所有的垃圾、杂物、树枝、秸杆等做到及时清理，每天工作时间内不间断保洁。</w:t>
      </w:r>
    </w:p>
    <w:p w14:paraId="3CA55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2、其他工作内容：</w:t>
      </w:r>
      <w:r>
        <w:rPr>
          <w:rFonts w:hint="eastAsia" w:ascii="宋体" w:hAnsi="宋体" w:eastAsia="宋体" w:cs="宋体"/>
          <w:color w:val="auto"/>
          <w:sz w:val="24"/>
          <w:szCs w:val="24"/>
          <w:highlight w:val="none"/>
        </w:rPr>
        <w:t>海丰横河全段2.1km内的2400个花箱养护以及山海直河全段1.4km内的河道两岸5米范围内的护坡护理</w:t>
      </w:r>
      <w:r>
        <w:rPr>
          <w:rFonts w:hint="eastAsia" w:ascii="宋体" w:hAnsi="宋体" w:cs="宋体"/>
          <w:color w:val="auto"/>
          <w:sz w:val="24"/>
          <w:szCs w:val="24"/>
          <w:highlight w:val="none"/>
          <w:lang w:eastAsia="zh-CN"/>
        </w:rPr>
        <w:t>。</w:t>
      </w:r>
    </w:p>
    <w:p w14:paraId="43D07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、安全保洁：在河道保洁时，须穿系好救生衣，认真检查船只安全和工具到位后，方可进行河道日常保洁。</w:t>
      </w:r>
    </w:p>
    <w:p w14:paraId="3CE94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、保洁禁令：在河道保洁作业时不能喝酒，做到喝酒不保洁，保洁不渴酒。保洁人员保持通讯畅通，工作时间内不得关闭手机。</w:t>
      </w:r>
    </w:p>
    <w:p w14:paraId="491F6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、工作时间：上午7：00——11：00， 下午13：00——17：00。工作时间内随机抽查到岗情况。合同价已包含节假日加班费，每日工作时间内，保洁员人数不得少于</w:t>
      </w:r>
      <w:r>
        <w:rPr>
          <w:rFonts w:hint="eastAsia" w:ascii="宋体" w:hAnsi="宋体" w:eastAsia="宋体" w:cs="宋体"/>
          <w:b/>
          <w:sz w:val="24"/>
          <w:szCs w:val="24"/>
        </w:rPr>
        <w:t>16人</w:t>
      </w:r>
      <w:r>
        <w:rPr>
          <w:rFonts w:hint="eastAsia" w:ascii="宋体" w:hAnsi="宋体" w:eastAsia="宋体" w:cs="宋体"/>
          <w:sz w:val="24"/>
          <w:szCs w:val="24"/>
        </w:rPr>
        <w:t>。</w:t>
      </w:r>
    </w:p>
    <w:p w14:paraId="126D4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、服从领导：保洁员须自觉安排好所承包河道保洁工作，服从甲方全过程管理和临时保洁调度。</w:t>
      </w:r>
    </w:p>
    <w:p w14:paraId="5FB0C9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垃圾处理：乙方要对所管理的河道及河岸全面清理，所打捞的垃圾当天清运不得拖延。街道无垃圾中转站，保洁合同时间内自行处理所有垃圾，所有清运费、处理费均已包含在合同价内。乙方如有垃圾处理不及时，偷倒等情况的，每次扣除合同中5%的垃圾处理费。</w:t>
      </w:r>
    </w:p>
    <w:p w14:paraId="61DAF9A0">
      <w:pPr>
        <w:widowControl/>
        <w:adjustRightInd/>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四、其他有关事项</w:t>
      </w:r>
    </w:p>
    <w:p w14:paraId="4AFC2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1、全年水、电费由承包商自理。</w:t>
      </w:r>
    </w:p>
    <w:p w14:paraId="10EA7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采购人不提供任何保洁工具，保洁服务所需的一切工具或设备、员工制服、保洁所需消耗品等均由投标人自行承担，费用计入投标报价。</w:t>
      </w:r>
    </w:p>
    <w:p w14:paraId="58D83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3、中标单位必须明确管理责任人，保洁员须自行配好手机或小灵通，编制项目人员通讯录，便于甲方随时联系。</w:t>
      </w:r>
    </w:p>
    <w:p w14:paraId="15B1A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安全责任：</w:t>
      </w:r>
      <w:r>
        <w:rPr>
          <w:rFonts w:hint="eastAsia" w:ascii="宋体" w:hAnsi="宋体" w:eastAsia="宋体" w:cs="宋体"/>
          <w:sz w:val="24"/>
          <w:szCs w:val="24"/>
        </w:rPr>
        <w:t>中标单位需做好河道保洁安全工作，所需安全费用已包含在合同价内。在河道保洁管理中，发生任何安全责任事故，甲方一概不负责任。所有责任由乙方自己承担。</w:t>
      </w:r>
    </w:p>
    <w:p w14:paraId="52609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5、中标单位要对聘用的保洁员参加人身意外伤害（大病）保险，对不能参加人身意外伤害保险的保洁人员须在承诺书上签字，自愿放弃发生人身安全事故时所有的索赔权力。</w:t>
      </w:r>
    </w:p>
    <w:p w14:paraId="0F2C7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6、投标人中标后弃权、转包的，中标履约保证金采购人有权全额没收。</w:t>
      </w:r>
    </w:p>
    <w:p w14:paraId="3C2D9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7、考核监管：考核工作由街道治水办（河长办）负责。</w:t>
      </w:r>
    </w:p>
    <w:p w14:paraId="4976B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highlight w:val="none"/>
          <w:lang w:val="en-US" w:eastAsia="zh-CN"/>
        </w:rPr>
        <w:t>当上游发生蓝藻增殖时，及时采取有效应急防控措施，防止蓝藻扩散到下游。及时指挥调度专业化的蓝藻打捞队伍，采用涌浪机、蟹爪船、吸藻泵、控藻船等专业化设施设备，全力开展蓝藻水华打捞。</w:t>
      </w:r>
      <w:r>
        <w:rPr>
          <w:rFonts w:hint="eastAsia" w:ascii="宋体" w:hAnsi="宋体" w:eastAsia="宋体" w:cs="宋体"/>
          <w:sz w:val="24"/>
          <w:szCs w:val="24"/>
          <w:highlight w:val="none"/>
        </w:rPr>
        <w:t xml:space="preserve"> </w:t>
      </w:r>
    </w:p>
    <w:p w14:paraId="3B1995CD">
      <w:pPr>
        <w:adjustRightInd/>
        <w:spacing w:line="360" w:lineRule="auto"/>
        <w:rPr>
          <w:rFonts w:hint="eastAsia" w:ascii="宋体" w:hAnsi="宋体" w:eastAsia="宋体" w:cs="宋体"/>
          <w:sz w:val="24"/>
          <w:szCs w:val="24"/>
        </w:rPr>
      </w:pPr>
      <w:r>
        <w:rPr>
          <w:rFonts w:hint="eastAsia" w:ascii="宋体" w:hAnsi="宋体" w:eastAsia="宋体" w:cs="宋体"/>
          <w:b/>
          <w:sz w:val="24"/>
          <w:szCs w:val="24"/>
        </w:rPr>
        <w:t>2、商务需求</w:t>
      </w:r>
    </w:p>
    <w:p w14:paraId="2D7FF57C">
      <w:pPr>
        <w:adjustRightInd/>
        <w:spacing w:line="360" w:lineRule="auto"/>
        <w:rPr>
          <w:rFonts w:hint="eastAsia" w:ascii="宋体" w:hAnsi="宋体" w:eastAsia="宋体" w:cs="宋体"/>
          <w:b/>
          <w:bCs/>
          <w:sz w:val="24"/>
          <w:szCs w:val="24"/>
        </w:rPr>
      </w:pPr>
      <w:r>
        <w:rPr>
          <w:rFonts w:hint="eastAsia" w:ascii="宋体" w:hAnsi="宋体" w:eastAsia="宋体" w:cs="宋体"/>
          <w:b/>
          <w:bCs/>
          <w:sz w:val="24"/>
          <w:szCs w:val="24"/>
        </w:rPr>
        <w:t>一、服务质量承诺</w:t>
      </w:r>
    </w:p>
    <w:p w14:paraId="33A7C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1、为确保服务质量及与采购方沟通联络，中标方须设置专职主管，负责对承包项目范围、服务质量的检查监督及与采购方日常业务联系；</w:t>
      </w:r>
    </w:p>
    <w:p w14:paraId="7F78B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2、中标方需提供员工管理服务规范要求及确保服务质量达标的具体措施；</w:t>
      </w:r>
    </w:p>
    <w:p w14:paraId="2EA700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3、中标方需向甲方提供服务承诺；</w:t>
      </w:r>
    </w:p>
    <w:p w14:paraId="200B9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4、中标方须主动接受甲方的指导、检查、监督及协调；</w:t>
      </w:r>
    </w:p>
    <w:p w14:paraId="0EC89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5、现有服务范围内，由于河道局部增加等原因而增加的工作量，不再增加费用；按时按质完成甲方交办的迎接检查等突击性保洁任务，所增加的工作量不再增加费用；</w:t>
      </w:r>
    </w:p>
    <w:p w14:paraId="0F27A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6、确实属特殊任务并增加大量工作时，中标方须根据实际情况与甲方协商确定增加费用的量。</w:t>
      </w:r>
    </w:p>
    <w:p w14:paraId="4D7C7D45">
      <w:pPr>
        <w:adjustRightInd/>
        <w:spacing w:line="360" w:lineRule="auto"/>
        <w:rPr>
          <w:rFonts w:hint="eastAsia" w:ascii="宋体" w:hAnsi="宋体" w:eastAsia="宋体" w:cs="宋体"/>
          <w:b/>
          <w:bCs/>
          <w:sz w:val="24"/>
          <w:szCs w:val="24"/>
        </w:rPr>
      </w:pPr>
      <w:r>
        <w:rPr>
          <w:rFonts w:hint="eastAsia" w:ascii="宋体" w:hAnsi="宋体" w:eastAsia="宋体" w:cs="宋体"/>
          <w:b/>
          <w:bCs/>
          <w:sz w:val="24"/>
          <w:szCs w:val="24"/>
        </w:rPr>
        <w:t>二、服务期限</w:t>
      </w:r>
    </w:p>
    <w:p w14:paraId="18FCB910">
      <w:pPr>
        <w:pStyle w:val="19"/>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1、服务期：一年（具体起止时间以合同签订为准）。</w:t>
      </w:r>
    </w:p>
    <w:p w14:paraId="2CB176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2、本项目服务质量需进行考核，考核标准参照</w:t>
      </w:r>
      <w:r>
        <w:rPr>
          <w:rFonts w:hint="eastAsia" w:ascii="宋体" w:hAnsi="宋体" w:eastAsia="宋体" w:cs="宋体"/>
          <w:b/>
          <w:sz w:val="24"/>
          <w:szCs w:val="24"/>
        </w:rPr>
        <w:t>《前进街道河道保洁考核细则》</w:t>
      </w:r>
      <w:r>
        <w:rPr>
          <w:rFonts w:hint="eastAsia" w:ascii="宋体" w:hAnsi="宋体" w:eastAsia="宋体" w:cs="宋体"/>
          <w:sz w:val="24"/>
          <w:szCs w:val="24"/>
        </w:rPr>
        <w:t>。如中标人在服务期内违反合同约定，采购人有权提前终止合同，中标人下年度不得参与投标。合同期满后，妥善处理退场移交、人员安置，如果出现劳资纠纷，由中标单位负责妥善处理。</w:t>
      </w:r>
    </w:p>
    <w:p w14:paraId="17D54CA4">
      <w:pPr>
        <w:adjustRightInd/>
        <w:spacing w:line="360" w:lineRule="auto"/>
        <w:rPr>
          <w:rFonts w:hint="eastAsia" w:ascii="宋体" w:hAnsi="宋体" w:eastAsia="宋体" w:cs="宋体"/>
          <w:b/>
          <w:sz w:val="24"/>
          <w:szCs w:val="24"/>
        </w:rPr>
      </w:pPr>
      <w:r>
        <w:rPr>
          <w:rFonts w:hint="eastAsia" w:ascii="宋体" w:hAnsi="宋体" w:eastAsia="宋体" w:cs="宋体"/>
          <w:b/>
          <w:bCs/>
          <w:sz w:val="24"/>
          <w:szCs w:val="24"/>
        </w:rPr>
        <w:t>三、</w:t>
      </w:r>
      <w:r>
        <w:rPr>
          <w:rFonts w:hint="eastAsia" w:ascii="宋体" w:hAnsi="宋体" w:eastAsia="宋体" w:cs="宋体"/>
          <w:b/>
          <w:sz w:val="24"/>
          <w:szCs w:val="24"/>
        </w:rPr>
        <w:t>▲付款方式</w:t>
      </w:r>
    </w:p>
    <w:p w14:paraId="36F27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1、河道保洁费用凭统一发票结算。</w:t>
      </w:r>
    </w:p>
    <w:p w14:paraId="2DA9FFD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2、合同签订后，中标人向采购人缴纳合同价1% 的履约保证金，</w:t>
      </w:r>
      <w:r>
        <w:rPr>
          <w:rFonts w:hint="eastAsia" w:ascii="宋体" w:hAnsi="宋体" w:cs="宋体"/>
          <w:color w:val="auto"/>
          <w:kern w:val="0"/>
          <w:sz w:val="24"/>
          <w:highlight w:val="none"/>
          <w14:ligatures w14:val="none"/>
        </w:rPr>
        <w:t>供应商应当以支票、汇票、本票或者金融机构、担保机构出具的保函等非现金形式提交</w:t>
      </w:r>
      <w:r>
        <w:rPr>
          <w:rFonts w:hint="eastAsia" w:ascii="宋体" w:hAnsi="宋体" w:cs="宋体"/>
          <w:color w:val="auto"/>
          <w:kern w:val="0"/>
          <w:sz w:val="24"/>
          <w:highlight w:val="none"/>
          <w:lang w:eastAsia="zh-CN"/>
          <w14:ligatures w14:val="none"/>
        </w:rPr>
        <w:t>。</w:t>
      </w:r>
      <w:r>
        <w:rPr>
          <w:rFonts w:hint="eastAsia" w:ascii="宋体" w:hAnsi="宋体" w:eastAsia="宋体" w:cs="宋体"/>
          <w:sz w:val="24"/>
          <w:szCs w:val="24"/>
          <w:highlight w:val="none"/>
        </w:rPr>
        <w:t>合同</w:t>
      </w:r>
      <w:r>
        <w:rPr>
          <w:rFonts w:hint="eastAsia" w:ascii="宋体" w:hAnsi="宋体" w:eastAsia="宋体" w:cs="宋体"/>
          <w:sz w:val="24"/>
          <w:szCs w:val="24"/>
        </w:rPr>
        <w:t>生效后及具备实施条件后7个工作日内，支付合同价的</w:t>
      </w:r>
      <w:r>
        <w:rPr>
          <w:rFonts w:hint="eastAsia" w:ascii="宋体" w:hAnsi="宋体" w:cs="宋体"/>
          <w:sz w:val="24"/>
          <w:szCs w:val="24"/>
          <w:lang w:val="en-US" w:eastAsia="zh-CN"/>
        </w:rPr>
        <w:t>4</w:t>
      </w:r>
      <w:r>
        <w:rPr>
          <w:rFonts w:hint="eastAsia" w:ascii="宋体" w:hAnsi="宋体" w:eastAsia="宋体" w:cs="宋体"/>
          <w:sz w:val="24"/>
          <w:szCs w:val="24"/>
        </w:rPr>
        <w:t>0%作为预付款，采购人根据考核细则规定</w:t>
      </w:r>
      <w:r>
        <w:rPr>
          <w:rFonts w:hint="eastAsia" w:ascii="宋体" w:hAnsi="宋体" w:eastAsia="宋体" w:cs="宋体"/>
          <w:b/>
          <w:sz w:val="24"/>
          <w:szCs w:val="24"/>
        </w:rPr>
        <w:t>每半年</w:t>
      </w:r>
      <w:r>
        <w:rPr>
          <w:rFonts w:hint="eastAsia" w:ascii="宋体" w:hAnsi="宋体" w:eastAsia="宋体" w:cs="宋体"/>
          <w:sz w:val="24"/>
          <w:szCs w:val="24"/>
        </w:rPr>
        <w:t>支付服务费用，服务期结束且权利义务清算完毕后，采购人退还履约保证金（无息）。</w:t>
      </w:r>
    </w:p>
    <w:p w14:paraId="4DFB5E5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3、保洁单位按采购人要求进行管理，每月对每条河道绩效进行百分制考核，考核由街道治水办负责，按考核办法（附后）打分。</w:t>
      </w:r>
      <w:r>
        <w:rPr>
          <w:rFonts w:hint="eastAsia" w:ascii="宋体" w:hAnsi="宋体" w:eastAsia="宋体" w:cs="宋体"/>
          <w:color w:val="auto"/>
          <w:sz w:val="24"/>
          <w:highlight w:val="none"/>
        </w:rPr>
        <w:t>每月考核得分在95分</w:t>
      </w:r>
      <w:r>
        <w:rPr>
          <w:rFonts w:hint="eastAsia" w:ascii="宋体" w:hAnsi="宋体" w:cs="宋体"/>
          <w:color w:val="auto"/>
          <w:sz w:val="24"/>
          <w:highlight w:val="none"/>
          <w:lang w:eastAsia="zh-CN"/>
        </w:rPr>
        <w:t>（不含）</w:t>
      </w:r>
      <w:r>
        <w:rPr>
          <w:rFonts w:hint="eastAsia" w:ascii="宋体" w:hAnsi="宋体" w:eastAsia="宋体" w:cs="宋体"/>
          <w:color w:val="auto"/>
          <w:sz w:val="24"/>
          <w:highlight w:val="none"/>
        </w:rPr>
        <w:t>以上为优秀，90分</w:t>
      </w:r>
      <w:r>
        <w:rPr>
          <w:rFonts w:hint="eastAsia" w:ascii="宋体" w:hAnsi="宋体" w:cs="宋体"/>
          <w:color w:val="auto"/>
          <w:sz w:val="24"/>
          <w:highlight w:val="none"/>
          <w:lang w:eastAsia="zh-CN"/>
        </w:rPr>
        <w:t>（含）</w:t>
      </w:r>
      <w:r>
        <w:rPr>
          <w:rFonts w:hint="eastAsia" w:ascii="宋体" w:hAnsi="宋体" w:eastAsia="宋体" w:cs="宋体"/>
          <w:color w:val="auto"/>
          <w:sz w:val="24"/>
          <w:highlight w:val="none"/>
        </w:rPr>
        <w:t>以上为合格，90分</w:t>
      </w:r>
      <w:r>
        <w:rPr>
          <w:rFonts w:hint="eastAsia" w:ascii="宋体" w:hAnsi="宋体" w:cs="宋体"/>
          <w:color w:val="auto"/>
          <w:sz w:val="24"/>
          <w:highlight w:val="none"/>
          <w:lang w:eastAsia="zh-CN"/>
        </w:rPr>
        <w:t>（不含）</w:t>
      </w:r>
      <w:r>
        <w:rPr>
          <w:rFonts w:hint="eastAsia" w:ascii="宋体" w:hAnsi="宋体" w:eastAsia="宋体" w:cs="宋体"/>
          <w:color w:val="auto"/>
          <w:sz w:val="24"/>
          <w:highlight w:val="none"/>
        </w:rPr>
        <w:t>以下为不合格</w:t>
      </w:r>
      <w:r>
        <w:rPr>
          <w:rFonts w:hint="eastAsia" w:ascii="宋体" w:hAnsi="宋体" w:cs="宋体"/>
          <w:color w:val="auto"/>
          <w:sz w:val="24"/>
          <w:highlight w:val="none"/>
          <w:lang w:eastAsia="zh-CN"/>
        </w:rPr>
        <w:t>；考核合格的河道</w:t>
      </w:r>
      <w:r>
        <w:rPr>
          <w:rFonts w:hint="eastAsia" w:ascii="宋体" w:hAnsi="宋体" w:cs="宋体"/>
          <w:color w:val="auto"/>
          <w:sz w:val="24"/>
          <w:highlight w:val="none"/>
          <w:lang w:val="en-US" w:eastAsia="zh-CN"/>
        </w:rPr>
        <w:t>支付相应分数比例的当月费用，</w:t>
      </w:r>
      <w:r>
        <w:rPr>
          <w:rFonts w:hint="eastAsia" w:ascii="宋体" w:hAnsi="宋体" w:eastAsia="宋体" w:cs="宋体"/>
          <w:color w:val="auto"/>
          <w:sz w:val="24"/>
          <w:szCs w:val="24"/>
        </w:rPr>
        <w:t>考核不合格的河道支付当月保洁费用的70%。</w:t>
      </w:r>
      <w:r>
        <w:rPr>
          <w:rFonts w:hint="eastAsia" w:asciiTheme="minorEastAsia" w:hAnsiTheme="minorEastAsia" w:eastAsiaTheme="minorEastAsia" w:cstheme="minorEastAsia"/>
          <w:color w:val="auto"/>
          <w:kern w:val="2"/>
          <w:sz w:val="24"/>
          <w:szCs w:val="24"/>
          <w:highlight w:val="none"/>
          <w:lang w:val="en-US" w:eastAsia="zh-CN" w:bidi="ar-SA"/>
        </w:rPr>
        <w:t>每条河道全年保洁费用按总费用的平均数计算。</w:t>
      </w:r>
      <w:r>
        <w:rPr>
          <w:rFonts w:hint="eastAsia" w:ascii="宋体" w:hAnsi="宋体" w:eastAsia="宋体" w:cs="宋体"/>
          <w:color w:val="auto"/>
          <w:sz w:val="24"/>
          <w:szCs w:val="24"/>
        </w:rPr>
        <w:t>如有河道连续2个月考核不合格，业主拒付该条河道保洁费，并要求调整保洁人员。连续2个月出现2条以上河道考核不合格，业主有权中止保</w:t>
      </w:r>
      <w:r>
        <w:rPr>
          <w:rFonts w:hint="eastAsia" w:ascii="宋体" w:hAnsi="宋体" w:eastAsia="宋体" w:cs="宋体"/>
          <w:sz w:val="24"/>
          <w:szCs w:val="24"/>
        </w:rPr>
        <w:t xml:space="preserve">洁合同，另行组织招标选择承包单位。 </w:t>
      </w:r>
    </w:p>
    <w:p w14:paraId="655B0A49">
      <w:pPr>
        <w:adjustRightInd/>
        <w:spacing w:line="360" w:lineRule="auto"/>
        <w:rPr>
          <w:rFonts w:hint="eastAsia" w:ascii="宋体" w:hAnsi="宋体" w:eastAsia="宋体" w:cs="宋体"/>
          <w:b/>
          <w:sz w:val="24"/>
          <w:szCs w:val="24"/>
        </w:rPr>
      </w:pPr>
      <w:r>
        <w:rPr>
          <w:rFonts w:hint="eastAsia" w:ascii="宋体" w:hAnsi="宋体" w:eastAsia="宋体" w:cs="宋体"/>
          <w:b/>
          <w:sz w:val="24"/>
          <w:szCs w:val="24"/>
        </w:rPr>
        <w:t>四、其他</w:t>
      </w:r>
    </w:p>
    <w:p w14:paraId="38534C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1、本项目投标人必须配置不少于 16 名工作人员参与保洁工作，且每日保证16人8小时保洁。</w:t>
      </w:r>
      <w:r>
        <w:rPr>
          <w:rFonts w:hint="eastAsia" w:ascii="宋体" w:hAnsi="宋体" w:eastAsia="宋体" w:cs="宋体"/>
          <w:b/>
          <w:color w:val="auto"/>
          <w:sz w:val="24"/>
          <w:szCs w:val="24"/>
          <w:highlight w:val="none"/>
          <w:lang w:eastAsia="zh-CN"/>
        </w:rPr>
        <w:t>本项目</w:t>
      </w:r>
      <w:r>
        <w:rPr>
          <w:rFonts w:hint="eastAsia" w:ascii="宋体" w:hAnsi="宋体" w:eastAsia="宋体" w:cs="宋体"/>
          <w:b/>
          <w:color w:val="auto"/>
          <w:sz w:val="24"/>
          <w:szCs w:val="24"/>
          <w:highlight w:val="none"/>
        </w:rPr>
        <w:t>必须配置不少于</w:t>
      </w:r>
      <w:r>
        <w:rPr>
          <w:rFonts w:hint="eastAsia" w:ascii="宋体" w:hAnsi="宋体" w:eastAsia="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7</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艘保洁船</w:t>
      </w:r>
      <w:r>
        <w:rPr>
          <w:rFonts w:hint="eastAsia" w:ascii="宋体" w:hAnsi="宋体" w:cs="宋体"/>
          <w:b/>
          <w:color w:val="auto"/>
          <w:sz w:val="24"/>
          <w:szCs w:val="24"/>
          <w:highlight w:val="none"/>
          <w:lang w:eastAsia="zh-CN"/>
        </w:rPr>
        <w:t>，其中动力船只不少于3艘、无动力船只不少于4艘</w:t>
      </w:r>
      <w:r>
        <w:rPr>
          <w:rFonts w:hint="eastAsia" w:ascii="宋体" w:hAnsi="宋体" w:eastAsia="宋体" w:cs="宋体"/>
          <w:b/>
          <w:color w:val="auto"/>
          <w:sz w:val="24"/>
          <w:szCs w:val="24"/>
          <w:highlight w:val="none"/>
        </w:rPr>
        <w:t>。</w:t>
      </w:r>
    </w:p>
    <w:p w14:paraId="0041C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2、配置人员具体安排根据采购人要求作相应调整，投标人必须无条件服务。</w:t>
      </w:r>
    </w:p>
    <w:p w14:paraId="14FA5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▲3、配置人员工资不得低于本地区最低工资标准，投标人应按规定为保洁人员购买养老保险、医疗保险和工伤意外保险。</w:t>
      </w:r>
    </w:p>
    <w:p w14:paraId="26C99846">
      <w:pPr>
        <w:adjustRightInd/>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五、项目验收</w:t>
      </w:r>
    </w:p>
    <w:p w14:paraId="502DA038">
      <w:pPr>
        <w:widowControl/>
        <w:adjustRightInd/>
        <w:spacing w:line="360" w:lineRule="auto"/>
        <w:ind w:firstLine="480" w:firstLineChars="200"/>
        <w:jc w:val="left"/>
        <w:textAlignment w:val="baseline"/>
        <w:rPr>
          <w:rFonts w:hint="eastAsia" w:ascii="宋体" w:hAnsi="宋体" w:eastAsia="宋体" w:cs="宋体"/>
          <w:color w:val="auto"/>
          <w:kern w:val="0"/>
          <w:sz w:val="24"/>
          <w:szCs w:val="20"/>
          <w:highlight w:val="none"/>
          <w:u w:color="000000"/>
          <w:lang w:val="zh-CN" w:eastAsia="zh-CN"/>
        </w:rPr>
      </w:pPr>
      <w:r>
        <w:rPr>
          <w:rFonts w:hint="eastAsia" w:ascii="宋体" w:hAnsi="宋体" w:eastAsia="宋体" w:cs="宋体"/>
          <w:color w:val="auto"/>
          <w:kern w:val="0"/>
          <w:sz w:val="24"/>
          <w:szCs w:val="20"/>
          <w:highlight w:val="none"/>
          <w:u w:color="000000"/>
          <w:lang w:val="en-US" w:eastAsia="zh-CN"/>
        </w:rPr>
        <w:t>1、</w:t>
      </w:r>
      <w:r>
        <w:rPr>
          <w:rFonts w:hint="eastAsia" w:ascii="宋体" w:hAnsi="宋体" w:eastAsia="宋体" w:cs="宋体"/>
          <w:color w:val="auto"/>
          <w:kern w:val="0"/>
          <w:sz w:val="24"/>
          <w:szCs w:val="20"/>
          <w:highlight w:val="none"/>
          <w:u w:color="000000"/>
          <w:lang w:val="zh-CN" w:eastAsia="zh-CN"/>
        </w:rPr>
        <w:t>本项目</w:t>
      </w:r>
      <w:r>
        <w:rPr>
          <w:rFonts w:hint="eastAsia" w:ascii="宋体" w:hAnsi="宋体" w:eastAsia="宋体" w:cs="宋体"/>
          <w:color w:val="auto"/>
          <w:kern w:val="0"/>
          <w:sz w:val="24"/>
          <w:szCs w:val="20"/>
          <w:highlight w:val="none"/>
          <w:u w:color="000000"/>
          <w:lang w:val="en-US" w:eastAsia="zh-CN"/>
        </w:rPr>
        <w:t>组织</w:t>
      </w:r>
      <w:r>
        <w:rPr>
          <w:rFonts w:hint="eastAsia" w:ascii="宋体" w:hAnsi="宋体" w:eastAsia="宋体" w:cs="宋体"/>
          <w:color w:val="auto"/>
          <w:kern w:val="0"/>
          <w:sz w:val="24"/>
          <w:szCs w:val="20"/>
          <w:highlight w:val="none"/>
          <w:u w:color="000000"/>
          <w:lang w:val="zh-CN" w:eastAsia="zh-CN"/>
        </w:rPr>
        <w:t>履约验收，验收合格的情况作为项目支付的依据。</w:t>
      </w:r>
    </w:p>
    <w:p w14:paraId="3658FE48">
      <w:pPr>
        <w:widowControl/>
        <w:adjustRightInd/>
        <w:spacing w:line="360" w:lineRule="auto"/>
        <w:ind w:firstLine="480" w:firstLineChars="200"/>
        <w:jc w:val="left"/>
        <w:textAlignment w:val="baseline"/>
        <w:rPr>
          <w:rFonts w:hint="eastAsia" w:ascii="宋体" w:hAnsi="宋体" w:eastAsia="宋体" w:cs="宋体"/>
          <w:color w:val="auto"/>
          <w:kern w:val="0"/>
          <w:sz w:val="24"/>
          <w:szCs w:val="20"/>
          <w:highlight w:val="none"/>
          <w:u w:color="000000"/>
          <w:lang w:val="zh-CN" w:eastAsia="zh-CN"/>
        </w:rPr>
      </w:pPr>
      <w:r>
        <w:rPr>
          <w:rFonts w:hint="eastAsia" w:ascii="宋体" w:hAnsi="宋体" w:eastAsia="宋体" w:cs="宋体"/>
          <w:color w:val="auto"/>
          <w:kern w:val="0"/>
          <w:sz w:val="24"/>
          <w:szCs w:val="20"/>
          <w:highlight w:val="none"/>
          <w:u w:color="000000"/>
          <w:lang w:val="zh-CN" w:eastAsia="zh-CN"/>
        </w:rPr>
        <w:t>验收依据：①采购文件确定的技术指标或者服务要求；②投标文件承诺、询标回复；③服务合同、甲方制定的考核标准。未进行相应约定的，应当符合国家强制性规定、政策要求、安全标准、行业或企业有关标准等。</w:t>
      </w:r>
    </w:p>
    <w:p w14:paraId="3DDE71C0">
      <w:pPr>
        <w:widowControl/>
        <w:adjustRightInd/>
        <w:spacing w:line="360" w:lineRule="auto"/>
        <w:ind w:firstLine="480" w:firstLineChars="200"/>
        <w:jc w:val="left"/>
        <w:textAlignment w:val="baseline"/>
        <w:rPr>
          <w:rFonts w:hint="eastAsia" w:ascii="宋体" w:hAnsi="宋体" w:eastAsia="宋体" w:cs="宋体"/>
          <w:color w:val="auto"/>
          <w:kern w:val="0"/>
          <w:sz w:val="24"/>
          <w:szCs w:val="20"/>
          <w:highlight w:val="none"/>
          <w:u w:color="000000"/>
          <w:lang w:val="zh-CN"/>
        </w:rPr>
      </w:pPr>
      <w:r>
        <w:rPr>
          <w:rFonts w:hint="eastAsia" w:ascii="宋体" w:hAnsi="宋体" w:eastAsia="宋体" w:cs="宋体"/>
          <w:color w:val="auto"/>
          <w:kern w:val="0"/>
          <w:sz w:val="24"/>
          <w:szCs w:val="20"/>
          <w:highlight w:val="none"/>
          <w:u w:color="000000"/>
          <w:lang w:val="en-US" w:eastAsia="zh-CN"/>
        </w:rPr>
        <w:t>2、本项目的验收标准：采购人订单及中标人交付清单；中标人服务内容及总结</w:t>
      </w:r>
      <w:r>
        <w:rPr>
          <w:rFonts w:hint="eastAsia" w:ascii="宋体" w:hAnsi="宋体" w:eastAsia="宋体" w:cs="宋体"/>
          <w:color w:val="auto"/>
          <w:kern w:val="0"/>
          <w:sz w:val="24"/>
          <w:szCs w:val="20"/>
          <w:highlight w:val="none"/>
          <w:u w:color="000000"/>
          <w:lang w:val="zh-CN" w:eastAsia="zh-CN"/>
        </w:rPr>
        <w:t>（</w:t>
      </w:r>
      <w:r>
        <w:rPr>
          <w:rFonts w:hint="eastAsia" w:ascii="宋体" w:hAnsi="宋体" w:eastAsia="宋体" w:cs="宋体"/>
          <w:color w:val="auto"/>
          <w:kern w:val="0"/>
          <w:sz w:val="24"/>
          <w:szCs w:val="20"/>
          <w:highlight w:val="none"/>
          <w:u w:color="000000"/>
          <w:lang w:val="en-US" w:eastAsia="zh-CN"/>
        </w:rPr>
        <w:t>中标人应</w:t>
      </w:r>
      <w:r>
        <w:rPr>
          <w:rFonts w:hint="eastAsia" w:ascii="宋体" w:hAnsi="宋体" w:eastAsia="宋体" w:cs="宋体"/>
          <w:color w:val="auto"/>
          <w:kern w:val="0"/>
          <w:sz w:val="24"/>
          <w:szCs w:val="20"/>
          <w:highlight w:val="none"/>
          <w:u w:color="000000"/>
          <w:lang w:val="zh-CN" w:eastAsia="zh-CN"/>
        </w:rPr>
        <w:t>提交的</w:t>
      </w:r>
      <w:r>
        <w:rPr>
          <w:rFonts w:hint="eastAsia" w:ascii="宋体" w:hAnsi="宋体" w:eastAsia="宋体" w:cs="宋体"/>
          <w:color w:val="auto"/>
          <w:kern w:val="0"/>
          <w:sz w:val="24"/>
          <w:szCs w:val="20"/>
          <w:highlight w:val="none"/>
          <w:u w:color="000000"/>
          <w:lang w:val="en-US" w:eastAsia="zh-CN"/>
        </w:rPr>
        <w:t>服务过程</w:t>
      </w:r>
      <w:r>
        <w:rPr>
          <w:rFonts w:hint="eastAsia" w:ascii="宋体" w:hAnsi="宋体" w:eastAsia="宋体" w:cs="宋体"/>
          <w:color w:val="auto"/>
          <w:kern w:val="0"/>
          <w:sz w:val="24"/>
          <w:szCs w:val="20"/>
          <w:highlight w:val="none"/>
          <w:u w:color="000000"/>
          <w:lang w:val="zh-CN" w:eastAsia="zh-CN"/>
        </w:rPr>
        <w:t>照片、总结等资料）。</w:t>
      </w:r>
      <w:r>
        <w:rPr>
          <w:rFonts w:hint="eastAsia" w:ascii="宋体" w:hAnsi="宋体" w:eastAsia="宋体" w:cs="宋体"/>
          <w:color w:val="auto"/>
          <w:kern w:val="0"/>
          <w:sz w:val="24"/>
          <w:szCs w:val="20"/>
          <w:highlight w:val="none"/>
          <w:u w:color="000000"/>
          <w:lang w:val="en-US" w:eastAsia="zh-CN"/>
        </w:rPr>
        <w:t>要求台账记录清晰完整、</w:t>
      </w:r>
      <w:r>
        <w:rPr>
          <w:rFonts w:hint="eastAsia" w:ascii="宋体" w:hAnsi="宋体" w:eastAsia="宋体" w:cs="宋体"/>
          <w:color w:val="auto"/>
          <w:kern w:val="0"/>
          <w:sz w:val="24"/>
          <w:szCs w:val="20"/>
          <w:highlight w:val="none"/>
          <w:u w:color="000000"/>
          <w:lang w:val="zh-CN" w:eastAsia="zh-CN"/>
        </w:rPr>
        <w:t>质量反馈表良好、材料完备。</w:t>
      </w:r>
    </w:p>
    <w:p w14:paraId="0B63E83B">
      <w:pPr>
        <w:pStyle w:val="671"/>
        <w:numPr>
          <w:ilvl w:val="0"/>
          <w:numId w:val="0"/>
        </w:numPr>
        <w:ind w:leftChars="0"/>
        <w:rPr>
          <w:rFonts w:hint="eastAsia" w:ascii="宋体" w:hAnsi="宋体" w:eastAsia="宋体" w:cs="宋体"/>
          <w:color w:val="auto"/>
          <w:sz w:val="24"/>
          <w:szCs w:val="24"/>
          <w:highlight w:val="none"/>
          <w:lang w:eastAsia="zh-CN"/>
        </w:rPr>
      </w:pPr>
    </w:p>
    <w:p w14:paraId="7AFB9813">
      <w:pPr>
        <w:spacing w:line="360" w:lineRule="auto"/>
        <w:jc w:val="left"/>
        <w:rPr>
          <w:rFonts w:hint="eastAsia" w:ascii="宋体" w:hAnsi="宋体" w:eastAsia="宋体" w:cs="宋体"/>
          <w:sz w:val="24"/>
          <w:szCs w:val="24"/>
        </w:rPr>
      </w:pPr>
    </w:p>
    <w:p w14:paraId="25434EDB">
      <w:pPr>
        <w:rPr>
          <w:rFonts w:hint="eastAsia" w:ascii="宋体" w:hAnsi="宋体" w:eastAsia="宋体" w:cs="宋体"/>
          <w:b/>
          <w:sz w:val="24"/>
          <w:szCs w:val="24"/>
        </w:rPr>
      </w:pPr>
      <w:r>
        <w:rPr>
          <w:rFonts w:hint="eastAsia" w:ascii="宋体" w:hAnsi="宋体" w:eastAsia="宋体" w:cs="宋体"/>
          <w:b/>
          <w:sz w:val="24"/>
          <w:szCs w:val="24"/>
        </w:rPr>
        <w:br w:type="page"/>
      </w:r>
    </w:p>
    <w:p w14:paraId="2C2DA42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前进街道河道保洁考核细则</w:t>
      </w:r>
    </w:p>
    <w:p w14:paraId="10BD9316">
      <w:pPr>
        <w:spacing w:line="360" w:lineRule="auto"/>
        <w:ind w:firstLine="5160" w:firstLineChars="2150"/>
        <w:rPr>
          <w:rFonts w:hint="eastAsia" w:ascii="宋体" w:hAnsi="宋体" w:eastAsia="宋体" w:cs="宋体"/>
          <w:sz w:val="24"/>
          <w:szCs w:val="24"/>
        </w:rPr>
      </w:pPr>
      <w:r>
        <w:rPr>
          <w:rFonts w:hint="eastAsia" w:ascii="宋体" w:hAnsi="宋体" w:eastAsia="宋体" w:cs="宋体"/>
          <w:sz w:val="24"/>
          <w:szCs w:val="24"/>
        </w:rPr>
        <w:t xml:space="preserve">          </w:t>
      </w:r>
    </w:p>
    <w:p w14:paraId="1415A000">
      <w:pPr>
        <w:spacing w:line="360" w:lineRule="auto"/>
        <w:jc w:val="right"/>
        <w:rPr>
          <w:rFonts w:hint="eastAsia" w:ascii="宋体" w:hAnsi="宋体" w:eastAsia="宋体" w:cs="宋体"/>
          <w:sz w:val="24"/>
          <w:szCs w:val="24"/>
        </w:rPr>
      </w:pPr>
      <w:r>
        <w:rPr>
          <w:rFonts w:hint="eastAsia" w:ascii="宋体" w:hAnsi="宋体" w:eastAsia="宋体" w:cs="宋体"/>
          <w:sz w:val="24"/>
          <w:szCs w:val="24"/>
        </w:rPr>
        <w:t>考核月份：</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p>
    <w:tbl>
      <w:tblPr>
        <w:tblStyle w:val="63"/>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165"/>
        <w:gridCol w:w="951"/>
        <w:gridCol w:w="831"/>
        <w:gridCol w:w="819"/>
      </w:tblGrid>
      <w:tr w14:paraId="76D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top"/>
          </w:tcPr>
          <w:p w14:paraId="6AC0A3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考核</w:t>
            </w:r>
          </w:p>
          <w:p w14:paraId="62EA0CA8">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因素</w:t>
            </w:r>
          </w:p>
        </w:tc>
        <w:tc>
          <w:tcPr>
            <w:tcW w:w="5165" w:type="dxa"/>
            <w:noWrap w:val="0"/>
            <w:vAlign w:val="center"/>
          </w:tcPr>
          <w:p w14:paraId="2457613B">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工作要求</w:t>
            </w:r>
          </w:p>
        </w:tc>
        <w:tc>
          <w:tcPr>
            <w:tcW w:w="951" w:type="dxa"/>
            <w:noWrap w:val="0"/>
            <w:vAlign w:val="top"/>
          </w:tcPr>
          <w:p w14:paraId="4A89D80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3C87ECD0">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满分</w:t>
            </w:r>
          </w:p>
        </w:tc>
        <w:tc>
          <w:tcPr>
            <w:tcW w:w="831" w:type="dxa"/>
            <w:noWrap w:val="0"/>
            <w:vAlign w:val="top"/>
          </w:tcPr>
          <w:p w14:paraId="0C725A59">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单项得分</w:t>
            </w:r>
          </w:p>
        </w:tc>
        <w:tc>
          <w:tcPr>
            <w:tcW w:w="819" w:type="dxa"/>
            <w:noWrap w:val="0"/>
            <w:vAlign w:val="top"/>
          </w:tcPr>
          <w:p w14:paraId="1FD685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因素</w:t>
            </w:r>
          </w:p>
          <w:p w14:paraId="5382E936">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得分</w:t>
            </w:r>
          </w:p>
        </w:tc>
      </w:tr>
      <w:tr w14:paraId="3CC9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0" w:type="dxa"/>
            <w:vMerge w:val="restart"/>
            <w:noWrap w:val="0"/>
            <w:vAlign w:val="center"/>
          </w:tcPr>
          <w:p w14:paraId="3435C5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w:t>
            </w:r>
          </w:p>
          <w:p w14:paraId="2AF72A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洁</w:t>
            </w:r>
          </w:p>
          <w:p w14:paraId="61A461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效</w:t>
            </w:r>
          </w:p>
          <w:p w14:paraId="6B8C5522">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果</w:t>
            </w:r>
          </w:p>
        </w:tc>
        <w:tc>
          <w:tcPr>
            <w:tcW w:w="5165" w:type="dxa"/>
            <w:noWrap w:val="0"/>
            <w:vAlign w:val="top"/>
          </w:tcPr>
          <w:p w14:paraId="1D4033A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河面无垃圾、枯死水草、油污等漂浮物，未及时处理，发现1次扣</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951" w:type="dxa"/>
            <w:noWrap w:val="0"/>
            <w:vAlign w:val="center"/>
          </w:tcPr>
          <w:p w14:paraId="5904D918">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4DBBB56D">
            <w:pPr>
              <w:spacing w:line="360" w:lineRule="auto"/>
              <w:rPr>
                <w:rFonts w:hint="eastAsia" w:ascii="新宋体" w:hAnsi="新宋体" w:eastAsia="新宋体" w:cs="新宋体"/>
                <w:color w:val="auto"/>
                <w:sz w:val="24"/>
                <w:szCs w:val="24"/>
                <w:highlight w:val="none"/>
              </w:rPr>
            </w:pPr>
          </w:p>
        </w:tc>
        <w:tc>
          <w:tcPr>
            <w:tcW w:w="819" w:type="dxa"/>
            <w:vMerge w:val="restart"/>
            <w:noWrap w:val="0"/>
            <w:vAlign w:val="top"/>
          </w:tcPr>
          <w:p w14:paraId="4825A303">
            <w:pPr>
              <w:spacing w:line="360" w:lineRule="auto"/>
              <w:rPr>
                <w:rFonts w:hint="eastAsia" w:ascii="新宋体" w:hAnsi="新宋体" w:eastAsia="新宋体" w:cs="新宋体"/>
                <w:color w:val="auto"/>
                <w:sz w:val="24"/>
                <w:szCs w:val="24"/>
                <w:highlight w:val="none"/>
              </w:rPr>
            </w:pPr>
          </w:p>
        </w:tc>
      </w:tr>
      <w:tr w14:paraId="1261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0" w:type="dxa"/>
            <w:vMerge w:val="continue"/>
            <w:noWrap w:val="0"/>
            <w:vAlign w:val="center"/>
          </w:tcPr>
          <w:p w14:paraId="5FFCAD46">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65F9167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河岸范围内无垃圾、树枝、无堆积物。</w:t>
            </w:r>
            <w:r>
              <w:rPr>
                <w:rFonts w:hint="eastAsia" w:ascii="宋体" w:hAnsi="宋体" w:eastAsia="宋体" w:cs="宋体"/>
                <w:color w:val="auto"/>
                <w:sz w:val="24"/>
                <w:szCs w:val="24"/>
              </w:rPr>
              <w:t>河长牌、安全警示牌无遮挡。</w:t>
            </w:r>
            <w:r>
              <w:rPr>
                <w:rFonts w:hint="eastAsia" w:ascii="新宋体" w:hAnsi="新宋体" w:eastAsia="新宋体" w:cs="新宋体"/>
                <w:color w:val="auto"/>
                <w:sz w:val="24"/>
                <w:szCs w:val="24"/>
                <w:highlight w:val="none"/>
              </w:rPr>
              <w:t>未及时处理，发现1次扣</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951" w:type="dxa"/>
            <w:noWrap w:val="0"/>
            <w:vAlign w:val="center"/>
          </w:tcPr>
          <w:p w14:paraId="2E0A0A5B">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7A73451F">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63C8E282">
            <w:pPr>
              <w:spacing w:line="360" w:lineRule="auto"/>
              <w:rPr>
                <w:rFonts w:hint="eastAsia" w:ascii="新宋体" w:hAnsi="新宋体" w:eastAsia="新宋体" w:cs="新宋体"/>
                <w:color w:val="auto"/>
                <w:sz w:val="24"/>
                <w:szCs w:val="24"/>
                <w:highlight w:val="none"/>
              </w:rPr>
            </w:pPr>
          </w:p>
        </w:tc>
      </w:tr>
      <w:tr w14:paraId="7107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0" w:type="dxa"/>
            <w:vMerge w:val="continue"/>
            <w:noWrap w:val="0"/>
            <w:vAlign w:val="center"/>
          </w:tcPr>
          <w:p w14:paraId="1FE5810C">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26DADC0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河道内无地笼、</w:t>
            </w:r>
            <w:r>
              <w:rPr>
                <w:rFonts w:hint="eastAsia" w:ascii="新宋体" w:hAnsi="新宋体" w:eastAsia="新宋体" w:cs="新宋体"/>
                <w:color w:val="auto"/>
                <w:sz w:val="24"/>
                <w:szCs w:val="24"/>
                <w:highlight w:val="none"/>
                <w:lang w:eastAsia="zh-CN"/>
              </w:rPr>
              <w:t>泊桩、沉船</w:t>
            </w:r>
            <w:r>
              <w:rPr>
                <w:rFonts w:hint="eastAsia" w:ascii="新宋体" w:hAnsi="新宋体" w:eastAsia="新宋体" w:cs="新宋体"/>
                <w:color w:val="auto"/>
                <w:sz w:val="24"/>
                <w:szCs w:val="24"/>
                <w:highlight w:val="none"/>
              </w:rPr>
              <w:t>等障碍物，未及时处理，发现1次扣2分。</w:t>
            </w:r>
          </w:p>
        </w:tc>
        <w:tc>
          <w:tcPr>
            <w:tcW w:w="951" w:type="dxa"/>
            <w:noWrap w:val="0"/>
            <w:vAlign w:val="center"/>
          </w:tcPr>
          <w:p w14:paraId="0F92CC15">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606F2C29">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0028D93D">
            <w:pPr>
              <w:spacing w:line="360" w:lineRule="auto"/>
              <w:rPr>
                <w:rFonts w:hint="eastAsia" w:ascii="新宋体" w:hAnsi="新宋体" w:eastAsia="新宋体" w:cs="新宋体"/>
                <w:color w:val="auto"/>
                <w:sz w:val="24"/>
                <w:szCs w:val="24"/>
                <w:highlight w:val="none"/>
              </w:rPr>
            </w:pPr>
          </w:p>
        </w:tc>
      </w:tr>
      <w:tr w14:paraId="18E5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continue"/>
            <w:noWrap w:val="0"/>
            <w:vAlign w:val="center"/>
          </w:tcPr>
          <w:p w14:paraId="3F68FBD9">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6F4D1E72">
            <w:pPr>
              <w:spacing w:line="360" w:lineRule="auto"/>
              <w:ind w:left="0" w:leftChars="0"/>
              <w:rPr>
                <w:rFonts w:hint="eastAsia" w:ascii="新宋体" w:hAnsi="新宋体" w:eastAsia="新宋体" w:cs="新宋体"/>
                <w:color w:val="auto"/>
                <w:sz w:val="24"/>
                <w:szCs w:val="24"/>
                <w:highlight w:val="none"/>
              </w:rPr>
            </w:pPr>
            <w:r>
              <w:rPr>
                <w:rFonts w:hint="eastAsia" w:ascii="宋体" w:hAnsi="宋体" w:cs="宋体"/>
                <w:color w:val="auto"/>
                <w:sz w:val="24"/>
                <w:szCs w:val="24"/>
                <w:lang w:eastAsia="zh-CN"/>
              </w:rPr>
              <w:t>河面上水体出现</w:t>
            </w:r>
            <w:r>
              <w:rPr>
                <w:rFonts w:hint="eastAsia" w:ascii="宋体" w:hAnsi="宋体" w:cs="宋体"/>
                <w:color w:val="auto"/>
                <w:sz w:val="24"/>
                <w:highlight w:val="none"/>
                <w:lang w:val="en-US" w:eastAsia="zh-CN"/>
              </w:rPr>
              <w:t>蓝藻及其他影响水质的情况，及时采取应急措施，未及时处置发现1次扣5分，未处置或处置不到位的，1次扣15分。</w:t>
            </w:r>
          </w:p>
        </w:tc>
        <w:tc>
          <w:tcPr>
            <w:tcW w:w="951" w:type="dxa"/>
            <w:noWrap w:val="0"/>
            <w:vAlign w:val="center"/>
          </w:tcPr>
          <w:p w14:paraId="5C2AA30C">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31" w:type="dxa"/>
            <w:noWrap w:val="0"/>
            <w:vAlign w:val="top"/>
          </w:tcPr>
          <w:p w14:paraId="4B16B209">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0A78BAE3">
            <w:pPr>
              <w:spacing w:line="360" w:lineRule="auto"/>
              <w:rPr>
                <w:rFonts w:hint="eastAsia" w:ascii="新宋体" w:hAnsi="新宋体" w:eastAsia="新宋体" w:cs="新宋体"/>
                <w:color w:val="auto"/>
                <w:sz w:val="24"/>
                <w:szCs w:val="24"/>
                <w:highlight w:val="none"/>
              </w:rPr>
            </w:pPr>
          </w:p>
        </w:tc>
      </w:tr>
      <w:tr w14:paraId="52EC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restart"/>
            <w:noWrap w:val="0"/>
            <w:vAlign w:val="center"/>
          </w:tcPr>
          <w:p w14:paraId="2549E1B4">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人员管理</w:t>
            </w:r>
          </w:p>
        </w:tc>
        <w:tc>
          <w:tcPr>
            <w:tcW w:w="5165" w:type="dxa"/>
            <w:noWrap w:val="0"/>
            <w:vAlign w:val="top"/>
          </w:tcPr>
          <w:p w14:paraId="734FD80A">
            <w:pPr>
              <w:spacing w:line="360" w:lineRule="auto"/>
              <w:ind w:left="0" w:leftChars="0"/>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工作时间（上午7：00-11：00，下午13：00-17：00）无缺勤情况，发现缺勤一人次扣2分。</w:t>
            </w:r>
          </w:p>
        </w:tc>
        <w:tc>
          <w:tcPr>
            <w:tcW w:w="951" w:type="dxa"/>
            <w:noWrap w:val="0"/>
            <w:vAlign w:val="center"/>
          </w:tcPr>
          <w:p w14:paraId="69E4FAD2">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831" w:type="dxa"/>
            <w:noWrap w:val="0"/>
            <w:vAlign w:val="top"/>
          </w:tcPr>
          <w:p w14:paraId="494C5116">
            <w:pPr>
              <w:spacing w:line="360" w:lineRule="auto"/>
              <w:rPr>
                <w:rFonts w:hint="eastAsia" w:ascii="新宋体" w:hAnsi="新宋体" w:eastAsia="新宋体" w:cs="新宋体"/>
                <w:color w:val="auto"/>
                <w:sz w:val="24"/>
                <w:szCs w:val="24"/>
                <w:highlight w:val="none"/>
              </w:rPr>
            </w:pPr>
          </w:p>
        </w:tc>
        <w:tc>
          <w:tcPr>
            <w:tcW w:w="819" w:type="dxa"/>
            <w:vMerge w:val="restart"/>
            <w:noWrap w:val="0"/>
            <w:vAlign w:val="top"/>
          </w:tcPr>
          <w:p w14:paraId="3A044320">
            <w:pPr>
              <w:spacing w:line="360" w:lineRule="auto"/>
              <w:rPr>
                <w:rFonts w:hint="eastAsia" w:ascii="新宋体" w:hAnsi="新宋体" w:eastAsia="新宋体" w:cs="新宋体"/>
                <w:color w:val="auto"/>
                <w:sz w:val="24"/>
                <w:szCs w:val="24"/>
                <w:highlight w:val="none"/>
              </w:rPr>
            </w:pPr>
          </w:p>
        </w:tc>
      </w:tr>
      <w:tr w14:paraId="017B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center"/>
          </w:tcPr>
          <w:p w14:paraId="5C69C34B">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12C539D9">
            <w:pPr>
              <w:spacing w:line="360" w:lineRule="auto"/>
              <w:ind w:left="0" w:leftChars="0"/>
              <w:rPr>
                <w:rFonts w:hint="default" w:ascii="新宋体" w:hAnsi="新宋体" w:eastAsia="新宋体" w:cs="新宋体"/>
                <w:color w:val="auto"/>
                <w:sz w:val="24"/>
                <w:szCs w:val="24"/>
                <w:highlight w:val="none"/>
                <w:lang w:val="en-US" w:eastAsia="zh-CN"/>
              </w:rPr>
            </w:pPr>
            <w:r>
              <w:rPr>
                <w:rFonts w:hint="eastAsia" w:ascii="宋体" w:hAnsi="宋体" w:eastAsia="宋体" w:cs="宋体"/>
                <w:color w:val="auto"/>
                <w:sz w:val="24"/>
                <w:szCs w:val="24"/>
              </w:rPr>
              <w:t>保洁人员工作期间必须穿保洁工作服作业，发现一次扣1分；保洁人员工作时间手机保持畅通，出现一次关机或呼叫不通扣2分。</w:t>
            </w:r>
          </w:p>
        </w:tc>
        <w:tc>
          <w:tcPr>
            <w:tcW w:w="951" w:type="dxa"/>
            <w:noWrap w:val="0"/>
            <w:vAlign w:val="center"/>
          </w:tcPr>
          <w:p w14:paraId="189C2146">
            <w:pPr>
              <w:spacing w:line="360" w:lineRule="auto"/>
              <w:jc w:val="center"/>
              <w:rPr>
                <w:rFonts w:hint="default" w:ascii="新宋体" w:hAnsi="新宋体" w:eastAsia="新宋体" w:cs="新宋体"/>
                <w:color w:val="auto"/>
                <w:sz w:val="24"/>
                <w:szCs w:val="24"/>
                <w:highlight w:val="none"/>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831" w:type="dxa"/>
            <w:noWrap w:val="0"/>
            <w:vAlign w:val="top"/>
          </w:tcPr>
          <w:p w14:paraId="10F89587">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3D5BEA14">
            <w:pPr>
              <w:spacing w:line="360" w:lineRule="auto"/>
              <w:rPr>
                <w:rFonts w:hint="eastAsia" w:ascii="新宋体" w:hAnsi="新宋体" w:eastAsia="新宋体" w:cs="新宋体"/>
                <w:color w:val="auto"/>
                <w:sz w:val="24"/>
                <w:szCs w:val="24"/>
                <w:highlight w:val="none"/>
              </w:rPr>
            </w:pPr>
          </w:p>
        </w:tc>
      </w:tr>
      <w:tr w14:paraId="28AF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restart"/>
            <w:noWrap w:val="0"/>
            <w:vAlign w:val="center"/>
          </w:tcPr>
          <w:p w14:paraId="59D7044F">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督查督办</w:t>
            </w:r>
          </w:p>
        </w:tc>
        <w:tc>
          <w:tcPr>
            <w:tcW w:w="5165" w:type="dxa"/>
            <w:noWrap w:val="0"/>
            <w:vAlign w:val="top"/>
          </w:tcPr>
          <w:p w14:paraId="4C5FA881">
            <w:pPr>
              <w:spacing w:line="360" w:lineRule="auto"/>
              <w:ind w:left="0" w:leftChars="0"/>
              <w:rPr>
                <w:rFonts w:hint="default" w:ascii="新宋体" w:hAnsi="新宋体" w:eastAsia="新宋体" w:cs="新宋体"/>
                <w:color w:val="auto"/>
                <w:sz w:val="24"/>
                <w:szCs w:val="24"/>
                <w:highlight w:val="none"/>
                <w:lang w:val="en-US"/>
              </w:rPr>
            </w:pPr>
            <w:r>
              <w:rPr>
                <w:rFonts w:hint="eastAsia" w:ascii="宋体" w:hAnsi="宋体" w:eastAsia="宋体" w:cs="宋体"/>
                <w:color w:val="auto"/>
                <w:sz w:val="24"/>
                <w:szCs w:val="24"/>
              </w:rPr>
              <w:t>对上级</w:t>
            </w:r>
            <w:r>
              <w:rPr>
                <w:rFonts w:hint="eastAsia" w:ascii="宋体" w:hAnsi="宋体" w:cs="宋体"/>
                <w:color w:val="auto"/>
                <w:sz w:val="24"/>
                <w:szCs w:val="24"/>
                <w:lang w:eastAsia="zh-CN"/>
              </w:rPr>
              <w:t>及街道</w:t>
            </w:r>
            <w:r>
              <w:rPr>
                <w:rFonts w:hint="eastAsia" w:ascii="宋体" w:hAnsi="宋体" w:eastAsia="宋体" w:cs="宋体"/>
                <w:color w:val="auto"/>
                <w:sz w:val="24"/>
                <w:szCs w:val="24"/>
              </w:rPr>
              <w:t>布置的任务按时间要求完成。超出时限</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1次扣</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分，未</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1次扣</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951" w:type="dxa"/>
            <w:noWrap w:val="0"/>
            <w:vAlign w:val="center"/>
          </w:tcPr>
          <w:p w14:paraId="0CF568D4">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268EAF2F">
            <w:pPr>
              <w:spacing w:line="360" w:lineRule="auto"/>
              <w:rPr>
                <w:rFonts w:hint="eastAsia" w:ascii="新宋体" w:hAnsi="新宋体" w:eastAsia="新宋体" w:cs="新宋体"/>
                <w:color w:val="auto"/>
                <w:sz w:val="24"/>
                <w:szCs w:val="24"/>
                <w:highlight w:val="none"/>
              </w:rPr>
            </w:pPr>
          </w:p>
        </w:tc>
        <w:tc>
          <w:tcPr>
            <w:tcW w:w="819" w:type="dxa"/>
            <w:vMerge w:val="restart"/>
            <w:noWrap w:val="0"/>
            <w:vAlign w:val="top"/>
          </w:tcPr>
          <w:p w14:paraId="46DDEE18">
            <w:pPr>
              <w:spacing w:line="360" w:lineRule="auto"/>
              <w:rPr>
                <w:rFonts w:hint="eastAsia" w:ascii="新宋体" w:hAnsi="新宋体" w:eastAsia="新宋体" w:cs="新宋体"/>
                <w:color w:val="auto"/>
                <w:sz w:val="24"/>
                <w:szCs w:val="24"/>
                <w:highlight w:val="none"/>
              </w:rPr>
            </w:pPr>
          </w:p>
        </w:tc>
      </w:tr>
      <w:tr w14:paraId="19F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center"/>
          </w:tcPr>
          <w:p w14:paraId="23168B1D">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7ECEB88A">
            <w:pPr>
              <w:spacing w:line="360" w:lineRule="auto"/>
              <w:ind w:left="0" w:leftChars="0"/>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及时提供整改前后照片，地点定位等信息，整改有专门记录。无记录或未提供照片、信息等每次扣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951" w:type="dxa"/>
            <w:noWrap w:val="0"/>
            <w:vAlign w:val="center"/>
          </w:tcPr>
          <w:p w14:paraId="32B2D300">
            <w:pPr>
              <w:spacing w:line="360" w:lineRule="auto"/>
              <w:jc w:val="center"/>
              <w:rPr>
                <w:rFonts w:hint="default" w:ascii="新宋体" w:hAnsi="新宋体" w:eastAsia="新宋体" w:cs="新宋体"/>
                <w:color w:val="auto"/>
                <w:sz w:val="24"/>
                <w:szCs w:val="24"/>
                <w:highlight w:val="none"/>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831" w:type="dxa"/>
            <w:noWrap w:val="0"/>
            <w:vAlign w:val="top"/>
          </w:tcPr>
          <w:p w14:paraId="2E13D08A">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1DAE1A5F">
            <w:pPr>
              <w:spacing w:line="360" w:lineRule="auto"/>
              <w:rPr>
                <w:rFonts w:hint="eastAsia" w:ascii="新宋体" w:hAnsi="新宋体" w:eastAsia="新宋体" w:cs="新宋体"/>
                <w:color w:val="auto"/>
                <w:sz w:val="24"/>
                <w:szCs w:val="24"/>
                <w:highlight w:val="none"/>
              </w:rPr>
            </w:pPr>
          </w:p>
        </w:tc>
      </w:tr>
      <w:tr w14:paraId="0F3B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center"/>
          </w:tcPr>
          <w:p w14:paraId="56914B9C">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3C69D726">
            <w:pPr>
              <w:spacing w:line="360" w:lineRule="auto"/>
              <w:ind w:left="0" w:left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上级下发的整改督办单等，涉及到河道保洁问题的，</w:t>
            </w:r>
            <w:r>
              <w:rPr>
                <w:rFonts w:hint="eastAsia" w:ascii="宋体" w:hAnsi="宋体" w:cs="宋体"/>
                <w:color w:val="auto"/>
                <w:sz w:val="24"/>
                <w:highlight w:val="none"/>
                <w:lang w:val="en-US" w:eastAsia="zh-CN"/>
              </w:rPr>
              <w:t>未及时处置扣5分，未处置或处置不到位的每次扣15分</w:t>
            </w:r>
            <w:r>
              <w:rPr>
                <w:rFonts w:hint="eastAsia" w:ascii="新宋体" w:hAnsi="新宋体" w:eastAsia="新宋体" w:cs="新宋体"/>
                <w:color w:val="auto"/>
                <w:sz w:val="24"/>
                <w:szCs w:val="24"/>
                <w:highlight w:val="none"/>
                <w:lang w:val="en-US" w:eastAsia="zh-CN"/>
              </w:rPr>
              <w:t>。</w:t>
            </w:r>
          </w:p>
        </w:tc>
        <w:tc>
          <w:tcPr>
            <w:tcW w:w="951" w:type="dxa"/>
            <w:noWrap w:val="0"/>
            <w:vAlign w:val="center"/>
          </w:tcPr>
          <w:p w14:paraId="75E4835B">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31" w:type="dxa"/>
            <w:noWrap w:val="0"/>
            <w:vAlign w:val="top"/>
          </w:tcPr>
          <w:p w14:paraId="4D73DE01">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43B4CE7D">
            <w:pPr>
              <w:spacing w:line="360" w:lineRule="auto"/>
              <w:rPr>
                <w:rFonts w:hint="eastAsia" w:ascii="新宋体" w:hAnsi="新宋体" w:eastAsia="新宋体" w:cs="新宋体"/>
                <w:color w:val="auto"/>
                <w:sz w:val="24"/>
                <w:szCs w:val="24"/>
                <w:highlight w:val="none"/>
              </w:rPr>
            </w:pPr>
          </w:p>
        </w:tc>
      </w:tr>
      <w:tr w14:paraId="13F8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center"/>
          </w:tcPr>
          <w:p w14:paraId="522FAB67">
            <w:pPr>
              <w:spacing w:line="36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问题上报</w:t>
            </w:r>
          </w:p>
        </w:tc>
        <w:tc>
          <w:tcPr>
            <w:tcW w:w="5165" w:type="dxa"/>
            <w:noWrap w:val="0"/>
            <w:vAlign w:val="top"/>
          </w:tcPr>
          <w:p w14:paraId="097976F7">
            <w:pPr>
              <w:spacing w:line="360" w:lineRule="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保洁单位及时上报保洁中发现的入河排污口及影响河道通畅的隐患问题</w:t>
            </w:r>
            <w:r>
              <w:rPr>
                <w:rFonts w:hint="eastAsia" w:ascii="新宋体" w:hAnsi="新宋体" w:eastAsia="新宋体" w:cs="新宋体"/>
                <w:color w:val="auto"/>
                <w:sz w:val="24"/>
                <w:szCs w:val="24"/>
                <w:highlight w:val="none"/>
                <w:lang w:val="en-US" w:eastAsia="zh-CN"/>
              </w:rPr>
              <w:t>。未上报一处扣2分。</w:t>
            </w:r>
          </w:p>
        </w:tc>
        <w:tc>
          <w:tcPr>
            <w:tcW w:w="951" w:type="dxa"/>
            <w:noWrap w:val="0"/>
            <w:vAlign w:val="center"/>
          </w:tcPr>
          <w:p w14:paraId="6A0CA785">
            <w:pPr>
              <w:spacing w:line="360" w:lineRule="auto"/>
              <w:jc w:val="center"/>
              <w:rPr>
                <w:rFonts w:hint="default" w:ascii="新宋体" w:hAnsi="新宋体" w:eastAsia="新宋体" w:cs="新宋体"/>
                <w:color w:val="auto"/>
                <w:sz w:val="24"/>
                <w:szCs w:val="24"/>
                <w:highlight w:val="none"/>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831" w:type="dxa"/>
            <w:noWrap w:val="0"/>
            <w:vAlign w:val="top"/>
          </w:tcPr>
          <w:p w14:paraId="6E19519D">
            <w:pPr>
              <w:spacing w:line="360" w:lineRule="auto"/>
              <w:rPr>
                <w:rFonts w:hint="eastAsia" w:ascii="新宋体" w:hAnsi="新宋体" w:eastAsia="新宋体" w:cs="新宋体"/>
                <w:color w:val="auto"/>
                <w:sz w:val="24"/>
                <w:szCs w:val="24"/>
                <w:highlight w:val="none"/>
              </w:rPr>
            </w:pPr>
          </w:p>
        </w:tc>
        <w:tc>
          <w:tcPr>
            <w:tcW w:w="819" w:type="dxa"/>
            <w:noWrap w:val="0"/>
            <w:vAlign w:val="top"/>
          </w:tcPr>
          <w:p w14:paraId="62852D89">
            <w:pPr>
              <w:spacing w:line="360" w:lineRule="auto"/>
              <w:rPr>
                <w:rFonts w:hint="eastAsia" w:ascii="新宋体" w:hAnsi="新宋体" w:eastAsia="新宋体" w:cs="新宋体"/>
                <w:color w:val="auto"/>
                <w:sz w:val="24"/>
                <w:szCs w:val="24"/>
                <w:highlight w:val="none"/>
              </w:rPr>
            </w:pPr>
          </w:p>
        </w:tc>
      </w:tr>
      <w:tr w14:paraId="415C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noWrap w:val="0"/>
            <w:vAlign w:val="top"/>
          </w:tcPr>
          <w:p w14:paraId="37FA00E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合计</w:t>
            </w:r>
          </w:p>
          <w:p w14:paraId="7E89896C">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得分</w:t>
            </w:r>
          </w:p>
        </w:tc>
        <w:tc>
          <w:tcPr>
            <w:tcW w:w="5165" w:type="dxa"/>
            <w:noWrap w:val="0"/>
            <w:vAlign w:val="top"/>
          </w:tcPr>
          <w:p w14:paraId="2ABF846B">
            <w:pPr>
              <w:spacing w:line="360" w:lineRule="auto"/>
              <w:rPr>
                <w:rFonts w:hint="eastAsia" w:ascii="新宋体" w:hAnsi="新宋体" w:eastAsia="新宋体" w:cs="新宋体"/>
                <w:color w:val="auto"/>
                <w:sz w:val="24"/>
                <w:szCs w:val="24"/>
                <w:highlight w:val="none"/>
              </w:rPr>
            </w:pPr>
          </w:p>
        </w:tc>
        <w:tc>
          <w:tcPr>
            <w:tcW w:w="951" w:type="dxa"/>
            <w:noWrap w:val="0"/>
            <w:vAlign w:val="center"/>
          </w:tcPr>
          <w:p w14:paraId="31DB0AFE">
            <w:pPr>
              <w:spacing w:line="360" w:lineRule="auto"/>
              <w:jc w:val="center"/>
              <w:rPr>
                <w:rFonts w:hint="eastAsia" w:ascii="新宋体" w:hAnsi="新宋体" w:eastAsia="新宋体" w:cs="新宋体"/>
                <w:color w:val="auto"/>
                <w:sz w:val="24"/>
                <w:szCs w:val="24"/>
                <w:highlight w:val="none"/>
              </w:rPr>
            </w:pPr>
          </w:p>
        </w:tc>
        <w:tc>
          <w:tcPr>
            <w:tcW w:w="831" w:type="dxa"/>
            <w:noWrap w:val="0"/>
            <w:vAlign w:val="top"/>
          </w:tcPr>
          <w:p w14:paraId="756D7F94">
            <w:pPr>
              <w:spacing w:line="360" w:lineRule="auto"/>
              <w:rPr>
                <w:rFonts w:hint="eastAsia" w:ascii="新宋体" w:hAnsi="新宋体" w:eastAsia="新宋体" w:cs="新宋体"/>
                <w:color w:val="auto"/>
                <w:sz w:val="24"/>
                <w:szCs w:val="24"/>
                <w:highlight w:val="none"/>
              </w:rPr>
            </w:pPr>
          </w:p>
        </w:tc>
        <w:tc>
          <w:tcPr>
            <w:tcW w:w="819" w:type="dxa"/>
            <w:noWrap w:val="0"/>
            <w:vAlign w:val="top"/>
          </w:tcPr>
          <w:p w14:paraId="1E81A9F4">
            <w:pPr>
              <w:spacing w:line="360" w:lineRule="auto"/>
              <w:rPr>
                <w:rFonts w:hint="eastAsia" w:ascii="新宋体" w:hAnsi="新宋体" w:eastAsia="新宋体" w:cs="新宋体"/>
                <w:color w:val="auto"/>
                <w:sz w:val="24"/>
                <w:szCs w:val="24"/>
                <w:highlight w:val="none"/>
              </w:rPr>
            </w:pPr>
          </w:p>
        </w:tc>
      </w:tr>
    </w:tbl>
    <w:p w14:paraId="63C95B80">
      <w:pPr>
        <w:pStyle w:val="25"/>
        <w:spacing w:line="360" w:lineRule="auto"/>
        <w:rPr>
          <w:rFonts w:hint="eastAsia" w:ascii="宋体" w:hAnsi="宋体" w:eastAsia="宋体" w:cs="宋体"/>
          <w:sz w:val="24"/>
          <w:szCs w:val="24"/>
        </w:rPr>
      </w:pPr>
    </w:p>
    <w:p w14:paraId="5BB5464E">
      <w:pPr>
        <w:spacing w:line="360" w:lineRule="auto"/>
        <w:ind w:firstLine="482" w:firstLineChars="200"/>
        <w:rPr>
          <w:rFonts w:hint="eastAsia" w:ascii="宋体" w:hAnsi="宋体" w:eastAsia="宋体" w:cs="宋体"/>
          <w:b/>
          <w:color w:val="auto"/>
          <w:sz w:val="24"/>
          <w:szCs w:val="24"/>
          <w:highlight w:val="none"/>
        </w:rPr>
      </w:pPr>
    </w:p>
    <w:p w14:paraId="2E74C03F">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注：</w:t>
      </w:r>
    </w:p>
    <w:p w14:paraId="4F9BB97B">
      <w:pPr>
        <w:pStyle w:val="23"/>
        <w:spacing w:line="360" w:lineRule="auto"/>
        <w:ind w:firstLine="482" w:firstLineChars="200"/>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1.招标文件中打▲内容为实质性要求，不允许有负偏离，否则将以涉及无效投标条款作无效投标。</w:t>
      </w:r>
    </w:p>
    <w:p w14:paraId="60960731">
      <w:pPr>
        <w:ind w:firstLine="480" w:firstLineChars="200"/>
        <w:rPr>
          <w:rFonts w:hint="eastAsia" w:ascii="宋体" w:hAnsi="宋体" w:eastAsia="宋体" w:cs="宋体"/>
          <w:color w:val="auto"/>
          <w:kern w:val="0"/>
          <w:sz w:val="24"/>
          <w:szCs w:val="20"/>
          <w:highlight w:val="none"/>
          <w:u w:color="000000"/>
        </w:rPr>
      </w:pPr>
    </w:p>
    <w:p w14:paraId="1D93F3D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19D786F">
      <w:pPr>
        <w:widowControl/>
        <w:tabs>
          <w:tab w:val="left" w:pos="0"/>
        </w:tabs>
        <w:adjustRightInd/>
        <w:spacing w:line="360" w:lineRule="auto"/>
        <w:ind w:firstLine="723" w:firstLineChars="20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8" w:name="_Toc184313269"/>
      <w:bookmarkEnd w:id="18"/>
      <w:bookmarkStart w:id="19" w:name="_Toc184312098"/>
      <w:bookmarkEnd w:id="19"/>
      <w:bookmarkStart w:id="20" w:name="_Toc184310278"/>
      <w:bookmarkEnd w:id="20"/>
      <w:bookmarkStart w:id="21" w:name="_Toc184314476"/>
      <w:bookmarkEnd w:id="21"/>
      <w:bookmarkStart w:id="22" w:name="_Toc184310290"/>
      <w:bookmarkEnd w:id="22"/>
      <w:bookmarkStart w:id="23" w:name="_Toc184310288"/>
      <w:bookmarkEnd w:id="23"/>
      <w:bookmarkStart w:id="24" w:name="_Toc184312076"/>
      <w:bookmarkEnd w:id="24"/>
      <w:bookmarkStart w:id="25" w:name="_Toc184312089"/>
      <w:bookmarkEnd w:id="25"/>
      <w:bookmarkStart w:id="26" w:name="_Toc184312080"/>
      <w:bookmarkEnd w:id="26"/>
      <w:bookmarkStart w:id="27" w:name="_Toc184313251"/>
      <w:bookmarkEnd w:id="27"/>
      <w:bookmarkStart w:id="28" w:name="_Toc184308071"/>
      <w:bookmarkEnd w:id="28"/>
      <w:bookmarkStart w:id="29" w:name="_Toc184313264"/>
      <w:bookmarkEnd w:id="29"/>
      <w:bookmarkStart w:id="30" w:name="_Toc184314473"/>
      <w:bookmarkEnd w:id="30"/>
      <w:bookmarkStart w:id="31" w:name="_Toc184312072"/>
      <w:bookmarkEnd w:id="31"/>
      <w:bookmarkStart w:id="32" w:name="_Toc184313255"/>
      <w:bookmarkEnd w:id="32"/>
      <w:bookmarkStart w:id="33" w:name="_Toc184312114"/>
      <w:bookmarkEnd w:id="33"/>
      <w:bookmarkStart w:id="34" w:name="_Toc184313274"/>
      <w:bookmarkEnd w:id="34"/>
      <w:bookmarkStart w:id="35" w:name="_Toc184308059"/>
      <w:bookmarkEnd w:id="35"/>
      <w:bookmarkStart w:id="36" w:name="_Toc184313256"/>
      <w:bookmarkEnd w:id="36"/>
      <w:bookmarkStart w:id="37" w:name="_Toc184313282"/>
      <w:bookmarkEnd w:id="37"/>
      <w:bookmarkStart w:id="38" w:name="_Toc184313297"/>
      <w:bookmarkEnd w:id="38"/>
      <w:bookmarkStart w:id="39" w:name="_Toc184313302"/>
      <w:bookmarkEnd w:id="39"/>
      <w:bookmarkStart w:id="40" w:name="_Toc184312110"/>
      <w:bookmarkEnd w:id="40"/>
      <w:bookmarkStart w:id="41" w:name="_Toc184313286"/>
      <w:bookmarkEnd w:id="41"/>
      <w:bookmarkStart w:id="42" w:name="_Toc184308045"/>
      <w:bookmarkEnd w:id="42"/>
      <w:bookmarkStart w:id="43" w:name="_Toc184314481"/>
      <w:bookmarkEnd w:id="43"/>
      <w:bookmarkStart w:id="44" w:name="_Toc184310325"/>
      <w:bookmarkEnd w:id="44"/>
      <w:bookmarkStart w:id="45" w:name="_Toc184310336"/>
      <w:bookmarkEnd w:id="45"/>
      <w:bookmarkStart w:id="46" w:name="_Toc184313241"/>
      <w:bookmarkEnd w:id="46"/>
      <w:bookmarkStart w:id="47" w:name="_Toc184314474"/>
      <w:bookmarkEnd w:id="47"/>
      <w:bookmarkStart w:id="48" w:name="_Toc184314477"/>
      <w:bookmarkEnd w:id="48"/>
      <w:bookmarkStart w:id="49" w:name="_Toc184313246"/>
      <w:bookmarkEnd w:id="49"/>
      <w:bookmarkStart w:id="50" w:name="_Toc184313294"/>
      <w:bookmarkEnd w:id="50"/>
      <w:bookmarkStart w:id="51" w:name="_Toc184314424"/>
      <w:bookmarkEnd w:id="51"/>
      <w:bookmarkStart w:id="52" w:name="_Toc184312068"/>
      <w:bookmarkEnd w:id="52"/>
      <w:bookmarkStart w:id="53" w:name="_Toc184313245"/>
      <w:bookmarkEnd w:id="53"/>
      <w:bookmarkStart w:id="54" w:name="_Toc184308057"/>
      <w:bookmarkEnd w:id="54"/>
      <w:bookmarkStart w:id="55" w:name="_Toc184313275"/>
      <w:bookmarkEnd w:id="55"/>
      <w:bookmarkStart w:id="56" w:name="_Toc184312074"/>
      <w:bookmarkEnd w:id="56"/>
      <w:bookmarkStart w:id="57" w:name="_Toc184313310"/>
      <w:bookmarkEnd w:id="57"/>
      <w:bookmarkStart w:id="58" w:name="_Toc184310287"/>
      <w:bookmarkEnd w:id="58"/>
      <w:bookmarkStart w:id="59" w:name="_Toc184312095"/>
      <w:bookmarkEnd w:id="59"/>
      <w:bookmarkStart w:id="60" w:name="_Toc184310284"/>
      <w:bookmarkEnd w:id="60"/>
      <w:bookmarkStart w:id="61" w:name="_Toc184310275"/>
      <w:bookmarkEnd w:id="61"/>
      <w:bookmarkStart w:id="62" w:name="_Toc184313262"/>
      <w:bookmarkEnd w:id="62"/>
      <w:bookmarkStart w:id="63" w:name="_Toc184308056"/>
      <w:bookmarkEnd w:id="63"/>
      <w:bookmarkStart w:id="64" w:name="_Toc184310276"/>
      <w:bookmarkEnd w:id="64"/>
      <w:bookmarkStart w:id="65" w:name="_Toc184313253"/>
      <w:bookmarkEnd w:id="65"/>
      <w:bookmarkStart w:id="66" w:name="_Toc184308108"/>
      <w:bookmarkEnd w:id="66"/>
      <w:bookmarkStart w:id="67" w:name="_Toc184310320"/>
      <w:bookmarkEnd w:id="67"/>
      <w:bookmarkStart w:id="68" w:name="_Toc184308073"/>
      <w:bookmarkEnd w:id="68"/>
      <w:bookmarkStart w:id="69" w:name="_Toc184312118"/>
      <w:bookmarkEnd w:id="69"/>
      <w:bookmarkStart w:id="70" w:name="_Toc184308072"/>
      <w:bookmarkEnd w:id="70"/>
      <w:bookmarkStart w:id="71" w:name="_Toc184310273"/>
      <w:bookmarkEnd w:id="71"/>
      <w:bookmarkStart w:id="72" w:name="_Toc184314429"/>
      <w:bookmarkEnd w:id="72"/>
      <w:bookmarkStart w:id="73" w:name="_Toc184314454"/>
      <w:bookmarkEnd w:id="73"/>
      <w:bookmarkStart w:id="74" w:name="_Toc184314425"/>
      <w:bookmarkEnd w:id="74"/>
      <w:bookmarkStart w:id="75" w:name="_Toc184314418"/>
      <w:bookmarkEnd w:id="75"/>
      <w:bookmarkStart w:id="76" w:name="_Toc184313238"/>
      <w:bookmarkEnd w:id="76"/>
      <w:bookmarkStart w:id="77" w:name="_Toc184313249"/>
      <w:bookmarkEnd w:id="77"/>
      <w:bookmarkStart w:id="78" w:name="_Toc184312137"/>
      <w:bookmarkEnd w:id="78"/>
      <w:bookmarkStart w:id="79" w:name="_Toc184314452"/>
      <w:bookmarkEnd w:id="79"/>
      <w:bookmarkStart w:id="80" w:name="_Toc184312131"/>
      <w:bookmarkEnd w:id="80"/>
      <w:bookmarkStart w:id="81" w:name="_Toc184310309"/>
      <w:bookmarkEnd w:id="81"/>
      <w:bookmarkStart w:id="82" w:name="_Toc184308044"/>
      <w:bookmarkEnd w:id="82"/>
      <w:bookmarkStart w:id="83" w:name="_Toc184310322"/>
      <w:bookmarkEnd w:id="83"/>
      <w:bookmarkStart w:id="84" w:name="_Toc184310289"/>
      <w:bookmarkEnd w:id="84"/>
      <w:bookmarkStart w:id="85" w:name="_Toc184308093"/>
      <w:bookmarkEnd w:id="85"/>
      <w:bookmarkStart w:id="86" w:name="_Toc184312093"/>
      <w:bookmarkEnd w:id="86"/>
      <w:bookmarkStart w:id="87" w:name="_Toc184313265"/>
      <w:bookmarkEnd w:id="87"/>
      <w:bookmarkStart w:id="88" w:name="_Toc184313263"/>
      <w:bookmarkEnd w:id="88"/>
      <w:bookmarkStart w:id="89" w:name="_Toc184308106"/>
      <w:bookmarkEnd w:id="89"/>
      <w:bookmarkStart w:id="90" w:name="_Toc184310307"/>
      <w:bookmarkEnd w:id="90"/>
      <w:bookmarkStart w:id="91" w:name="_Toc184313304"/>
      <w:bookmarkEnd w:id="91"/>
      <w:bookmarkStart w:id="92" w:name="_Toc184310300"/>
      <w:bookmarkEnd w:id="92"/>
      <w:bookmarkStart w:id="93" w:name="_Toc184310304"/>
      <w:bookmarkEnd w:id="93"/>
      <w:bookmarkStart w:id="94" w:name="_Toc184312132"/>
      <w:bookmarkEnd w:id="94"/>
      <w:bookmarkStart w:id="95" w:name="_Toc184314469"/>
      <w:bookmarkEnd w:id="95"/>
      <w:bookmarkStart w:id="96" w:name="_Toc184312119"/>
      <w:bookmarkEnd w:id="96"/>
      <w:bookmarkStart w:id="97" w:name="_Toc184312126"/>
      <w:bookmarkEnd w:id="97"/>
      <w:bookmarkStart w:id="98" w:name="_Toc184312104"/>
      <w:bookmarkEnd w:id="98"/>
      <w:bookmarkStart w:id="99" w:name="_Toc184312086"/>
      <w:bookmarkEnd w:id="99"/>
      <w:bookmarkStart w:id="100" w:name="_Toc184308103"/>
      <w:bookmarkEnd w:id="100"/>
      <w:bookmarkStart w:id="101" w:name="_Toc184314432"/>
      <w:bookmarkEnd w:id="101"/>
      <w:bookmarkStart w:id="102" w:name="_Toc184312124"/>
      <w:bookmarkEnd w:id="102"/>
      <w:bookmarkStart w:id="103" w:name="_Toc184308053"/>
      <w:bookmarkEnd w:id="103"/>
      <w:bookmarkStart w:id="104" w:name="_Toc184313267"/>
      <w:bookmarkEnd w:id="104"/>
      <w:bookmarkStart w:id="105" w:name="_Toc184310321"/>
      <w:bookmarkEnd w:id="105"/>
      <w:bookmarkStart w:id="106" w:name="_Toc184310332"/>
      <w:bookmarkEnd w:id="106"/>
      <w:bookmarkStart w:id="107" w:name="_Toc184312082"/>
      <w:bookmarkEnd w:id="107"/>
      <w:bookmarkStart w:id="108" w:name="_Toc184310340"/>
      <w:bookmarkEnd w:id="108"/>
      <w:bookmarkStart w:id="109" w:name="_Toc184314439"/>
      <w:bookmarkEnd w:id="109"/>
      <w:bookmarkStart w:id="110" w:name="_Toc184308096"/>
      <w:bookmarkEnd w:id="110"/>
      <w:bookmarkStart w:id="111" w:name="_Toc184313244"/>
      <w:bookmarkEnd w:id="111"/>
      <w:bookmarkStart w:id="112" w:name="_Toc184313258"/>
      <w:bookmarkEnd w:id="112"/>
      <w:bookmarkStart w:id="113" w:name="_Toc184308105"/>
      <w:bookmarkEnd w:id="113"/>
      <w:bookmarkStart w:id="114" w:name="_Toc184308075"/>
      <w:bookmarkEnd w:id="114"/>
      <w:bookmarkStart w:id="115" w:name="_Toc184308051"/>
      <w:bookmarkEnd w:id="115"/>
      <w:bookmarkStart w:id="116" w:name="_Toc184313284"/>
      <w:bookmarkEnd w:id="116"/>
      <w:bookmarkStart w:id="117" w:name="_Toc184308104"/>
      <w:bookmarkEnd w:id="117"/>
      <w:bookmarkStart w:id="118" w:name="_Toc184314463"/>
      <w:bookmarkEnd w:id="118"/>
      <w:bookmarkStart w:id="119" w:name="_Toc184314449"/>
      <w:bookmarkEnd w:id="119"/>
      <w:bookmarkStart w:id="120" w:name="_Toc184313299"/>
      <w:bookmarkEnd w:id="120"/>
      <w:bookmarkStart w:id="121" w:name="_Toc184310323"/>
      <w:bookmarkEnd w:id="121"/>
      <w:bookmarkStart w:id="122" w:name="_Toc184312084"/>
      <w:bookmarkEnd w:id="122"/>
      <w:bookmarkStart w:id="123" w:name="_Toc184314467"/>
      <w:bookmarkEnd w:id="123"/>
      <w:bookmarkStart w:id="124" w:name="_Toc184310315"/>
      <w:bookmarkEnd w:id="124"/>
      <w:bookmarkStart w:id="125" w:name="_Toc184308084"/>
      <w:bookmarkEnd w:id="125"/>
      <w:bookmarkStart w:id="126" w:name="_Toc184313242"/>
      <w:bookmarkEnd w:id="126"/>
      <w:bookmarkStart w:id="127" w:name="_Toc184308102"/>
      <w:bookmarkEnd w:id="127"/>
      <w:bookmarkStart w:id="128" w:name="_Toc184312088"/>
      <w:bookmarkEnd w:id="128"/>
      <w:bookmarkStart w:id="129" w:name="_Toc184314412"/>
      <w:bookmarkEnd w:id="129"/>
      <w:bookmarkStart w:id="130" w:name="_Toc184308097"/>
      <w:bookmarkEnd w:id="130"/>
      <w:bookmarkStart w:id="131" w:name="_Toc184313293"/>
      <w:bookmarkEnd w:id="131"/>
      <w:bookmarkStart w:id="132" w:name="_Toc184312138"/>
      <w:bookmarkEnd w:id="132"/>
      <w:bookmarkStart w:id="133" w:name="_Toc184308091"/>
      <w:bookmarkEnd w:id="133"/>
      <w:bookmarkStart w:id="134" w:name="_Toc184308042"/>
      <w:bookmarkEnd w:id="134"/>
      <w:bookmarkStart w:id="135" w:name="_Toc184314482"/>
      <w:bookmarkEnd w:id="135"/>
      <w:bookmarkStart w:id="136" w:name="_Toc184308098"/>
      <w:bookmarkEnd w:id="136"/>
      <w:bookmarkStart w:id="137" w:name="_Toc184312071"/>
      <w:bookmarkEnd w:id="137"/>
      <w:bookmarkStart w:id="138" w:name="_Toc184312127"/>
      <w:bookmarkEnd w:id="138"/>
      <w:bookmarkStart w:id="139" w:name="_Toc184312123"/>
      <w:bookmarkEnd w:id="139"/>
      <w:bookmarkStart w:id="140" w:name="_Toc184314468"/>
      <w:bookmarkEnd w:id="140"/>
      <w:bookmarkStart w:id="141" w:name="_Toc184312117"/>
      <w:bookmarkEnd w:id="141"/>
      <w:bookmarkStart w:id="142" w:name="_Toc184310302"/>
      <w:bookmarkEnd w:id="142"/>
      <w:bookmarkStart w:id="143" w:name="_Toc184313270"/>
      <w:bookmarkEnd w:id="143"/>
      <w:bookmarkStart w:id="144" w:name="_Toc184308087"/>
      <w:bookmarkEnd w:id="144"/>
      <w:bookmarkStart w:id="145" w:name="_Toc184312116"/>
      <w:bookmarkEnd w:id="145"/>
      <w:bookmarkStart w:id="146" w:name="_Toc184308046"/>
      <w:bookmarkEnd w:id="146"/>
      <w:bookmarkStart w:id="147" w:name="_Toc184314420"/>
      <w:bookmarkEnd w:id="147"/>
      <w:bookmarkStart w:id="148" w:name="_Toc184312109"/>
      <w:bookmarkEnd w:id="148"/>
      <w:bookmarkStart w:id="149" w:name="_Toc184313289"/>
      <w:bookmarkEnd w:id="149"/>
      <w:bookmarkStart w:id="150" w:name="_Toc184314448"/>
      <w:bookmarkEnd w:id="150"/>
      <w:bookmarkStart w:id="151" w:name="_Toc184308061"/>
      <w:bookmarkEnd w:id="151"/>
      <w:bookmarkStart w:id="152" w:name="_Toc184312135"/>
      <w:bookmarkEnd w:id="152"/>
      <w:bookmarkStart w:id="153" w:name="_Toc184313273"/>
      <w:bookmarkEnd w:id="153"/>
      <w:bookmarkStart w:id="154" w:name="_Toc184310310"/>
      <w:bookmarkEnd w:id="154"/>
      <w:bookmarkStart w:id="155" w:name="_Toc184313295"/>
      <w:bookmarkEnd w:id="155"/>
      <w:bookmarkStart w:id="156" w:name="_Toc184310293"/>
      <w:bookmarkEnd w:id="156"/>
      <w:bookmarkStart w:id="157" w:name="_Toc184310274"/>
      <w:bookmarkEnd w:id="157"/>
      <w:bookmarkStart w:id="158" w:name="_Toc184308041"/>
      <w:bookmarkEnd w:id="158"/>
      <w:bookmarkStart w:id="159" w:name="_Toc184312097"/>
      <w:bookmarkEnd w:id="159"/>
      <w:bookmarkStart w:id="160" w:name="_Toc184312129"/>
      <w:bookmarkEnd w:id="160"/>
      <w:bookmarkStart w:id="161" w:name="_Toc184312069"/>
      <w:bookmarkEnd w:id="161"/>
      <w:bookmarkStart w:id="162" w:name="_Toc184310344"/>
      <w:bookmarkEnd w:id="162"/>
      <w:bookmarkStart w:id="163" w:name="_Toc184308074"/>
      <w:bookmarkEnd w:id="163"/>
      <w:bookmarkStart w:id="164" w:name="_Toc184310331"/>
      <w:bookmarkEnd w:id="164"/>
      <w:bookmarkStart w:id="165" w:name="_Toc184313257"/>
      <w:bookmarkEnd w:id="165"/>
      <w:bookmarkStart w:id="166" w:name="_Toc184308081"/>
      <w:bookmarkEnd w:id="166"/>
      <w:bookmarkStart w:id="167" w:name="_Toc184308088"/>
      <w:bookmarkEnd w:id="167"/>
      <w:bookmarkStart w:id="168" w:name="_Toc184310281"/>
      <w:bookmarkEnd w:id="168"/>
      <w:bookmarkStart w:id="169" w:name="_Toc184312081"/>
      <w:bookmarkEnd w:id="169"/>
      <w:bookmarkStart w:id="170" w:name="_Toc184314466"/>
      <w:bookmarkEnd w:id="170"/>
      <w:bookmarkStart w:id="171" w:name="_Toc184310319"/>
      <w:bookmarkEnd w:id="171"/>
      <w:bookmarkStart w:id="172" w:name="_Toc184308065"/>
      <w:bookmarkEnd w:id="172"/>
      <w:bookmarkStart w:id="173" w:name="_Toc184314433"/>
      <w:bookmarkEnd w:id="173"/>
      <w:bookmarkStart w:id="174" w:name="_Toc184314446"/>
      <w:bookmarkEnd w:id="174"/>
      <w:bookmarkStart w:id="175" w:name="_Toc184312121"/>
      <w:bookmarkEnd w:id="175"/>
      <w:bookmarkStart w:id="176" w:name="_Toc184314471"/>
      <w:bookmarkEnd w:id="176"/>
      <w:bookmarkStart w:id="177" w:name="_Toc184312094"/>
      <w:bookmarkEnd w:id="177"/>
      <w:bookmarkStart w:id="178" w:name="_Toc184310277"/>
      <w:bookmarkEnd w:id="178"/>
      <w:bookmarkStart w:id="179" w:name="_Toc184313271"/>
      <w:bookmarkEnd w:id="179"/>
      <w:bookmarkStart w:id="180" w:name="_Toc184314445"/>
      <w:bookmarkEnd w:id="180"/>
      <w:bookmarkStart w:id="181" w:name="_Toc184313266"/>
      <w:bookmarkEnd w:id="181"/>
      <w:bookmarkStart w:id="182" w:name="_Toc184313260"/>
      <w:bookmarkEnd w:id="182"/>
      <w:bookmarkStart w:id="183" w:name="_Toc184308063"/>
      <w:bookmarkEnd w:id="183"/>
      <w:bookmarkStart w:id="184" w:name="_Toc184313292"/>
      <w:bookmarkEnd w:id="184"/>
      <w:bookmarkStart w:id="185" w:name="_Toc184314475"/>
      <w:bookmarkEnd w:id="185"/>
      <w:bookmarkStart w:id="186" w:name="_Toc184308086"/>
      <w:bookmarkEnd w:id="186"/>
      <w:bookmarkStart w:id="187" w:name="_Toc184312099"/>
      <w:bookmarkEnd w:id="187"/>
      <w:bookmarkStart w:id="188" w:name="_Toc184314440"/>
      <w:bookmarkEnd w:id="188"/>
      <w:bookmarkStart w:id="189" w:name="_Toc184310314"/>
      <w:bookmarkEnd w:id="189"/>
      <w:bookmarkStart w:id="190" w:name="_Toc184314450"/>
      <w:bookmarkEnd w:id="190"/>
      <w:bookmarkStart w:id="191" w:name="_Toc184308037"/>
      <w:bookmarkEnd w:id="191"/>
      <w:bookmarkStart w:id="192" w:name="_Toc184308077"/>
      <w:bookmarkEnd w:id="192"/>
      <w:bookmarkStart w:id="193" w:name="_Toc184314472"/>
      <w:bookmarkEnd w:id="193"/>
      <w:bookmarkStart w:id="194" w:name="_Toc184310311"/>
      <w:bookmarkEnd w:id="194"/>
      <w:bookmarkStart w:id="195" w:name="_Toc184314415"/>
      <w:bookmarkEnd w:id="195"/>
      <w:bookmarkStart w:id="196" w:name="_Toc184308047"/>
      <w:bookmarkEnd w:id="196"/>
      <w:bookmarkStart w:id="197" w:name="_Toc184314457"/>
      <w:bookmarkEnd w:id="197"/>
      <w:bookmarkStart w:id="198" w:name="_Toc184314459"/>
      <w:bookmarkEnd w:id="198"/>
      <w:bookmarkStart w:id="199" w:name="_Toc184308043"/>
      <w:bookmarkEnd w:id="199"/>
      <w:bookmarkStart w:id="200" w:name="_Toc184312083"/>
      <w:bookmarkEnd w:id="200"/>
      <w:bookmarkStart w:id="201" w:name="_Toc184310298"/>
      <w:bookmarkEnd w:id="201"/>
      <w:bookmarkStart w:id="202" w:name="_Toc184312096"/>
      <w:bookmarkEnd w:id="202"/>
      <w:bookmarkStart w:id="203" w:name="_Toc184314411"/>
      <w:bookmarkEnd w:id="203"/>
      <w:bookmarkStart w:id="204" w:name="_Toc184308049"/>
      <w:bookmarkEnd w:id="204"/>
      <w:bookmarkStart w:id="205" w:name="_Toc184314479"/>
      <w:bookmarkEnd w:id="205"/>
      <w:bookmarkStart w:id="206" w:name="_Toc184314434"/>
      <w:bookmarkEnd w:id="206"/>
      <w:bookmarkStart w:id="207" w:name="_Toc184308099"/>
      <w:bookmarkEnd w:id="207"/>
      <w:bookmarkStart w:id="208" w:name="_Toc184312106"/>
      <w:bookmarkEnd w:id="208"/>
      <w:bookmarkStart w:id="209" w:name="_Toc184312113"/>
      <w:bookmarkEnd w:id="209"/>
      <w:bookmarkStart w:id="210" w:name="_Toc184310343"/>
      <w:bookmarkEnd w:id="210"/>
      <w:bookmarkStart w:id="211" w:name="_Toc184308068"/>
      <w:bookmarkEnd w:id="211"/>
      <w:bookmarkStart w:id="212" w:name="_Toc184308069"/>
      <w:bookmarkEnd w:id="212"/>
      <w:bookmarkStart w:id="213" w:name="_Toc184312073"/>
      <w:bookmarkEnd w:id="213"/>
      <w:bookmarkStart w:id="214" w:name="_Toc184313250"/>
      <w:bookmarkEnd w:id="214"/>
      <w:bookmarkStart w:id="215" w:name="_Toc184308085"/>
      <w:bookmarkEnd w:id="215"/>
      <w:bookmarkStart w:id="216" w:name="_Toc184308095"/>
      <w:bookmarkEnd w:id="216"/>
      <w:bookmarkStart w:id="217" w:name="_Toc184308094"/>
      <w:bookmarkEnd w:id="217"/>
      <w:bookmarkStart w:id="218" w:name="_Toc184313254"/>
      <w:bookmarkEnd w:id="218"/>
      <w:bookmarkStart w:id="219" w:name="_Toc184310286"/>
      <w:bookmarkEnd w:id="219"/>
      <w:bookmarkStart w:id="220" w:name="_Toc184314456"/>
      <w:bookmarkEnd w:id="220"/>
      <w:bookmarkStart w:id="221" w:name="_Toc184310326"/>
      <w:bookmarkEnd w:id="221"/>
      <w:bookmarkStart w:id="222" w:name="_Toc184313280"/>
      <w:bookmarkEnd w:id="222"/>
      <w:bookmarkStart w:id="223" w:name="_Toc184308080"/>
      <w:bookmarkEnd w:id="223"/>
      <w:bookmarkStart w:id="224" w:name="_Toc184308039"/>
      <w:bookmarkEnd w:id="224"/>
      <w:bookmarkStart w:id="225" w:name="_Toc184308040"/>
      <w:bookmarkEnd w:id="225"/>
      <w:bookmarkStart w:id="226" w:name="_Toc184310299"/>
      <w:bookmarkEnd w:id="226"/>
      <w:bookmarkStart w:id="227" w:name="_Toc184314461"/>
      <w:bookmarkEnd w:id="227"/>
      <w:bookmarkStart w:id="228" w:name="_Toc184314414"/>
      <w:bookmarkEnd w:id="228"/>
      <w:bookmarkStart w:id="229" w:name="_Toc184310313"/>
      <w:bookmarkEnd w:id="229"/>
      <w:bookmarkStart w:id="230" w:name="_Toc184314443"/>
      <w:bookmarkEnd w:id="230"/>
      <w:bookmarkStart w:id="231" w:name="_Toc184308067"/>
      <w:bookmarkEnd w:id="231"/>
      <w:bookmarkStart w:id="232" w:name="_Toc184310329"/>
      <w:bookmarkEnd w:id="232"/>
      <w:bookmarkStart w:id="233" w:name="_Toc184312103"/>
      <w:bookmarkEnd w:id="233"/>
      <w:bookmarkStart w:id="234" w:name="_Toc184314427"/>
      <w:bookmarkEnd w:id="234"/>
      <w:bookmarkStart w:id="235" w:name="_Toc184310318"/>
      <w:bookmarkEnd w:id="235"/>
      <w:bookmarkStart w:id="236" w:name="_Toc184308078"/>
      <w:bookmarkEnd w:id="236"/>
      <w:bookmarkStart w:id="237" w:name="_Toc184310297"/>
      <w:bookmarkEnd w:id="237"/>
      <w:bookmarkStart w:id="238" w:name="_Toc184313247"/>
      <w:bookmarkEnd w:id="238"/>
      <w:bookmarkStart w:id="239" w:name="_Toc184310339"/>
      <w:bookmarkEnd w:id="239"/>
      <w:bookmarkStart w:id="240" w:name="_Toc184308092"/>
      <w:bookmarkEnd w:id="240"/>
      <w:bookmarkStart w:id="241" w:name="_Toc184314480"/>
      <w:bookmarkEnd w:id="241"/>
      <w:bookmarkStart w:id="242" w:name="_Toc184314462"/>
      <w:bookmarkEnd w:id="242"/>
      <w:bookmarkStart w:id="243" w:name="_Toc184308062"/>
      <w:bookmarkEnd w:id="243"/>
      <w:bookmarkStart w:id="244" w:name="_Toc184310342"/>
      <w:bookmarkEnd w:id="244"/>
      <w:bookmarkStart w:id="245" w:name="_Toc184314478"/>
      <w:bookmarkEnd w:id="245"/>
      <w:bookmarkStart w:id="246" w:name="_Toc184312100"/>
      <w:bookmarkEnd w:id="246"/>
      <w:bookmarkStart w:id="247" w:name="_Toc184314453"/>
      <w:bookmarkEnd w:id="247"/>
      <w:bookmarkStart w:id="248" w:name="_Toc184313239"/>
      <w:bookmarkEnd w:id="248"/>
      <w:bookmarkStart w:id="249" w:name="_Toc184312125"/>
      <w:bookmarkEnd w:id="249"/>
      <w:bookmarkStart w:id="250" w:name="_Toc184310306"/>
      <w:bookmarkEnd w:id="250"/>
      <w:bookmarkStart w:id="251" w:name="_Toc184310341"/>
      <w:bookmarkEnd w:id="251"/>
      <w:bookmarkStart w:id="252" w:name="_Toc184310292"/>
      <w:bookmarkEnd w:id="252"/>
      <w:bookmarkStart w:id="253" w:name="_Toc184314447"/>
      <w:bookmarkEnd w:id="253"/>
      <w:bookmarkStart w:id="254" w:name="_Toc184310279"/>
      <w:bookmarkEnd w:id="254"/>
      <w:bookmarkStart w:id="255" w:name="_Toc184313276"/>
      <w:bookmarkEnd w:id="255"/>
      <w:bookmarkStart w:id="256" w:name="_Toc184310308"/>
      <w:bookmarkEnd w:id="256"/>
      <w:bookmarkStart w:id="257" w:name="_Toc184314430"/>
      <w:bookmarkEnd w:id="257"/>
      <w:bookmarkStart w:id="258" w:name="_Toc184313303"/>
      <w:bookmarkEnd w:id="258"/>
      <w:bookmarkStart w:id="259" w:name="_Toc184308048"/>
      <w:bookmarkEnd w:id="259"/>
      <w:bookmarkStart w:id="260" w:name="_Toc184308038"/>
      <w:bookmarkEnd w:id="260"/>
      <w:bookmarkStart w:id="261" w:name="_Toc184308100"/>
      <w:bookmarkEnd w:id="261"/>
      <w:bookmarkStart w:id="262" w:name="_Toc184312128"/>
      <w:bookmarkEnd w:id="262"/>
      <w:bookmarkStart w:id="263" w:name="_Toc184314464"/>
      <w:bookmarkEnd w:id="263"/>
      <w:bookmarkStart w:id="264" w:name="_Toc184308054"/>
      <w:bookmarkEnd w:id="264"/>
      <w:bookmarkStart w:id="265" w:name="_Toc184310330"/>
      <w:bookmarkEnd w:id="265"/>
      <w:bookmarkStart w:id="266" w:name="_Toc184314442"/>
      <w:bookmarkEnd w:id="266"/>
      <w:bookmarkStart w:id="267" w:name="_Toc184310338"/>
      <w:bookmarkEnd w:id="267"/>
      <w:bookmarkStart w:id="268" w:name="_Toc184312101"/>
      <w:bookmarkEnd w:id="268"/>
      <w:bookmarkStart w:id="269" w:name="_Toc184312136"/>
      <w:bookmarkEnd w:id="269"/>
      <w:bookmarkStart w:id="270" w:name="_Toc184312111"/>
      <w:bookmarkEnd w:id="270"/>
      <w:bookmarkStart w:id="271" w:name="_Toc184314413"/>
      <w:bookmarkEnd w:id="271"/>
      <w:bookmarkStart w:id="272" w:name="_Toc184313248"/>
      <w:bookmarkEnd w:id="272"/>
      <w:bookmarkStart w:id="273" w:name="_Toc184313285"/>
      <w:bookmarkEnd w:id="273"/>
      <w:bookmarkStart w:id="274" w:name="_Toc184313277"/>
      <w:bookmarkEnd w:id="274"/>
      <w:bookmarkStart w:id="275" w:name="_Toc184312130"/>
      <w:bookmarkEnd w:id="275"/>
      <w:bookmarkStart w:id="276" w:name="_Toc184312077"/>
      <w:bookmarkEnd w:id="276"/>
      <w:bookmarkStart w:id="277" w:name="_Toc184310337"/>
      <w:bookmarkEnd w:id="277"/>
      <w:bookmarkStart w:id="278" w:name="_Toc184314426"/>
      <w:bookmarkEnd w:id="278"/>
      <w:bookmarkStart w:id="279" w:name="_Toc184312122"/>
      <w:bookmarkEnd w:id="279"/>
      <w:bookmarkStart w:id="280" w:name="_Toc184314441"/>
      <w:bookmarkEnd w:id="280"/>
      <w:bookmarkStart w:id="281" w:name="_Toc184310305"/>
      <w:bookmarkEnd w:id="281"/>
      <w:bookmarkStart w:id="282" w:name="_Toc184308079"/>
      <w:bookmarkEnd w:id="282"/>
      <w:bookmarkStart w:id="283" w:name="_Toc184314444"/>
      <w:bookmarkEnd w:id="283"/>
      <w:bookmarkStart w:id="284" w:name="_Toc184312070"/>
      <w:bookmarkEnd w:id="284"/>
      <w:bookmarkStart w:id="285" w:name="_Toc184308060"/>
      <w:bookmarkEnd w:id="285"/>
      <w:bookmarkStart w:id="286" w:name="_Toc184314422"/>
      <w:bookmarkEnd w:id="286"/>
      <w:bookmarkStart w:id="287" w:name="_Toc184308055"/>
      <w:bookmarkEnd w:id="287"/>
      <w:bookmarkStart w:id="288" w:name="_Toc184308089"/>
      <w:bookmarkEnd w:id="288"/>
      <w:bookmarkStart w:id="289" w:name="_Toc184313281"/>
      <w:bookmarkEnd w:id="289"/>
      <w:bookmarkStart w:id="290" w:name="_Toc184313308"/>
      <w:bookmarkEnd w:id="290"/>
      <w:bookmarkStart w:id="291" w:name="_Toc184310312"/>
      <w:bookmarkEnd w:id="291"/>
      <w:bookmarkStart w:id="292" w:name="_Toc184313268"/>
      <w:bookmarkEnd w:id="292"/>
      <w:bookmarkStart w:id="293" w:name="_Toc184314428"/>
      <w:bookmarkEnd w:id="293"/>
      <w:bookmarkStart w:id="294" w:name="_Toc184314410"/>
      <w:bookmarkEnd w:id="294"/>
      <w:bookmarkStart w:id="295" w:name="_Toc184313298"/>
      <w:bookmarkEnd w:id="295"/>
      <w:bookmarkStart w:id="296" w:name="_Toc184312107"/>
      <w:bookmarkEnd w:id="296"/>
      <w:bookmarkStart w:id="297" w:name="_Toc184313309"/>
      <w:bookmarkEnd w:id="297"/>
      <w:bookmarkStart w:id="298" w:name="_Toc184313243"/>
      <w:bookmarkEnd w:id="298"/>
      <w:bookmarkStart w:id="299" w:name="_Toc184312092"/>
      <w:bookmarkEnd w:id="299"/>
      <w:bookmarkStart w:id="300" w:name="_Toc184312105"/>
      <w:bookmarkEnd w:id="300"/>
      <w:bookmarkStart w:id="301" w:name="_Toc184314421"/>
      <w:bookmarkEnd w:id="301"/>
      <w:bookmarkStart w:id="302" w:name="_Toc184312087"/>
      <w:bookmarkEnd w:id="302"/>
      <w:bookmarkStart w:id="303" w:name="_Toc184314419"/>
      <w:bookmarkEnd w:id="303"/>
      <w:bookmarkStart w:id="304" w:name="_Toc184312115"/>
      <w:bookmarkEnd w:id="304"/>
      <w:bookmarkStart w:id="305" w:name="_Toc184313252"/>
      <w:bookmarkEnd w:id="305"/>
      <w:bookmarkStart w:id="306" w:name="_Toc184310328"/>
      <w:bookmarkEnd w:id="306"/>
      <w:bookmarkStart w:id="307" w:name="_Toc184313305"/>
      <w:bookmarkEnd w:id="307"/>
      <w:bookmarkStart w:id="308" w:name="_Toc184313261"/>
      <w:bookmarkEnd w:id="308"/>
      <w:bookmarkStart w:id="309" w:name="_Toc184310291"/>
      <w:bookmarkEnd w:id="309"/>
      <w:bookmarkStart w:id="310" w:name="_Toc184312085"/>
      <w:bookmarkEnd w:id="310"/>
      <w:bookmarkStart w:id="311" w:name="_Toc184310333"/>
      <w:bookmarkEnd w:id="311"/>
      <w:bookmarkStart w:id="312" w:name="_Toc184313287"/>
      <w:bookmarkEnd w:id="312"/>
      <w:bookmarkStart w:id="313" w:name="_Toc184313272"/>
      <w:bookmarkEnd w:id="313"/>
      <w:bookmarkStart w:id="314" w:name="_Toc184308052"/>
      <w:bookmarkEnd w:id="314"/>
      <w:bookmarkStart w:id="315" w:name="_Toc184313279"/>
      <w:bookmarkEnd w:id="315"/>
      <w:bookmarkStart w:id="316" w:name="_Toc184312075"/>
      <w:bookmarkEnd w:id="316"/>
      <w:bookmarkStart w:id="317" w:name="_Toc184310316"/>
      <w:bookmarkEnd w:id="317"/>
      <w:bookmarkStart w:id="318" w:name="_Toc184313278"/>
      <w:bookmarkEnd w:id="318"/>
      <w:bookmarkStart w:id="319" w:name="_Toc184312102"/>
      <w:bookmarkEnd w:id="319"/>
      <w:bookmarkStart w:id="320" w:name="_Toc184312108"/>
      <w:bookmarkEnd w:id="320"/>
      <w:bookmarkStart w:id="321" w:name="_Toc184308083"/>
      <w:bookmarkEnd w:id="321"/>
      <w:bookmarkStart w:id="322" w:name="_Toc184314437"/>
      <w:bookmarkEnd w:id="322"/>
      <w:bookmarkStart w:id="323" w:name="_Toc184308070"/>
      <w:bookmarkEnd w:id="323"/>
      <w:bookmarkStart w:id="324" w:name="_Toc184313301"/>
      <w:bookmarkEnd w:id="324"/>
      <w:bookmarkStart w:id="325" w:name="_Toc184314423"/>
      <w:bookmarkEnd w:id="325"/>
      <w:bookmarkStart w:id="326" w:name="_Toc184308058"/>
      <w:bookmarkEnd w:id="326"/>
      <w:bookmarkStart w:id="327" w:name="_Toc184308066"/>
      <w:bookmarkEnd w:id="327"/>
      <w:bookmarkStart w:id="328" w:name="_Toc184308050"/>
      <w:bookmarkEnd w:id="328"/>
      <w:bookmarkStart w:id="329" w:name="_Toc184312090"/>
      <w:bookmarkEnd w:id="329"/>
      <w:bookmarkStart w:id="330" w:name="_Toc184310303"/>
      <w:bookmarkEnd w:id="330"/>
      <w:bookmarkStart w:id="331" w:name="_Toc184313300"/>
      <w:bookmarkEnd w:id="331"/>
      <w:bookmarkStart w:id="332" w:name="_Toc184310272"/>
      <w:bookmarkEnd w:id="332"/>
      <w:bookmarkStart w:id="333" w:name="_Toc184310283"/>
      <w:bookmarkEnd w:id="333"/>
      <w:bookmarkStart w:id="334" w:name="_Toc184312133"/>
      <w:bookmarkEnd w:id="334"/>
      <w:bookmarkStart w:id="335" w:name="_Toc184314455"/>
      <w:bookmarkEnd w:id="335"/>
      <w:bookmarkStart w:id="336" w:name="_Toc184313283"/>
      <w:bookmarkEnd w:id="336"/>
      <w:bookmarkStart w:id="337" w:name="_Toc184314416"/>
      <w:bookmarkEnd w:id="337"/>
      <w:bookmarkStart w:id="338" w:name="_Toc184310324"/>
      <w:bookmarkEnd w:id="338"/>
      <w:bookmarkStart w:id="339" w:name="_Toc184312134"/>
      <w:bookmarkEnd w:id="339"/>
      <w:bookmarkStart w:id="340" w:name="_Toc184310296"/>
      <w:bookmarkEnd w:id="340"/>
      <w:bookmarkStart w:id="341" w:name="_Toc184308036"/>
      <w:bookmarkEnd w:id="341"/>
      <w:bookmarkStart w:id="342" w:name="_Toc184310282"/>
      <w:bookmarkEnd w:id="342"/>
      <w:bookmarkStart w:id="343" w:name="_Toc184314460"/>
      <w:bookmarkEnd w:id="343"/>
      <w:bookmarkStart w:id="344" w:name="_Toc184308076"/>
      <w:bookmarkEnd w:id="344"/>
      <w:bookmarkStart w:id="345" w:name="_Toc184310295"/>
      <w:bookmarkEnd w:id="345"/>
      <w:bookmarkStart w:id="346" w:name="_Toc184310301"/>
      <w:bookmarkEnd w:id="346"/>
      <w:bookmarkStart w:id="347" w:name="_Toc184310335"/>
      <w:bookmarkEnd w:id="347"/>
      <w:bookmarkStart w:id="348" w:name="_Toc184310294"/>
      <w:bookmarkEnd w:id="348"/>
      <w:bookmarkStart w:id="349" w:name="_Toc184314470"/>
      <w:bookmarkEnd w:id="349"/>
      <w:bookmarkStart w:id="350" w:name="_Toc184313240"/>
      <w:bookmarkEnd w:id="350"/>
      <w:bookmarkStart w:id="351" w:name="_Toc184310327"/>
      <w:bookmarkEnd w:id="351"/>
      <w:bookmarkStart w:id="352" w:name="_Toc184312112"/>
      <w:bookmarkEnd w:id="352"/>
      <w:bookmarkStart w:id="353" w:name="_Toc184313259"/>
      <w:bookmarkEnd w:id="353"/>
      <w:bookmarkStart w:id="354" w:name="_Toc184312078"/>
      <w:bookmarkEnd w:id="354"/>
      <w:bookmarkStart w:id="355" w:name="_Toc184314431"/>
      <w:bookmarkEnd w:id="355"/>
      <w:bookmarkStart w:id="356" w:name="_Toc184313296"/>
      <w:bookmarkEnd w:id="356"/>
      <w:bookmarkStart w:id="357" w:name="_Toc184314451"/>
      <w:bookmarkEnd w:id="357"/>
      <w:bookmarkStart w:id="358" w:name="_Toc184314436"/>
      <w:bookmarkEnd w:id="358"/>
      <w:bookmarkStart w:id="359" w:name="_Toc184312120"/>
      <w:bookmarkEnd w:id="359"/>
      <w:bookmarkStart w:id="360" w:name="_Toc184313307"/>
      <w:bookmarkEnd w:id="360"/>
      <w:bookmarkStart w:id="361" w:name="_Toc184310285"/>
      <w:bookmarkEnd w:id="361"/>
      <w:bookmarkStart w:id="362" w:name="_Toc184313290"/>
      <w:bookmarkEnd w:id="362"/>
      <w:bookmarkStart w:id="363" w:name="_Toc184312079"/>
      <w:bookmarkEnd w:id="363"/>
      <w:bookmarkStart w:id="364" w:name="_Toc184314417"/>
      <w:bookmarkEnd w:id="364"/>
      <w:bookmarkStart w:id="365" w:name="_Toc184314435"/>
      <w:bookmarkEnd w:id="365"/>
      <w:bookmarkStart w:id="366" w:name="_Toc184308090"/>
      <w:bookmarkEnd w:id="366"/>
      <w:bookmarkStart w:id="367" w:name="_Toc184310317"/>
      <w:bookmarkEnd w:id="367"/>
      <w:bookmarkStart w:id="368" w:name="_Toc184312067"/>
      <w:bookmarkEnd w:id="368"/>
      <w:bookmarkStart w:id="369" w:name="_Toc184308107"/>
      <w:bookmarkEnd w:id="369"/>
      <w:bookmarkStart w:id="370" w:name="_Toc184308101"/>
      <w:bookmarkEnd w:id="370"/>
      <w:bookmarkStart w:id="371" w:name="_Toc184314465"/>
      <w:bookmarkEnd w:id="371"/>
      <w:bookmarkStart w:id="372" w:name="_Toc184310334"/>
      <w:bookmarkEnd w:id="372"/>
      <w:bookmarkStart w:id="373" w:name="_Toc184312139"/>
      <w:bookmarkEnd w:id="373"/>
      <w:bookmarkStart w:id="374" w:name="_Toc184313306"/>
      <w:bookmarkEnd w:id="374"/>
      <w:bookmarkStart w:id="375" w:name="_Toc184308082"/>
      <w:bookmarkEnd w:id="375"/>
      <w:bookmarkStart w:id="376" w:name="_Toc184314458"/>
      <w:bookmarkEnd w:id="376"/>
      <w:bookmarkStart w:id="377" w:name="_Toc184310280"/>
      <w:bookmarkEnd w:id="377"/>
      <w:bookmarkStart w:id="378" w:name="_Toc184312091"/>
      <w:bookmarkEnd w:id="378"/>
      <w:bookmarkStart w:id="379" w:name="_Toc184313291"/>
      <w:bookmarkEnd w:id="379"/>
      <w:bookmarkStart w:id="380" w:name="_Toc184313288"/>
      <w:bookmarkEnd w:id="380"/>
      <w:bookmarkStart w:id="381" w:name="_Toc184314438"/>
      <w:bookmarkEnd w:id="381"/>
      <w:bookmarkStart w:id="382" w:name="_Toc184308064"/>
      <w:bookmarkEnd w:id="382"/>
      <w:r>
        <w:rPr>
          <w:rFonts w:hint="eastAsia" w:ascii="宋体" w:hAnsi="宋体" w:eastAsia="宋体" w:cs="宋体"/>
          <w:b/>
          <w:color w:val="auto"/>
          <w:sz w:val="36"/>
          <w:szCs w:val="36"/>
          <w:highlight w:val="none"/>
        </w:rPr>
        <w:t>评标办法</w:t>
      </w:r>
    </w:p>
    <w:p w14:paraId="545E7C1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9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5774"/>
        <w:gridCol w:w="764"/>
        <w:gridCol w:w="1250"/>
        <w:gridCol w:w="1525"/>
      </w:tblGrid>
      <w:tr w14:paraId="70F8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7" w:type="dxa"/>
            <w:vAlign w:val="center"/>
          </w:tcPr>
          <w:p w14:paraId="2D95743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74" w:type="dxa"/>
            <w:vAlign w:val="center"/>
          </w:tcPr>
          <w:p w14:paraId="12B725A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64" w:type="dxa"/>
            <w:vAlign w:val="center"/>
          </w:tcPr>
          <w:p w14:paraId="67F1CA8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50" w:type="dxa"/>
            <w:vAlign w:val="center"/>
          </w:tcPr>
          <w:p w14:paraId="3C49612E">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525" w:type="dxa"/>
          </w:tcPr>
          <w:p w14:paraId="44EAFCC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7562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0AEB5BC9">
            <w:pPr>
              <w:numPr>
                <w:ilvl w:val="0"/>
                <w:numId w:val="0"/>
              </w:numPr>
              <w:snapToGrid w:val="0"/>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p>
        </w:tc>
        <w:tc>
          <w:tcPr>
            <w:tcW w:w="5774" w:type="dxa"/>
            <w:vAlign w:val="center"/>
          </w:tcPr>
          <w:p w14:paraId="6796E50D">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投标人具备质量管理体系认证、职业健康安全管理体系认证、环境管理体系认证且在有效期内的得每个得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分。（证明材料：需提供有效期内证书原件扫描件，</w:t>
            </w:r>
            <w:r>
              <w:rPr>
                <w:rFonts w:hint="eastAsia" w:ascii="宋体" w:hAnsi="宋体" w:cs="宋体"/>
                <w:color w:val="auto"/>
                <w:sz w:val="21"/>
                <w:szCs w:val="21"/>
                <w:highlight w:val="none"/>
                <w:lang w:eastAsia="zh-CN"/>
              </w:rPr>
              <w:t>且</w:t>
            </w:r>
            <w:r>
              <w:rPr>
                <w:rFonts w:hint="eastAsia" w:ascii="宋体" w:hAnsi="宋体" w:eastAsia="宋体" w:cs="宋体"/>
                <w:color w:val="auto"/>
                <w:sz w:val="21"/>
                <w:szCs w:val="21"/>
                <w:highlight w:val="none"/>
              </w:rPr>
              <w:t>由评标委员会现场在全国认证认可信息公共服务平台http://cx.cnca.cn/CertECloud/result/skipResultList查询确认，</w:t>
            </w:r>
            <w:r>
              <w:rPr>
                <w:rFonts w:hint="eastAsia" w:ascii="宋体" w:hAnsi="宋体" w:cs="宋体"/>
                <w:color w:val="auto"/>
                <w:sz w:val="21"/>
                <w:szCs w:val="21"/>
                <w:highlight w:val="none"/>
                <w:lang w:eastAsia="zh-CN"/>
              </w:rPr>
              <w:t>未提供或</w:t>
            </w:r>
            <w:r>
              <w:rPr>
                <w:rFonts w:hint="eastAsia" w:ascii="宋体" w:hAnsi="宋体" w:eastAsia="宋体" w:cs="宋体"/>
                <w:color w:val="auto"/>
                <w:sz w:val="21"/>
                <w:szCs w:val="21"/>
                <w:highlight w:val="none"/>
              </w:rPr>
              <w:t>未在该网站查询到的不得分。）</w:t>
            </w:r>
          </w:p>
        </w:tc>
        <w:tc>
          <w:tcPr>
            <w:tcW w:w="764" w:type="dxa"/>
            <w:vAlign w:val="center"/>
          </w:tcPr>
          <w:p w14:paraId="03B3DEE1">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50" w:type="dxa"/>
            <w:vAlign w:val="center"/>
          </w:tcPr>
          <w:p w14:paraId="3A36F81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25" w:type="dxa"/>
          </w:tcPr>
          <w:p w14:paraId="3EABDCD3">
            <w:pPr>
              <w:snapToGrid w:val="0"/>
              <w:spacing w:line="360" w:lineRule="auto"/>
              <w:jc w:val="center"/>
              <w:rPr>
                <w:rFonts w:hint="eastAsia" w:ascii="宋体" w:hAnsi="宋体" w:eastAsia="宋体" w:cs="宋体"/>
                <w:color w:val="auto"/>
                <w:sz w:val="21"/>
                <w:szCs w:val="21"/>
                <w:highlight w:val="none"/>
              </w:rPr>
            </w:pPr>
          </w:p>
        </w:tc>
      </w:tr>
      <w:tr w14:paraId="5DC0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04253787">
            <w:pPr>
              <w:numPr>
                <w:ilvl w:val="0"/>
                <w:numId w:val="0"/>
              </w:numPr>
              <w:snapToGrid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p>
        </w:tc>
        <w:tc>
          <w:tcPr>
            <w:tcW w:w="5774" w:type="dxa"/>
            <w:vAlign w:val="center"/>
          </w:tcPr>
          <w:p w14:paraId="56E5EAA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年1月1日（以合同签订时间为准）以来提供类似</w:t>
            </w:r>
            <w:r>
              <w:rPr>
                <w:rFonts w:hint="eastAsia" w:ascii="宋体" w:hAnsi="宋体" w:cs="宋体"/>
                <w:color w:val="auto"/>
                <w:sz w:val="21"/>
                <w:szCs w:val="21"/>
                <w:highlight w:val="none"/>
                <w:lang w:eastAsia="zh-CN"/>
              </w:rPr>
              <w:t>河道保洁</w:t>
            </w:r>
            <w:r>
              <w:rPr>
                <w:rFonts w:hint="eastAsia" w:ascii="宋体" w:hAnsi="宋体" w:eastAsia="宋体" w:cs="宋体"/>
                <w:color w:val="auto"/>
                <w:sz w:val="21"/>
                <w:szCs w:val="21"/>
                <w:highlight w:val="none"/>
              </w:rPr>
              <w:t>项目业绩，每提供一个得0.5分，最高得1分。需提供合同复印件并加盖公章，不提供不得分。（提供合同复印件，未提供不得分）。</w:t>
            </w:r>
          </w:p>
        </w:tc>
        <w:tc>
          <w:tcPr>
            <w:tcW w:w="764" w:type="dxa"/>
            <w:vAlign w:val="center"/>
          </w:tcPr>
          <w:p w14:paraId="1CECECE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50" w:type="dxa"/>
            <w:vAlign w:val="center"/>
          </w:tcPr>
          <w:p w14:paraId="687F34E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25" w:type="dxa"/>
          </w:tcPr>
          <w:p w14:paraId="73BE2F08">
            <w:pPr>
              <w:snapToGrid w:val="0"/>
              <w:spacing w:line="360" w:lineRule="auto"/>
              <w:jc w:val="center"/>
              <w:rPr>
                <w:rFonts w:hint="eastAsia" w:ascii="宋体" w:hAnsi="宋体" w:eastAsia="宋体" w:cs="宋体"/>
                <w:color w:val="auto"/>
                <w:sz w:val="21"/>
                <w:szCs w:val="21"/>
                <w:highlight w:val="none"/>
              </w:rPr>
            </w:pPr>
          </w:p>
        </w:tc>
      </w:tr>
      <w:tr w14:paraId="0A9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7A0AB32">
            <w:pPr>
              <w:numPr>
                <w:ilvl w:val="0"/>
                <w:numId w:val="0"/>
              </w:numPr>
              <w:snapToGrid w:val="0"/>
              <w:spacing w:line="360" w:lineRule="auto"/>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p>
        </w:tc>
        <w:tc>
          <w:tcPr>
            <w:tcW w:w="5774" w:type="dxa"/>
            <w:vAlign w:val="center"/>
          </w:tcPr>
          <w:p w14:paraId="694153FD">
            <w:pPr>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日常保洁方案</w:t>
            </w:r>
          </w:p>
        </w:tc>
        <w:tc>
          <w:tcPr>
            <w:tcW w:w="764" w:type="dxa"/>
            <w:vAlign w:val="center"/>
          </w:tcPr>
          <w:p w14:paraId="5EE1A8EF">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50" w:type="dxa"/>
            <w:vAlign w:val="center"/>
          </w:tcPr>
          <w:p w14:paraId="615AE71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525" w:type="dxa"/>
          </w:tcPr>
          <w:p w14:paraId="4A484098">
            <w:pPr>
              <w:snapToGrid w:val="0"/>
              <w:spacing w:line="360" w:lineRule="auto"/>
              <w:jc w:val="center"/>
              <w:rPr>
                <w:rFonts w:hint="eastAsia" w:ascii="宋体" w:hAnsi="宋体" w:eastAsia="宋体" w:cs="宋体"/>
                <w:color w:val="auto"/>
                <w:sz w:val="21"/>
                <w:szCs w:val="21"/>
                <w:highlight w:val="none"/>
              </w:rPr>
            </w:pPr>
          </w:p>
        </w:tc>
      </w:tr>
      <w:tr w14:paraId="1052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590E44EB">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3.</w:t>
            </w:r>
            <w:r>
              <w:rPr>
                <w:rFonts w:hint="eastAsia" w:ascii="宋体" w:hAnsi="宋体" w:cs="宋体"/>
                <w:color w:val="auto"/>
                <w:kern w:val="2"/>
                <w:sz w:val="21"/>
                <w:szCs w:val="21"/>
                <w:lang w:val="en-US" w:eastAsia="zh-CN" w:bidi="ar-SA"/>
              </w:rPr>
              <w:t>1</w:t>
            </w:r>
          </w:p>
        </w:tc>
        <w:tc>
          <w:tcPr>
            <w:tcW w:w="5774" w:type="dxa"/>
            <w:vAlign w:val="center"/>
          </w:tcPr>
          <w:p w14:paraId="064BD0D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rPr>
              <w:t>投标人日常保洁方案，根据提供的方案内容的完整性、与项目的匹配性进行评分。方案内容完整且与项目匹配度好的得4分；方案内容基本完整且与项目匹配度较好的得3分；方案内容存在欠缺或与项目匹配度一般的得2分；方案内容缺失严重或与项目不匹配的不得分。</w:t>
            </w:r>
          </w:p>
        </w:tc>
        <w:tc>
          <w:tcPr>
            <w:tcW w:w="764" w:type="dxa"/>
            <w:vAlign w:val="center"/>
          </w:tcPr>
          <w:p w14:paraId="59A2631C">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50" w:type="dxa"/>
            <w:vAlign w:val="center"/>
          </w:tcPr>
          <w:p w14:paraId="1744720D">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4E14841A">
            <w:pPr>
              <w:snapToGrid w:val="0"/>
              <w:spacing w:line="360" w:lineRule="auto"/>
              <w:jc w:val="center"/>
              <w:rPr>
                <w:rFonts w:hint="eastAsia" w:ascii="宋体" w:hAnsi="宋体" w:eastAsia="宋体" w:cs="宋体"/>
                <w:color w:val="auto"/>
                <w:sz w:val="21"/>
                <w:szCs w:val="21"/>
                <w:highlight w:val="none"/>
              </w:rPr>
            </w:pPr>
          </w:p>
        </w:tc>
      </w:tr>
      <w:tr w14:paraId="1FFF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66037949">
            <w:pPr>
              <w:numPr>
                <w:ilvl w:val="0"/>
                <w:numId w:val="0"/>
              </w:numPr>
              <w:snapToGrid w:val="0"/>
              <w:spacing w:line="360" w:lineRule="auto"/>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3.2</w:t>
            </w:r>
          </w:p>
        </w:tc>
        <w:tc>
          <w:tcPr>
            <w:tcW w:w="5774" w:type="dxa"/>
            <w:shd w:val="clear" w:color="auto" w:fill="auto"/>
            <w:vAlign w:val="center"/>
          </w:tcPr>
          <w:p w14:paraId="7B16D2DE">
            <w:pPr>
              <w:widowControl/>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rPr>
              <w:t>投标单位对于本项目日常保洁内容重难点分析，分析内容全面清晰得3分，</w:t>
            </w:r>
            <w:r>
              <w:rPr>
                <w:rFonts w:hint="eastAsia" w:ascii="宋体" w:hAnsi="宋体" w:eastAsia="宋体" w:cs="宋体"/>
                <w:bCs/>
                <w:lang w:eastAsia="zh-CN"/>
              </w:rPr>
              <w:t>内容满足采购需求得</w:t>
            </w:r>
            <w:r>
              <w:rPr>
                <w:rFonts w:hint="eastAsia" w:ascii="宋体" w:hAnsi="宋体" w:eastAsia="宋体" w:cs="宋体"/>
                <w:bCs/>
                <w:lang w:val="en-US" w:eastAsia="zh-CN"/>
              </w:rPr>
              <w:t>2分，</w:t>
            </w:r>
            <w:r>
              <w:rPr>
                <w:rFonts w:hint="eastAsia" w:ascii="宋体" w:hAnsi="宋体" w:eastAsia="宋体" w:cs="宋体"/>
                <w:bCs/>
              </w:rPr>
              <w:t>内容有提及得1分。内容未提供不得分。</w:t>
            </w:r>
          </w:p>
        </w:tc>
        <w:tc>
          <w:tcPr>
            <w:tcW w:w="764" w:type="dxa"/>
            <w:shd w:val="clear" w:color="auto" w:fill="auto"/>
            <w:vAlign w:val="center"/>
          </w:tcPr>
          <w:p w14:paraId="1AF8BE85">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250" w:type="dxa"/>
            <w:shd w:val="clear" w:color="auto" w:fill="auto"/>
            <w:vAlign w:val="center"/>
          </w:tcPr>
          <w:p w14:paraId="5049237E">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1E04AA16">
            <w:pPr>
              <w:snapToGrid w:val="0"/>
              <w:spacing w:line="360" w:lineRule="auto"/>
              <w:jc w:val="center"/>
              <w:rPr>
                <w:rFonts w:hint="eastAsia" w:ascii="宋体" w:hAnsi="宋体" w:eastAsia="宋体" w:cs="宋体"/>
                <w:color w:val="auto"/>
                <w:sz w:val="21"/>
                <w:szCs w:val="21"/>
                <w:highlight w:val="none"/>
              </w:rPr>
            </w:pPr>
          </w:p>
        </w:tc>
      </w:tr>
      <w:tr w14:paraId="5845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0CA0596B">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3.3</w:t>
            </w:r>
          </w:p>
        </w:tc>
        <w:tc>
          <w:tcPr>
            <w:tcW w:w="5774" w:type="dxa"/>
            <w:shd w:val="clear" w:color="auto" w:fill="auto"/>
            <w:vAlign w:val="center"/>
          </w:tcPr>
          <w:p w14:paraId="5D62F665">
            <w:pPr>
              <w:widowControl/>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rPr>
              <w:t>本项目日常保洁内容重难点对应措施，有针对性的、科学合理得4分，</w:t>
            </w:r>
            <w:r>
              <w:rPr>
                <w:rFonts w:hint="eastAsia" w:ascii="宋体" w:hAnsi="宋体" w:eastAsia="宋体" w:cs="宋体"/>
                <w:bCs/>
                <w:lang w:eastAsia="zh-CN"/>
              </w:rPr>
              <w:t>措施内容较合理得</w:t>
            </w:r>
            <w:r>
              <w:rPr>
                <w:rFonts w:hint="eastAsia" w:ascii="宋体" w:hAnsi="宋体" w:eastAsia="宋体" w:cs="宋体"/>
                <w:bCs/>
                <w:lang w:val="en-US" w:eastAsia="zh-CN"/>
              </w:rPr>
              <w:t>3分，</w:t>
            </w:r>
            <w:r>
              <w:rPr>
                <w:rFonts w:hint="eastAsia" w:ascii="宋体" w:hAnsi="宋体" w:eastAsia="宋体" w:cs="宋体"/>
                <w:bCs/>
              </w:rPr>
              <w:t>措施满足需求基本合理得2分，措施内容有提及得1分。</w:t>
            </w:r>
            <w:r>
              <w:rPr>
                <w:rFonts w:hint="eastAsia" w:ascii="宋体" w:hAnsi="宋体" w:eastAsia="宋体" w:cs="宋体"/>
                <w:szCs w:val="21"/>
              </w:rPr>
              <w:t>内容严重缺失不得分</w:t>
            </w:r>
            <w:r>
              <w:rPr>
                <w:rFonts w:hint="eastAsia" w:ascii="宋体" w:hAnsi="宋体" w:eastAsia="宋体" w:cs="宋体"/>
                <w:bCs/>
              </w:rPr>
              <w:t>。</w:t>
            </w:r>
          </w:p>
        </w:tc>
        <w:tc>
          <w:tcPr>
            <w:tcW w:w="764" w:type="dxa"/>
            <w:shd w:val="clear" w:color="auto" w:fill="auto"/>
            <w:vAlign w:val="center"/>
          </w:tcPr>
          <w:p w14:paraId="0A1BD337">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250" w:type="dxa"/>
            <w:shd w:val="clear" w:color="auto" w:fill="auto"/>
            <w:vAlign w:val="center"/>
          </w:tcPr>
          <w:p w14:paraId="41EE78AC">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020BCAE8">
            <w:pPr>
              <w:snapToGrid w:val="0"/>
              <w:spacing w:line="360" w:lineRule="auto"/>
              <w:jc w:val="center"/>
              <w:rPr>
                <w:rFonts w:hint="eastAsia" w:ascii="宋体" w:hAnsi="宋体" w:eastAsia="宋体" w:cs="宋体"/>
                <w:color w:val="auto"/>
                <w:sz w:val="21"/>
                <w:szCs w:val="21"/>
                <w:highlight w:val="none"/>
              </w:rPr>
            </w:pPr>
          </w:p>
        </w:tc>
      </w:tr>
      <w:tr w14:paraId="534B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7F66F9C9">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p>
        </w:tc>
        <w:tc>
          <w:tcPr>
            <w:tcW w:w="5774" w:type="dxa"/>
            <w:shd w:val="clear" w:color="auto" w:fill="auto"/>
            <w:vAlign w:val="center"/>
          </w:tcPr>
          <w:p w14:paraId="566E5763">
            <w:pPr>
              <w:widowControl/>
              <w:spacing w:line="360" w:lineRule="auto"/>
              <w:jc w:val="left"/>
              <w:rPr>
                <w:rFonts w:hint="eastAsia" w:ascii="宋体" w:hAnsi="宋体" w:eastAsia="宋体" w:cs="宋体"/>
                <w:bCs/>
              </w:rPr>
            </w:pPr>
            <w:r>
              <w:rPr>
                <w:rFonts w:hint="eastAsia" w:ascii="宋体" w:hAnsi="宋体" w:eastAsia="宋体" w:cs="宋体"/>
                <w:bCs/>
              </w:rPr>
              <w:t>清运方案</w:t>
            </w:r>
          </w:p>
        </w:tc>
        <w:tc>
          <w:tcPr>
            <w:tcW w:w="764" w:type="dxa"/>
            <w:shd w:val="clear" w:color="auto" w:fill="auto"/>
            <w:vAlign w:val="center"/>
          </w:tcPr>
          <w:p w14:paraId="10473BB6">
            <w:pPr>
              <w:snapToGrid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c>
          <w:tcPr>
            <w:tcW w:w="1250" w:type="dxa"/>
            <w:shd w:val="clear" w:color="auto" w:fill="auto"/>
            <w:vAlign w:val="center"/>
          </w:tcPr>
          <w:p w14:paraId="3AAA26D4">
            <w:pPr>
              <w:snapToGrid w:val="0"/>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1525" w:type="dxa"/>
          </w:tcPr>
          <w:p w14:paraId="400C127F">
            <w:pPr>
              <w:snapToGrid w:val="0"/>
              <w:spacing w:line="360" w:lineRule="auto"/>
              <w:jc w:val="center"/>
              <w:rPr>
                <w:rFonts w:hint="eastAsia" w:ascii="宋体" w:hAnsi="宋体" w:eastAsia="宋体" w:cs="宋体"/>
                <w:color w:val="auto"/>
                <w:sz w:val="21"/>
                <w:szCs w:val="21"/>
                <w:highlight w:val="none"/>
              </w:rPr>
            </w:pPr>
          </w:p>
        </w:tc>
      </w:tr>
      <w:tr w14:paraId="481E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47DCC3EA">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rPr>
            </w:pPr>
            <w:r>
              <w:rPr>
                <w:rFonts w:hint="eastAsia" w:ascii="宋体" w:hAnsi="宋体" w:cs="宋体"/>
                <w:color w:val="auto"/>
                <w:kern w:val="2"/>
                <w:sz w:val="21"/>
                <w:szCs w:val="21"/>
                <w:lang w:val="en-US" w:eastAsia="zh-CN" w:bidi="ar-SA"/>
              </w:rPr>
              <w:t>4.1</w:t>
            </w:r>
          </w:p>
        </w:tc>
        <w:tc>
          <w:tcPr>
            <w:tcW w:w="5774" w:type="dxa"/>
            <w:vAlign w:val="center"/>
          </w:tcPr>
          <w:p w14:paraId="31FE3EE8">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rPr>
              <w:t>垃圾清运</w:t>
            </w:r>
            <w:r>
              <w:rPr>
                <w:rFonts w:hint="eastAsia" w:ascii="宋体" w:hAnsi="宋体" w:eastAsia="宋体" w:cs="宋体"/>
                <w:bCs/>
              </w:rPr>
              <w:t>的完整性、与项目的匹配性进行评分。方案内容完整且与项目匹配度好的得4分；方案内容基本完整且与项目匹配度较好的得3分；方案内容存在欠缺或与项目匹配度一般的得2分；方案内容缺失严重或与项目不匹配的不得分。</w:t>
            </w:r>
          </w:p>
        </w:tc>
        <w:tc>
          <w:tcPr>
            <w:tcW w:w="764" w:type="dxa"/>
            <w:vAlign w:val="center"/>
          </w:tcPr>
          <w:p w14:paraId="349F2EB3">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50" w:type="dxa"/>
            <w:vAlign w:val="center"/>
          </w:tcPr>
          <w:p w14:paraId="5ED389C1">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3B51B5B2">
            <w:pPr>
              <w:snapToGrid w:val="0"/>
              <w:spacing w:line="360" w:lineRule="auto"/>
              <w:jc w:val="center"/>
              <w:rPr>
                <w:rFonts w:hint="eastAsia" w:ascii="宋体" w:hAnsi="宋体" w:eastAsia="宋体" w:cs="宋体"/>
                <w:color w:val="auto"/>
                <w:sz w:val="21"/>
                <w:szCs w:val="21"/>
                <w:highlight w:val="none"/>
              </w:rPr>
            </w:pPr>
          </w:p>
        </w:tc>
      </w:tr>
      <w:tr w14:paraId="209D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5B2E3A06">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4.2</w:t>
            </w:r>
          </w:p>
        </w:tc>
        <w:tc>
          <w:tcPr>
            <w:tcW w:w="5774" w:type="dxa"/>
            <w:vAlign w:val="center"/>
          </w:tcPr>
          <w:p w14:paraId="5FEF3AD3">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rPr>
              <w:t>投标单位对于本项目垃圾清运内容重难点分析，分析内容全面清晰得3分，</w:t>
            </w:r>
            <w:r>
              <w:rPr>
                <w:rFonts w:hint="eastAsia" w:ascii="宋体" w:hAnsi="宋体" w:eastAsia="宋体" w:cs="宋体"/>
                <w:bCs/>
                <w:lang w:eastAsia="zh-CN"/>
              </w:rPr>
              <w:t>内容满足采购需求得</w:t>
            </w:r>
            <w:r>
              <w:rPr>
                <w:rFonts w:hint="eastAsia" w:ascii="宋体" w:hAnsi="宋体" w:eastAsia="宋体" w:cs="宋体"/>
                <w:bCs/>
                <w:lang w:val="en-US" w:eastAsia="zh-CN"/>
              </w:rPr>
              <w:t>2分，</w:t>
            </w:r>
            <w:r>
              <w:rPr>
                <w:rFonts w:hint="eastAsia" w:ascii="宋体" w:hAnsi="宋体" w:eastAsia="宋体" w:cs="宋体"/>
                <w:bCs/>
              </w:rPr>
              <w:t>内容有提及得1分。内容未提供不得分。</w:t>
            </w:r>
          </w:p>
        </w:tc>
        <w:tc>
          <w:tcPr>
            <w:tcW w:w="764" w:type="dxa"/>
            <w:vAlign w:val="center"/>
          </w:tcPr>
          <w:p w14:paraId="36459C8E">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50" w:type="dxa"/>
            <w:vAlign w:val="center"/>
          </w:tcPr>
          <w:p w14:paraId="038494B0">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7231DA4A">
            <w:pPr>
              <w:snapToGrid w:val="0"/>
              <w:spacing w:line="360" w:lineRule="auto"/>
              <w:jc w:val="center"/>
              <w:rPr>
                <w:rFonts w:hint="eastAsia" w:ascii="宋体" w:hAnsi="宋体" w:eastAsia="宋体" w:cs="宋体"/>
                <w:color w:val="auto"/>
                <w:sz w:val="21"/>
                <w:szCs w:val="21"/>
                <w:highlight w:val="none"/>
              </w:rPr>
            </w:pPr>
          </w:p>
        </w:tc>
      </w:tr>
      <w:tr w14:paraId="5FDB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66D30DC">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4.3</w:t>
            </w:r>
          </w:p>
        </w:tc>
        <w:tc>
          <w:tcPr>
            <w:tcW w:w="5774" w:type="dxa"/>
            <w:vAlign w:val="center"/>
          </w:tcPr>
          <w:p w14:paraId="3B713C99">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rPr>
              <w:t>本项目垃圾清运内容重难点对应措施，有针对性的、科学合理得4分，措施满足需求基本合理得2分，措施内容有提及得1分。</w:t>
            </w:r>
            <w:r>
              <w:rPr>
                <w:rFonts w:hint="eastAsia" w:ascii="宋体" w:hAnsi="宋体" w:eastAsia="宋体" w:cs="宋体"/>
                <w:szCs w:val="21"/>
              </w:rPr>
              <w:t>内容严重缺失不得分</w:t>
            </w:r>
            <w:r>
              <w:rPr>
                <w:rFonts w:hint="eastAsia" w:ascii="宋体" w:hAnsi="宋体" w:eastAsia="宋体" w:cs="宋体"/>
                <w:bCs/>
              </w:rPr>
              <w:t>。</w:t>
            </w:r>
          </w:p>
        </w:tc>
        <w:tc>
          <w:tcPr>
            <w:tcW w:w="764" w:type="dxa"/>
            <w:vAlign w:val="center"/>
          </w:tcPr>
          <w:p w14:paraId="768DF957">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50" w:type="dxa"/>
            <w:vAlign w:val="center"/>
          </w:tcPr>
          <w:p w14:paraId="2CC8E20C">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73C6569D">
            <w:pPr>
              <w:snapToGrid w:val="0"/>
              <w:spacing w:line="360" w:lineRule="auto"/>
              <w:jc w:val="center"/>
              <w:rPr>
                <w:rFonts w:hint="eastAsia" w:ascii="宋体" w:hAnsi="宋体" w:eastAsia="宋体" w:cs="宋体"/>
                <w:color w:val="auto"/>
                <w:sz w:val="21"/>
                <w:szCs w:val="21"/>
                <w:highlight w:val="none"/>
              </w:rPr>
            </w:pPr>
          </w:p>
        </w:tc>
      </w:tr>
      <w:tr w14:paraId="03C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571D6CA0">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5774" w:type="dxa"/>
            <w:vAlign w:val="center"/>
          </w:tcPr>
          <w:p w14:paraId="4158B4F1">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szCs w:val="21"/>
              </w:rPr>
              <w:t>河道保洁作业管理制度</w:t>
            </w:r>
          </w:p>
        </w:tc>
        <w:tc>
          <w:tcPr>
            <w:tcW w:w="764" w:type="dxa"/>
            <w:vAlign w:val="center"/>
          </w:tcPr>
          <w:p w14:paraId="3A68D8C6">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50" w:type="dxa"/>
            <w:vAlign w:val="center"/>
          </w:tcPr>
          <w:p w14:paraId="69798EDE">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1525" w:type="dxa"/>
          </w:tcPr>
          <w:p w14:paraId="0DEC6F01">
            <w:pPr>
              <w:snapToGrid w:val="0"/>
              <w:spacing w:line="360" w:lineRule="auto"/>
              <w:jc w:val="center"/>
              <w:rPr>
                <w:rFonts w:hint="eastAsia" w:ascii="宋体" w:hAnsi="宋体" w:eastAsia="宋体" w:cs="宋体"/>
                <w:color w:val="auto"/>
                <w:sz w:val="21"/>
                <w:szCs w:val="21"/>
                <w:highlight w:val="none"/>
              </w:rPr>
            </w:pPr>
          </w:p>
        </w:tc>
      </w:tr>
      <w:tr w14:paraId="61DD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5E87B0D">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5.1</w:t>
            </w:r>
          </w:p>
        </w:tc>
        <w:tc>
          <w:tcPr>
            <w:tcW w:w="5774" w:type="dxa"/>
            <w:vAlign w:val="center"/>
          </w:tcPr>
          <w:p w14:paraId="27E0AC87">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Cs w:val="21"/>
              </w:rPr>
              <w:t>保洁工作质量管理体系完善、全面的得4分，</w:t>
            </w:r>
            <w:r>
              <w:rPr>
                <w:rFonts w:hint="eastAsia" w:ascii="宋体" w:hAnsi="宋体" w:eastAsia="宋体" w:cs="宋体"/>
                <w:szCs w:val="21"/>
                <w:lang w:eastAsia="zh-CN"/>
              </w:rPr>
              <w:t>内容较合理得</w:t>
            </w:r>
            <w:r>
              <w:rPr>
                <w:rFonts w:hint="eastAsia" w:ascii="宋体" w:hAnsi="宋体" w:eastAsia="宋体" w:cs="宋体"/>
                <w:szCs w:val="21"/>
                <w:lang w:val="en-US" w:eastAsia="zh-CN"/>
              </w:rPr>
              <w:t>3分，</w:t>
            </w:r>
            <w:r>
              <w:rPr>
                <w:rFonts w:hint="eastAsia" w:ascii="宋体" w:hAnsi="宋体" w:eastAsia="宋体" w:cs="宋体"/>
                <w:szCs w:val="21"/>
              </w:rPr>
              <w:t>基本合理的得2分，内容有涉及得1分，内容严重缺失不得分。</w:t>
            </w:r>
          </w:p>
        </w:tc>
        <w:tc>
          <w:tcPr>
            <w:tcW w:w="764" w:type="dxa"/>
            <w:vAlign w:val="center"/>
          </w:tcPr>
          <w:p w14:paraId="4138C3AE">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50" w:type="dxa"/>
            <w:vAlign w:val="center"/>
          </w:tcPr>
          <w:p w14:paraId="6E264024">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20B95A36">
            <w:pPr>
              <w:snapToGrid w:val="0"/>
              <w:spacing w:line="360" w:lineRule="auto"/>
              <w:jc w:val="center"/>
              <w:rPr>
                <w:rFonts w:hint="eastAsia" w:ascii="宋体" w:hAnsi="宋体" w:eastAsia="宋体" w:cs="宋体"/>
                <w:color w:val="auto"/>
                <w:sz w:val="21"/>
                <w:szCs w:val="21"/>
                <w:highlight w:val="none"/>
              </w:rPr>
            </w:pPr>
          </w:p>
        </w:tc>
      </w:tr>
      <w:tr w14:paraId="5F3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1E5ED7FC">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5.2</w:t>
            </w:r>
          </w:p>
        </w:tc>
        <w:tc>
          <w:tcPr>
            <w:tcW w:w="5774" w:type="dxa"/>
            <w:vAlign w:val="center"/>
          </w:tcPr>
          <w:p w14:paraId="74735263">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Cs w:val="21"/>
              </w:rPr>
              <w:t>制定本项目内部考核制度完善全面的得4分，</w:t>
            </w:r>
            <w:r>
              <w:rPr>
                <w:rFonts w:hint="eastAsia" w:ascii="宋体" w:hAnsi="宋体" w:eastAsia="宋体" w:cs="宋体"/>
                <w:szCs w:val="21"/>
                <w:lang w:eastAsia="zh-CN"/>
              </w:rPr>
              <w:t>考核制度较合理得</w:t>
            </w:r>
            <w:r>
              <w:rPr>
                <w:rFonts w:hint="eastAsia" w:ascii="宋体" w:hAnsi="宋体" w:eastAsia="宋体" w:cs="宋体"/>
                <w:szCs w:val="21"/>
                <w:lang w:val="en-US" w:eastAsia="zh-CN"/>
              </w:rPr>
              <w:t>3分，</w:t>
            </w:r>
            <w:r>
              <w:rPr>
                <w:rFonts w:hint="eastAsia" w:ascii="宋体" w:hAnsi="宋体" w:eastAsia="宋体" w:cs="宋体"/>
                <w:szCs w:val="21"/>
              </w:rPr>
              <w:t>考核制度基本合理的得2分，内容有涉及得1分，内容严重缺失不得分。</w:t>
            </w:r>
          </w:p>
        </w:tc>
        <w:tc>
          <w:tcPr>
            <w:tcW w:w="764" w:type="dxa"/>
            <w:vAlign w:val="center"/>
          </w:tcPr>
          <w:p w14:paraId="52CE8BC0">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50" w:type="dxa"/>
            <w:vAlign w:val="center"/>
          </w:tcPr>
          <w:p w14:paraId="51D6B0D3">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21908102">
            <w:pPr>
              <w:snapToGrid w:val="0"/>
              <w:spacing w:line="360" w:lineRule="auto"/>
              <w:jc w:val="center"/>
              <w:rPr>
                <w:rFonts w:hint="eastAsia" w:ascii="宋体" w:hAnsi="宋体" w:eastAsia="宋体" w:cs="宋体"/>
                <w:color w:val="auto"/>
                <w:sz w:val="21"/>
                <w:szCs w:val="21"/>
                <w:highlight w:val="none"/>
              </w:rPr>
            </w:pPr>
          </w:p>
        </w:tc>
      </w:tr>
      <w:tr w14:paraId="65E9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597" w:type="dxa"/>
            <w:vAlign w:val="center"/>
          </w:tcPr>
          <w:p w14:paraId="6B05382C">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p>
        </w:tc>
        <w:tc>
          <w:tcPr>
            <w:tcW w:w="5774" w:type="dxa"/>
            <w:vAlign w:val="center"/>
          </w:tcPr>
          <w:p w14:paraId="7113317F">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szCs w:val="21"/>
              </w:rPr>
              <w:t>根据提供本项目人员管理方案（例：管理人员的协调能力、管理事项、应急处置）内容的完整性、与项目的匹配性进行评分。</w:t>
            </w:r>
            <w:r>
              <w:rPr>
                <w:rFonts w:hint="eastAsia" w:ascii="宋体" w:hAnsi="宋体" w:eastAsia="宋体" w:cs="宋体"/>
                <w:color w:val="auto"/>
                <w:sz w:val="21"/>
                <w:szCs w:val="21"/>
                <w:highlight w:val="none"/>
                <w:lang w:val="en-US" w:eastAsia="zh-CN"/>
              </w:rPr>
              <w:t>内容完整且与项目匹配度好的得4分；内容基本完整且与项目匹配度较好的得3分；</w:t>
            </w:r>
            <w:r>
              <w:rPr>
                <w:rFonts w:hint="eastAsia" w:ascii="宋体" w:hAnsi="宋体" w:eastAsia="宋体" w:cs="宋体"/>
                <w:snapToGrid/>
                <w:sz w:val="21"/>
                <w:szCs w:val="21"/>
                <w:highlight w:val="none"/>
                <w:lang w:val="en-US"/>
              </w:rPr>
              <w:t>内容一般合理或与项目匹配度一般的得2分；内容有欠缺或项目不太匹配的得1分；</w:t>
            </w:r>
            <w:r>
              <w:rPr>
                <w:rFonts w:hint="eastAsia" w:ascii="宋体" w:hAnsi="宋体" w:eastAsia="宋体" w:cs="宋体"/>
                <w:color w:val="auto"/>
                <w:sz w:val="21"/>
                <w:szCs w:val="21"/>
                <w:highlight w:val="none"/>
                <w:lang w:val="en-US" w:eastAsia="zh-CN"/>
              </w:rPr>
              <w:t>内容缺失严重或与项目不匹配的不得分。</w:t>
            </w:r>
          </w:p>
        </w:tc>
        <w:tc>
          <w:tcPr>
            <w:tcW w:w="764" w:type="dxa"/>
            <w:vAlign w:val="center"/>
          </w:tcPr>
          <w:p w14:paraId="0F64ACD7">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50" w:type="dxa"/>
            <w:vAlign w:val="center"/>
          </w:tcPr>
          <w:p w14:paraId="6F11B59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624D1BF9">
            <w:pPr>
              <w:snapToGrid w:val="0"/>
              <w:spacing w:line="360" w:lineRule="auto"/>
              <w:jc w:val="center"/>
              <w:rPr>
                <w:rFonts w:hint="eastAsia" w:ascii="宋体" w:hAnsi="宋体" w:eastAsia="宋体" w:cs="宋体"/>
                <w:color w:val="auto"/>
                <w:sz w:val="21"/>
                <w:szCs w:val="21"/>
                <w:highlight w:val="none"/>
              </w:rPr>
            </w:pPr>
          </w:p>
        </w:tc>
      </w:tr>
      <w:tr w14:paraId="3C2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411A3C30">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p>
        </w:tc>
        <w:tc>
          <w:tcPr>
            <w:tcW w:w="5774" w:type="dxa"/>
            <w:vAlign w:val="center"/>
          </w:tcPr>
          <w:p w14:paraId="6EDEE618">
            <w:pPr>
              <w:snapToGrid w:val="0"/>
              <w:spacing w:line="360" w:lineRule="auto"/>
              <w:jc w:val="left"/>
              <w:rPr>
                <w:rFonts w:hint="eastAsia" w:ascii="宋体" w:hAnsi="宋体" w:eastAsia="宋体" w:cs="宋体"/>
                <w:bCs/>
                <w:szCs w:val="21"/>
                <w:lang w:eastAsia="zh-CN"/>
              </w:rPr>
            </w:pPr>
            <w:r>
              <w:rPr>
                <w:rFonts w:hint="eastAsia" w:ascii="宋体" w:hAnsi="宋体" w:eastAsia="宋体" w:cs="宋体"/>
                <w:bCs/>
                <w:szCs w:val="21"/>
                <w:lang w:eastAsia="zh-CN"/>
              </w:rPr>
              <w:t>安全文明保洁相关措施</w:t>
            </w:r>
          </w:p>
        </w:tc>
        <w:tc>
          <w:tcPr>
            <w:tcW w:w="764" w:type="dxa"/>
            <w:vAlign w:val="center"/>
          </w:tcPr>
          <w:p w14:paraId="0D7D9ECA">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50" w:type="dxa"/>
            <w:vAlign w:val="center"/>
          </w:tcPr>
          <w:p w14:paraId="4EF126C9">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525" w:type="dxa"/>
          </w:tcPr>
          <w:p w14:paraId="01DBCEFD">
            <w:pPr>
              <w:snapToGrid w:val="0"/>
              <w:spacing w:line="360" w:lineRule="auto"/>
              <w:jc w:val="center"/>
              <w:rPr>
                <w:rFonts w:hint="eastAsia" w:ascii="宋体" w:hAnsi="宋体" w:eastAsia="宋体" w:cs="宋体"/>
                <w:color w:val="auto"/>
                <w:sz w:val="21"/>
                <w:szCs w:val="21"/>
                <w:highlight w:val="none"/>
              </w:rPr>
            </w:pPr>
          </w:p>
        </w:tc>
      </w:tr>
      <w:tr w14:paraId="637C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5BADD1FA">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w:t>
            </w:r>
          </w:p>
        </w:tc>
        <w:tc>
          <w:tcPr>
            <w:tcW w:w="5774" w:type="dxa"/>
            <w:vAlign w:val="center"/>
          </w:tcPr>
          <w:p w14:paraId="4393A5FD">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szCs w:val="21"/>
              </w:rPr>
              <w:t>保洁安全保证体系措施</w:t>
            </w:r>
            <w:r>
              <w:rPr>
                <w:rFonts w:hint="eastAsia" w:ascii="宋体" w:hAnsi="宋体" w:eastAsia="宋体" w:cs="宋体"/>
                <w:bCs/>
              </w:rPr>
              <w:t>有针对性的得4分，</w:t>
            </w:r>
            <w:r>
              <w:rPr>
                <w:rFonts w:hint="eastAsia" w:ascii="宋体" w:hAnsi="宋体" w:eastAsia="宋体" w:cs="宋体"/>
                <w:szCs w:val="21"/>
                <w:lang w:eastAsia="zh-CN"/>
              </w:rPr>
              <w:t>措施较合理得</w:t>
            </w:r>
            <w:r>
              <w:rPr>
                <w:rFonts w:hint="eastAsia" w:ascii="宋体" w:hAnsi="宋体" w:eastAsia="宋体" w:cs="宋体"/>
                <w:szCs w:val="21"/>
                <w:lang w:val="en-US" w:eastAsia="zh-CN"/>
              </w:rPr>
              <w:t>3分，</w:t>
            </w:r>
            <w:r>
              <w:rPr>
                <w:rFonts w:hint="eastAsia" w:ascii="宋体" w:hAnsi="宋体" w:eastAsia="宋体" w:cs="宋体"/>
                <w:bCs/>
              </w:rPr>
              <w:t>措施满足需求基本合理得2分，措施内容有提及得1分。</w:t>
            </w:r>
            <w:r>
              <w:rPr>
                <w:rFonts w:hint="eastAsia" w:ascii="宋体" w:hAnsi="宋体" w:eastAsia="宋体" w:cs="宋体"/>
                <w:szCs w:val="21"/>
              </w:rPr>
              <w:t>内容严重缺失不得分。</w:t>
            </w:r>
          </w:p>
        </w:tc>
        <w:tc>
          <w:tcPr>
            <w:tcW w:w="764" w:type="dxa"/>
            <w:vAlign w:val="center"/>
          </w:tcPr>
          <w:p w14:paraId="7D217E20">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50" w:type="dxa"/>
            <w:vAlign w:val="center"/>
          </w:tcPr>
          <w:p w14:paraId="486589E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7A5BC92C">
            <w:pPr>
              <w:snapToGrid w:val="0"/>
              <w:spacing w:line="360" w:lineRule="auto"/>
              <w:jc w:val="center"/>
              <w:rPr>
                <w:rFonts w:hint="eastAsia" w:ascii="宋体" w:hAnsi="宋体" w:eastAsia="宋体" w:cs="宋体"/>
                <w:color w:val="auto"/>
                <w:sz w:val="21"/>
                <w:szCs w:val="21"/>
                <w:highlight w:val="none"/>
              </w:rPr>
            </w:pPr>
          </w:p>
        </w:tc>
      </w:tr>
      <w:tr w14:paraId="4709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4EFDEEDA">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w:t>
            </w:r>
          </w:p>
        </w:tc>
        <w:tc>
          <w:tcPr>
            <w:tcW w:w="5774" w:type="dxa"/>
            <w:vAlign w:val="center"/>
          </w:tcPr>
          <w:p w14:paraId="7B65F15A">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szCs w:val="21"/>
              </w:rPr>
              <w:t>安全管理制度健全，内容完整得4分，安全管理制度</w:t>
            </w:r>
            <w:r>
              <w:rPr>
                <w:rFonts w:hint="eastAsia" w:ascii="宋体" w:hAnsi="宋体" w:eastAsia="宋体" w:cs="宋体"/>
                <w:szCs w:val="21"/>
                <w:lang w:eastAsia="zh-CN"/>
              </w:rPr>
              <w:t>较</w:t>
            </w:r>
            <w:r>
              <w:rPr>
                <w:rFonts w:hint="eastAsia" w:ascii="宋体" w:hAnsi="宋体" w:eastAsia="宋体" w:cs="宋体"/>
                <w:szCs w:val="21"/>
              </w:rPr>
              <w:t>健全，内容</w:t>
            </w:r>
            <w:r>
              <w:rPr>
                <w:rFonts w:hint="eastAsia" w:ascii="宋体" w:hAnsi="宋体" w:eastAsia="宋体" w:cs="宋体"/>
                <w:szCs w:val="21"/>
                <w:lang w:eastAsia="zh-CN"/>
              </w:rPr>
              <w:t>较</w:t>
            </w:r>
            <w:r>
              <w:rPr>
                <w:rFonts w:hint="eastAsia" w:ascii="宋体" w:hAnsi="宋体" w:eastAsia="宋体" w:cs="宋体"/>
                <w:szCs w:val="21"/>
              </w:rPr>
              <w:t>完整</w:t>
            </w:r>
            <w:r>
              <w:rPr>
                <w:rFonts w:hint="eastAsia" w:ascii="宋体" w:hAnsi="宋体" w:eastAsia="宋体" w:cs="宋体"/>
                <w:szCs w:val="21"/>
                <w:lang w:eastAsia="zh-CN"/>
              </w:rPr>
              <w:t>得</w:t>
            </w:r>
            <w:r>
              <w:rPr>
                <w:rFonts w:hint="eastAsia" w:ascii="宋体" w:hAnsi="宋体" w:eastAsia="宋体" w:cs="宋体"/>
                <w:szCs w:val="21"/>
                <w:lang w:val="en-US" w:eastAsia="zh-CN"/>
              </w:rPr>
              <w:t>3分，</w:t>
            </w:r>
            <w:r>
              <w:rPr>
                <w:rFonts w:hint="eastAsia" w:ascii="宋体" w:hAnsi="宋体" w:eastAsia="宋体" w:cs="宋体"/>
                <w:szCs w:val="21"/>
              </w:rPr>
              <w:t>具有安全管理制度，基本满足需求得2分，内容有提及得1分。内容严重缺失不得分。</w:t>
            </w:r>
          </w:p>
        </w:tc>
        <w:tc>
          <w:tcPr>
            <w:tcW w:w="764" w:type="dxa"/>
            <w:vAlign w:val="center"/>
          </w:tcPr>
          <w:p w14:paraId="6F8CB88C">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50" w:type="dxa"/>
            <w:vAlign w:val="center"/>
          </w:tcPr>
          <w:p w14:paraId="7C8665A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677A8155">
            <w:pPr>
              <w:snapToGrid w:val="0"/>
              <w:spacing w:line="360" w:lineRule="auto"/>
              <w:jc w:val="center"/>
              <w:rPr>
                <w:rFonts w:hint="eastAsia" w:ascii="宋体" w:hAnsi="宋体" w:eastAsia="宋体" w:cs="宋体"/>
                <w:color w:val="auto"/>
                <w:sz w:val="21"/>
                <w:szCs w:val="21"/>
                <w:highlight w:val="none"/>
              </w:rPr>
            </w:pPr>
          </w:p>
        </w:tc>
      </w:tr>
      <w:tr w14:paraId="5EC5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0555B2F4">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w:t>
            </w:r>
          </w:p>
        </w:tc>
        <w:tc>
          <w:tcPr>
            <w:tcW w:w="5774" w:type="dxa"/>
            <w:vAlign w:val="center"/>
          </w:tcPr>
          <w:p w14:paraId="4F0DC8F4">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Cs w:val="21"/>
              </w:rPr>
              <w:t>文明保洁管理方案</w:t>
            </w:r>
            <w:r>
              <w:rPr>
                <w:rFonts w:hint="eastAsia" w:ascii="宋体" w:hAnsi="宋体" w:eastAsia="宋体" w:cs="宋体"/>
                <w:bCs/>
                <w:szCs w:val="21"/>
              </w:rPr>
              <w:t>完整性、与项目的匹配性进行评分。方案内容完整且与项目匹配度好的得3分；方案内容基本完整且与项目匹配度较好的得2分；方案内容存在欠缺或与项目匹配度一般的得1分；方案内容缺失严重或与项目不匹配的不得分。</w:t>
            </w:r>
          </w:p>
        </w:tc>
        <w:tc>
          <w:tcPr>
            <w:tcW w:w="764" w:type="dxa"/>
            <w:vAlign w:val="center"/>
          </w:tcPr>
          <w:p w14:paraId="303BBE0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50" w:type="dxa"/>
            <w:vAlign w:val="center"/>
          </w:tcPr>
          <w:p w14:paraId="548C069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25553BB9">
            <w:pPr>
              <w:snapToGrid w:val="0"/>
              <w:spacing w:line="360" w:lineRule="auto"/>
              <w:jc w:val="center"/>
              <w:rPr>
                <w:rFonts w:hint="eastAsia" w:ascii="宋体" w:hAnsi="宋体" w:eastAsia="宋体" w:cs="宋体"/>
                <w:color w:val="auto"/>
                <w:sz w:val="21"/>
                <w:szCs w:val="21"/>
                <w:highlight w:val="none"/>
              </w:rPr>
            </w:pPr>
          </w:p>
        </w:tc>
      </w:tr>
      <w:tr w14:paraId="0BC2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6FC5565D">
            <w:pPr>
              <w:numPr>
                <w:ilvl w:val="0"/>
                <w:numId w:val="0"/>
              </w:numPr>
              <w:snapToGrid w:val="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774" w:type="dxa"/>
            <w:vAlign w:val="center"/>
          </w:tcPr>
          <w:p w14:paraId="21CB5322">
            <w:pPr>
              <w:snapToGrid w:val="0"/>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有应对紧急情况的应急方案（防汛抗台、水质突变</w:t>
            </w:r>
            <w:r>
              <w:rPr>
                <w:rFonts w:hint="eastAsia" w:ascii="宋体" w:hAnsi="宋体" w:cs="宋体"/>
                <w:color w:val="auto"/>
                <w:sz w:val="21"/>
                <w:szCs w:val="21"/>
                <w:highlight w:val="none"/>
                <w:lang w:eastAsia="zh-CN"/>
              </w:rPr>
              <w:t>、蓝藻爆发</w:t>
            </w:r>
            <w:r>
              <w:rPr>
                <w:rFonts w:hint="eastAsia" w:ascii="宋体" w:hAnsi="宋体" w:eastAsia="宋体" w:cs="宋体"/>
                <w:color w:val="auto"/>
                <w:sz w:val="21"/>
                <w:szCs w:val="21"/>
                <w:highlight w:val="none"/>
                <w:lang w:eastAsia="zh-CN"/>
              </w:rPr>
              <w:t>、偷排污水等），其中防汛抗台预案（1分）、偷排污水处理预案（1分）、水质突变处理预案（1分）、</w:t>
            </w:r>
            <w:r>
              <w:rPr>
                <w:rFonts w:hint="eastAsia" w:ascii="宋体" w:hAnsi="宋体" w:cs="宋体"/>
                <w:color w:val="auto"/>
                <w:sz w:val="21"/>
                <w:szCs w:val="21"/>
                <w:highlight w:val="none"/>
                <w:lang w:eastAsia="zh-CN"/>
              </w:rPr>
              <w:t>蓝藻爆发</w:t>
            </w:r>
            <w:r>
              <w:rPr>
                <w:rFonts w:hint="eastAsia" w:ascii="宋体" w:hAnsi="宋体" w:eastAsia="宋体" w:cs="宋体"/>
                <w:color w:val="auto"/>
                <w:sz w:val="21"/>
                <w:szCs w:val="21"/>
                <w:highlight w:val="none"/>
                <w:lang w:eastAsia="zh-CN"/>
              </w:rPr>
              <w:t>处理预案（1分）、其他可能发生的预案（1分）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根据应急处理预案的可操作打分，每项预案合理全面得</w:t>
            </w:r>
            <w:r>
              <w:rPr>
                <w:rFonts w:hint="eastAsia" w:ascii="宋体" w:hAnsi="宋体" w:eastAsia="宋体" w:cs="宋体"/>
                <w:color w:val="auto"/>
                <w:sz w:val="21"/>
                <w:szCs w:val="21"/>
                <w:highlight w:val="none"/>
                <w:lang w:val="en-US" w:eastAsia="zh-CN"/>
              </w:rPr>
              <w:t>1分，内容一般0.5分。</w:t>
            </w:r>
          </w:p>
        </w:tc>
        <w:tc>
          <w:tcPr>
            <w:tcW w:w="764" w:type="dxa"/>
            <w:vAlign w:val="center"/>
          </w:tcPr>
          <w:p w14:paraId="2D50110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50" w:type="dxa"/>
            <w:vAlign w:val="center"/>
          </w:tcPr>
          <w:p w14:paraId="27DA969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0013826A">
            <w:pPr>
              <w:snapToGrid w:val="0"/>
              <w:spacing w:line="360" w:lineRule="auto"/>
              <w:jc w:val="center"/>
              <w:rPr>
                <w:rFonts w:hint="eastAsia" w:ascii="宋体" w:hAnsi="宋体" w:eastAsia="宋体" w:cs="宋体"/>
                <w:color w:val="auto"/>
                <w:sz w:val="21"/>
                <w:szCs w:val="21"/>
                <w:highlight w:val="none"/>
              </w:rPr>
            </w:pPr>
          </w:p>
        </w:tc>
      </w:tr>
      <w:tr w14:paraId="6BB8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252A9D5E">
            <w:pPr>
              <w:numPr>
                <w:ilvl w:val="0"/>
                <w:numId w:val="0"/>
              </w:numPr>
              <w:snapToGrid w:val="0"/>
              <w:spacing w:line="360" w:lineRule="auto"/>
              <w:ind w:left="0" w:leftChars="0" w:firstLine="0" w:firstLineChars="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5774" w:type="dxa"/>
            <w:vAlign w:val="center"/>
          </w:tcPr>
          <w:p w14:paraId="20CC8206">
            <w:pPr>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项目组成员</w:t>
            </w:r>
          </w:p>
        </w:tc>
        <w:tc>
          <w:tcPr>
            <w:tcW w:w="764" w:type="dxa"/>
            <w:vAlign w:val="center"/>
          </w:tcPr>
          <w:p w14:paraId="72C5784B">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50" w:type="dxa"/>
            <w:vAlign w:val="center"/>
          </w:tcPr>
          <w:p w14:paraId="38C2CDC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525" w:type="dxa"/>
          </w:tcPr>
          <w:p w14:paraId="5417DF4E">
            <w:pPr>
              <w:snapToGrid w:val="0"/>
              <w:spacing w:line="360" w:lineRule="auto"/>
              <w:jc w:val="center"/>
              <w:rPr>
                <w:rFonts w:hint="eastAsia" w:ascii="宋体" w:hAnsi="宋体" w:eastAsia="宋体" w:cs="宋体"/>
                <w:color w:val="auto"/>
                <w:sz w:val="21"/>
                <w:szCs w:val="21"/>
                <w:highlight w:val="none"/>
              </w:rPr>
            </w:pPr>
          </w:p>
        </w:tc>
      </w:tr>
      <w:tr w14:paraId="315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597" w:type="dxa"/>
            <w:vAlign w:val="center"/>
          </w:tcPr>
          <w:p w14:paraId="52C0904B">
            <w:pPr>
              <w:numPr>
                <w:ilvl w:val="0"/>
                <w:numId w:val="0"/>
              </w:numPr>
              <w:snapToGrid w:val="0"/>
              <w:spacing w:line="36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p>
        </w:tc>
        <w:tc>
          <w:tcPr>
            <w:tcW w:w="5774" w:type="dxa"/>
            <w:vAlign w:val="center"/>
          </w:tcPr>
          <w:p w14:paraId="4C01FA29">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1、项目负责人从业资历5年（含）以上得2分。3年（含）至5年（不含）的得1分。（</w:t>
            </w:r>
            <w:r>
              <w:rPr>
                <w:rFonts w:hint="eastAsia" w:ascii="宋体" w:hAnsi="宋体" w:cs="宋体"/>
                <w:color w:val="auto"/>
                <w:sz w:val="21"/>
                <w:szCs w:val="21"/>
                <w:highlight w:val="none"/>
                <w:lang w:eastAsia="zh-CN"/>
              </w:rPr>
              <w:t>提供相关履历及社保证明，时间</w:t>
            </w:r>
            <w:r>
              <w:rPr>
                <w:rFonts w:hint="eastAsia" w:ascii="宋体" w:hAnsi="宋体" w:eastAsia="宋体" w:cs="宋体"/>
                <w:color w:val="auto"/>
                <w:sz w:val="21"/>
                <w:szCs w:val="21"/>
                <w:highlight w:val="none"/>
              </w:rPr>
              <w:t>以社保证明材料显示的时间为准）。</w:t>
            </w:r>
          </w:p>
          <w:p w14:paraId="4EF2E9F5">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具有中级及以上技术职称的得1分。（提供人员职称证书、在本单位近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任意月</w:t>
            </w:r>
            <w:r>
              <w:rPr>
                <w:rFonts w:hint="eastAsia" w:ascii="宋体" w:hAnsi="宋体" w:eastAsia="宋体" w:cs="宋体"/>
                <w:color w:val="auto"/>
                <w:sz w:val="21"/>
                <w:szCs w:val="21"/>
                <w:highlight w:val="none"/>
              </w:rPr>
              <w:t>的社保证明复印件）</w:t>
            </w:r>
          </w:p>
        </w:tc>
        <w:tc>
          <w:tcPr>
            <w:tcW w:w="764" w:type="dxa"/>
            <w:vAlign w:val="center"/>
          </w:tcPr>
          <w:p w14:paraId="0D612AFF">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50" w:type="dxa"/>
            <w:vAlign w:val="center"/>
          </w:tcPr>
          <w:p w14:paraId="70C0688E">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客</w:t>
            </w:r>
            <w:r>
              <w:rPr>
                <w:rFonts w:hint="eastAsia" w:ascii="宋体" w:hAnsi="宋体" w:eastAsia="宋体" w:cs="宋体"/>
                <w:color w:val="auto"/>
                <w:sz w:val="21"/>
                <w:szCs w:val="21"/>
                <w:highlight w:val="none"/>
              </w:rPr>
              <w:t>观分</w:t>
            </w:r>
          </w:p>
        </w:tc>
        <w:tc>
          <w:tcPr>
            <w:tcW w:w="1525" w:type="dxa"/>
          </w:tcPr>
          <w:p w14:paraId="7AA27933">
            <w:pPr>
              <w:snapToGrid w:val="0"/>
              <w:spacing w:line="360" w:lineRule="auto"/>
              <w:jc w:val="center"/>
              <w:rPr>
                <w:rFonts w:hint="eastAsia" w:ascii="宋体" w:hAnsi="宋体" w:eastAsia="宋体" w:cs="宋体"/>
                <w:color w:val="auto"/>
                <w:sz w:val="21"/>
                <w:szCs w:val="21"/>
                <w:highlight w:val="none"/>
              </w:rPr>
            </w:pPr>
          </w:p>
        </w:tc>
      </w:tr>
      <w:tr w14:paraId="3CBF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597" w:type="dxa"/>
            <w:vAlign w:val="center"/>
          </w:tcPr>
          <w:p w14:paraId="584A4FCA">
            <w:pPr>
              <w:numPr>
                <w:ilvl w:val="0"/>
                <w:numId w:val="0"/>
              </w:numPr>
              <w:snapToGrid w:val="0"/>
              <w:spacing w:line="360" w:lineRule="auto"/>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9.2</w:t>
            </w:r>
          </w:p>
        </w:tc>
        <w:tc>
          <w:tcPr>
            <w:tcW w:w="5774" w:type="dxa"/>
            <w:vAlign w:val="center"/>
          </w:tcPr>
          <w:p w14:paraId="2648ABFC">
            <w:pPr>
              <w:widowControl/>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拟派本项目项目管理人员至少配备1人：</w:t>
            </w:r>
          </w:p>
          <w:p w14:paraId="069AAD07">
            <w:pPr>
              <w:widowControl/>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w:t>
            </w:r>
            <w:r>
              <w:rPr>
                <w:rFonts w:hint="eastAsia" w:ascii="宋体" w:hAnsi="宋体" w:cs="宋体"/>
                <w:bCs/>
                <w:color w:val="auto"/>
                <w:szCs w:val="21"/>
                <w:highlight w:val="none"/>
                <w:lang w:eastAsia="zh-CN"/>
              </w:rPr>
              <w:t>类似</w:t>
            </w:r>
            <w:r>
              <w:rPr>
                <w:rFonts w:hint="eastAsia" w:ascii="宋体" w:hAnsi="宋体" w:eastAsia="宋体" w:cs="宋体"/>
                <w:bCs/>
                <w:color w:val="auto"/>
                <w:szCs w:val="21"/>
                <w:highlight w:val="none"/>
              </w:rPr>
              <w:t>相关工作3年及以上经验；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提供相关履历及社保证明，时间</w:t>
            </w:r>
            <w:r>
              <w:rPr>
                <w:rFonts w:hint="eastAsia" w:ascii="宋体" w:hAnsi="宋体" w:eastAsia="宋体" w:cs="宋体"/>
                <w:color w:val="auto"/>
                <w:sz w:val="21"/>
                <w:szCs w:val="21"/>
                <w:highlight w:val="none"/>
              </w:rPr>
              <w:t>以社保证明材料显示的时间为准）</w:t>
            </w:r>
            <w:r>
              <w:rPr>
                <w:rFonts w:hint="eastAsia" w:ascii="宋体" w:hAnsi="宋体" w:eastAsia="宋体" w:cs="宋体"/>
                <w:bCs/>
                <w:color w:val="auto"/>
                <w:szCs w:val="21"/>
                <w:highlight w:val="none"/>
              </w:rPr>
              <w:t>。</w:t>
            </w:r>
          </w:p>
          <w:p w14:paraId="4076C659">
            <w:pPr>
              <w:widowControl/>
              <w:snapToGrid w:val="0"/>
              <w:spacing w:line="360" w:lineRule="auto"/>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2、具有中级及以上技术职称。</w:t>
            </w:r>
            <w:r>
              <w:rPr>
                <w:rFonts w:hint="eastAsia" w:ascii="宋体" w:hAnsi="宋体" w:eastAsia="宋体" w:cs="宋体"/>
                <w:bCs/>
                <w:color w:val="auto"/>
                <w:szCs w:val="21"/>
                <w:highlight w:val="none"/>
                <w:lang w:eastAsia="zh-CN"/>
              </w:rPr>
              <w:t>（提供相关职称证书）</w:t>
            </w:r>
          </w:p>
          <w:p w14:paraId="550EF7D0">
            <w:pPr>
              <w:widowControl/>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满足上述条件的，每人得1分，本项最高1分。</w:t>
            </w:r>
          </w:p>
          <w:p w14:paraId="08B509BC">
            <w:pPr>
              <w:widowControl/>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拟派本项目安全管理人员至少配备1人：</w:t>
            </w:r>
          </w:p>
          <w:p w14:paraId="01E1E416">
            <w:pPr>
              <w:widowControl/>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w:t>
            </w:r>
            <w:r>
              <w:rPr>
                <w:rFonts w:hint="eastAsia" w:ascii="宋体" w:hAnsi="宋体" w:eastAsia="宋体" w:cs="宋体"/>
                <w:bCs/>
                <w:color w:val="auto"/>
                <w:szCs w:val="21"/>
                <w:highlight w:val="none"/>
                <w:lang w:eastAsia="zh-CN"/>
              </w:rPr>
              <w:t>安全管理</w:t>
            </w:r>
            <w:r>
              <w:rPr>
                <w:rFonts w:hint="eastAsia" w:ascii="宋体" w:hAnsi="宋体" w:eastAsia="宋体" w:cs="宋体"/>
                <w:bCs/>
                <w:color w:val="auto"/>
                <w:szCs w:val="21"/>
                <w:highlight w:val="none"/>
              </w:rPr>
              <w:t>相关工作3年及以上经验；（以投标人提供的社保证明材料显示的时间为准）。</w:t>
            </w:r>
          </w:p>
          <w:p w14:paraId="5F991011">
            <w:pPr>
              <w:widowControl/>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满足上述条件的，得1分，本项最高1分。</w:t>
            </w:r>
          </w:p>
          <w:p w14:paraId="66EF5412">
            <w:pPr>
              <w:widowControl/>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项目组人员：</w:t>
            </w:r>
          </w:p>
          <w:p w14:paraId="04A38AAF">
            <w:pPr>
              <w:widowControl/>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1、具有船员服务</w:t>
            </w:r>
            <w:r>
              <w:rPr>
                <w:rFonts w:hint="eastAsia" w:ascii="宋体" w:hAnsi="宋体" w:eastAsia="宋体" w:cs="宋体"/>
                <w:color w:val="auto"/>
                <w:szCs w:val="21"/>
                <w:highlight w:val="none"/>
              </w:rPr>
              <w:t>薄</w:t>
            </w:r>
            <w:r>
              <w:rPr>
                <w:rFonts w:hint="eastAsia" w:ascii="宋体" w:hAnsi="宋体" w:eastAsia="宋体" w:cs="宋体"/>
                <w:color w:val="auto"/>
                <w:szCs w:val="21"/>
                <w:highlight w:val="none"/>
                <w:lang w:eastAsia="zh-CN"/>
              </w:rPr>
              <w:t>（或船员适任证）</w:t>
            </w:r>
            <w:r>
              <w:rPr>
                <w:rFonts w:hint="eastAsia" w:ascii="宋体" w:hAnsi="宋体" w:eastAsia="宋体" w:cs="宋体"/>
                <w:bCs/>
                <w:color w:val="auto"/>
                <w:szCs w:val="21"/>
                <w:highlight w:val="none"/>
              </w:rPr>
              <w:t>的，每1人加0.5分，最高得2分。</w:t>
            </w:r>
          </w:p>
          <w:p w14:paraId="394C5367">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（以上人员需提供人员相关证书、</w:t>
            </w:r>
            <w:r>
              <w:rPr>
                <w:rFonts w:hint="eastAsia" w:ascii="宋体" w:hAnsi="宋体" w:eastAsia="宋体" w:cs="宋体"/>
                <w:color w:val="auto"/>
                <w:sz w:val="21"/>
                <w:szCs w:val="21"/>
                <w:highlight w:val="none"/>
              </w:rPr>
              <w:t>在本单位近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任意月</w:t>
            </w:r>
            <w:r>
              <w:rPr>
                <w:rFonts w:hint="eastAsia" w:ascii="宋体" w:hAnsi="宋体" w:eastAsia="宋体" w:cs="宋体"/>
                <w:color w:val="auto"/>
                <w:sz w:val="21"/>
                <w:szCs w:val="21"/>
                <w:highlight w:val="none"/>
              </w:rPr>
              <w:t>的社保证明复印件</w:t>
            </w:r>
            <w:r>
              <w:rPr>
                <w:rFonts w:hint="eastAsia" w:ascii="宋体" w:hAnsi="宋体" w:eastAsia="宋体" w:cs="宋体"/>
                <w:bCs/>
                <w:color w:val="auto"/>
                <w:szCs w:val="21"/>
                <w:highlight w:val="none"/>
              </w:rPr>
              <w:t>）</w:t>
            </w:r>
          </w:p>
        </w:tc>
        <w:tc>
          <w:tcPr>
            <w:tcW w:w="764" w:type="dxa"/>
            <w:vAlign w:val="center"/>
          </w:tcPr>
          <w:p w14:paraId="1E9EC222">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50" w:type="dxa"/>
            <w:vAlign w:val="center"/>
          </w:tcPr>
          <w:p w14:paraId="327EACAF">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客</w:t>
            </w:r>
            <w:r>
              <w:rPr>
                <w:rFonts w:hint="eastAsia" w:ascii="宋体" w:hAnsi="宋体" w:eastAsia="宋体" w:cs="宋体"/>
                <w:color w:val="auto"/>
                <w:sz w:val="21"/>
                <w:szCs w:val="21"/>
                <w:highlight w:val="none"/>
              </w:rPr>
              <w:t>观分</w:t>
            </w:r>
          </w:p>
        </w:tc>
        <w:tc>
          <w:tcPr>
            <w:tcW w:w="1525" w:type="dxa"/>
          </w:tcPr>
          <w:p w14:paraId="62C6059D">
            <w:pPr>
              <w:snapToGrid w:val="0"/>
              <w:spacing w:line="360" w:lineRule="auto"/>
              <w:jc w:val="center"/>
              <w:rPr>
                <w:rFonts w:hint="eastAsia" w:ascii="宋体" w:hAnsi="宋体" w:eastAsia="宋体" w:cs="宋体"/>
                <w:color w:val="auto"/>
                <w:sz w:val="21"/>
                <w:szCs w:val="21"/>
                <w:highlight w:val="none"/>
              </w:rPr>
            </w:pPr>
          </w:p>
        </w:tc>
      </w:tr>
      <w:tr w14:paraId="42D5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23814560">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9.3</w:t>
            </w:r>
          </w:p>
        </w:tc>
        <w:tc>
          <w:tcPr>
            <w:tcW w:w="5774" w:type="dxa"/>
            <w:vAlign w:val="center"/>
          </w:tcPr>
          <w:p w14:paraId="17EC7839">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提供保洁人员具体配置计划。作业人员安排数量符合招标方作业人员安排数量预定方案和人员具体配置计划合理到位得</w:t>
            </w:r>
            <w:r>
              <w:rPr>
                <w:rFonts w:hint="eastAsia" w:ascii="宋体" w:hAnsi="宋体" w:cs="宋体"/>
                <w:color w:val="auto"/>
                <w:szCs w:val="21"/>
                <w:highlight w:val="none"/>
                <w:lang w:val="en-US" w:eastAsia="zh-CN"/>
              </w:rPr>
              <w:t>4分，人员安排计划基本合理得3分，内容一般满足需求得2分，内容有涉及的1分。</w:t>
            </w:r>
            <w:r>
              <w:rPr>
                <w:rFonts w:hint="eastAsia" w:ascii="宋体" w:hAnsi="宋体" w:eastAsia="宋体" w:cs="宋体"/>
                <w:color w:val="auto"/>
                <w:szCs w:val="21"/>
                <w:highlight w:val="none"/>
              </w:rPr>
              <w:t>作业人员安排数量少于采购需求的</w:t>
            </w:r>
            <w:r>
              <w:rPr>
                <w:rFonts w:hint="eastAsia" w:ascii="宋体" w:hAnsi="宋体" w:cs="宋体"/>
                <w:color w:val="auto"/>
                <w:szCs w:val="21"/>
                <w:highlight w:val="none"/>
                <w:lang w:eastAsia="zh-CN"/>
              </w:rPr>
              <w:t>或</w:t>
            </w:r>
            <w:r>
              <w:rPr>
                <w:rFonts w:hint="eastAsia" w:ascii="宋体" w:hAnsi="宋体" w:eastAsia="宋体" w:cs="宋体"/>
                <w:color w:val="auto"/>
                <w:szCs w:val="21"/>
                <w:highlight w:val="none"/>
              </w:rPr>
              <w:t>未提供保洁作业人员配置计划的，该项不得分。</w:t>
            </w:r>
          </w:p>
        </w:tc>
        <w:tc>
          <w:tcPr>
            <w:tcW w:w="764" w:type="dxa"/>
            <w:vAlign w:val="center"/>
          </w:tcPr>
          <w:p w14:paraId="7273DCD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50" w:type="dxa"/>
            <w:vAlign w:val="center"/>
          </w:tcPr>
          <w:p w14:paraId="7673E60F">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rPr>
              <w:t>观分</w:t>
            </w:r>
          </w:p>
        </w:tc>
        <w:tc>
          <w:tcPr>
            <w:tcW w:w="1525" w:type="dxa"/>
          </w:tcPr>
          <w:p w14:paraId="52C704A3">
            <w:pPr>
              <w:snapToGrid w:val="0"/>
              <w:spacing w:line="360" w:lineRule="auto"/>
              <w:jc w:val="center"/>
              <w:rPr>
                <w:rFonts w:hint="eastAsia" w:ascii="宋体" w:hAnsi="宋体" w:eastAsia="宋体" w:cs="宋体"/>
                <w:color w:val="auto"/>
                <w:sz w:val="21"/>
                <w:szCs w:val="21"/>
                <w:highlight w:val="none"/>
              </w:rPr>
            </w:pPr>
          </w:p>
        </w:tc>
      </w:tr>
      <w:tr w14:paraId="08D5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4AFDDEC9">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774" w:type="dxa"/>
            <w:vAlign w:val="center"/>
          </w:tcPr>
          <w:p w14:paraId="56604208">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承诺按照招标文件要求配置得基本分2分（提供承诺函）；额外提供得分如下：</w:t>
            </w:r>
          </w:p>
          <w:p w14:paraId="5D1FE57E">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1、提供压缩式垃圾运输车的，每辆得0.5分，最高得0.5分；</w:t>
            </w:r>
          </w:p>
          <w:p w14:paraId="35E7AF6E">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2、提供沉水植物高效收割船的得0.5分，最高得0.5分；</w:t>
            </w:r>
          </w:p>
          <w:p w14:paraId="2CA23278">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3、提供巡查车每辆得0.5分，最高得0.5分；</w:t>
            </w:r>
          </w:p>
          <w:p w14:paraId="5E21D074">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4、提供全棚艇每辆得0.5分，最高得0.5分；</w:t>
            </w:r>
          </w:p>
          <w:p w14:paraId="3AD535EE">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5、提供无人船每辆得0.5分，最高得0.5分；</w:t>
            </w:r>
          </w:p>
          <w:p w14:paraId="18F9C2B1">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6、提供漂浮物清理长臂船每辆得0.5分，最高得0.5分；</w:t>
            </w:r>
          </w:p>
          <w:p w14:paraId="797922C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注：提供专门用于本项目作业的书面承诺书及设备的购买发票或购买合同</w:t>
            </w:r>
            <w:r>
              <w:rPr>
                <w:rFonts w:hint="eastAsia" w:ascii="宋体" w:hAnsi="宋体" w:eastAsia="宋体" w:cs="宋体"/>
                <w:color w:val="auto"/>
                <w:highlight w:val="none"/>
                <w:lang w:eastAsia="zh-CN"/>
              </w:rPr>
              <w:t>，如租赁的还需提供不少于服务年限的租赁合同</w:t>
            </w:r>
            <w:r>
              <w:rPr>
                <w:rFonts w:hint="eastAsia" w:ascii="宋体" w:hAnsi="宋体" w:eastAsia="宋体" w:cs="宋体"/>
                <w:color w:val="auto"/>
                <w:highlight w:val="none"/>
              </w:rPr>
              <w:t>。证明材料未提供或提供不全的不得分。</w:t>
            </w:r>
          </w:p>
        </w:tc>
        <w:tc>
          <w:tcPr>
            <w:tcW w:w="764" w:type="dxa"/>
            <w:vAlign w:val="center"/>
          </w:tcPr>
          <w:p w14:paraId="64294C8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50" w:type="dxa"/>
            <w:vAlign w:val="center"/>
          </w:tcPr>
          <w:p w14:paraId="4F7712EE">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客</w:t>
            </w:r>
            <w:r>
              <w:rPr>
                <w:rFonts w:hint="eastAsia" w:ascii="宋体" w:hAnsi="宋体" w:eastAsia="宋体" w:cs="宋体"/>
                <w:color w:val="auto"/>
                <w:sz w:val="21"/>
                <w:szCs w:val="21"/>
                <w:highlight w:val="none"/>
              </w:rPr>
              <w:t>观分</w:t>
            </w:r>
          </w:p>
        </w:tc>
        <w:tc>
          <w:tcPr>
            <w:tcW w:w="1525" w:type="dxa"/>
          </w:tcPr>
          <w:p w14:paraId="2BF0BD1D">
            <w:pPr>
              <w:snapToGrid w:val="0"/>
              <w:spacing w:line="360" w:lineRule="auto"/>
              <w:jc w:val="center"/>
              <w:rPr>
                <w:rFonts w:hint="eastAsia" w:ascii="宋体" w:hAnsi="宋体" w:eastAsia="宋体" w:cs="宋体"/>
                <w:color w:val="auto"/>
                <w:sz w:val="21"/>
                <w:szCs w:val="21"/>
                <w:highlight w:val="none"/>
              </w:rPr>
            </w:pPr>
          </w:p>
        </w:tc>
      </w:tr>
      <w:tr w14:paraId="1358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3CFD6559">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774" w:type="dxa"/>
            <w:vAlign w:val="center"/>
          </w:tcPr>
          <w:p w14:paraId="4F7ABB31">
            <w:pPr>
              <w:spacing w:line="360" w:lineRule="auto"/>
              <w:rPr>
                <w:rFonts w:hint="eastAsia" w:ascii="宋体" w:hAnsi="宋体" w:eastAsia="宋体" w:cs="宋体"/>
                <w:color w:val="auto"/>
                <w:sz w:val="21"/>
                <w:szCs w:val="21"/>
                <w:highlight w:val="none"/>
              </w:rPr>
            </w:pPr>
            <w:r>
              <w:rPr>
                <w:rFonts w:hint="eastAsia" w:ascii="宋体" w:hAnsi="宋体" w:eastAsia="宋体" w:cs="宋体"/>
                <w:bCs/>
                <w:szCs w:val="21"/>
              </w:rPr>
              <w:t>合同开始执行和合同到期后移交平稳过渡计划实施方案：投标人进、出场交接计划措施、平稳过渡实施方案等相关措施，能确保交接平稳过渡的得4分；交接平稳过渡方案基本完整的得</w:t>
            </w:r>
            <w:r>
              <w:rPr>
                <w:rFonts w:hint="eastAsia" w:ascii="宋体" w:hAnsi="宋体" w:eastAsia="宋体" w:cs="宋体"/>
                <w:bCs/>
                <w:szCs w:val="21"/>
                <w:lang w:val="en-US" w:eastAsia="zh-CN"/>
              </w:rPr>
              <w:t>3</w:t>
            </w:r>
            <w:r>
              <w:rPr>
                <w:rFonts w:hint="eastAsia" w:ascii="宋体" w:hAnsi="宋体" w:eastAsia="宋体" w:cs="宋体"/>
                <w:bCs/>
                <w:szCs w:val="21"/>
              </w:rPr>
              <w:t>分；交接平稳过渡方案</w:t>
            </w:r>
            <w:r>
              <w:rPr>
                <w:rFonts w:hint="eastAsia" w:ascii="宋体" w:hAnsi="宋体" w:eastAsia="宋体" w:cs="宋体"/>
                <w:bCs/>
                <w:szCs w:val="21"/>
                <w:lang w:eastAsia="zh-CN"/>
              </w:rPr>
              <w:t>满足需求</w:t>
            </w:r>
            <w:r>
              <w:rPr>
                <w:rFonts w:hint="eastAsia" w:ascii="宋体" w:hAnsi="宋体" w:eastAsia="宋体" w:cs="宋体"/>
                <w:bCs/>
                <w:szCs w:val="21"/>
              </w:rPr>
              <w:t>的得</w:t>
            </w:r>
            <w:r>
              <w:rPr>
                <w:rFonts w:hint="eastAsia" w:ascii="宋体" w:hAnsi="宋体" w:eastAsia="宋体" w:cs="宋体"/>
                <w:bCs/>
                <w:szCs w:val="21"/>
                <w:lang w:val="en-US" w:eastAsia="zh-CN"/>
              </w:rPr>
              <w:t>2</w:t>
            </w:r>
            <w:r>
              <w:rPr>
                <w:rFonts w:hint="eastAsia" w:ascii="宋体" w:hAnsi="宋体" w:eastAsia="宋体" w:cs="宋体"/>
                <w:bCs/>
                <w:szCs w:val="21"/>
              </w:rPr>
              <w:t>分；交接平稳过渡方案</w:t>
            </w:r>
            <w:r>
              <w:rPr>
                <w:rFonts w:hint="eastAsia" w:ascii="宋体" w:hAnsi="宋体" w:eastAsia="宋体" w:cs="宋体"/>
                <w:bCs/>
                <w:szCs w:val="21"/>
                <w:lang w:eastAsia="zh-CN"/>
              </w:rPr>
              <w:t>有提及的</w:t>
            </w:r>
            <w:r>
              <w:rPr>
                <w:rFonts w:hint="eastAsia" w:ascii="宋体" w:hAnsi="宋体" w:eastAsia="宋体" w:cs="宋体"/>
                <w:bCs/>
                <w:szCs w:val="21"/>
                <w:lang w:val="en-US" w:eastAsia="zh-CN"/>
              </w:rPr>
              <w:t>1分，</w:t>
            </w:r>
            <w:r>
              <w:rPr>
                <w:rFonts w:hint="eastAsia" w:ascii="宋体" w:hAnsi="宋体" w:eastAsia="宋体" w:cs="宋体"/>
                <w:bCs/>
                <w:szCs w:val="21"/>
              </w:rPr>
              <w:t>不提供不得分。</w:t>
            </w:r>
          </w:p>
        </w:tc>
        <w:tc>
          <w:tcPr>
            <w:tcW w:w="764" w:type="dxa"/>
            <w:vAlign w:val="center"/>
          </w:tcPr>
          <w:p w14:paraId="52267818">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50" w:type="dxa"/>
            <w:vAlign w:val="center"/>
          </w:tcPr>
          <w:p w14:paraId="58B6415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7B06700A">
            <w:pPr>
              <w:snapToGrid w:val="0"/>
              <w:spacing w:line="360" w:lineRule="auto"/>
              <w:jc w:val="center"/>
              <w:rPr>
                <w:rFonts w:hint="eastAsia" w:ascii="宋体" w:hAnsi="宋体" w:eastAsia="宋体" w:cs="宋体"/>
                <w:color w:val="auto"/>
                <w:sz w:val="21"/>
                <w:szCs w:val="21"/>
                <w:highlight w:val="none"/>
              </w:rPr>
            </w:pPr>
          </w:p>
        </w:tc>
      </w:tr>
      <w:tr w14:paraId="4DF2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4E03215E">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774" w:type="dxa"/>
            <w:vAlign w:val="center"/>
          </w:tcPr>
          <w:p w14:paraId="3C95C0EA">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Cs/>
                <w:szCs w:val="21"/>
              </w:rPr>
              <w:t>对收集到的垃圾，每日收集处置方式、垃圾分类处置方式等方案内容进行评分，内容完整且与方案细化清晰的得3分；内容基本完整且与项目匹配度较好的得2分；内容存在欠缺或与项目匹配度一般的得1分；内容缺失严重或与项目不匹配的不得分。</w:t>
            </w:r>
          </w:p>
        </w:tc>
        <w:tc>
          <w:tcPr>
            <w:tcW w:w="764" w:type="dxa"/>
            <w:vAlign w:val="center"/>
          </w:tcPr>
          <w:p w14:paraId="56B879A4">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50" w:type="dxa"/>
            <w:vAlign w:val="center"/>
          </w:tcPr>
          <w:p w14:paraId="185AFCF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13EF8899">
            <w:pPr>
              <w:snapToGrid w:val="0"/>
              <w:spacing w:line="360" w:lineRule="auto"/>
              <w:jc w:val="center"/>
              <w:rPr>
                <w:rFonts w:hint="eastAsia" w:ascii="宋体" w:hAnsi="宋体" w:eastAsia="宋体" w:cs="宋体"/>
                <w:color w:val="auto"/>
                <w:sz w:val="21"/>
                <w:szCs w:val="21"/>
                <w:highlight w:val="none"/>
              </w:rPr>
            </w:pPr>
          </w:p>
        </w:tc>
      </w:tr>
      <w:tr w14:paraId="4496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7E00DB9F">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774" w:type="dxa"/>
            <w:vAlign w:val="center"/>
          </w:tcPr>
          <w:p w14:paraId="3A306C57">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Cs w:val="21"/>
              </w:rPr>
              <w:t>结合项目实际情况对本项目的合理化建议，与项目的匹配性进行评分。方案内容详细完整且与项目匹配度好的得3分；内容基本完整且与项目匹配度较好的得2分；内容存在欠缺或与项目匹配度一般的得1分；内容缺失严重或与项目不匹配的不得分。</w:t>
            </w:r>
          </w:p>
        </w:tc>
        <w:tc>
          <w:tcPr>
            <w:tcW w:w="764" w:type="dxa"/>
            <w:vAlign w:val="center"/>
          </w:tcPr>
          <w:p w14:paraId="129C0F74">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50" w:type="dxa"/>
            <w:vAlign w:val="center"/>
          </w:tcPr>
          <w:p w14:paraId="6C0E9EC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5" w:type="dxa"/>
          </w:tcPr>
          <w:p w14:paraId="7BDDCF1C">
            <w:pPr>
              <w:snapToGrid w:val="0"/>
              <w:spacing w:line="360" w:lineRule="auto"/>
              <w:jc w:val="center"/>
              <w:rPr>
                <w:rFonts w:hint="eastAsia" w:ascii="宋体" w:hAnsi="宋体" w:eastAsia="宋体" w:cs="宋体"/>
                <w:color w:val="auto"/>
                <w:sz w:val="21"/>
                <w:szCs w:val="21"/>
                <w:highlight w:val="none"/>
              </w:rPr>
            </w:pPr>
          </w:p>
        </w:tc>
      </w:tr>
      <w:tr w14:paraId="4239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14:paraId="153E2EF9">
            <w:pPr>
              <w:numPr>
                <w:ilvl w:val="0"/>
                <w:numId w:val="0"/>
              </w:numPr>
              <w:snapToGrid w:val="0"/>
              <w:spacing w:line="360" w:lineRule="auto"/>
              <w:ind w:lef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774" w:type="dxa"/>
          </w:tcPr>
          <w:p w14:paraId="13B8F543">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0］的计算公式计算。</w:t>
            </w:r>
          </w:p>
          <w:p w14:paraId="5D0EF651">
            <w:pPr>
              <w:widowControl/>
              <w:shd w:val="clear" w:color="auto" w:fill="FFFFFF"/>
              <w:adjustRightInd/>
              <w:spacing w:after="225" w:line="360" w:lineRule="auto"/>
              <w:ind w:firstLine="4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评标过程中，不得去掉报价中的最高报价和最低报价。</w:t>
            </w:r>
          </w:p>
        </w:tc>
        <w:tc>
          <w:tcPr>
            <w:tcW w:w="764" w:type="dxa"/>
            <w:vAlign w:val="center"/>
          </w:tcPr>
          <w:p w14:paraId="16711544">
            <w:pPr>
              <w:spacing w:line="360" w:lineRule="auto"/>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250" w:type="dxa"/>
            <w:vAlign w:val="center"/>
          </w:tcPr>
          <w:p w14:paraId="02F1B6B7">
            <w:pPr>
              <w:spacing w:line="360" w:lineRule="auto"/>
              <w:jc w:val="center"/>
              <w:outlineLvl w:val="0"/>
              <w:rPr>
                <w:rFonts w:hint="eastAsia" w:ascii="宋体" w:hAnsi="宋体" w:eastAsia="宋体" w:cs="宋体"/>
                <w:color w:val="auto"/>
                <w:sz w:val="21"/>
                <w:szCs w:val="21"/>
                <w:highlight w:val="none"/>
              </w:rPr>
            </w:pPr>
          </w:p>
        </w:tc>
        <w:tc>
          <w:tcPr>
            <w:tcW w:w="1525" w:type="dxa"/>
            <w:vAlign w:val="center"/>
          </w:tcPr>
          <w:p w14:paraId="7C7D4490">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08CC7C6">
      <w:pPr>
        <w:rPr>
          <w:rFonts w:hint="eastAsia" w:ascii="宋体" w:hAnsi="宋体" w:eastAsia="宋体" w:cs="宋体"/>
          <w:color w:val="auto"/>
          <w:highlight w:val="none"/>
        </w:rPr>
      </w:pPr>
    </w:p>
    <w:p w14:paraId="1F466AB7">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B7C892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127440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E80CFB2">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04AFBF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5E257F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854434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FC19F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8FCE93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07AEF1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3B17070">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1FE109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C9DF26A">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E0CE305">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76111D2A">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A2EFEF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B19038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7FCAA4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B41792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0880F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w:t>
      </w:r>
      <w:r>
        <w:rPr>
          <w:rFonts w:hint="eastAsia" w:ascii="宋体" w:hAnsi="宋体" w:cs="宋体"/>
          <w:color w:val="auto"/>
          <w:kern w:val="0"/>
          <w:sz w:val="24"/>
          <w:highlight w:val="none"/>
          <w14:ligatures w14:val="none"/>
        </w:rPr>
        <w:t>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4"/>
          <w:highlight w:val="none"/>
          <w14:ligatures w14:val="none"/>
        </w:rPr>
        <w:t>20</w:t>
      </w:r>
      <w:r>
        <w:rPr>
          <w:rFonts w:hint="eastAsia" w:ascii="宋体" w:hAnsi="宋体" w:cs="宋体"/>
          <w:color w:val="auto"/>
          <w:kern w:val="0"/>
          <w:sz w:val="24"/>
          <w:highlight w:val="none"/>
          <w14:ligatures w14: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4"/>
          <w:highlight w:val="none"/>
          <w14:ligatures w14:val="none"/>
        </w:rPr>
        <w:t>6</w:t>
      </w:r>
      <w:r>
        <w:rPr>
          <w:rFonts w:hint="eastAsia" w:ascii="宋体" w:hAnsi="宋体" w:cs="宋体"/>
          <w:color w:val="auto"/>
          <w:kern w:val="0"/>
          <w:sz w:val="24"/>
          <w:highlight w:val="none"/>
          <w14:ligatures w14:val="none"/>
        </w:rPr>
        <w:t>%的扣除，用扣除后的价格参加评审。组成联合体或者接受分包的小微企业与联合体内其他企业、分包企业之间存在直接控股、管理关系的，不享受价格扣除优惠政策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kern w:val="0"/>
          <w:szCs w:val="24"/>
          <w:highlight w:val="none"/>
        </w:rPr>
        <w:t>。</w:t>
      </w:r>
    </w:p>
    <w:p w14:paraId="5699BD77">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18344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7FD5C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14002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80AD56D">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AAD1C3">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4766C86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30F4E4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1E08A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4DCF8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40DF98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F8BE50C">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CA548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E8253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3C4A0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217E3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55E559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1276C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7BE0036">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4.2.13不同供应商的电子投标（响应）文件上传计算机的网卡MAC地址或硬盘序列号等硬件信息相同的，投标无效；</w:t>
      </w:r>
    </w:p>
    <w:p w14:paraId="3C5F7AE5">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上传的电子投标（响应）文件若出现使用本项目其他投标（响应）供应商的数字证书加密的，或者加盖本项目其他投标（响应）供应商的电子印章的，投标无效；</w:t>
      </w:r>
    </w:p>
    <w:p w14:paraId="27D092F7">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不同供应商的投标（响应）文件的内容存在三处（含）以上错误一致的，投标无效；</w:t>
      </w:r>
    </w:p>
    <w:p w14:paraId="06B17AEF">
      <w:pPr>
        <w:spacing w:line="360" w:lineRule="auto"/>
        <w:ind w:left="479" w:leftChars="228" w:firstLine="0" w:firstLineChars="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rPr>
        <w:t>不同供应商联系人为同一人或不同联系人的联系电话一致的，其响应文件无效</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38BDC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1AA54C0">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9D1A1C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740756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0B181B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43FB75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3BB3BC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0953E09">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2BB526">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48C24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46E005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ACBE80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4223CF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31ED29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16"/>
    <w:p w14:paraId="51EA6FF7">
      <w:pPr>
        <w:widowControl/>
        <w:adjustRightInd/>
        <w:jc w:val="left"/>
        <w:rPr>
          <w:rFonts w:hint="eastAsia" w:ascii="宋体" w:hAnsi="宋体" w:eastAsia="宋体" w:cs="宋体"/>
          <w:color w:val="auto"/>
          <w:sz w:val="24"/>
          <w:highlight w:val="none"/>
        </w:rPr>
      </w:pPr>
      <w:bookmarkStart w:id="383" w:name="第五部分"/>
      <w:bookmarkStart w:id="384" w:name="_Toc86217003"/>
      <w:r>
        <w:rPr>
          <w:rFonts w:hint="eastAsia" w:ascii="宋体" w:hAnsi="宋体" w:eastAsia="宋体" w:cs="宋体"/>
          <w:color w:val="auto"/>
          <w:sz w:val="24"/>
          <w:highlight w:val="none"/>
        </w:rPr>
        <w:br w:type="page"/>
      </w:r>
    </w:p>
    <w:p w14:paraId="3020EDA7">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B4CA627">
      <w:pPr>
        <w:spacing w:line="600" w:lineRule="exact"/>
        <w:jc w:val="center"/>
        <w:rPr>
          <w:rFonts w:hint="eastAsia" w:ascii="宋体" w:hAnsi="宋体" w:cs="宋体"/>
          <w:b/>
          <w:sz w:val="32"/>
          <w:szCs w:val="32"/>
          <w:highlight w:val="none"/>
        </w:rPr>
      </w:pPr>
      <w:r>
        <w:rPr>
          <w:rFonts w:hint="eastAsia" w:ascii="宋体" w:hAnsi="宋体" w:cs="宋体"/>
          <w:b/>
          <w:sz w:val="32"/>
          <w:szCs w:val="32"/>
          <w:highlight w:val="none"/>
          <w:u w:val="single"/>
          <w:lang w:eastAsia="zh-CN"/>
        </w:rPr>
        <w:t>前进街道河道保洁项目</w:t>
      </w:r>
      <w:r>
        <w:rPr>
          <w:rFonts w:hint="eastAsia" w:ascii="宋体" w:hAnsi="宋体" w:cs="宋体"/>
          <w:b/>
          <w:sz w:val="32"/>
          <w:szCs w:val="32"/>
          <w:highlight w:val="none"/>
        </w:rPr>
        <w:t>合同</w:t>
      </w:r>
    </w:p>
    <w:p w14:paraId="6CCEBB7A">
      <w:pPr>
        <w:spacing w:line="340" w:lineRule="exact"/>
        <w:rPr>
          <w:rFonts w:hint="eastAsia" w:ascii="宋体" w:hAnsi="宋体" w:cs="宋体"/>
          <w:szCs w:val="21"/>
          <w:highlight w:val="none"/>
        </w:rPr>
      </w:pPr>
    </w:p>
    <w:p w14:paraId="1783A299">
      <w:pPr>
        <w:spacing w:line="340" w:lineRule="exact"/>
        <w:rPr>
          <w:rFonts w:hint="eastAsia" w:ascii="宋体" w:hAnsi="宋体" w:cs="宋体"/>
          <w:szCs w:val="21"/>
          <w:highlight w:val="none"/>
        </w:rPr>
      </w:pPr>
    </w:p>
    <w:p w14:paraId="59BF93D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甲方:杭州市钱塘区前进街道办事处</w:t>
      </w:r>
    </w:p>
    <w:p w14:paraId="3ED064D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p>
    <w:p w14:paraId="2D1321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为进一步加强河道长效管理，认真做好河道日常保洁工作，经甲方公开招标，确定乙方为河道保洁中标单位。根据钱塘区相关部门河道保洁的考核办法，及编号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招标结果，甲乙双方签订河道保洁合同如下:</w:t>
      </w:r>
    </w:p>
    <w:p w14:paraId="7ABB5737">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保洁范围：</w:t>
      </w:r>
    </w:p>
    <w:p w14:paraId="67C27068">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前进街道现有的围垦沿塘河、抢险河、九工段直河（围垦段）、0.7万亩沿塘河、八二直河、一万亩中心横河、新峰横河、前峰横直河、海丰横直河、山海直河、丰乐直河11条30800米的河道以及三处共3945米长的小微水体开展日常河岸、河面保洁</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附表一</w:t>
      </w:r>
      <w:r>
        <w:rPr>
          <w:rFonts w:hint="eastAsia" w:ascii="宋体" w:hAnsi="宋体" w:eastAsia="宋体" w:cs="宋体"/>
          <w:color w:val="auto"/>
          <w:sz w:val="24"/>
          <w:szCs w:val="24"/>
          <w:highlight w:val="none"/>
        </w:rPr>
        <w:t>。</w:t>
      </w:r>
    </w:p>
    <w:p w14:paraId="76E41B16">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保洁时间：</w:t>
      </w:r>
    </w:p>
    <w:p w14:paraId="171ED47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r>
        <w:rPr>
          <w:rFonts w:hint="eastAsia" w:ascii="宋体" w:hAnsi="宋体" w:eastAsia="宋体" w:cs="宋体"/>
          <w:sz w:val="24"/>
          <w:szCs w:val="24"/>
          <w:u w:val="single"/>
          <w:lang w:val="en-US" w:eastAsia="zh-CN"/>
        </w:rPr>
        <w:t xml:space="preserve">   年  月   日至   年  月  日</w:t>
      </w:r>
      <w:r>
        <w:rPr>
          <w:rFonts w:hint="eastAsia" w:ascii="宋体" w:hAnsi="宋体" w:eastAsia="宋体" w:cs="宋体"/>
          <w:sz w:val="24"/>
          <w:szCs w:val="24"/>
          <w:lang w:val="en-US" w:eastAsia="zh-CN"/>
        </w:rPr>
        <w:t>（具体起止时间以合同签订为准）。</w:t>
      </w:r>
    </w:p>
    <w:p w14:paraId="0C427CD4">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保洁金额：</w:t>
      </w:r>
    </w:p>
    <w:p w14:paraId="360A7AA1">
      <w:pPr>
        <w:adjustRightIn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405E09C7">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22" w:firstLineChars="200"/>
        <w:textAlignment w:val="auto"/>
        <w:rPr>
          <w:rFonts w:hint="eastAsia"/>
          <w:b/>
          <w:bCs/>
          <w:color w:val="auto"/>
          <w:highlight w:val="none"/>
          <w:lang w:val="en-US" w:eastAsia="zh-CN"/>
        </w:rPr>
      </w:pPr>
      <w:r>
        <w:rPr>
          <w:rFonts w:hint="eastAsia"/>
          <w:b/>
          <w:bCs/>
          <w:color w:val="auto"/>
          <w:highlight w:val="none"/>
          <w:lang w:val="en-US" w:eastAsia="zh-CN"/>
        </w:rPr>
        <w:t>工作要求：</w:t>
      </w:r>
    </w:p>
    <w:p w14:paraId="42A84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1、保洁内容：河面上跃进斗、地笼、竹木桩、水生杂草、漂浮物、</w:t>
      </w:r>
      <w:r>
        <w:rPr>
          <w:rFonts w:hint="eastAsia" w:ascii="宋体" w:hAnsi="宋体" w:eastAsia="宋体" w:cs="宋体"/>
          <w:color w:val="auto"/>
          <w:sz w:val="24"/>
          <w:szCs w:val="24"/>
          <w:highlight w:val="none"/>
          <w:lang w:eastAsia="zh-CN"/>
        </w:rPr>
        <w:t>蓝藻水华、</w:t>
      </w:r>
      <w:r>
        <w:rPr>
          <w:rFonts w:hint="eastAsia" w:ascii="宋体" w:hAnsi="宋体" w:eastAsia="宋体" w:cs="宋体"/>
          <w:color w:val="auto"/>
          <w:sz w:val="24"/>
          <w:szCs w:val="24"/>
          <w:highlight w:val="none"/>
        </w:rPr>
        <w:t>油污，两岸石坎、绿化上的垃圾杂草等要及时清除。上述河道两岸20米范围内所有的垃圾、杂物、树枝、秸杆等做到及时清理，每天工作时间内不间断保洁。</w:t>
      </w:r>
    </w:p>
    <w:p w14:paraId="02530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2、其他工作内容：</w:t>
      </w:r>
      <w:r>
        <w:rPr>
          <w:rFonts w:hint="eastAsia" w:ascii="宋体" w:hAnsi="宋体" w:eastAsia="宋体" w:cs="宋体"/>
          <w:color w:val="auto"/>
          <w:sz w:val="24"/>
          <w:szCs w:val="24"/>
          <w:highlight w:val="none"/>
        </w:rPr>
        <w:t>海丰横河全段2.1km内的2400个花箱养护以及山海直河全段1.4km内的河道两岸5米范围内的护坡护理</w:t>
      </w:r>
      <w:r>
        <w:rPr>
          <w:rFonts w:hint="eastAsia" w:ascii="宋体" w:hAnsi="宋体" w:cs="宋体"/>
          <w:color w:val="auto"/>
          <w:sz w:val="24"/>
          <w:szCs w:val="24"/>
          <w:highlight w:val="none"/>
          <w:lang w:eastAsia="zh-CN"/>
        </w:rPr>
        <w:t>。</w:t>
      </w:r>
    </w:p>
    <w:p w14:paraId="367ED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、安全保洁：在河道保洁时，须穿系好救生衣，认真检查船只安全和工具到位后，</w:t>
      </w:r>
      <w:r>
        <w:rPr>
          <w:rFonts w:hint="eastAsia" w:ascii="宋体" w:hAnsi="宋体" w:eastAsia="宋体" w:cs="宋体"/>
          <w:sz w:val="24"/>
          <w:szCs w:val="24"/>
        </w:rPr>
        <w:t>方可进行河道日常保洁。</w:t>
      </w:r>
    </w:p>
    <w:p w14:paraId="79164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、保洁禁令：在河道保洁作业时不能喝酒，做到喝酒不保洁，保洁不渴酒。保洁人员保持通讯畅通，工作时间内不得关闭手机。</w:t>
      </w:r>
    </w:p>
    <w:p w14:paraId="73C015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、工作时间：上午7：00——11：00， 下午13：00——17：00。工作时间内随机抽查到岗情况。合同价已包含节假日加班费，每日工作时间内，保洁员人数不得少于</w:t>
      </w:r>
      <w:r>
        <w:rPr>
          <w:rFonts w:hint="eastAsia" w:ascii="宋体" w:hAnsi="宋体" w:eastAsia="宋体" w:cs="宋体"/>
          <w:b/>
          <w:sz w:val="24"/>
          <w:szCs w:val="24"/>
        </w:rPr>
        <w:t>16人</w:t>
      </w:r>
      <w:r>
        <w:rPr>
          <w:rFonts w:hint="eastAsia" w:ascii="宋体" w:hAnsi="宋体" w:eastAsia="宋体" w:cs="宋体"/>
          <w:sz w:val="24"/>
          <w:szCs w:val="24"/>
        </w:rPr>
        <w:t>。</w:t>
      </w:r>
    </w:p>
    <w:p w14:paraId="14173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、服从领导：保洁员须自觉安排好所承包河道保洁工作，服从甲方全过程管理和临时保洁调度。</w:t>
      </w:r>
    </w:p>
    <w:p w14:paraId="2DC3A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垃圾处理：乙方要对所管理的河道及河岸全面清理，所打捞的垃圾当天清运不得拖延。街道无垃圾中转站，保洁合同时间内自行处理所有垃圾，所有清运费、处理费均已包含在合同价内。乙方如有垃圾处理不及时，偷倒等情况的，每次扣除合同中5%的垃圾处理费。</w:t>
      </w:r>
    </w:p>
    <w:p w14:paraId="013A150F">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b/>
          <w:bCs/>
          <w:lang w:val="en-US" w:eastAsia="zh-CN"/>
        </w:rPr>
      </w:pPr>
      <w:r>
        <w:rPr>
          <w:rFonts w:hint="eastAsia"/>
          <w:b/>
          <w:bCs/>
          <w:lang w:val="en-US" w:eastAsia="zh-CN"/>
        </w:rPr>
        <w:t>五、其他要求：</w:t>
      </w:r>
    </w:p>
    <w:p w14:paraId="61A9E8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1、全年水、电费由承包商自理。</w:t>
      </w:r>
    </w:p>
    <w:p w14:paraId="1A74B56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lang w:eastAsia="zh-CN"/>
        </w:rPr>
        <w:t>甲方</w:t>
      </w:r>
      <w:r>
        <w:rPr>
          <w:rFonts w:hint="eastAsia" w:ascii="宋体" w:hAnsi="宋体" w:eastAsia="宋体" w:cs="宋体"/>
          <w:bCs/>
          <w:color w:val="auto"/>
          <w:sz w:val="24"/>
          <w:highlight w:val="none"/>
        </w:rPr>
        <w:t>不提供任何保洁工具，保洁服务所需的一切工具或设备、员工制服、保洁所需消耗品等均有投标人自行承担，费用计入投标报价。</w:t>
      </w:r>
    </w:p>
    <w:p w14:paraId="5020A71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3、中标单位必须明确管理责任人，保洁员须自行配好手机或小灵通，编制项目人员通讯录，便于甲方随时联系。</w:t>
      </w:r>
    </w:p>
    <w:p w14:paraId="3ABD861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Cs/>
          <w:color w:val="auto"/>
          <w:sz w:val="24"/>
          <w:highlight w:val="none"/>
        </w:rPr>
        <w:t>安全责任：</w:t>
      </w:r>
      <w:r>
        <w:rPr>
          <w:rFonts w:hint="eastAsia" w:ascii="宋体" w:hAnsi="宋体" w:eastAsia="宋体" w:cs="宋体"/>
          <w:color w:val="auto"/>
          <w:sz w:val="24"/>
          <w:highlight w:val="none"/>
        </w:rPr>
        <w:t>中标单位需做好河道保洁安全工作，所需安全费用已包含在合同价内。在河道保洁管理中，发生任何安全责任事故，甲方一概不负责任。所</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责任由乙方自己承担。</w:t>
      </w:r>
    </w:p>
    <w:p w14:paraId="75CD3C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5、中标单位要对聘用的保洁员参加人身意外伤害（大病）保险，对不能参加人身意外伤害保险的保洁人员须在承诺书上签字，自愿放弃发生人身安全事故时所有的索赔权力。</w:t>
      </w:r>
    </w:p>
    <w:p w14:paraId="1A90983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6、投标人中标后弃权、转包的，中标履约保证金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有权全额没收。</w:t>
      </w:r>
    </w:p>
    <w:p w14:paraId="67B242CD">
      <w:pPr>
        <w:pStyle w:val="671"/>
        <w:keepNext w:val="0"/>
        <w:keepLines w:val="0"/>
        <w:pageBreakBefore w:val="0"/>
        <w:widowControl w:val="0"/>
        <w:kinsoku/>
        <w:wordWrap/>
        <w:overflowPunct/>
        <w:topLinePunct w:val="0"/>
        <w:autoSpaceDE/>
        <w:autoSpaceDN/>
        <w:bidi w:val="0"/>
        <w:adjustRightInd/>
        <w:snapToGrid/>
        <w:spacing w:beforeLines="0" w:after="0"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7、考核监管：考核工作由街道治水办（河长办）负责。</w:t>
      </w:r>
    </w:p>
    <w:p w14:paraId="5E11F2F0">
      <w:pPr>
        <w:pStyle w:val="671"/>
        <w:keepNext w:val="0"/>
        <w:keepLines w:val="0"/>
        <w:pageBreakBefore w:val="0"/>
        <w:widowControl w:val="0"/>
        <w:kinsoku/>
        <w:wordWrap/>
        <w:overflowPunct/>
        <w:topLinePunct w:val="0"/>
        <w:autoSpaceDE/>
        <w:autoSpaceDN/>
        <w:bidi w:val="0"/>
        <w:adjustRightInd/>
        <w:snapToGrid/>
        <w:spacing w:beforeLines="0" w:after="0" w:line="48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8、当上游发生蓝藻增殖时，及时采取有效应急防控措施，防止蓝藻扩散到下游。及时指挥调度专业化的蓝藻打捞队伍，采用涌浪机、蟹爪船、吸藻泵、控藻船等专业化设施设备，全力开展蓝藻水华打捞。</w:t>
      </w:r>
    </w:p>
    <w:p w14:paraId="1D0C7FE3">
      <w:pPr>
        <w:pStyle w:val="671"/>
        <w:keepNext w:val="0"/>
        <w:keepLines w:val="0"/>
        <w:pageBreakBefore w:val="0"/>
        <w:widowControl w:val="0"/>
        <w:kinsoku/>
        <w:wordWrap/>
        <w:overflowPunct/>
        <w:topLinePunct w:val="0"/>
        <w:autoSpaceDE/>
        <w:autoSpaceDN/>
        <w:bidi w:val="0"/>
        <w:adjustRightInd/>
        <w:snapToGrid/>
        <w:spacing w:beforeLines="0" w:after="0" w:line="48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六、付款方式：</w:t>
      </w:r>
    </w:p>
    <w:p w14:paraId="17800FF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1、河道保洁费用凭统一发票结算。</w:t>
      </w:r>
    </w:p>
    <w:p w14:paraId="503E74A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kern w:val="0"/>
          <w:sz w:val="24"/>
          <w:highlight w:val="none"/>
          <w:lang w:eastAsia="zh-CN"/>
          <w14:ligatures w14:val="none"/>
        </w:rPr>
      </w:pPr>
      <w:r>
        <w:rPr>
          <w:rFonts w:hint="eastAsia" w:ascii="宋体" w:hAnsi="宋体" w:eastAsia="宋体" w:cs="宋体"/>
          <w:color w:val="auto"/>
          <w:sz w:val="24"/>
          <w:highlight w:val="none"/>
        </w:rPr>
        <w:t>2、合同签订后，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缴纳</w:t>
      </w:r>
      <w:r>
        <w:rPr>
          <w:rFonts w:hint="eastAsia" w:ascii="宋体" w:hAnsi="宋体" w:eastAsia="宋体" w:cs="宋体"/>
          <w:color w:val="auto"/>
          <w:sz w:val="24"/>
          <w:highlight w:val="none"/>
          <w:lang w:eastAsia="zh-CN"/>
        </w:rPr>
        <w:t>不超</w:t>
      </w:r>
      <w:r>
        <w:rPr>
          <w:rFonts w:hint="eastAsia" w:ascii="宋体" w:hAnsi="宋体" w:eastAsia="宋体" w:cs="宋体"/>
          <w:color w:val="auto"/>
          <w:sz w:val="24"/>
          <w:highlight w:val="none"/>
        </w:rPr>
        <w:t>合同价</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%的履约保证金，</w:t>
      </w:r>
      <w:r>
        <w:rPr>
          <w:rFonts w:hint="eastAsia" w:ascii="宋体" w:hAnsi="宋体" w:cs="宋体"/>
          <w:color w:val="auto"/>
          <w:kern w:val="0"/>
          <w:sz w:val="24"/>
          <w:highlight w:val="none"/>
          <w14:ligatures w14:val="none"/>
        </w:rPr>
        <w:t>供应商应当以支票、汇票、本票或者金融机构、担保机构出具的保函等非现金形式提交</w:t>
      </w:r>
      <w:r>
        <w:rPr>
          <w:rFonts w:hint="eastAsia" w:ascii="宋体" w:hAnsi="宋体" w:cs="宋体"/>
          <w:color w:val="auto"/>
          <w:kern w:val="0"/>
          <w:sz w:val="24"/>
          <w:highlight w:val="none"/>
          <w:lang w:eastAsia="zh-CN"/>
          <w14:ligatures w14:val="none"/>
        </w:rPr>
        <w:t>。</w:t>
      </w:r>
    </w:p>
    <w:p w14:paraId="3D491E7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合同生效后及具备实施条件后7个工作日内，</w:t>
      </w:r>
      <w:r>
        <w:rPr>
          <w:rFonts w:hint="eastAsia" w:ascii="宋体" w:hAnsi="宋体" w:eastAsia="宋体" w:cs="宋体"/>
          <w:color w:val="auto"/>
          <w:sz w:val="24"/>
          <w:highlight w:val="none"/>
          <w:lang w:eastAsia="zh-CN"/>
        </w:rPr>
        <w:t>甲方向乙方</w:t>
      </w:r>
      <w:r>
        <w:rPr>
          <w:rFonts w:hint="eastAsia" w:ascii="宋体" w:hAnsi="宋体" w:eastAsia="宋体" w:cs="宋体"/>
          <w:color w:val="auto"/>
          <w:sz w:val="24"/>
          <w:highlight w:val="none"/>
        </w:rPr>
        <w:t>支付合同价的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0%作为预付款，</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根据考核细则规定每半年</w:t>
      </w:r>
      <w:r>
        <w:rPr>
          <w:rFonts w:hint="eastAsia" w:ascii="宋体" w:hAnsi="宋体" w:eastAsia="宋体" w:cs="宋体"/>
          <w:color w:val="auto"/>
          <w:sz w:val="24"/>
          <w:highlight w:val="none"/>
          <w:lang w:eastAsia="zh-CN"/>
        </w:rPr>
        <w:t>向乙方</w:t>
      </w:r>
      <w:r>
        <w:rPr>
          <w:rFonts w:hint="eastAsia" w:ascii="宋体" w:hAnsi="宋体" w:eastAsia="宋体" w:cs="宋体"/>
          <w:color w:val="auto"/>
          <w:sz w:val="24"/>
          <w:highlight w:val="none"/>
        </w:rPr>
        <w:t>支付服务费用，服务期结束且权利义务清算完毕后，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退还履约保证金（无息）。</w:t>
      </w:r>
    </w:p>
    <w:p w14:paraId="3FF3B0B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3、保洁单位按</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要求进行管理，每月对每条河道绩效进行百分制考核，考核由街道治水办负责，按考核办法（附后）打分。每月考核得分在95分</w:t>
      </w:r>
      <w:r>
        <w:rPr>
          <w:rFonts w:hint="eastAsia" w:ascii="宋体" w:hAnsi="宋体" w:cs="宋体"/>
          <w:color w:val="auto"/>
          <w:sz w:val="24"/>
          <w:highlight w:val="none"/>
          <w:lang w:eastAsia="zh-CN"/>
        </w:rPr>
        <w:t>（不含）</w:t>
      </w:r>
      <w:r>
        <w:rPr>
          <w:rFonts w:hint="eastAsia" w:ascii="宋体" w:hAnsi="宋体" w:eastAsia="宋体" w:cs="宋体"/>
          <w:color w:val="auto"/>
          <w:sz w:val="24"/>
          <w:highlight w:val="none"/>
        </w:rPr>
        <w:t>以上为优秀，90分</w:t>
      </w:r>
      <w:r>
        <w:rPr>
          <w:rFonts w:hint="eastAsia" w:ascii="宋体" w:hAnsi="宋体" w:cs="宋体"/>
          <w:color w:val="auto"/>
          <w:sz w:val="24"/>
          <w:highlight w:val="none"/>
          <w:lang w:eastAsia="zh-CN"/>
        </w:rPr>
        <w:t>（含）</w:t>
      </w:r>
      <w:r>
        <w:rPr>
          <w:rFonts w:hint="eastAsia" w:ascii="宋体" w:hAnsi="宋体" w:eastAsia="宋体" w:cs="宋体"/>
          <w:color w:val="auto"/>
          <w:sz w:val="24"/>
          <w:highlight w:val="none"/>
        </w:rPr>
        <w:t>以上为合格，90分</w:t>
      </w:r>
      <w:r>
        <w:rPr>
          <w:rFonts w:hint="eastAsia" w:ascii="宋体" w:hAnsi="宋体" w:cs="宋体"/>
          <w:color w:val="auto"/>
          <w:sz w:val="24"/>
          <w:highlight w:val="none"/>
          <w:lang w:eastAsia="zh-CN"/>
        </w:rPr>
        <w:t>（不含）</w:t>
      </w:r>
      <w:r>
        <w:rPr>
          <w:rFonts w:hint="eastAsia" w:ascii="宋体" w:hAnsi="宋体" w:eastAsia="宋体" w:cs="宋体"/>
          <w:color w:val="auto"/>
          <w:sz w:val="24"/>
          <w:highlight w:val="none"/>
        </w:rPr>
        <w:t>以下为不合格</w:t>
      </w:r>
      <w:r>
        <w:rPr>
          <w:rFonts w:hint="eastAsia" w:ascii="宋体" w:hAnsi="宋体" w:cs="宋体"/>
          <w:color w:val="auto"/>
          <w:sz w:val="24"/>
          <w:highlight w:val="none"/>
          <w:lang w:eastAsia="zh-CN"/>
        </w:rPr>
        <w:t>；考核合格的河道</w:t>
      </w:r>
      <w:r>
        <w:rPr>
          <w:rFonts w:hint="eastAsia" w:ascii="宋体" w:hAnsi="宋体" w:cs="宋体"/>
          <w:color w:val="auto"/>
          <w:sz w:val="24"/>
          <w:highlight w:val="none"/>
          <w:lang w:val="en-US" w:eastAsia="zh-CN"/>
        </w:rPr>
        <w:t>支付相应分数比例的当月费用，</w:t>
      </w:r>
      <w:r>
        <w:rPr>
          <w:rFonts w:hint="eastAsia" w:ascii="宋体" w:hAnsi="宋体" w:eastAsia="宋体" w:cs="宋体"/>
          <w:color w:val="auto"/>
          <w:sz w:val="24"/>
          <w:highlight w:val="none"/>
        </w:rPr>
        <w:t>考核不合格的河道支付当月保洁费用的70%。</w:t>
      </w:r>
      <w:r>
        <w:rPr>
          <w:rFonts w:hint="eastAsia" w:asciiTheme="minorEastAsia" w:hAnsiTheme="minorEastAsia" w:eastAsiaTheme="minorEastAsia" w:cstheme="minorEastAsia"/>
          <w:color w:val="auto"/>
          <w:kern w:val="2"/>
          <w:sz w:val="24"/>
          <w:szCs w:val="24"/>
          <w:highlight w:val="none"/>
          <w:lang w:val="en-US" w:eastAsia="zh-CN" w:bidi="ar-SA"/>
        </w:rPr>
        <w:t>每条河道全年保洁费用按总费用的平均数计算。</w:t>
      </w:r>
      <w:r>
        <w:rPr>
          <w:rFonts w:hint="eastAsia" w:ascii="宋体" w:hAnsi="宋体" w:eastAsia="宋体" w:cs="宋体"/>
          <w:color w:val="auto"/>
          <w:sz w:val="24"/>
          <w:highlight w:val="none"/>
        </w:rPr>
        <w:t>如有河道连续2个月考核不合格，业主拒付该条河道保洁费，并要求调整保洁人员。连续2个月出现2条以上河道考核不合格，业主有权中止保洁合同，另行组织招标选择承包单位。</w:t>
      </w:r>
      <w:r>
        <w:rPr>
          <w:rFonts w:hint="eastAsia" w:ascii="宋体" w:hAnsi="宋体" w:eastAsia="宋体" w:cs="宋体"/>
          <w:color w:val="auto"/>
          <w:sz w:val="24"/>
          <w:highlight w:val="none"/>
          <w:lang w:val="en-US" w:eastAsia="zh-CN"/>
        </w:rPr>
        <w:t xml:space="preserve"> </w:t>
      </w:r>
    </w:p>
    <w:p w14:paraId="7406E523">
      <w:pPr>
        <w:rPr>
          <w:rFonts w:hint="eastAsia" w:ascii="宋体" w:hAnsi="宋体" w:eastAsia="宋体" w:cs="宋体"/>
          <w:b/>
          <w:color w:val="auto"/>
          <w:sz w:val="24"/>
          <w:szCs w:val="24"/>
          <w:highlight w:val="none"/>
          <w:lang w:val="zh-CN"/>
        </w:rPr>
      </w:pPr>
    </w:p>
    <w:p w14:paraId="283CBEB6">
      <w:pP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w:t>
      </w:r>
      <w:r>
        <w:rPr>
          <w:rFonts w:hint="eastAsia" w:ascii="新宋体" w:hAnsi="新宋体" w:eastAsia="新宋体" w:cs="新宋体"/>
          <w:color w:val="auto"/>
          <w:sz w:val="24"/>
          <w:szCs w:val="24"/>
          <w:highlight w:val="none"/>
          <w:lang w:val="zh-CN"/>
        </w:rPr>
        <w:t>钱塘区人民政府前进街道办事处</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bCs w:val="0"/>
          <w:color w:val="auto"/>
          <w:sz w:val="24"/>
          <w:szCs w:val="24"/>
          <w:highlight w:val="none"/>
          <w:lang w:val="zh-CN"/>
        </w:rPr>
        <w:t>乙方：</w:t>
      </w:r>
      <w:r>
        <w:rPr>
          <w:rFonts w:hint="eastAsia" w:ascii="宋体" w:hAnsi="宋体" w:eastAsia="宋体" w:cs="宋体"/>
          <w:b w:val="0"/>
          <w:bCs/>
          <w:color w:val="auto"/>
          <w:sz w:val="24"/>
          <w:szCs w:val="24"/>
          <w:highlight w:val="none"/>
          <w:lang w:val="en-US" w:eastAsia="zh-CN"/>
        </w:rPr>
        <w:t xml:space="preserve"> </w:t>
      </w:r>
    </w:p>
    <w:p w14:paraId="43293985">
      <w:pPr>
        <w:autoSpaceDE w:val="0"/>
        <w:autoSpaceDN w:val="0"/>
        <w:adjustRightInd w:val="0"/>
        <w:spacing w:line="560" w:lineRule="exact"/>
        <w:ind w:left="4800" w:hanging="4800" w:hangingChars="20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 xml:space="preserve">统一社会信用代码：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统一社会信用代码或身份证号码：</w:t>
      </w:r>
      <w:r>
        <w:rPr>
          <w:rFonts w:hint="eastAsia" w:ascii="宋体" w:hAnsi="宋体" w:eastAsia="宋体" w:cs="宋体"/>
          <w:sz w:val="24"/>
          <w:szCs w:val="24"/>
          <w:lang w:val="en-US" w:eastAsia="zh-CN"/>
        </w:rPr>
        <w:t xml:space="preserve"> </w:t>
      </w:r>
    </w:p>
    <w:p w14:paraId="29F54626">
      <w:pPr>
        <w:autoSpaceDE w:val="0"/>
        <w:autoSpaceDN w:val="0"/>
        <w:adjustRightInd w:val="0"/>
        <w:spacing w:line="560" w:lineRule="exact"/>
        <w:ind w:left="5040" w:hanging="5040" w:hangingChars="2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住所：</w:t>
      </w:r>
      <w:r>
        <w:rPr>
          <w:rFonts w:hint="eastAsia" w:ascii="新宋体" w:hAnsi="新宋体" w:eastAsia="新宋体" w:cs="新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住所：</w:t>
      </w:r>
      <w:r>
        <w:rPr>
          <w:rFonts w:hint="eastAsia" w:ascii="宋体" w:hAnsi="宋体" w:eastAsia="宋体" w:cs="宋体"/>
          <w:sz w:val="24"/>
          <w:szCs w:val="24"/>
          <w:lang w:val="en-US" w:eastAsia="zh-CN"/>
        </w:rPr>
        <w:t xml:space="preserve"> </w:t>
      </w:r>
    </w:p>
    <w:p w14:paraId="6B12D16C">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w:t>
      </w:r>
    </w:p>
    <w:p w14:paraId="3ABEE251">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授权代表（签字）：                   或授权代表（签字）:</w:t>
      </w:r>
    </w:p>
    <w:p w14:paraId="523464B5">
      <w:pPr>
        <w:autoSpaceDE w:val="0"/>
        <w:autoSpaceDN w:val="0"/>
        <w:adjustRightInd w:val="0"/>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邮政编码：                          邮政编码：</w:t>
      </w:r>
      <w:r>
        <w:rPr>
          <w:rFonts w:hint="eastAsia" w:ascii="宋体" w:hAnsi="宋体" w:eastAsia="宋体" w:cs="宋体"/>
          <w:color w:val="auto"/>
          <w:sz w:val="24"/>
          <w:szCs w:val="24"/>
          <w:highlight w:val="none"/>
          <w:lang w:val="en-US" w:eastAsia="zh-CN"/>
        </w:rPr>
        <w:t xml:space="preserve"> </w:t>
      </w:r>
    </w:p>
    <w:p w14:paraId="436A344F">
      <w:pPr>
        <w:autoSpaceDE w:val="0"/>
        <w:autoSpaceDN w:val="0"/>
        <w:adjustRightInd w:val="0"/>
        <w:spacing w:line="56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电话:                               电话:</w:t>
      </w:r>
      <w:r>
        <w:rPr>
          <w:rFonts w:hint="eastAsia" w:ascii="宋体" w:hAnsi="宋体" w:eastAsia="宋体" w:cs="宋体"/>
          <w:sz w:val="24"/>
          <w:szCs w:val="24"/>
          <w:lang w:val="en-US" w:eastAsia="zh-CN"/>
        </w:rPr>
        <w:t xml:space="preserve"> </w:t>
      </w:r>
    </w:p>
    <w:p w14:paraId="1B6F6DA1">
      <w:pPr>
        <w:autoSpaceDE w:val="0"/>
        <w:autoSpaceDN w:val="0"/>
        <w:adjustRightInd w:val="0"/>
        <w:spacing w:line="56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传真:                               传真:</w:t>
      </w:r>
      <w:r>
        <w:rPr>
          <w:rFonts w:hint="eastAsia" w:ascii="宋体" w:hAnsi="宋体" w:eastAsia="宋体" w:cs="宋体"/>
          <w:sz w:val="24"/>
          <w:szCs w:val="24"/>
          <w:lang w:val="en-US" w:eastAsia="zh-CN"/>
        </w:rPr>
        <w:t xml:space="preserve"> </w:t>
      </w:r>
    </w:p>
    <w:p w14:paraId="738E5215">
      <w:pPr>
        <w:autoSpaceDE w:val="0"/>
        <w:autoSpaceDN w:val="0"/>
        <w:adjustRightInd w:val="0"/>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 xml:space="preserve">电子邮箱：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电子邮箱：</w:t>
      </w:r>
      <w:r>
        <w:rPr>
          <w:rFonts w:hint="eastAsia" w:ascii="宋体" w:hAnsi="宋体" w:eastAsia="宋体" w:cs="宋体"/>
          <w:color w:val="auto"/>
          <w:sz w:val="24"/>
          <w:szCs w:val="24"/>
          <w:u w:val="none"/>
          <w:lang w:val="en-US" w:eastAsia="zh-CN"/>
        </w:rPr>
        <w:t xml:space="preserve"> </w:t>
      </w:r>
    </w:p>
    <w:p w14:paraId="1DF1A3FF">
      <w:pPr>
        <w:autoSpaceDE w:val="0"/>
        <w:autoSpaceDN w:val="0"/>
        <w:spacing w:line="48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开户银行：</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开户银行：</w:t>
      </w:r>
    </w:p>
    <w:p w14:paraId="1C716B33">
      <w:pPr>
        <w:autoSpaceDE w:val="0"/>
        <w:autoSpaceDN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开户名称：</w:t>
      </w:r>
    </w:p>
    <w:p w14:paraId="2BE0714F">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val="zh-CN"/>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2C25AFB7">
      <w:pPr>
        <w:autoSpaceDE w:val="0"/>
        <w:autoSpaceDN w:val="0"/>
        <w:adjustRightInd w:val="0"/>
        <w:spacing w:line="560" w:lineRule="exact"/>
        <w:ind w:firstLine="1200" w:firstLineChars="500"/>
        <w:rPr>
          <w:rFonts w:hint="eastAsia" w:ascii="宋体" w:hAnsi="宋体" w:eastAsia="宋体" w:cs="宋体"/>
          <w:color w:val="auto"/>
          <w:sz w:val="24"/>
          <w:szCs w:val="24"/>
          <w:highlight w:val="none"/>
        </w:rPr>
      </w:pPr>
    </w:p>
    <w:p w14:paraId="35BCE0C4">
      <w:pPr>
        <w:autoSpaceDE w:val="0"/>
        <w:autoSpaceDN w:val="0"/>
        <w:adjustRightInd w:val="0"/>
        <w:spacing w:line="56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日</w:t>
      </w:r>
    </w:p>
    <w:p w14:paraId="5EA13BD4">
      <w:pPr>
        <w:rPr>
          <w:rFonts w:hint="default" w:ascii="宋体" w:hAnsi="宋体" w:eastAsia="宋体" w:cs="宋体"/>
          <w:b/>
          <w:bCs/>
          <w:color w:val="auto"/>
          <w:sz w:val="24"/>
          <w:highlight w:val="none"/>
          <w:lang w:val="en-US" w:eastAsia="zh-CN"/>
        </w:rPr>
      </w:pPr>
    </w:p>
    <w:p w14:paraId="2379A7B8">
      <w:pPr>
        <w:adjustRightInd w:val="0"/>
        <w:jc w:val="center"/>
        <w:rPr>
          <w:rFonts w:hint="eastAsia" w:ascii="仿宋" w:hAnsi="仿宋" w:eastAsia="仿宋" w:cs="仿宋"/>
          <w:b/>
          <w:color w:val="auto"/>
          <w:sz w:val="36"/>
          <w:szCs w:val="36"/>
          <w:highlight w:val="none"/>
        </w:rPr>
      </w:pPr>
    </w:p>
    <w:p w14:paraId="67E94CA5">
      <w:pPr>
        <w:adjustRightInd w:val="0"/>
        <w:jc w:val="center"/>
        <w:rPr>
          <w:rFonts w:hint="eastAsia" w:ascii="仿宋" w:hAnsi="仿宋" w:eastAsia="仿宋" w:cs="仿宋"/>
          <w:b/>
          <w:color w:val="auto"/>
          <w:sz w:val="36"/>
          <w:szCs w:val="36"/>
          <w:highlight w:val="none"/>
        </w:rPr>
      </w:pPr>
    </w:p>
    <w:p w14:paraId="521BE3FF">
      <w:pPr>
        <w:adjustRightInd w:val="0"/>
        <w:jc w:val="center"/>
        <w:rPr>
          <w:rFonts w:hint="eastAsia" w:ascii="仿宋" w:hAnsi="仿宋" w:eastAsia="仿宋" w:cs="仿宋"/>
          <w:b/>
          <w:color w:val="auto"/>
          <w:sz w:val="36"/>
          <w:szCs w:val="36"/>
          <w:highlight w:val="none"/>
        </w:rPr>
      </w:pPr>
    </w:p>
    <w:p w14:paraId="1EDD0852">
      <w:pPr>
        <w:adjustRightInd w:val="0"/>
        <w:jc w:val="center"/>
        <w:rPr>
          <w:rFonts w:hint="eastAsia" w:ascii="仿宋" w:hAnsi="仿宋" w:eastAsia="仿宋" w:cs="仿宋"/>
          <w:b/>
          <w:color w:val="auto"/>
          <w:sz w:val="36"/>
          <w:szCs w:val="36"/>
          <w:highlight w:val="none"/>
        </w:rPr>
      </w:pPr>
    </w:p>
    <w:p w14:paraId="235E1EA9">
      <w:pPr>
        <w:adjustRightInd w:val="0"/>
        <w:jc w:val="both"/>
        <w:rPr>
          <w:rFonts w:hint="eastAsia" w:ascii="仿宋" w:hAnsi="仿宋" w:eastAsia="仿宋" w:cs="仿宋"/>
          <w:b/>
          <w:color w:val="auto"/>
          <w:sz w:val="36"/>
          <w:szCs w:val="36"/>
          <w:highlight w:val="none"/>
        </w:rPr>
      </w:pPr>
    </w:p>
    <w:p w14:paraId="41B17FB0">
      <w:pPr>
        <w:spacing w:line="480" w:lineRule="auto"/>
        <w:rPr>
          <w:rFonts w:hint="eastAsia" w:ascii="新宋体" w:hAnsi="新宋体" w:eastAsia="新宋体" w:cs="新宋体"/>
          <w:b/>
          <w:bCs/>
          <w:color w:val="auto"/>
          <w:sz w:val="24"/>
          <w:szCs w:val="24"/>
          <w:highlight w:val="none"/>
          <w:lang w:val="en-US" w:eastAsia="zh-CN"/>
        </w:rPr>
      </w:pPr>
    </w:p>
    <w:p w14:paraId="7A941D9E">
      <w:pPr>
        <w:spacing w:line="480" w:lineRule="auto"/>
        <w:rPr>
          <w:rFonts w:hint="eastAsia" w:ascii="新宋体" w:hAnsi="新宋体" w:eastAsia="新宋体" w:cs="新宋体"/>
          <w:b/>
          <w:bCs/>
          <w:color w:val="auto"/>
          <w:sz w:val="24"/>
          <w:szCs w:val="24"/>
          <w:highlight w:val="none"/>
          <w:lang w:val="en-US" w:eastAsia="zh-CN"/>
        </w:rPr>
      </w:pPr>
    </w:p>
    <w:p w14:paraId="6AD5E9DC">
      <w:pPr>
        <w:pStyle w:val="80"/>
        <w:rPr>
          <w:rFonts w:hint="eastAsia" w:ascii="新宋体" w:hAnsi="新宋体" w:eastAsia="新宋体" w:cs="新宋体"/>
          <w:b/>
          <w:bCs/>
          <w:color w:val="auto"/>
          <w:sz w:val="24"/>
          <w:szCs w:val="24"/>
          <w:highlight w:val="none"/>
          <w:lang w:val="en-US" w:eastAsia="zh-CN"/>
        </w:rPr>
      </w:pPr>
    </w:p>
    <w:p w14:paraId="24B1F437">
      <w:pPr>
        <w:pStyle w:val="24"/>
        <w:rPr>
          <w:rFonts w:hint="eastAsia"/>
          <w:lang w:val="en-US" w:eastAsia="zh-CN"/>
        </w:rPr>
      </w:pPr>
    </w:p>
    <w:p w14:paraId="17A8CA64">
      <w:pPr>
        <w:spacing w:line="480" w:lineRule="auto"/>
        <w:rPr>
          <w:rFonts w:hint="eastAsia" w:ascii="新宋体" w:hAnsi="新宋体" w:eastAsia="新宋体" w:cs="新宋体"/>
          <w:b/>
          <w:bCs/>
          <w:color w:val="auto"/>
          <w:sz w:val="24"/>
          <w:szCs w:val="24"/>
          <w:highlight w:val="none"/>
          <w:lang w:val="en-US" w:eastAsia="zh-CN"/>
        </w:rPr>
      </w:pPr>
    </w:p>
    <w:p w14:paraId="0DB3D1CB">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10049621">
      <w:pPr>
        <w:spacing w:line="480" w:lineRule="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附件</w:t>
      </w:r>
    </w:p>
    <w:p w14:paraId="6C5401AC">
      <w:pPr>
        <w:spacing w:line="48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32"/>
          <w:szCs w:val="32"/>
          <w:highlight w:val="none"/>
        </w:rPr>
        <w:t>前进街道河道保洁考核细则</w:t>
      </w:r>
      <w:r>
        <w:rPr>
          <w:rFonts w:hint="eastAsia" w:ascii="新宋体" w:hAnsi="新宋体" w:eastAsia="新宋体" w:cs="新宋体"/>
          <w:color w:val="auto"/>
          <w:sz w:val="32"/>
          <w:szCs w:val="32"/>
          <w:highlight w:val="none"/>
        </w:rPr>
        <w:t xml:space="preserve">    </w:t>
      </w:r>
      <w:r>
        <w:rPr>
          <w:rFonts w:hint="eastAsia" w:ascii="新宋体" w:hAnsi="新宋体" w:eastAsia="新宋体" w:cs="新宋体"/>
          <w:color w:val="auto"/>
          <w:sz w:val="24"/>
          <w:szCs w:val="24"/>
          <w:highlight w:val="none"/>
        </w:rPr>
        <w:t xml:space="preserve">      </w:t>
      </w:r>
    </w:p>
    <w:p w14:paraId="72B09C01">
      <w:pPr>
        <w:spacing w:line="480" w:lineRule="auto"/>
        <w:jc w:val="righ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考核月份：</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p>
    <w:tbl>
      <w:tblPr>
        <w:tblStyle w:val="63"/>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165"/>
        <w:gridCol w:w="951"/>
        <w:gridCol w:w="831"/>
        <w:gridCol w:w="819"/>
      </w:tblGrid>
      <w:tr w14:paraId="7A5F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top"/>
          </w:tcPr>
          <w:p w14:paraId="4C73A47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考核</w:t>
            </w:r>
          </w:p>
          <w:p w14:paraId="046F9A11">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因素</w:t>
            </w:r>
          </w:p>
        </w:tc>
        <w:tc>
          <w:tcPr>
            <w:tcW w:w="5165" w:type="dxa"/>
            <w:noWrap w:val="0"/>
            <w:vAlign w:val="center"/>
          </w:tcPr>
          <w:p w14:paraId="2412E819">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工作要求</w:t>
            </w:r>
          </w:p>
        </w:tc>
        <w:tc>
          <w:tcPr>
            <w:tcW w:w="951" w:type="dxa"/>
            <w:noWrap w:val="0"/>
            <w:vAlign w:val="top"/>
          </w:tcPr>
          <w:p w14:paraId="4F06B9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单项</w:t>
            </w:r>
          </w:p>
          <w:p w14:paraId="24AFEA66">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sz w:val="24"/>
                <w:szCs w:val="24"/>
              </w:rPr>
              <w:t>满分</w:t>
            </w:r>
          </w:p>
        </w:tc>
        <w:tc>
          <w:tcPr>
            <w:tcW w:w="831" w:type="dxa"/>
            <w:noWrap w:val="0"/>
            <w:vAlign w:val="top"/>
          </w:tcPr>
          <w:p w14:paraId="1E963CC7">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sz w:val="24"/>
                <w:szCs w:val="24"/>
              </w:rPr>
              <w:t>单项得分</w:t>
            </w:r>
          </w:p>
        </w:tc>
        <w:tc>
          <w:tcPr>
            <w:tcW w:w="819" w:type="dxa"/>
            <w:noWrap w:val="0"/>
            <w:vAlign w:val="top"/>
          </w:tcPr>
          <w:p w14:paraId="73DC93C0">
            <w:pPr>
              <w:spacing w:line="360" w:lineRule="auto"/>
              <w:rPr>
                <w:rFonts w:hint="eastAsia" w:ascii="宋体" w:hAnsi="宋体" w:eastAsia="宋体" w:cs="宋体"/>
                <w:sz w:val="24"/>
                <w:szCs w:val="24"/>
              </w:rPr>
            </w:pPr>
            <w:r>
              <w:rPr>
                <w:rFonts w:hint="eastAsia" w:ascii="宋体" w:hAnsi="宋体" w:eastAsia="宋体" w:cs="宋体"/>
                <w:sz w:val="24"/>
                <w:szCs w:val="24"/>
              </w:rPr>
              <w:t>因素</w:t>
            </w:r>
          </w:p>
          <w:p w14:paraId="5862350D">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sz w:val="24"/>
                <w:szCs w:val="24"/>
              </w:rPr>
              <w:t>得分</w:t>
            </w:r>
          </w:p>
        </w:tc>
      </w:tr>
      <w:tr w14:paraId="4F1C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0" w:type="dxa"/>
            <w:vMerge w:val="restart"/>
            <w:noWrap w:val="0"/>
            <w:vAlign w:val="center"/>
          </w:tcPr>
          <w:p w14:paraId="4258562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w:t>
            </w:r>
          </w:p>
          <w:p w14:paraId="292F185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洁</w:t>
            </w:r>
          </w:p>
          <w:p w14:paraId="75A929B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效</w:t>
            </w:r>
          </w:p>
          <w:p w14:paraId="0B3D1989">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果</w:t>
            </w:r>
          </w:p>
        </w:tc>
        <w:tc>
          <w:tcPr>
            <w:tcW w:w="5165" w:type="dxa"/>
            <w:noWrap w:val="0"/>
            <w:vAlign w:val="top"/>
          </w:tcPr>
          <w:p w14:paraId="4F0F121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河面无垃圾、枯死水草、油污等漂浮物，未及时处理，发现1次扣</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951" w:type="dxa"/>
            <w:noWrap w:val="0"/>
            <w:vAlign w:val="center"/>
          </w:tcPr>
          <w:p w14:paraId="2979039E">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4CD5B089">
            <w:pPr>
              <w:spacing w:line="360" w:lineRule="auto"/>
              <w:rPr>
                <w:rFonts w:hint="eastAsia" w:ascii="新宋体" w:hAnsi="新宋体" w:eastAsia="新宋体" w:cs="新宋体"/>
                <w:color w:val="auto"/>
                <w:sz w:val="24"/>
                <w:szCs w:val="24"/>
                <w:highlight w:val="none"/>
              </w:rPr>
            </w:pPr>
          </w:p>
        </w:tc>
        <w:tc>
          <w:tcPr>
            <w:tcW w:w="819" w:type="dxa"/>
            <w:vMerge w:val="restart"/>
            <w:noWrap w:val="0"/>
            <w:vAlign w:val="top"/>
          </w:tcPr>
          <w:p w14:paraId="53F77456">
            <w:pPr>
              <w:spacing w:line="360" w:lineRule="auto"/>
              <w:rPr>
                <w:rFonts w:hint="eastAsia" w:ascii="新宋体" w:hAnsi="新宋体" w:eastAsia="新宋体" w:cs="新宋体"/>
                <w:color w:val="auto"/>
                <w:sz w:val="24"/>
                <w:szCs w:val="24"/>
                <w:highlight w:val="none"/>
              </w:rPr>
            </w:pPr>
          </w:p>
        </w:tc>
      </w:tr>
      <w:tr w14:paraId="131A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0" w:type="dxa"/>
            <w:vMerge w:val="continue"/>
            <w:noWrap w:val="0"/>
            <w:vAlign w:val="center"/>
          </w:tcPr>
          <w:p w14:paraId="6CC35963">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187C39B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河岸范围内无垃圾、树枝、无堆积物。</w:t>
            </w:r>
            <w:r>
              <w:rPr>
                <w:rFonts w:hint="eastAsia" w:ascii="宋体" w:hAnsi="宋体" w:eastAsia="宋体" w:cs="宋体"/>
                <w:color w:val="auto"/>
                <w:sz w:val="24"/>
                <w:szCs w:val="24"/>
              </w:rPr>
              <w:t>河长牌、安全警示牌无遮挡。</w:t>
            </w:r>
            <w:r>
              <w:rPr>
                <w:rFonts w:hint="eastAsia" w:ascii="新宋体" w:hAnsi="新宋体" w:eastAsia="新宋体" w:cs="新宋体"/>
                <w:color w:val="auto"/>
                <w:sz w:val="24"/>
                <w:szCs w:val="24"/>
                <w:highlight w:val="none"/>
              </w:rPr>
              <w:t>未及时处理，发现1次扣</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951" w:type="dxa"/>
            <w:noWrap w:val="0"/>
            <w:vAlign w:val="center"/>
          </w:tcPr>
          <w:p w14:paraId="3E6C1FDA">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2ADB7D0C">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7B8F98F7">
            <w:pPr>
              <w:spacing w:line="360" w:lineRule="auto"/>
              <w:rPr>
                <w:rFonts w:hint="eastAsia" w:ascii="新宋体" w:hAnsi="新宋体" w:eastAsia="新宋体" w:cs="新宋体"/>
                <w:color w:val="auto"/>
                <w:sz w:val="24"/>
                <w:szCs w:val="24"/>
                <w:highlight w:val="none"/>
              </w:rPr>
            </w:pPr>
          </w:p>
        </w:tc>
      </w:tr>
      <w:tr w14:paraId="09BF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0" w:type="dxa"/>
            <w:vMerge w:val="continue"/>
            <w:noWrap w:val="0"/>
            <w:vAlign w:val="center"/>
          </w:tcPr>
          <w:p w14:paraId="171735F7">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7A383AB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河道内无地笼、</w:t>
            </w:r>
            <w:r>
              <w:rPr>
                <w:rFonts w:hint="eastAsia" w:ascii="新宋体" w:hAnsi="新宋体" w:eastAsia="新宋体" w:cs="新宋体"/>
                <w:color w:val="auto"/>
                <w:sz w:val="24"/>
                <w:szCs w:val="24"/>
                <w:highlight w:val="none"/>
                <w:lang w:eastAsia="zh-CN"/>
              </w:rPr>
              <w:t>泊桩、沉船</w:t>
            </w:r>
            <w:r>
              <w:rPr>
                <w:rFonts w:hint="eastAsia" w:ascii="新宋体" w:hAnsi="新宋体" w:eastAsia="新宋体" w:cs="新宋体"/>
                <w:color w:val="auto"/>
                <w:sz w:val="24"/>
                <w:szCs w:val="24"/>
                <w:highlight w:val="none"/>
              </w:rPr>
              <w:t>等障碍物，未及时处理，发现1次扣2分。</w:t>
            </w:r>
          </w:p>
        </w:tc>
        <w:tc>
          <w:tcPr>
            <w:tcW w:w="951" w:type="dxa"/>
            <w:noWrap w:val="0"/>
            <w:vAlign w:val="center"/>
          </w:tcPr>
          <w:p w14:paraId="51514A00">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77677365">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31E7F358">
            <w:pPr>
              <w:spacing w:line="360" w:lineRule="auto"/>
              <w:rPr>
                <w:rFonts w:hint="eastAsia" w:ascii="新宋体" w:hAnsi="新宋体" w:eastAsia="新宋体" w:cs="新宋体"/>
                <w:color w:val="auto"/>
                <w:sz w:val="24"/>
                <w:szCs w:val="24"/>
                <w:highlight w:val="none"/>
              </w:rPr>
            </w:pPr>
          </w:p>
        </w:tc>
      </w:tr>
      <w:tr w14:paraId="4AAB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continue"/>
            <w:noWrap w:val="0"/>
            <w:vAlign w:val="center"/>
          </w:tcPr>
          <w:p w14:paraId="3CBA1574">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57827DD7">
            <w:pPr>
              <w:spacing w:line="360" w:lineRule="auto"/>
              <w:rPr>
                <w:rFonts w:hint="eastAsia" w:ascii="新宋体" w:hAnsi="新宋体" w:eastAsia="新宋体" w:cs="新宋体"/>
                <w:color w:val="auto"/>
                <w:sz w:val="24"/>
                <w:szCs w:val="24"/>
                <w:highlight w:val="none"/>
              </w:rPr>
            </w:pPr>
            <w:r>
              <w:rPr>
                <w:rFonts w:hint="eastAsia" w:ascii="宋体" w:hAnsi="宋体" w:cs="宋体"/>
                <w:color w:val="auto"/>
                <w:sz w:val="24"/>
                <w:szCs w:val="24"/>
                <w:lang w:eastAsia="zh-CN"/>
              </w:rPr>
              <w:t>河面上水体出现</w:t>
            </w:r>
            <w:r>
              <w:rPr>
                <w:rFonts w:hint="eastAsia" w:ascii="宋体" w:hAnsi="宋体" w:cs="宋体"/>
                <w:color w:val="auto"/>
                <w:sz w:val="24"/>
                <w:highlight w:val="none"/>
                <w:lang w:val="en-US" w:eastAsia="zh-CN"/>
              </w:rPr>
              <w:t>蓝藻及其他影响水质的情况，及时采取应急措施，未及时处置发现1次扣5分，未处置或处置不到位的，1次扣15分。</w:t>
            </w:r>
          </w:p>
        </w:tc>
        <w:tc>
          <w:tcPr>
            <w:tcW w:w="951" w:type="dxa"/>
            <w:noWrap w:val="0"/>
            <w:vAlign w:val="center"/>
          </w:tcPr>
          <w:p w14:paraId="6ACCF0D8">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31" w:type="dxa"/>
            <w:noWrap w:val="0"/>
            <w:vAlign w:val="top"/>
          </w:tcPr>
          <w:p w14:paraId="76E5D0AD">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3961C065">
            <w:pPr>
              <w:spacing w:line="360" w:lineRule="auto"/>
              <w:rPr>
                <w:rFonts w:hint="eastAsia" w:ascii="新宋体" w:hAnsi="新宋体" w:eastAsia="新宋体" w:cs="新宋体"/>
                <w:color w:val="auto"/>
                <w:sz w:val="24"/>
                <w:szCs w:val="24"/>
                <w:highlight w:val="none"/>
              </w:rPr>
            </w:pPr>
          </w:p>
        </w:tc>
      </w:tr>
      <w:tr w14:paraId="1E36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restart"/>
            <w:noWrap w:val="0"/>
            <w:vAlign w:val="center"/>
          </w:tcPr>
          <w:p w14:paraId="550F1752">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人员管理</w:t>
            </w:r>
          </w:p>
        </w:tc>
        <w:tc>
          <w:tcPr>
            <w:tcW w:w="5165" w:type="dxa"/>
            <w:noWrap w:val="0"/>
            <w:vAlign w:val="top"/>
          </w:tcPr>
          <w:p w14:paraId="1A92DD94">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工作时间（上午7：00-11：00，下午13：00-17：00）无缺勤情况，发现缺勤一人次扣2分。</w:t>
            </w:r>
          </w:p>
        </w:tc>
        <w:tc>
          <w:tcPr>
            <w:tcW w:w="951" w:type="dxa"/>
            <w:noWrap w:val="0"/>
            <w:vAlign w:val="center"/>
          </w:tcPr>
          <w:p w14:paraId="7606D7AF">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831" w:type="dxa"/>
            <w:noWrap w:val="0"/>
            <w:vAlign w:val="top"/>
          </w:tcPr>
          <w:p w14:paraId="41D4D66C">
            <w:pPr>
              <w:spacing w:line="360" w:lineRule="auto"/>
              <w:rPr>
                <w:rFonts w:hint="eastAsia" w:ascii="新宋体" w:hAnsi="新宋体" w:eastAsia="新宋体" w:cs="新宋体"/>
                <w:color w:val="auto"/>
                <w:sz w:val="24"/>
                <w:szCs w:val="24"/>
                <w:highlight w:val="none"/>
              </w:rPr>
            </w:pPr>
          </w:p>
        </w:tc>
        <w:tc>
          <w:tcPr>
            <w:tcW w:w="819" w:type="dxa"/>
            <w:vMerge w:val="restart"/>
            <w:noWrap w:val="0"/>
            <w:vAlign w:val="top"/>
          </w:tcPr>
          <w:p w14:paraId="206A657A">
            <w:pPr>
              <w:spacing w:line="360" w:lineRule="auto"/>
              <w:rPr>
                <w:rFonts w:hint="eastAsia" w:ascii="新宋体" w:hAnsi="新宋体" w:eastAsia="新宋体" w:cs="新宋体"/>
                <w:color w:val="auto"/>
                <w:sz w:val="24"/>
                <w:szCs w:val="24"/>
                <w:highlight w:val="none"/>
              </w:rPr>
            </w:pPr>
          </w:p>
        </w:tc>
      </w:tr>
      <w:tr w14:paraId="77A0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center"/>
          </w:tcPr>
          <w:p w14:paraId="35BFB45D">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682CD8F9">
            <w:pPr>
              <w:spacing w:line="360" w:lineRule="auto"/>
              <w:rPr>
                <w:rFonts w:hint="default" w:ascii="新宋体" w:hAnsi="新宋体" w:eastAsia="新宋体" w:cs="新宋体"/>
                <w:color w:val="auto"/>
                <w:sz w:val="24"/>
                <w:szCs w:val="24"/>
                <w:highlight w:val="none"/>
                <w:lang w:val="en-US" w:eastAsia="zh-CN"/>
              </w:rPr>
            </w:pPr>
            <w:r>
              <w:rPr>
                <w:rFonts w:hint="eastAsia" w:ascii="宋体" w:hAnsi="宋体" w:eastAsia="宋体" w:cs="宋体"/>
                <w:color w:val="auto"/>
                <w:sz w:val="24"/>
                <w:szCs w:val="24"/>
              </w:rPr>
              <w:t>保洁人员工作期间必须穿保洁工作服作业，发现一次扣1分；保洁人员工作时间手机保持畅通，出现一次关机或呼叫不通扣2分。</w:t>
            </w:r>
          </w:p>
        </w:tc>
        <w:tc>
          <w:tcPr>
            <w:tcW w:w="951" w:type="dxa"/>
            <w:noWrap w:val="0"/>
            <w:vAlign w:val="center"/>
          </w:tcPr>
          <w:p w14:paraId="2B35491D">
            <w:pPr>
              <w:spacing w:line="360" w:lineRule="auto"/>
              <w:jc w:val="center"/>
              <w:rPr>
                <w:rFonts w:hint="default" w:ascii="新宋体" w:hAnsi="新宋体" w:eastAsia="新宋体" w:cs="新宋体"/>
                <w:color w:val="auto"/>
                <w:sz w:val="24"/>
                <w:szCs w:val="24"/>
                <w:highlight w:val="none"/>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831" w:type="dxa"/>
            <w:noWrap w:val="0"/>
            <w:vAlign w:val="top"/>
          </w:tcPr>
          <w:p w14:paraId="2ABD7F9C">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4B4753CD">
            <w:pPr>
              <w:spacing w:line="360" w:lineRule="auto"/>
              <w:rPr>
                <w:rFonts w:hint="eastAsia" w:ascii="新宋体" w:hAnsi="新宋体" w:eastAsia="新宋体" w:cs="新宋体"/>
                <w:color w:val="auto"/>
                <w:sz w:val="24"/>
                <w:szCs w:val="24"/>
                <w:highlight w:val="none"/>
              </w:rPr>
            </w:pPr>
          </w:p>
        </w:tc>
      </w:tr>
      <w:tr w14:paraId="3978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restart"/>
            <w:noWrap w:val="0"/>
            <w:vAlign w:val="center"/>
          </w:tcPr>
          <w:p w14:paraId="2CE1BC5A">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督查督办</w:t>
            </w:r>
          </w:p>
        </w:tc>
        <w:tc>
          <w:tcPr>
            <w:tcW w:w="5165" w:type="dxa"/>
            <w:noWrap w:val="0"/>
            <w:vAlign w:val="top"/>
          </w:tcPr>
          <w:p w14:paraId="4756168F">
            <w:pPr>
              <w:spacing w:line="360" w:lineRule="auto"/>
              <w:rPr>
                <w:rFonts w:hint="default" w:ascii="新宋体" w:hAnsi="新宋体" w:eastAsia="新宋体" w:cs="新宋体"/>
                <w:color w:val="auto"/>
                <w:sz w:val="24"/>
                <w:szCs w:val="24"/>
                <w:highlight w:val="none"/>
                <w:lang w:val="en-US"/>
              </w:rPr>
            </w:pPr>
            <w:r>
              <w:rPr>
                <w:rFonts w:hint="eastAsia" w:ascii="宋体" w:hAnsi="宋体" w:eastAsia="宋体" w:cs="宋体"/>
                <w:color w:val="auto"/>
                <w:sz w:val="24"/>
                <w:szCs w:val="24"/>
              </w:rPr>
              <w:t>对上级</w:t>
            </w:r>
            <w:r>
              <w:rPr>
                <w:rFonts w:hint="eastAsia" w:ascii="宋体" w:hAnsi="宋体" w:cs="宋体"/>
                <w:color w:val="auto"/>
                <w:sz w:val="24"/>
                <w:szCs w:val="24"/>
                <w:lang w:eastAsia="zh-CN"/>
              </w:rPr>
              <w:t>及街道</w:t>
            </w:r>
            <w:r>
              <w:rPr>
                <w:rFonts w:hint="eastAsia" w:ascii="宋体" w:hAnsi="宋体" w:eastAsia="宋体" w:cs="宋体"/>
                <w:color w:val="auto"/>
                <w:sz w:val="24"/>
                <w:szCs w:val="24"/>
              </w:rPr>
              <w:t>布置的任务按时间要求完成。超出时限</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1次扣</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分，未</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1次扣</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951" w:type="dxa"/>
            <w:noWrap w:val="0"/>
            <w:vAlign w:val="center"/>
          </w:tcPr>
          <w:p w14:paraId="0E337A72">
            <w:pPr>
              <w:spacing w:line="360" w:lineRule="auto"/>
              <w:jc w:val="center"/>
              <w:rPr>
                <w:rFonts w:hint="eastAsia" w:ascii="新宋体" w:hAnsi="新宋体" w:eastAsia="新宋体" w:cs="新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831" w:type="dxa"/>
            <w:noWrap w:val="0"/>
            <w:vAlign w:val="top"/>
          </w:tcPr>
          <w:p w14:paraId="08DA06B6">
            <w:pPr>
              <w:spacing w:line="360" w:lineRule="auto"/>
              <w:rPr>
                <w:rFonts w:hint="eastAsia" w:ascii="新宋体" w:hAnsi="新宋体" w:eastAsia="新宋体" w:cs="新宋体"/>
                <w:color w:val="auto"/>
                <w:sz w:val="24"/>
                <w:szCs w:val="24"/>
                <w:highlight w:val="none"/>
              </w:rPr>
            </w:pPr>
          </w:p>
        </w:tc>
        <w:tc>
          <w:tcPr>
            <w:tcW w:w="819" w:type="dxa"/>
            <w:vMerge w:val="restart"/>
            <w:noWrap w:val="0"/>
            <w:vAlign w:val="top"/>
          </w:tcPr>
          <w:p w14:paraId="4305F870">
            <w:pPr>
              <w:spacing w:line="360" w:lineRule="auto"/>
              <w:rPr>
                <w:rFonts w:hint="eastAsia" w:ascii="新宋体" w:hAnsi="新宋体" w:eastAsia="新宋体" w:cs="新宋体"/>
                <w:color w:val="auto"/>
                <w:sz w:val="24"/>
                <w:szCs w:val="24"/>
                <w:highlight w:val="none"/>
              </w:rPr>
            </w:pPr>
          </w:p>
        </w:tc>
      </w:tr>
      <w:tr w14:paraId="7381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center"/>
          </w:tcPr>
          <w:p w14:paraId="367566CB">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7AA76A34">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及时提供整改前后照片，地点定位等信息，整改有专门记录。无记录或未提供照片、信息等每次扣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951" w:type="dxa"/>
            <w:noWrap w:val="0"/>
            <w:vAlign w:val="center"/>
          </w:tcPr>
          <w:p w14:paraId="499774C9">
            <w:pPr>
              <w:spacing w:line="360" w:lineRule="auto"/>
              <w:jc w:val="center"/>
              <w:rPr>
                <w:rFonts w:hint="default" w:ascii="新宋体" w:hAnsi="新宋体" w:eastAsia="新宋体" w:cs="新宋体"/>
                <w:color w:val="auto"/>
                <w:sz w:val="24"/>
                <w:szCs w:val="24"/>
                <w:highlight w:val="none"/>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831" w:type="dxa"/>
            <w:noWrap w:val="0"/>
            <w:vAlign w:val="top"/>
          </w:tcPr>
          <w:p w14:paraId="1468C250">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6CDFF646">
            <w:pPr>
              <w:spacing w:line="360" w:lineRule="auto"/>
              <w:rPr>
                <w:rFonts w:hint="eastAsia" w:ascii="新宋体" w:hAnsi="新宋体" w:eastAsia="新宋体" w:cs="新宋体"/>
                <w:color w:val="auto"/>
                <w:sz w:val="24"/>
                <w:szCs w:val="24"/>
                <w:highlight w:val="none"/>
              </w:rPr>
            </w:pPr>
          </w:p>
        </w:tc>
      </w:tr>
      <w:tr w14:paraId="6E3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center"/>
          </w:tcPr>
          <w:p w14:paraId="6E74E9DF">
            <w:pPr>
              <w:spacing w:line="360" w:lineRule="auto"/>
              <w:jc w:val="center"/>
              <w:rPr>
                <w:rFonts w:hint="eastAsia" w:ascii="新宋体" w:hAnsi="新宋体" w:eastAsia="新宋体" w:cs="新宋体"/>
                <w:color w:val="auto"/>
                <w:sz w:val="24"/>
                <w:szCs w:val="24"/>
                <w:highlight w:val="none"/>
              </w:rPr>
            </w:pPr>
          </w:p>
        </w:tc>
        <w:tc>
          <w:tcPr>
            <w:tcW w:w="5165" w:type="dxa"/>
            <w:noWrap w:val="0"/>
            <w:vAlign w:val="top"/>
          </w:tcPr>
          <w:p w14:paraId="0D52D93E">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上级下发的整改督办单等，涉及到河道保洁问题的，</w:t>
            </w:r>
            <w:r>
              <w:rPr>
                <w:rFonts w:hint="eastAsia" w:ascii="宋体" w:hAnsi="宋体" w:cs="宋体"/>
                <w:color w:val="auto"/>
                <w:sz w:val="24"/>
                <w:highlight w:val="none"/>
                <w:lang w:val="en-US" w:eastAsia="zh-CN"/>
              </w:rPr>
              <w:t>未及时处置扣5分，未处置或处置不到位的每次扣15分</w:t>
            </w:r>
            <w:r>
              <w:rPr>
                <w:rFonts w:hint="eastAsia" w:ascii="新宋体" w:hAnsi="新宋体" w:eastAsia="新宋体" w:cs="新宋体"/>
                <w:color w:val="auto"/>
                <w:sz w:val="24"/>
                <w:szCs w:val="24"/>
                <w:highlight w:val="none"/>
                <w:lang w:val="en-US" w:eastAsia="zh-CN"/>
              </w:rPr>
              <w:t>。</w:t>
            </w:r>
          </w:p>
        </w:tc>
        <w:tc>
          <w:tcPr>
            <w:tcW w:w="951" w:type="dxa"/>
            <w:noWrap w:val="0"/>
            <w:vAlign w:val="center"/>
          </w:tcPr>
          <w:p w14:paraId="4B70C88E">
            <w:pPr>
              <w:spacing w:line="360" w:lineRule="auto"/>
              <w:jc w:val="center"/>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31" w:type="dxa"/>
            <w:noWrap w:val="0"/>
            <w:vAlign w:val="top"/>
          </w:tcPr>
          <w:p w14:paraId="37A9537B">
            <w:pPr>
              <w:spacing w:line="360" w:lineRule="auto"/>
              <w:rPr>
                <w:rFonts w:hint="eastAsia" w:ascii="新宋体" w:hAnsi="新宋体" w:eastAsia="新宋体" w:cs="新宋体"/>
                <w:color w:val="auto"/>
                <w:sz w:val="24"/>
                <w:szCs w:val="24"/>
                <w:highlight w:val="none"/>
              </w:rPr>
            </w:pPr>
          </w:p>
        </w:tc>
        <w:tc>
          <w:tcPr>
            <w:tcW w:w="819" w:type="dxa"/>
            <w:vMerge w:val="continue"/>
            <w:noWrap w:val="0"/>
            <w:vAlign w:val="top"/>
          </w:tcPr>
          <w:p w14:paraId="0D9CE52C">
            <w:pPr>
              <w:spacing w:line="360" w:lineRule="auto"/>
              <w:rPr>
                <w:rFonts w:hint="eastAsia" w:ascii="新宋体" w:hAnsi="新宋体" w:eastAsia="新宋体" w:cs="新宋体"/>
                <w:color w:val="auto"/>
                <w:sz w:val="24"/>
                <w:szCs w:val="24"/>
                <w:highlight w:val="none"/>
              </w:rPr>
            </w:pPr>
          </w:p>
        </w:tc>
      </w:tr>
      <w:tr w14:paraId="0C00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center"/>
          </w:tcPr>
          <w:p w14:paraId="52F5DB81">
            <w:pPr>
              <w:spacing w:line="36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问题上报</w:t>
            </w:r>
          </w:p>
        </w:tc>
        <w:tc>
          <w:tcPr>
            <w:tcW w:w="5165" w:type="dxa"/>
            <w:noWrap w:val="0"/>
            <w:vAlign w:val="top"/>
          </w:tcPr>
          <w:p w14:paraId="1A2E4E6B">
            <w:pPr>
              <w:spacing w:line="360" w:lineRule="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保洁单位及时上报保洁中发现的入河排污口及影响河道通畅的隐患问题</w:t>
            </w:r>
            <w:r>
              <w:rPr>
                <w:rFonts w:hint="eastAsia" w:ascii="新宋体" w:hAnsi="新宋体" w:eastAsia="新宋体" w:cs="新宋体"/>
                <w:color w:val="auto"/>
                <w:sz w:val="24"/>
                <w:szCs w:val="24"/>
                <w:highlight w:val="none"/>
                <w:lang w:val="en-US" w:eastAsia="zh-CN"/>
              </w:rPr>
              <w:t>。未上报一处扣2分。</w:t>
            </w:r>
          </w:p>
        </w:tc>
        <w:tc>
          <w:tcPr>
            <w:tcW w:w="951" w:type="dxa"/>
            <w:noWrap w:val="0"/>
            <w:vAlign w:val="center"/>
          </w:tcPr>
          <w:p w14:paraId="0803ADD7">
            <w:pPr>
              <w:spacing w:line="360" w:lineRule="auto"/>
              <w:jc w:val="center"/>
              <w:rPr>
                <w:rFonts w:hint="default" w:ascii="新宋体" w:hAnsi="新宋体" w:eastAsia="新宋体" w:cs="新宋体"/>
                <w:color w:val="auto"/>
                <w:sz w:val="24"/>
                <w:szCs w:val="24"/>
                <w:highlight w:val="none"/>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831" w:type="dxa"/>
            <w:noWrap w:val="0"/>
            <w:vAlign w:val="top"/>
          </w:tcPr>
          <w:p w14:paraId="13D235D5">
            <w:pPr>
              <w:spacing w:line="360" w:lineRule="auto"/>
              <w:rPr>
                <w:rFonts w:hint="eastAsia" w:ascii="新宋体" w:hAnsi="新宋体" w:eastAsia="新宋体" w:cs="新宋体"/>
                <w:color w:val="auto"/>
                <w:sz w:val="24"/>
                <w:szCs w:val="24"/>
                <w:highlight w:val="none"/>
              </w:rPr>
            </w:pPr>
          </w:p>
        </w:tc>
        <w:tc>
          <w:tcPr>
            <w:tcW w:w="819" w:type="dxa"/>
            <w:noWrap w:val="0"/>
            <w:vAlign w:val="top"/>
          </w:tcPr>
          <w:p w14:paraId="529C288E">
            <w:pPr>
              <w:spacing w:line="360" w:lineRule="auto"/>
              <w:rPr>
                <w:rFonts w:hint="eastAsia" w:ascii="新宋体" w:hAnsi="新宋体" w:eastAsia="新宋体" w:cs="新宋体"/>
                <w:color w:val="auto"/>
                <w:sz w:val="24"/>
                <w:szCs w:val="24"/>
                <w:highlight w:val="none"/>
              </w:rPr>
            </w:pPr>
          </w:p>
        </w:tc>
      </w:tr>
      <w:tr w14:paraId="1A56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noWrap w:val="0"/>
            <w:vAlign w:val="top"/>
          </w:tcPr>
          <w:p w14:paraId="401A3BC7">
            <w:pPr>
              <w:spacing w:line="360" w:lineRule="auto"/>
              <w:rPr>
                <w:rFonts w:hint="eastAsia" w:ascii="宋体" w:hAnsi="宋体" w:eastAsia="宋体" w:cs="宋体"/>
                <w:sz w:val="24"/>
                <w:szCs w:val="24"/>
              </w:rPr>
            </w:pPr>
            <w:r>
              <w:rPr>
                <w:rFonts w:hint="eastAsia" w:ascii="宋体" w:hAnsi="宋体" w:eastAsia="宋体" w:cs="宋体"/>
                <w:sz w:val="24"/>
                <w:szCs w:val="24"/>
              </w:rPr>
              <w:t>合计</w:t>
            </w:r>
          </w:p>
          <w:p w14:paraId="40C4481D">
            <w:pPr>
              <w:spacing w:line="360" w:lineRule="auto"/>
              <w:rPr>
                <w:rFonts w:hint="eastAsia" w:ascii="新宋体" w:hAnsi="新宋体" w:eastAsia="新宋体" w:cs="新宋体"/>
                <w:color w:val="auto"/>
                <w:sz w:val="24"/>
                <w:szCs w:val="24"/>
                <w:highlight w:val="none"/>
              </w:rPr>
            </w:pPr>
            <w:r>
              <w:rPr>
                <w:rFonts w:hint="eastAsia" w:ascii="宋体" w:hAnsi="宋体" w:eastAsia="宋体" w:cs="宋体"/>
                <w:sz w:val="24"/>
                <w:szCs w:val="24"/>
              </w:rPr>
              <w:t>得分</w:t>
            </w:r>
          </w:p>
        </w:tc>
        <w:tc>
          <w:tcPr>
            <w:tcW w:w="5165" w:type="dxa"/>
            <w:noWrap w:val="0"/>
            <w:vAlign w:val="top"/>
          </w:tcPr>
          <w:p w14:paraId="228170E7">
            <w:pPr>
              <w:spacing w:line="360" w:lineRule="auto"/>
              <w:rPr>
                <w:rFonts w:hint="eastAsia" w:ascii="新宋体" w:hAnsi="新宋体" w:eastAsia="新宋体" w:cs="新宋体"/>
                <w:color w:val="auto"/>
                <w:sz w:val="24"/>
                <w:szCs w:val="24"/>
                <w:highlight w:val="none"/>
              </w:rPr>
            </w:pPr>
          </w:p>
        </w:tc>
        <w:tc>
          <w:tcPr>
            <w:tcW w:w="951" w:type="dxa"/>
            <w:noWrap w:val="0"/>
            <w:vAlign w:val="center"/>
          </w:tcPr>
          <w:p w14:paraId="406B6E96">
            <w:pPr>
              <w:spacing w:line="360" w:lineRule="auto"/>
              <w:jc w:val="center"/>
              <w:rPr>
                <w:rFonts w:hint="eastAsia" w:ascii="新宋体" w:hAnsi="新宋体" w:eastAsia="新宋体" w:cs="新宋体"/>
                <w:color w:val="auto"/>
                <w:sz w:val="24"/>
                <w:szCs w:val="24"/>
                <w:highlight w:val="none"/>
              </w:rPr>
            </w:pPr>
          </w:p>
        </w:tc>
        <w:tc>
          <w:tcPr>
            <w:tcW w:w="831" w:type="dxa"/>
            <w:noWrap w:val="0"/>
            <w:vAlign w:val="top"/>
          </w:tcPr>
          <w:p w14:paraId="09677937">
            <w:pPr>
              <w:spacing w:line="360" w:lineRule="auto"/>
              <w:rPr>
                <w:rFonts w:hint="eastAsia" w:ascii="新宋体" w:hAnsi="新宋体" w:eastAsia="新宋体" w:cs="新宋体"/>
                <w:color w:val="auto"/>
                <w:sz w:val="24"/>
                <w:szCs w:val="24"/>
                <w:highlight w:val="none"/>
              </w:rPr>
            </w:pPr>
          </w:p>
        </w:tc>
        <w:tc>
          <w:tcPr>
            <w:tcW w:w="819" w:type="dxa"/>
            <w:noWrap w:val="0"/>
            <w:vAlign w:val="top"/>
          </w:tcPr>
          <w:p w14:paraId="5002CD2D">
            <w:pPr>
              <w:spacing w:line="360" w:lineRule="auto"/>
              <w:rPr>
                <w:rFonts w:hint="eastAsia" w:ascii="新宋体" w:hAnsi="新宋体" w:eastAsia="新宋体" w:cs="新宋体"/>
                <w:color w:val="auto"/>
                <w:sz w:val="24"/>
                <w:szCs w:val="24"/>
                <w:highlight w:val="none"/>
              </w:rPr>
            </w:pPr>
          </w:p>
        </w:tc>
      </w:tr>
    </w:tbl>
    <w:p w14:paraId="4955FEB5">
      <w:pPr>
        <w:rPr>
          <w:rFonts w:hint="default" w:ascii="仿宋" w:hAnsi="仿宋" w:eastAsia="仿宋" w:cs="仿宋"/>
          <w:b/>
          <w:color w:val="auto"/>
          <w:sz w:val="36"/>
          <w:szCs w:val="36"/>
          <w:highlight w:val="none"/>
          <w:lang w:val="en-US" w:eastAsia="zh-CN"/>
        </w:rPr>
      </w:pPr>
      <w:r>
        <w:rPr>
          <w:rFonts w:hint="default" w:ascii="仿宋" w:hAnsi="仿宋" w:eastAsia="仿宋" w:cs="仿宋"/>
          <w:b/>
          <w:color w:val="auto"/>
          <w:sz w:val="36"/>
          <w:szCs w:val="36"/>
          <w:highlight w:val="none"/>
          <w:lang w:val="en-US" w:eastAsia="zh-CN"/>
        </w:rPr>
        <w:br w:type="page"/>
      </w:r>
    </w:p>
    <w:p w14:paraId="1B72A8E6">
      <w:pPr>
        <w:pStyle w:val="671"/>
        <w:ind w:left="0" w:leftChars="0" w:firstLine="0" w:firstLineChars="0"/>
        <w:rPr>
          <w:rFonts w:hint="eastAsia"/>
          <w:b/>
          <w:bCs/>
          <w:lang w:val="en-US" w:eastAsia="zh-CN"/>
        </w:rPr>
      </w:pPr>
      <w:r>
        <w:rPr>
          <w:rFonts w:hint="eastAsia"/>
          <w:b/>
          <w:bCs/>
          <w:lang w:val="en-US" w:eastAsia="zh-CN"/>
        </w:rPr>
        <w:t>附表一：</w:t>
      </w:r>
    </w:p>
    <w:p w14:paraId="06B99EF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前进街道河道保洁明细表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25"/>
        <w:gridCol w:w="3150"/>
        <w:gridCol w:w="1442"/>
      </w:tblGrid>
      <w:tr w14:paraId="77B8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2FF2EB6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序号</w:t>
            </w:r>
          </w:p>
        </w:tc>
        <w:tc>
          <w:tcPr>
            <w:tcW w:w="3125" w:type="dxa"/>
            <w:noWrap w:val="0"/>
            <w:vAlign w:val="top"/>
          </w:tcPr>
          <w:p w14:paraId="65BF090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河道</w:t>
            </w:r>
            <w:r>
              <w:rPr>
                <w:rFonts w:hint="eastAsia" w:ascii="宋体" w:hAnsi="宋体" w:eastAsia="宋体" w:cs="宋体"/>
                <w:color w:val="auto"/>
                <w:sz w:val="24"/>
                <w:szCs w:val="24"/>
                <w:highlight w:val="none"/>
                <w:lang w:eastAsia="zh-CN"/>
              </w:rPr>
              <w:t>（小微水体）名称</w:t>
            </w:r>
          </w:p>
        </w:tc>
        <w:tc>
          <w:tcPr>
            <w:tcW w:w="3150" w:type="dxa"/>
            <w:noWrap w:val="0"/>
            <w:vAlign w:val="top"/>
          </w:tcPr>
          <w:p w14:paraId="0B6C13C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起止地点</w:t>
            </w:r>
          </w:p>
        </w:tc>
        <w:tc>
          <w:tcPr>
            <w:tcW w:w="1442" w:type="dxa"/>
            <w:noWrap w:val="0"/>
            <w:vAlign w:val="top"/>
          </w:tcPr>
          <w:p w14:paraId="448962B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长度（米）</w:t>
            </w:r>
          </w:p>
        </w:tc>
      </w:tr>
      <w:tr w14:paraId="055B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3BE113D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3125" w:type="dxa"/>
            <w:noWrap w:val="0"/>
            <w:vAlign w:val="top"/>
          </w:tcPr>
          <w:p w14:paraId="3CB2E8C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围垦沿塘河</w:t>
            </w:r>
          </w:p>
        </w:tc>
        <w:tc>
          <w:tcPr>
            <w:tcW w:w="3150" w:type="dxa"/>
            <w:noWrap w:val="0"/>
            <w:vAlign w:val="top"/>
          </w:tcPr>
          <w:p w14:paraId="624633B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七工段直河至九工段直河</w:t>
            </w:r>
          </w:p>
        </w:tc>
        <w:tc>
          <w:tcPr>
            <w:tcW w:w="1442" w:type="dxa"/>
            <w:noWrap w:val="0"/>
            <w:vAlign w:val="top"/>
          </w:tcPr>
          <w:p w14:paraId="63E05EC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5300</w:t>
            </w:r>
          </w:p>
        </w:tc>
      </w:tr>
      <w:tr w14:paraId="0AFB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25F6087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3125" w:type="dxa"/>
            <w:noWrap w:val="0"/>
            <w:vAlign w:val="top"/>
          </w:tcPr>
          <w:p w14:paraId="0438EFA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抢险河</w:t>
            </w:r>
          </w:p>
        </w:tc>
        <w:tc>
          <w:tcPr>
            <w:tcW w:w="3150" w:type="dxa"/>
            <w:noWrap w:val="0"/>
            <w:vAlign w:val="top"/>
          </w:tcPr>
          <w:p w14:paraId="7F74B12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外七工段至外九工段桥</w:t>
            </w:r>
          </w:p>
        </w:tc>
        <w:tc>
          <w:tcPr>
            <w:tcW w:w="1442" w:type="dxa"/>
            <w:noWrap w:val="0"/>
            <w:vAlign w:val="top"/>
          </w:tcPr>
          <w:p w14:paraId="3E666E0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6500</w:t>
            </w:r>
          </w:p>
        </w:tc>
      </w:tr>
      <w:tr w14:paraId="72B9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3E86B80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3125" w:type="dxa"/>
            <w:noWrap w:val="0"/>
            <w:vAlign w:val="top"/>
          </w:tcPr>
          <w:p w14:paraId="5CA21AC0">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九工段直河</w:t>
            </w:r>
          </w:p>
        </w:tc>
        <w:tc>
          <w:tcPr>
            <w:tcW w:w="3150" w:type="dxa"/>
            <w:noWrap w:val="0"/>
            <w:vAlign w:val="top"/>
          </w:tcPr>
          <w:p w14:paraId="77CF801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围垦沿塘河至抢险河</w:t>
            </w:r>
          </w:p>
        </w:tc>
        <w:tc>
          <w:tcPr>
            <w:tcW w:w="1442" w:type="dxa"/>
            <w:noWrap w:val="0"/>
            <w:vAlign w:val="top"/>
          </w:tcPr>
          <w:p w14:paraId="2B06100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3000</w:t>
            </w:r>
          </w:p>
        </w:tc>
      </w:tr>
      <w:tr w14:paraId="0862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3F73CC2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3125" w:type="dxa"/>
            <w:noWrap w:val="0"/>
            <w:vAlign w:val="top"/>
          </w:tcPr>
          <w:p w14:paraId="7990A4D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0.7万亩沿塘河</w:t>
            </w:r>
          </w:p>
        </w:tc>
        <w:tc>
          <w:tcPr>
            <w:tcW w:w="3150" w:type="dxa"/>
            <w:noWrap w:val="0"/>
            <w:vAlign w:val="top"/>
          </w:tcPr>
          <w:p w14:paraId="555B6C2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八一闸至九工段直河</w:t>
            </w:r>
          </w:p>
        </w:tc>
        <w:tc>
          <w:tcPr>
            <w:tcW w:w="1442" w:type="dxa"/>
            <w:noWrap w:val="0"/>
            <w:vAlign w:val="top"/>
          </w:tcPr>
          <w:p w14:paraId="2BFDB58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3300</w:t>
            </w:r>
          </w:p>
        </w:tc>
      </w:tr>
      <w:tr w14:paraId="6F42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9EFCF32">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3125" w:type="dxa"/>
            <w:noWrap w:val="0"/>
            <w:vAlign w:val="top"/>
          </w:tcPr>
          <w:p w14:paraId="4010AB3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八二直河</w:t>
            </w:r>
          </w:p>
        </w:tc>
        <w:tc>
          <w:tcPr>
            <w:tcW w:w="3150" w:type="dxa"/>
            <w:noWrap w:val="0"/>
            <w:vAlign w:val="top"/>
          </w:tcPr>
          <w:p w14:paraId="2E7F2610">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八二闸至抢险河</w:t>
            </w:r>
          </w:p>
        </w:tc>
        <w:tc>
          <w:tcPr>
            <w:tcW w:w="1442" w:type="dxa"/>
            <w:noWrap w:val="0"/>
            <w:vAlign w:val="top"/>
          </w:tcPr>
          <w:p w14:paraId="605F988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1400</w:t>
            </w:r>
          </w:p>
        </w:tc>
      </w:tr>
      <w:tr w14:paraId="515D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413E02C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3125" w:type="dxa"/>
            <w:noWrap w:val="0"/>
            <w:vAlign w:val="top"/>
          </w:tcPr>
          <w:p w14:paraId="0057C6E9">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一万亩中心横河</w:t>
            </w:r>
          </w:p>
        </w:tc>
        <w:tc>
          <w:tcPr>
            <w:tcW w:w="3150" w:type="dxa"/>
            <w:noWrap w:val="0"/>
            <w:vAlign w:val="top"/>
          </w:tcPr>
          <w:p w14:paraId="3BA5815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抢险河至九工段直河</w:t>
            </w:r>
          </w:p>
        </w:tc>
        <w:tc>
          <w:tcPr>
            <w:tcW w:w="1442" w:type="dxa"/>
            <w:noWrap w:val="0"/>
            <w:vAlign w:val="top"/>
          </w:tcPr>
          <w:p w14:paraId="4A37ACC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2300</w:t>
            </w:r>
          </w:p>
        </w:tc>
      </w:tr>
      <w:tr w14:paraId="668B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707548D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125" w:type="dxa"/>
            <w:noWrap w:val="0"/>
            <w:vAlign w:val="top"/>
          </w:tcPr>
          <w:p w14:paraId="0406E07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新峰横河</w:t>
            </w:r>
          </w:p>
        </w:tc>
        <w:tc>
          <w:tcPr>
            <w:tcW w:w="3150" w:type="dxa"/>
            <w:noWrap w:val="0"/>
            <w:vAlign w:val="top"/>
          </w:tcPr>
          <w:p w14:paraId="215F1B2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九工段直河至东升界</w:t>
            </w:r>
          </w:p>
        </w:tc>
        <w:tc>
          <w:tcPr>
            <w:tcW w:w="1442" w:type="dxa"/>
            <w:noWrap w:val="0"/>
            <w:vAlign w:val="top"/>
          </w:tcPr>
          <w:p w14:paraId="72AD6D12">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1300</w:t>
            </w:r>
          </w:p>
        </w:tc>
      </w:tr>
      <w:tr w14:paraId="3C41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12CF497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125" w:type="dxa"/>
            <w:noWrap w:val="0"/>
            <w:vAlign w:val="top"/>
          </w:tcPr>
          <w:p w14:paraId="22333A3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前峰横直河</w:t>
            </w:r>
          </w:p>
        </w:tc>
        <w:tc>
          <w:tcPr>
            <w:tcW w:w="3150" w:type="dxa"/>
            <w:noWrap w:val="0"/>
            <w:vAlign w:val="top"/>
          </w:tcPr>
          <w:p w14:paraId="5F28E217">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前峰村东界至西界</w:t>
            </w:r>
          </w:p>
        </w:tc>
        <w:tc>
          <w:tcPr>
            <w:tcW w:w="1442" w:type="dxa"/>
            <w:noWrap w:val="0"/>
            <w:vAlign w:val="top"/>
          </w:tcPr>
          <w:p w14:paraId="6CE5282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r>
      <w:tr w14:paraId="68B0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14FF85D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125" w:type="dxa"/>
            <w:noWrap w:val="0"/>
            <w:vAlign w:val="top"/>
          </w:tcPr>
          <w:p w14:paraId="4A2E01A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海丰横直河</w:t>
            </w:r>
          </w:p>
        </w:tc>
        <w:tc>
          <w:tcPr>
            <w:tcW w:w="3150" w:type="dxa"/>
            <w:noWrap w:val="0"/>
            <w:vAlign w:val="top"/>
          </w:tcPr>
          <w:p w14:paraId="575263E5">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九工段直河至四联闸横河</w:t>
            </w:r>
          </w:p>
        </w:tc>
        <w:tc>
          <w:tcPr>
            <w:tcW w:w="1442" w:type="dxa"/>
            <w:noWrap w:val="0"/>
            <w:vAlign w:val="top"/>
          </w:tcPr>
          <w:p w14:paraId="1E425DA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2100</w:t>
            </w:r>
          </w:p>
        </w:tc>
      </w:tr>
      <w:tr w14:paraId="48B0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1F7D2FBA">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125" w:type="dxa"/>
            <w:noWrap w:val="0"/>
            <w:vAlign w:val="top"/>
          </w:tcPr>
          <w:p w14:paraId="5D0D043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山海直河</w:t>
            </w:r>
          </w:p>
        </w:tc>
        <w:tc>
          <w:tcPr>
            <w:tcW w:w="3150" w:type="dxa"/>
            <w:noWrap w:val="0"/>
            <w:vAlign w:val="top"/>
          </w:tcPr>
          <w:p w14:paraId="2BFE04FB">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四联闸横河至四工段横河</w:t>
            </w:r>
          </w:p>
        </w:tc>
        <w:tc>
          <w:tcPr>
            <w:tcW w:w="1442" w:type="dxa"/>
            <w:noWrap w:val="0"/>
            <w:vAlign w:val="top"/>
          </w:tcPr>
          <w:p w14:paraId="04D67BB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1400</w:t>
            </w:r>
          </w:p>
        </w:tc>
      </w:tr>
      <w:tr w14:paraId="6C53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0C55800">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125" w:type="dxa"/>
            <w:noWrap w:val="0"/>
            <w:vAlign w:val="top"/>
          </w:tcPr>
          <w:p w14:paraId="3F439C3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丰乐直河</w:t>
            </w:r>
          </w:p>
        </w:tc>
        <w:tc>
          <w:tcPr>
            <w:tcW w:w="3150" w:type="dxa"/>
            <w:noWrap w:val="0"/>
            <w:vAlign w:val="top"/>
          </w:tcPr>
          <w:p w14:paraId="37F37D9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四工段横河至围垦沿塘河</w:t>
            </w:r>
          </w:p>
        </w:tc>
        <w:tc>
          <w:tcPr>
            <w:tcW w:w="1442" w:type="dxa"/>
            <w:noWrap w:val="0"/>
            <w:vAlign w:val="top"/>
          </w:tcPr>
          <w:p w14:paraId="5F0B6D7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2200</w:t>
            </w:r>
          </w:p>
        </w:tc>
      </w:tr>
      <w:tr w14:paraId="0C9B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0CBBB90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125" w:type="dxa"/>
            <w:noWrap w:val="0"/>
            <w:vAlign w:val="top"/>
          </w:tcPr>
          <w:p w14:paraId="0EF466B8">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三垦中心横</w:t>
            </w:r>
            <w:r>
              <w:rPr>
                <w:rFonts w:hint="eastAsia" w:ascii="宋体" w:hAnsi="宋体" w:eastAsia="宋体" w:cs="宋体"/>
                <w:color w:val="auto"/>
                <w:sz w:val="24"/>
                <w:szCs w:val="24"/>
                <w:highlight w:val="none"/>
                <w:lang w:eastAsia="zh-CN"/>
              </w:rPr>
              <w:t>渠（小微水体）</w:t>
            </w:r>
          </w:p>
        </w:tc>
        <w:tc>
          <w:tcPr>
            <w:tcW w:w="3150" w:type="dxa"/>
            <w:noWrap w:val="0"/>
            <w:vAlign w:val="top"/>
          </w:tcPr>
          <w:p w14:paraId="6FEEFEA1">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丰乐直河至靖江垦种</w:t>
            </w:r>
          </w:p>
        </w:tc>
        <w:tc>
          <w:tcPr>
            <w:tcW w:w="1442" w:type="dxa"/>
            <w:noWrap w:val="0"/>
            <w:vAlign w:val="top"/>
          </w:tcPr>
          <w:p w14:paraId="378FD214">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w:t>
            </w:r>
          </w:p>
        </w:tc>
      </w:tr>
      <w:tr w14:paraId="509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CD5ABE3">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125" w:type="dxa"/>
            <w:noWrap w:val="0"/>
            <w:vAlign w:val="top"/>
          </w:tcPr>
          <w:p w14:paraId="56BCE147">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三垦中心直渠（小微水体）</w:t>
            </w:r>
          </w:p>
        </w:tc>
        <w:tc>
          <w:tcPr>
            <w:tcW w:w="3150" w:type="dxa"/>
            <w:noWrap w:val="0"/>
            <w:vAlign w:val="top"/>
          </w:tcPr>
          <w:p w14:paraId="7F0C4976">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四工段横河至围垦沿塘河</w:t>
            </w:r>
          </w:p>
        </w:tc>
        <w:tc>
          <w:tcPr>
            <w:tcW w:w="1442" w:type="dxa"/>
            <w:noWrap w:val="0"/>
            <w:vAlign w:val="top"/>
          </w:tcPr>
          <w:p w14:paraId="7D52223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1825</w:t>
            </w:r>
          </w:p>
        </w:tc>
      </w:tr>
      <w:tr w14:paraId="07E7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625398D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125" w:type="dxa"/>
            <w:noWrap w:val="0"/>
            <w:vAlign w:val="top"/>
          </w:tcPr>
          <w:p w14:paraId="4F3D9D3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横梗头中心直渠（小微水体）</w:t>
            </w:r>
          </w:p>
        </w:tc>
        <w:tc>
          <w:tcPr>
            <w:tcW w:w="3150" w:type="dxa"/>
            <w:noWrap w:val="0"/>
            <w:vAlign w:val="top"/>
          </w:tcPr>
          <w:p w14:paraId="2756E6DD">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四工段横河至围垦沿塘河</w:t>
            </w:r>
          </w:p>
        </w:tc>
        <w:tc>
          <w:tcPr>
            <w:tcW w:w="1442" w:type="dxa"/>
            <w:noWrap w:val="0"/>
            <w:vAlign w:val="top"/>
          </w:tcPr>
          <w:p w14:paraId="1554A4EF">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1220</w:t>
            </w:r>
          </w:p>
        </w:tc>
      </w:tr>
      <w:tr w14:paraId="70AF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gridSpan w:val="2"/>
            <w:noWrap w:val="0"/>
            <w:vAlign w:val="top"/>
          </w:tcPr>
          <w:p w14:paraId="2D416CBC">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50" w:type="dxa"/>
            <w:noWrap w:val="0"/>
            <w:vAlign w:val="top"/>
          </w:tcPr>
          <w:p w14:paraId="78AE25F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p>
        </w:tc>
        <w:tc>
          <w:tcPr>
            <w:tcW w:w="1442" w:type="dxa"/>
            <w:noWrap w:val="0"/>
            <w:vAlign w:val="top"/>
          </w:tcPr>
          <w:p w14:paraId="47EE7EDE">
            <w:pPr>
              <w:keepNext w:val="0"/>
              <w:keepLines w:val="0"/>
              <w:pageBreakBefore w:val="0"/>
              <w:kinsoku/>
              <w:wordWrap/>
              <w:overflowPunct/>
              <w:topLinePunct w:val="0"/>
              <w:bidi w:val="0"/>
              <w:adjustRightInd/>
              <w:snapToGrid/>
              <w:spacing w:line="48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34745</w:t>
            </w:r>
          </w:p>
        </w:tc>
      </w:tr>
    </w:tbl>
    <w:p w14:paraId="7AAECACB">
      <w:pPr>
        <w:pStyle w:val="671"/>
        <w:rPr>
          <w:rFonts w:hint="default"/>
          <w:lang w:val="en-US" w:eastAsia="zh-CN"/>
        </w:rPr>
      </w:pPr>
    </w:p>
    <w:p w14:paraId="05EFAF24">
      <w:pPr>
        <w:spacing w:line="360" w:lineRule="auto"/>
        <w:ind w:firstLine="562" w:firstLineChars="200"/>
        <w:jc w:val="left"/>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注：采购人保留对合同条款修改的权力</w:t>
      </w:r>
      <w:r>
        <w:rPr>
          <w:rFonts w:hint="eastAsia" w:ascii="宋体" w:hAnsi="宋体" w:eastAsia="宋体" w:cs="宋体"/>
          <w:b/>
          <w:bCs/>
          <w:color w:val="auto"/>
          <w:sz w:val="28"/>
          <w:szCs w:val="28"/>
          <w:highlight w:val="none"/>
        </w:rPr>
        <w:br w:type="page"/>
      </w:r>
    </w:p>
    <w:p w14:paraId="2FC67C5C">
      <w:pPr>
        <w:rPr>
          <w:rFonts w:hint="eastAsia" w:ascii="宋体" w:hAnsi="宋体" w:eastAsia="宋体" w:cs="宋体"/>
          <w:color w:val="auto"/>
          <w:highlight w:val="none"/>
        </w:rPr>
      </w:pPr>
    </w:p>
    <w:p w14:paraId="1B4561A3">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3"/>
      <w:r>
        <w:rPr>
          <w:rFonts w:hint="eastAsia" w:ascii="宋体" w:hAnsi="宋体" w:eastAsia="宋体" w:cs="宋体"/>
          <w:b/>
          <w:color w:val="auto"/>
          <w:sz w:val="36"/>
          <w:szCs w:val="20"/>
          <w:highlight w:val="none"/>
        </w:rPr>
        <w:t xml:space="preserve"> </w:t>
      </w:r>
      <w:bookmarkEnd w:id="384"/>
      <w:r>
        <w:rPr>
          <w:rFonts w:hint="eastAsia" w:ascii="宋体" w:hAnsi="宋体" w:eastAsia="宋体" w:cs="宋体"/>
          <w:b/>
          <w:color w:val="auto"/>
          <w:sz w:val="36"/>
          <w:szCs w:val="20"/>
          <w:highlight w:val="none"/>
        </w:rPr>
        <w:t>应提交的有关格式范例</w:t>
      </w:r>
    </w:p>
    <w:p w14:paraId="2935847F">
      <w:pPr>
        <w:spacing w:line="360" w:lineRule="auto"/>
        <w:jc w:val="center"/>
        <w:outlineLvl w:val="0"/>
        <w:rPr>
          <w:rFonts w:hint="eastAsia" w:ascii="宋体" w:hAnsi="宋体" w:eastAsia="宋体" w:cs="宋体"/>
          <w:b/>
          <w:color w:val="auto"/>
          <w:kern w:val="0"/>
          <w:sz w:val="36"/>
          <w:szCs w:val="36"/>
          <w:highlight w:val="none"/>
        </w:rPr>
      </w:pPr>
    </w:p>
    <w:p w14:paraId="565FA47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C2A218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AADAF57">
      <w:pPr>
        <w:spacing w:line="360" w:lineRule="auto"/>
        <w:jc w:val="center"/>
        <w:outlineLvl w:val="0"/>
        <w:rPr>
          <w:rFonts w:hint="eastAsia" w:ascii="宋体" w:hAnsi="宋体" w:eastAsia="宋体" w:cs="宋体"/>
          <w:b/>
          <w:color w:val="auto"/>
          <w:kern w:val="0"/>
          <w:sz w:val="36"/>
          <w:szCs w:val="36"/>
          <w:highlight w:val="none"/>
        </w:rPr>
      </w:pPr>
    </w:p>
    <w:p w14:paraId="18290D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7EF4623">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E8588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49E581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C185F55">
      <w:pPr>
        <w:snapToGrid w:val="0"/>
        <w:spacing w:line="360" w:lineRule="auto"/>
        <w:ind w:firstLine="480" w:firstLineChars="200"/>
        <w:rPr>
          <w:rFonts w:hint="eastAsia" w:ascii="宋体" w:hAnsi="宋体" w:eastAsia="宋体" w:cs="宋体"/>
          <w:color w:val="auto"/>
          <w:sz w:val="24"/>
          <w:highlight w:val="none"/>
        </w:rPr>
      </w:pPr>
    </w:p>
    <w:p w14:paraId="1E391770">
      <w:pPr>
        <w:spacing w:line="360" w:lineRule="auto"/>
        <w:ind w:firstLine="480" w:firstLineChars="200"/>
        <w:rPr>
          <w:rFonts w:hint="eastAsia" w:ascii="宋体" w:hAnsi="宋体" w:eastAsia="宋体" w:cs="宋体"/>
          <w:color w:val="auto"/>
          <w:sz w:val="24"/>
          <w:highlight w:val="none"/>
        </w:rPr>
      </w:pPr>
    </w:p>
    <w:p w14:paraId="324549F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275B9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E20E6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669A9FA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B4F40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70019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091F7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6D6D4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1F2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10BCB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81F7D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F2A3C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5FE41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F7780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C0F319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46752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EE711E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155B8E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8CE033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CFAAB7E">
      <w:pPr>
        <w:snapToGrid w:val="0"/>
        <w:spacing w:line="360" w:lineRule="auto"/>
        <w:ind w:right="480"/>
        <w:jc w:val="center"/>
        <w:rPr>
          <w:rFonts w:hint="eastAsia" w:ascii="宋体" w:hAnsi="宋体" w:eastAsia="宋体" w:cs="宋体"/>
          <w:b/>
          <w:color w:val="auto"/>
          <w:kern w:val="0"/>
          <w:sz w:val="32"/>
          <w:szCs w:val="32"/>
          <w:highlight w:val="none"/>
        </w:rPr>
      </w:pPr>
    </w:p>
    <w:p w14:paraId="7EB8EE03">
      <w:pPr>
        <w:snapToGrid w:val="0"/>
        <w:spacing w:line="360" w:lineRule="auto"/>
        <w:ind w:right="480"/>
        <w:jc w:val="center"/>
        <w:rPr>
          <w:rFonts w:hint="eastAsia" w:ascii="宋体" w:hAnsi="宋体" w:eastAsia="宋体" w:cs="宋体"/>
          <w:b/>
          <w:color w:val="auto"/>
          <w:kern w:val="0"/>
          <w:sz w:val="32"/>
          <w:szCs w:val="32"/>
          <w:highlight w:val="none"/>
        </w:rPr>
      </w:pPr>
    </w:p>
    <w:p w14:paraId="0EDF4E2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986C9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8426C9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w:t>
      </w:r>
      <w:r>
        <w:rPr>
          <w:rFonts w:hint="eastAsia" w:ascii="宋体" w:hAnsi="宋体" w:cs="宋体"/>
          <w:color w:val="auto"/>
          <w:sz w:val="24"/>
          <w:highlight w:val="none"/>
          <w14:ligatures w14:val="none"/>
        </w:rPr>
        <w:t>专门面向中小企业，服务全部由符合政策要求的中小企业（或小微企业）承接的，提供相应的中小企业声明函（附件</w:t>
      </w:r>
      <w:r>
        <w:rPr>
          <w:rFonts w:ascii="宋体" w:hAnsi="宋体" w:cs="宋体"/>
          <w:color w:val="auto"/>
          <w:sz w:val="24"/>
          <w:highlight w:val="none"/>
          <w14:ligatures w14:val="none"/>
        </w:rPr>
        <w:t>7</w:t>
      </w:r>
      <w:r>
        <w:rPr>
          <w:rFonts w:hint="eastAsia" w:ascii="宋体" w:hAnsi="宋体" w:cs="宋体"/>
          <w:color w:val="auto"/>
          <w:sz w:val="24"/>
          <w:highlight w:val="none"/>
          <w14:ligatures w14:val="none"/>
        </w:rPr>
        <w:t>）</w:t>
      </w:r>
      <w:r>
        <w:rPr>
          <w:rFonts w:hint="eastAsia" w:ascii="宋体" w:hAnsi="宋体" w:eastAsia="宋体" w:cs="宋体"/>
          <w:color w:val="auto"/>
          <w:sz w:val="24"/>
          <w:highlight w:val="none"/>
        </w:rPr>
        <w:t xml:space="preserve">。 </w:t>
      </w:r>
    </w:p>
    <w:p w14:paraId="272E3490">
      <w:pPr>
        <w:shd w:val="clear" w:color="auto" w:fill="auto"/>
        <w:spacing w:line="360" w:lineRule="auto"/>
        <w:ind w:firstLine="482" w:firstLineChars="150"/>
        <w:jc w:val="center"/>
        <w:rPr>
          <w:rFonts w:hint="eastAsia" w:ascii="宋体" w:hAnsi="宋体" w:cs="宋体"/>
          <w:color w:val="auto"/>
          <w:sz w:val="24"/>
          <w:highlight w:val="none"/>
        </w:rPr>
      </w:pPr>
      <w:r>
        <w:rPr>
          <w:rFonts w:hint="eastAsia" w:ascii="宋体" w:hAnsi="宋体" w:eastAsia="宋体" w:cs="宋体"/>
          <w:b/>
          <w:color w:val="auto"/>
          <w:sz w:val="32"/>
          <w:szCs w:val="32"/>
          <w:highlight w:val="none"/>
        </w:rPr>
        <w:t>中小企业声明函（服务）</w:t>
      </w:r>
    </w:p>
    <w:p w14:paraId="1B7F6129">
      <w:pPr>
        <w:shd w:val="clear" w:color="auto" w:fill="auto"/>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杭州市钱塘区人民政府前进街道办事处</w:t>
      </w:r>
      <w:r>
        <w:rPr>
          <w:rFonts w:hint="eastAsia" w:ascii="宋体" w:hAnsi="宋体" w:cs="宋体"/>
          <w:color w:val="auto"/>
          <w:sz w:val="24"/>
          <w:highlight w:val="none"/>
        </w:rPr>
        <w:t>（单位名称）的</w:t>
      </w:r>
      <w:r>
        <w:rPr>
          <w:rFonts w:hint="eastAsia" w:ascii="宋体" w:hAnsi="宋体" w:cs="宋体"/>
          <w:color w:val="auto"/>
          <w:sz w:val="24"/>
          <w:highlight w:val="none"/>
          <w:u w:val="single"/>
          <w:lang w:eastAsia="zh-CN"/>
        </w:rPr>
        <w:t>前进街道河道保洁项目</w:t>
      </w:r>
      <w:r>
        <w:rPr>
          <w:rFonts w:hint="eastAsia" w:ascii="宋体" w:hAnsi="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1A407DF8">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前进街道河道保洁项目</w:t>
      </w:r>
      <w:r>
        <w:rPr>
          <w:rFonts w:hint="eastAsia" w:ascii="宋体" w:hAnsi="宋体" w:cs="宋体"/>
          <w:color w:val="auto"/>
          <w:sz w:val="24"/>
          <w:highlight w:val="none"/>
        </w:rPr>
        <w:t>，属于</w:t>
      </w:r>
      <w:r>
        <w:rPr>
          <w:rFonts w:hint="eastAsia" w:ascii="宋体" w:hAnsi="宋体" w:cs="宋体"/>
          <w:color w:val="FF0000"/>
          <w:kern w:val="0"/>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6F1B26">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69A0FB5">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2D241943">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D848E6">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825578">
      <w:pPr>
        <w:shd w:val="clear" w:color="auto" w:fill="auto"/>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AF9677">
      <w:pPr>
        <w:shd w:val="clear" w:color="auto" w:fill="auto"/>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  日</w:t>
      </w:r>
    </w:p>
    <w:p w14:paraId="6E2BE3F5">
      <w:pPr>
        <w:shd w:val="clear" w:color="auto" w:fill="auto"/>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从业人员、营业收入、资产总额填报上一年度数据，无上一年度数据的新成立企业可不填报。</w:t>
      </w:r>
    </w:p>
    <w:p w14:paraId="08493B1E">
      <w:pPr>
        <w:spacing w:line="360" w:lineRule="auto"/>
        <w:ind w:right="420" w:firstLine="480" w:firstLineChars="200"/>
        <w:rPr>
          <w:rFonts w:hint="eastAsia" w:ascii="宋体" w:hAnsi="宋体" w:cs="宋体"/>
          <w:sz w:val="24"/>
          <w:highlight w:val="none"/>
        </w:rPr>
      </w:pPr>
      <w:r>
        <w:rPr>
          <w:rFonts w:hint="eastAsia" w:ascii="宋体" w:hAnsi="宋体" w:cs="宋体"/>
          <w:color w:val="auto"/>
          <w:sz w:val="24"/>
          <w:highlight w:val="none"/>
        </w:rPr>
        <w:t xml:space="preserve">   注：</w:t>
      </w:r>
      <w:r>
        <w:rPr>
          <w:rFonts w:hint="eastAsia" w:ascii="宋体" w:hAnsi="宋体" w:cs="宋体"/>
          <w:sz w:val="24"/>
          <w:highlight w:val="none"/>
        </w:rPr>
        <w:t>1、《中小企业声明函》填写要求及规定：</w:t>
      </w:r>
    </w:p>
    <w:p w14:paraId="7DE52822">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（1）“标的名称”、“采购文件中明确的所属行业”依据招标文件第二部分供应商须知前附表中“采购标的及其对应的中小企业划分标准所属行业”逐一填写，不得缺漏。</w:t>
      </w:r>
    </w:p>
    <w:p w14:paraId="6897433A">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投标人的《中小企业声明函》未包括全部采购标的，未填写“所属行业”，或者填写的“所属行业”与采购文件中明确的所属行业不一致的，《中小企业声明函》均无效。</w:t>
      </w:r>
    </w:p>
    <w:p w14:paraId="7D411165">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（2）“从业人员、营业收入、资产总额”等3项数据依据上一年度的数据进行填写。</w:t>
      </w:r>
    </w:p>
    <w:p w14:paraId="112C8797">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本年度新成立企业，无上一年度数据的，可以不填写“从业人员、营业收入、资产总额”等3项数据，但仍应对“企业类型”和“与大企业的负责人是否为同一人，或者与大企业是否存在直接控股、管理关系”进行声明，否则《中小企业声明函》无效。</w:t>
      </w:r>
    </w:p>
    <w:p w14:paraId="2EA39E34">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（3）“企业类型”（包括“中型企业”、“小型企业”及“微型企业”三类）依据《中小企业划型标准规定》（工信部联企业〔2011〕300号），结合以上数据，进行确定并填写。</w:t>
      </w:r>
    </w:p>
    <w:p w14:paraId="1B0D5B76">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未填写“企业类型”或者填写的“企业类型”与实际不符的，《中小企业声明函》无效。投标人声明的“企业类型”获得了本不应获得的利益（资格审查通过或价格扣除）的，按提供虚假材料认定，依法承担法律责任。</w:t>
      </w:r>
    </w:p>
    <w:p w14:paraId="77A32283">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2、视同为小型、微型企业。</w:t>
      </w:r>
    </w:p>
    <w:p w14:paraId="6F9642A9">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（1）根据《关于促进残疾人就业政府采购政策的通知》（财库〔2017〕141号）规定，符合条件的残疾人福利性单位提供《残疾人福利性单位声明函》（后附），视同小型、微型企业。</w:t>
      </w:r>
    </w:p>
    <w:p w14:paraId="4CD350B6">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根据《关于政府采购支持监狱企业发展有关问题的通知》（财库〔2014〕68号）规定，监狱企业提供由省级以上监狱管理局、戒毒管理局（含新疆生产建设兵团）出具的属于监狱企业证明文件的，视同为小型、微型企业。</w:t>
      </w:r>
    </w:p>
    <w:p w14:paraId="1A77998D">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（3）视同小型、微型企业的残疾人福利性单位、监狱企业，提供符合要求的《残疾人福利性单位声明函》或监狱企业证明文件后，不需要提供《中小企业声明函》。</w:t>
      </w:r>
    </w:p>
    <w:p w14:paraId="447E2D7B">
      <w:pPr>
        <w:widowControl/>
        <w:spacing w:line="360" w:lineRule="auto"/>
        <w:ind w:firstLine="480"/>
        <w:jc w:val="left"/>
        <w:rPr>
          <w:rFonts w:hint="eastAsia" w:ascii="宋体" w:hAnsi="宋体" w:eastAsia="宋体" w:cs="宋体"/>
          <w:color w:val="auto"/>
          <w:sz w:val="24"/>
          <w:highlight w:val="none"/>
        </w:rPr>
      </w:pPr>
    </w:p>
    <w:p w14:paraId="0023F73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58A4FE0">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8C8C0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5521689">
      <w:pPr>
        <w:widowControl/>
        <w:spacing w:line="360" w:lineRule="auto"/>
        <w:ind w:left="150"/>
        <w:jc w:val="center"/>
        <w:rPr>
          <w:rFonts w:hint="eastAsia" w:ascii="宋体" w:hAnsi="宋体" w:eastAsia="宋体" w:cs="宋体"/>
          <w:b/>
          <w:color w:val="auto"/>
          <w:kern w:val="0"/>
          <w:sz w:val="32"/>
          <w:szCs w:val="32"/>
          <w:highlight w:val="none"/>
        </w:rPr>
      </w:pPr>
    </w:p>
    <w:p w14:paraId="44E0EC6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DDB0A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D58C2A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4FE0BEB">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F020D9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B23F7A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1574DFB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B2EBD0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46AE8BD4">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DDA4E8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0F6A518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3620DE3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5CCA931">
      <w:pPr>
        <w:snapToGrid w:val="0"/>
        <w:spacing w:line="360" w:lineRule="auto"/>
        <w:jc w:val="center"/>
        <w:rPr>
          <w:rFonts w:hint="eastAsia" w:ascii="宋体" w:hAnsi="宋体" w:eastAsia="宋体" w:cs="宋体"/>
          <w:b/>
          <w:color w:val="auto"/>
          <w:kern w:val="0"/>
          <w:sz w:val="32"/>
          <w:szCs w:val="32"/>
          <w:highlight w:val="none"/>
          <w:lang w:val="zh-CN"/>
        </w:rPr>
      </w:pPr>
    </w:p>
    <w:p w14:paraId="1242FB4B">
      <w:pPr>
        <w:snapToGrid w:val="0"/>
        <w:spacing w:line="360" w:lineRule="auto"/>
        <w:jc w:val="center"/>
        <w:rPr>
          <w:rFonts w:hint="eastAsia" w:ascii="宋体" w:hAnsi="宋体" w:eastAsia="宋体" w:cs="宋体"/>
          <w:b/>
          <w:color w:val="auto"/>
          <w:kern w:val="0"/>
          <w:sz w:val="32"/>
          <w:szCs w:val="32"/>
          <w:highlight w:val="none"/>
          <w:lang w:val="zh-CN"/>
        </w:rPr>
      </w:pPr>
    </w:p>
    <w:p w14:paraId="3F3076FE">
      <w:pPr>
        <w:snapToGrid w:val="0"/>
        <w:spacing w:line="360" w:lineRule="auto"/>
        <w:jc w:val="center"/>
        <w:rPr>
          <w:rFonts w:hint="eastAsia" w:ascii="宋体" w:hAnsi="宋体" w:eastAsia="宋体" w:cs="宋体"/>
          <w:b/>
          <w:color w:val="auto"/>
          <w:kern w:val="0"/>
          <w:sz w:val="32"/>
          <w:szCs w:val="32"/>
          <w:highlight w:val="none"/>
          <w:lang w:val="zh-CN"/>
        </w:rPr>
      </w:pPr>
    </w:p>
    <w:p w14:paraId="5E092774">
      <w:pPr>
        <w:snapToGrid w:val="0"/>
        <w:spacing w:line="360" w:lineRule="auto"/>
        <w:jc w:val="center"/>
        <w:rPr>
          <w:rFonts w:hint="eastAsia" w:ascii="宋体" w:hAnsi="宋体" w:eastAsia="宋体" w:cs="宋体"/>
          <w:b/>
          <w:color w:val="auto"/>
          <w:kern w:val="0"/>
          <w:sz w:val="32"/>
          <w:szCs w:val="32"/>
          <w:highlight w:val="none"/>
          <w:lang w:val="zh-CN"/>
        </w:rPr>
      </w:pPr>
    </w:p>
    <w:p w14:paraId="3DD7B405">
      <w:pPr>
        <w:snapToGrid w:val="0"/>
        <w:spacing w:line="360" w:lineRule="auto"/>
        <w:jc w:val="center"/>
        <w:rPr>
          <w:rFonts w:hint="eastAsia" w:ascii="宋体" w:hAnsi="宋体" w:eastAsia="宋体" w:cs="宋体"/>
          <w:b/>
          <w:color w:val="auto"/>
          <w:kern w:val="0"/>
          <w:sz w:val="32"/>
          <w:szCs w:val="32"/>
          <w:highlight w:val="none"/>
          <w:lang w:val="zh-CN"/>
        </w:rPr>
      </w:pPr>
    </w:p>
    <w:p w14:paraId="06F2E86B">
      <w:pPr>
        <w:snapToGrid w:val="0"/>
        <w:spacing w:line="360" w:lineRule="auto"/>
        <w:jc w:val="center"/>
        <w:outlineLvl w:val="0"/>
        <w:rPr>
          <w:rFonts w:hint="eastAsia" w:ascii="宋体" w:hAnsi="宋体" w:eastAsia="宋体" w:cs="宋体"/>
          <w:b/>
          <w:color w:val="auto"/>
          <w:kern w:val="0"/>
          <w:sz w:val="32"/>
          <w:szCs w:val="32"/>
          <w:highlight w:val="none"/>
        </w:rPr>
      </w:pPr>
    </w:p>
    <w:p w14:paraId="136CE26E">
      <w:pPr>
        <w:snapToGrid w:val="0"/>
        <w:spacing w:line="360" w:lineRule="auto"/>
        <w:jc w:val="center"/>
        <w:outlineLvl w:val="0"/>
        <w:rPr>
          <w:rFonts w:hint="eastAsia" w:ascii="宋体" w:hAnsi="宋体" w:eastAsia="宋体" w:cs="宋体"/>
          <w:b/>
          <w:color w:val="auto"/>
          <w:kern w:val="0"/>
          <w:sz w:val="32"/>
          <w:szCs w:val="32"/>
          <w:highlight w:val="none"/>
        </w:rPr>
      </w:pPr>
    </w:p>
    <w:p w14:paraId="21B1475D">
      <w:pPr>
        <w:rPr>
          <w:rFonts w:hint="eastAsia" w:ascii="宋体" w:hAnsi="宋体" w:eastAsia="宋体" w:cs="宋体"/>
          <w:color w:val="auto"/>
          <w:highlight w:val="none"/>
        </w:rPr>
      </w:pPr>
    </w:p>
    <w:p w14:paraId="1EDF476A">
      <w:pPr>
        <w:snapToGrid w:val="0"/>
        <w:spacing w:line="360" w:lineRule="auto"/>
        <w:jc w:val="center"/>
        <w:outlineLvl w:val="0"/>
        <w:rPr>
          <w:rFonts w:hint="eastAsia" w:ascii="宋体" w:hAnsi="宋体" w:eastAsia="宋体" w:cs="宋体"/>
          <w:b/>
          <w:color w:val="auto"/>
          <w:kern w:val="0"/>
          <w:sz w:val="32"/>
          <w:szCs w:val="32"/>
          <w:highlight w:val="none"/>
        </w:rPr>
      </w:pPr>
    </w:p>
    <w:p w14:paraId="70188149">
      <w:pPr>
        <w:snapToGrid w:val="0"/>
        <w:spacing w:line="360" w:lineRule="auto"/>
        <w:jc w:val="center"/>
        <w:outlineLvl w:val="0"/>
        <w:rPr>
          <w:rFonts w:hint="eastAsia" w:ascii="宋体" w:hAnsi="宋体" w:eastAsia="宋体" w:cs="宋体"/>
          <w:b/>
          <w:color w:val="auto"/>
          <w:kern w:val="0"/>
          <w:sz w:val="32"/>
          <w:szCs w:val="32"/>
          <w:highlight w:val="none"/>
        </w:rPr>
      </w:pPr>
    </w:p>
    <w:p w14:paraId="1243DC3E">
      <w:pPr>
        <w:pStyle w:val="3"/>
        <w:rPr>
          <w:rFonts w:hint="eastAsia" w:ascii="宋体" w:hAnsi="宋体" w:eastAsia="宋体" w:cs="宋体"/>
          <w:color w:val="auto"/>
          <w:highlight w:val="none"/>
          <w:lang w:val="en-US"/>
        </w:rPr>
      </w:pPr>
    </w:p>
    <w:p w14:paraId="25BAE388">
      <w:pPr>
        <w:rPr>
          <w:rFonts w:hint="eastAsia" w:ascii="宋体" w:hAnsi="宋体" w:eastAsia="宋体" w:cs="宋体"/>
          <w:color w:val="auto"/>
          <w:highlight w:val="none"/>
        </w:rPr>
      </w:pPr>
    </w:p>
    <w:p w14:paraId="16030979">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8C7D1B1">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4EAB69B">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26DE9FE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06C604">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B49E3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9C90C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22011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5EE22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F280B6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23DDCA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BA49A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3895CC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F5100C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2877BD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BE38C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4D6A6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F1746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60021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0493C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3F803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5D03F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4B953F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FE822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E549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0F25F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3E90E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2.3.3报价说明（如有）。</w:t>
      </w:r>
    </w:p>
    <w:p w14:paraId="0CECDA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70C5B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CFE3D1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BA6B4E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4AA7A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58F5EA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31FC6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648020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CF834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1A53C9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E2A67A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2694B12">
      <w:pPr>
        <w:jc w:val="center"/>
        <w:rPr>
          <w:rFonts w:hint="eastAsia" w:ascii="宋体" w:hAnsi="宋体" w:eastAsia="宋体" w:cs="宋体"/>
          <w:b/>
          <w:color w:val="auto"/>
          <w:kern w:val="0"/>
          <w:sz w:val="32"/>
          <w:szCs w:val="32"/>
          <w:highlight w:val="none"/>
        </w:rPr>
      </w:pPr>
    </w:p>
    <w:p w14:paraId="33DCABD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E8472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72139F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3BDA8F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1C2AF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FAFFDE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所在单位：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52D7B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F24CE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9B008E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DBF033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4AB46D4">
      <w:pPr>
        <w:snapToGrid w:val="0"/>
        <w:spacing w:line="360" w:lineRule="auto"/>
        <w:rPr>
          <w:rFonts w:hint="eastAsia" w:ascii="宋体" w:hAnsi="宋体" w:eastAsia="宋体" w:cs="宋体"/>
          <w:color w:val="auto"/>
          <w:sz w:val="24"/>
          <w:highlight w:val="none"/>
        </w:rPr>
      </w:pPr>
    </w:p>
    <w:p w14:paraId="1223DCB9">
      <w:pPr>
        <w:snapToGrid w:val="0"/>
        <w:spacing w:line="360" w:lineRule="auto"/>
        <w:rPr>
          <w:rFonts w:hint="eastAsia" w:ascii="宋体" w:hAnsi="宋体" w:eastAsia="宋体" w:cs="宋体"/>
          <w:color w:val="auto"/>
          <w:sz w:val="24"/>
          <w:highlight w:val="none"/>
        </w:rPr>
      </w:pPr>
    </w:p>
    <w:p w14:paraId="0F28BA96">
      <w:pPr>
        <w:snapToGrid w:val="0"/>
        <w:spacing w:line="360" w:lineRule="auto"/>
        <w:rPr>
          <w:rFonts w:hint="eastAsia" w:ascii="宋体" w:hAnsi="宋体" w:eastAsia="宋体" w:cs="宋体"/>
          <w:color w:val="auto"/>
          <w:sz w:val="24"/>
          <w:highlight w:val="none"/>
        </w:rPr>
      </w:pPr>
    </w:p>
    <w:p w14:paraId="5DC1F1B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072B8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20CA96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所在单位：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35A12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A2F3B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12BF77D">
      <w:pPr>
        <w:jc w:val="center"/>
        <w:rPr>
          <w:rFonts w:hint="eastAsia" w:ascii="宋体" w:hAnsi="宋体" w:eastAsia="宋体" w:cs="宋体"/>
          <w:b/>
          <w:color w:val="auto"/>
          <w:kern w:val="0"/>
          <w:sz w:val="32"/>
          <w:szCs w:val="32"/>
          <w:highlight w:val="none"/>
        </w:rPr>
      </w:pPr>
    </w:p>
    <w:p w14:paraId="6B4F20F1">
      <w:pPr>
        <w:jc w:val="center"/>
        <w:rPr>
          <w:rFonts w:hint="eastAsia" w:ascii="宋体" w:hAnsi="宋体" w:eastAsia="宋体" w:cs="宋体"/>
          <w:b/>
          <w:color w:val="auto"/>
          <w:kern w:val="0"/>
          <w:sz w:val="32"/>
          <w:szCs w:val="32"/>
          <w:highlight w:val="none"/>
        </w:rPr>
      </w:pPr>
    </w:p>
    <w:p w14:paraId="4A2276AF">
      <w:pPr>
        <w:jc w:val="center"/>
        <w:rPr>
          <w:rFonts w:hint="eastAsia" w:ascii="宋体" w:hAnsi="宋体" w:eastAsia="宋体" w:cs="宋体"/>
          <w:b/>
          <w:color w:val="auto"/>
          <w:kern w:val="0"/>
          <w:sz w:val="32"/>
          <w:szCs w:val="32"/>
          <w:highlight w:val="none"/>
        </w:rPr>
      </w:pPr>
    </w:p>
    <w:p w14:paraId="7ADF9D37">
      <w:pPr>
        <w:rPr>
          <w:rFonts w:hint="eastAsia" w:ascii="宋体" w:hAnsi="宋体" w:eastAsia="宋体" w:cs="宋体"/>
          <w:color w:val="auto"/>
          <w:highlight w:val="none"/>
        </w:rPr>
      </w:pPr>
    </w:p>
    <w:p w14:paraId="687BAAA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C9013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0EA865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B69501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059613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51C76F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364D1B7">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F2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58813F1">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4483F86">
            <w:pPr>
              <w:pStyle w:val="149"/>
              <w:adjustRightInd w:val="0"/>
              <w:spacing w:line="360" w:lineRule="auto"/>
              <w:rPr>
                <w:rFonts w:hint="eastAsia" w:ascii="宋体" w:hAnsi="宋体" w:eastAsia="宋体" w:cs="宋体"/>
                <w:bCs/>
                <w:color w:val="auto"/>
                <w:sz w:val="24"/>
                <w:highlight w:val="none"/>
              </w:rPr>
            </w:pPr>
          </w:p>
        </w:tc>
      </w:tr>
    </w:tbl>
    <w:p w14:paraId="6095789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1DC2C3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D0E5BD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893E426">
      <w:pPr>
        <w:jc w:val="center"/>
        <w:rPr>
          <w:rFonts w:hint="eastAsia" w:ascii="宋体" w:hAnsi="宋体" w:eastAsia="宋体" w:cs="宋体"/>
          <w:b/>
          <w:color w:val="auto"/>
          <w:kern w:val="0"/>
          <w:sz w:val="32"/>
          <w:szCs w:val="32"/>
          <w:highlight w:val="none"/>
        </w:rPr>
      </w:pPr>
    </w:p>
    <w:p w14:paraId="40A5B37F">
      <w:pPr>
        <w:jc w:val="center"/>
        <w:rPr>
          <w:rFonts w:hint="eastAsia" w:ascii="宋体" w:hAnsi="宋体" w:eastAsia="宋体" w:cs="宋体"/>
          <w:b/>
          <w:color w:val="auto"/>
          <w:kern w:val="0"/>
          <w:sz w:val="32"/>
          <w:szCs w:val="32"/>
          <w:highlight w:val="none"/>
        </w:rPr>
      </w:pPr>
    </w:p>
    <w:p w14:paraId="781C66C0">
      <w:pPr>
        <w:jc w:val="center"/>
        <w:rPr>
          <w:rFonts w:hint="eastAsia" w:ascii="宋体" w:hAnsi="宋体" w:eastAsia="宋体" w:cs="宋体"/>
          <w:b/>
          <w:color w:val="auto"/>
          <w:kern w:val="0"/>
          <w:sz w:val="32"/>
          <w:szCs w:val="32"/>
          <w:highlight w:val="none"/>
        </w:rPr>
      </w:pPr>
    </w:p>
    <w:p w14:paraId="2C095487">
      <w:pPr>
        <w:jc w:val="center"/>
        <w:rPr>
          <w:rFonts w:hint="eastAsia" w:ascii="宋体" w:hAnsi="宋体" w:eastAsia="宋体" w:cs="宋体"/>
          <w:b/>
          <w:color w:val="auto"/>
          <w:kern w:val="0"/>
          <w:sz w:val="32"/>
          <w:szCs w:val="32"/>
          <w:highlight w:val="none"/>
        </w:rPr>
      </w:pPr>
    </w:p>
    <w:p w14:paraId="602CA60A">
      <w:pPr>
        <w:jc w:val="center"/>
        <w:rPr>
          <w:rFonts w:hint="eastAsia" w:ascii="宋体" w:hAnsi="宋体" w:eastAsia="宋体" w:cs="宋体"/>
          <w:b/>
          <w:color w:val="auto"/>
          <w:kern w:val="0"/>
          <w:sz w:val="32"/>
          <w:szCs w:val="32"/>
          <w:highlight w:val="none"/>
        </w:rPr>
      </w:pPr>
    </w:p>
    <w:p w14:paraId="5228A5D1">
      <w:pPr>
        <w:jc w:val="center"/>
        <w:rPr>
          <w:rFonts w:hint="eastAsia" w:ascii="宋体" w:hAnsi="宋体" w:eastAsia="宋体" w:cs="宋体"/>
          <w:b/>
          <w:color w:val="auto"/>
          <w:kern w:val="0"/>
          <w:sz w:val="32"/>
          <w:szCs w:val="32"/>
          <w:highlight w:val="none"/>
        </w:rPr>
      </w:pPr>
    </w:p>
    <w:p w14:paraId="2B9ED8B6">
      <w:pPr>
        <w:jc w:val="center"/>
        <w:rPr>
          <w:rFonts w:hint="eastAsia" w:ascii="宋体" w:hAnsi="宋体" w:eastAsia="宋体" w:cs="宋体"/>
          <w:b/>
          <w:color w:val="auto"/>
          <w:kern w:val="0"/>
          <w:sz w:val="32"/>
          <w:szCs w:val="32"/>
          <w:highlight w:val="none"/>
        </w:rPr>
      </w:pPr>
    </w:p>
    <w:p w14:paraId="361676E9">
      <w:pPr>
        <w:jc w:val="center"/>
        <w:rPr>
          <w:rFonts w:hint="eastAsia" w:ascii="宋体" w:hAnsi="宋体" w:eastAsia="宋体" w:cs="宋体"/>
          <w:b/>
          <w:color w:val="auto"/>
          <w:kern w:val="0"/>
          <w:sz w:val="32"/>
          <w:szCs w:val="32"/>
          <w:highlight w:val="none"/>
        </w:rPr>
      </w:pPr>
    </w:p>
    <w:p w14:paraId="3ABB7C64">
      <w:pPr>
        <w:jc w:val="center"/>
        <w:rPr>
          <w:rFonts w:hint="eastAsia" w:ascii="宋体" w:hAnsi="宋体" w:eastAsia="宋体" w:cs="宋体"/>
          <w:b/>
          <w:color w:val="auto"/>
          <w:kern w:val="0"/>
          <w:sz w:val="32"/>
          <w:szCs w:val="32"/>
          <w:highlight w:val="none"/>
        </w:rPr>
      </w:pPr>
    </w:p>
    <w:p w14:paraId="5846377D">
      <w:pPr>
        <w:jc w:val="center"/>
        <w:rPr>
          <w:rFonts w:hint="eastAsia" w:ascii="宋体" w:hAnsi="宋体" w:eastAsia="宋体" w:cs="宋体"/>
          <w:b/>
          <w:color w:val="auto"/>
          <w:kern w:val="0"/>
          <w:sz w:val="32"/>
          <w:szCs w:val="32"/>
          <w:highlight w:val="none"/>
        </w:rPr>
      </w:pPr>
    </w:p>
    <w:p w14:paraId="3505F242">
      <w:pPr>
        <w:snapToGrid w:val="0"/>
        <w:spacing w:line="360" w:lineRule="auto"/>
        <w:ind w:right="480"/>
        <w:rPr>
          <w:rFonts w:hint="eastAsia" w:ascii="宋体" w:hAnsi="宋体" w:eastAsia="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76" w:right="1416" w:bottom="1247" w:left="1134" w:header="680" w:footer="680" w:gutter="0"/>
          <w:cols w:space="720" w:num="1"/>
          <w:titlePg/>
          <w:docGrid w:linePitch="312" w:charSpace="0"/>
        </w:sectPr>
      </w:pPr>
    </w:p>
    <w:p w14:paraId="3B997E2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92F1769">
      <w:pPr>
        <w:widowControl/>
        <w:spacing w:line="360" w:lineRule="auto"/>
        <w:ind w:firstLine="120" w:firstLineChars="50"/>
        <w:jc w:val="left"/>
        <w:rPr>
          <w:rFonts w:hint="eastAsia" w:ascii="宋体" w:hAnsi="宋体" w:eastAsia="宋体" w:cs="宋体"/>
          <w:color w:val="auto"/>
          <w:sz w:val="24"/>
          <w:highlight w:val="none"/>
        </w:rPr>
      </w:pPr>
      <w:bookmarkStart w:id="385"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385"/>
    <w:p w14:paraId="48F0108A">
      <w:pPr>
        <w:snapToGrid w:val="0"/>
        <w:spacing w:line="360" w:lineRule="auto"/>
        <w:rPr>
          <w:rFonts w:hint="eastAsia" w:ascii="宋体" w:hAnsi="宋体" w:eastAsia="宋体" w:cs="宋体"/>
          <w:color w:val="auto"/>
          <w:kern w:val="0"/>
          <w:sz w:val="24"/>
          <w:highlight w:val="none"/>
        </w:rPr>
      </w:pPr>
    </w:p>
    <w:p w14:paraId="346FCB37">
      <w:pPr>
        <w:jc w:val="center"/>
        <w:rPr>
          <w:rFonts w:hint="eastAsia" w:ascii="宋体" w:hAnsi="宋体" w:eastAsia="宋体" w:cs="宋体"/>
          <w:b/>
          <w:color w:val="auto"/>
          <w:kern w:val="0"/>
          <w:sz w:val="32"/>
          <w:szCs w:val="32"/>
          <w:highlight w:val="none"/>
        </w:rPr>
      </w:pPr>
    </w:p>
    <w:p w14:paraId="234C304C">
      <w:pPr>
        <w:pStyle w:val="3"/>
        <w:rPr>
          <w:rFonts w:hint="eastAsia" w:ascii="宋体" w:hAnsi="宋体" w:eastAsia="宋体" w:cs="宋体"/>
          <w:color w:val="auto"/>
          <w:highlight w:val="none"/>
          <w:lang w:val="en-US"/>
        </w:rPr>
      </w:pPr>
    </w:p>
    <w:p w14:paraId="505C8505">
      <w:pPr>
        <w:rPr>
          <w:rFonts w:hint="eastAsia" w:ascii="宋体" w:hAnsi="宋体" w:eastAsia="宋体" w:cs="宋体"/>
          <w:color w:val="auto"/>
          <w:highlight w:val="none"/>
        </w:rPr>
      </w:pPr>
    </w:p>
    <w:p w14:paraId="47FFFAC4">
      <w:pPr>
        <w:pStyle w:val="3"/>
        <w:rPr>
          <w:rFonts w:hint="eastAsia" w:ascii="宋体" w:hAnsi="宋体" w:eastAsia="宋体" w:cs="宋体"/>
          <w:color w:val="auto"/>
          <w:highlight w:val="none"/>
          <w:lang w:val="en-US"/>
        </w:rPr>
      </w:pPr>
    </w:p>
    <w:p w14:paraId="41ED87E0">
      <w:pPr>
        <w:jc w:val="center"/>
        <w:rPr>
          <w:rFonts w:hint="eastAsia" w:ascii="宋体" w:hAnsi="宋体" w:eastAsia="宋体" w:cs="宋体"/>
          <w:b/>
          <w:color w:val="auto"/>
          <w:kern w:val="0"/>
          <w:sz w:val="32"/>
          <w:szCs w:val="32"/>
          <w:highlight w:val="none"/>
        </w:rPr>
      </w:pPr>
    </w:p>
    <w:p w14:paraId="466711C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72BA360">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80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79B1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E92DEA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69D877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A96E14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185805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4DA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548A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D96F8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A12F2B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726E2D5D">
            <w:pPr>
              <w:rPr>
                <w:rFonts w:hint="eastAsia" w:ascii="宋体" w:hAnsi="宋体" w:eastAsia="宋体" w:cs="宋体"/>
                <w:color w:val="auto"/>
                <w:sz w:val="24"/>
                <w:highlight w:val="none"/>
              </w:rPr>
            </w:pPr>
          </w:p>
          <w:p w14:paraId="69AC475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66EFF2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EA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12D0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D5FC0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623FD7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74FBBE4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108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263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3D6AF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5AF6DFD6">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31C7B5A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F3986F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0E0949C">
      <w:pPr>
        <w:jc w:val="center"/>
        <w:rPr>
          <w:rFonts w:hint="eastAsia" w:ascii="宋体" w:hAnsi="宋体" w:eastAsia="宋体" w:cs="宋体"/>
          <w:b/>
          <w:color w:val="auto"/>
          <w:kern w:val="0"/>
          <w:sz w:val="32"/>
          <w:szCs w:val="32"/>
          <w:highlight w:val="none"/>
        </w:rPr>
      </w:pPr>
    </w:p>
    <w:p w14:paraId="663EA68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B775170">
      <w:pPr>
        <w:jc w:val="center"/>
        <w:rPr>
          <w:rFonts w:hint="eastAsia" w:ascii="宋体" w:hAnsi="宋体" w:eastAsia="宋体" w:cs="宋体"/>
          <w:b/>
          <w:color w:val="auto"/>
          <w:kern w:val="0"/>
          <w:sz w:val="32"/>
          <w:szCs w:val="32"/>
          <w:highlight w:val="none"/>
        </w:rPr>
      </w:pPr>
    </w:p>
    <w:p w14:paraId="52093D6B">
      <w:pPr>
        <w:jc w:val="center"/>
        <w:rPr>
          <w:rFonts w:hint="eastAsia" w:ascii="宋体" w:hAnsi="宋体" w:eastAsia="宋体" w:cs="宋体"/>
          <w:b/>
          <w:color w:val="auto"/>
          <w:kern w:val="0"/>
          <w:sz w:val="32"/>
          <w:szCs w:val="32"/>
          <w:highlight w:val="none"/>
        </w:rPr>
      </w:pPr>
    </w:p>
    <w:p w14:paraId="1D35BE29">
      <w:pPr>
        <w:jc w:val="center"/>
        <w:rPr>
          <w:rFonts w:hint="eastAsia" w:ascii="宋体" w:hAnsi="宋体" w:eastAsia="宋体" w:cs="宋体"/>
          <w:b/>
          <w:color w:val="auto"/>
          <w:kern w:val="0"/>
          <w:sz w:val="32"/>
          <w:szCs w:val="32"/>
          <w:highlight w:val="none"/>
        </w:rPr>
      </w:pPr>
    </w:p>
    <w:p w14:paraId="0BEBC847">
      <w:pPr>
        <w:jc w:val="center"/>
        <w:rPr>
          <w:rFonts w:hint="eastAsia" w:ascii="宋体" w:hAnsi="宋体" w:eastAsia="宋体" w:cs="宋体"/>
          <w:b/>
          <w:color w:val="auto"/>
          <w:kern w:val="0"/>
          <w:sz w:val="32"/>
          <w:szCs w:val="32"/>
          <w:highlight w:val="none"/>
        </w:rPr>
      </w:pPr>
    </w:p>
    <w:p w14:paraId="192DCD0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D4C3E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4A9AE4A">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4CB3B1A">
      <w:pPr>
        <w:jc w:val="center"/>
        <w:rPr>
          <w:rFonts w:hint="eastAsia" w:ascii="宋体" w:hAnsi="宋体" w:eastAsia="宋体" w:cs="宋体"/>
          <w:b/>
          <w:color w:val="auto"/>
          <w:kern w:val="0"/>
          <w:sz w:val="32"/>
          <w:szCs w:val="32"/>
          <w:highlight w:val="none"/>
        </w:rPr>
      </w:pPr>
    </w:p>
    <w:p w14:paraId="4240A8BF">
      <w:pPr>
        <w:jc w:val="center"/>
        <w:rPr>
          <w:rFonts w:hint="eastAsia" w:ascii="宋体" w:hAnsi="宋体" w:eastAsia="宋体" w:cs="宋体"/>
          <w:b/>
          <w:color w:val="auto"/>
          <w:kern w:val="0"/>
          <w:sz w:val="32"/>
          <w:szCs w:val="32"/>
          <w:highlight w:val="none"/>
        </w:rPr>
      </w:pPr>
    </w:p>
    <w:p w14:paraId="5EB48D97">
      <w:pPr>
        <w:jc w:val="center"/>
        <w:rPr>
          <w:rFonts w:hint="eastAsia" w:ascii="宋体" w:hAnsi="宋体" w:eastAsia="宋体" w:cs="宋体"/>
          <w:b/>
          <w:color w:val="auto"/>
          <w:kern w:val="0"/>
          <w:sz w:val="32"/>
          <w:szCs w:val="32"/>
          <w:highlight w:val="none"/>
        </w:rPr>
      </w:pPr>
    </w:p>
    <w:p w14:paraId="38D6817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B0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F156DD">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DAA581">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1832D6F">
            <w:pPr>
              <w:shd w:val="clear"/>
              <w:spacing w:line="360" w:lineRule="auto"/>
              <w:jc w:val="center"/>
              <w:rPr>
                <w:rFonts w:hint="eastAsia" w:ascii="宋体" w:hAnsi="宋体" w:eastAsia="宋体" w:cs="宋体"/>
                <w:b/>
                <w:color w:val="auto"/>
                <w:sz w:val="24"/>
                <w:highlight w:val="none"/>
              </w:rPr>
            </w:pPr>
          </w:p>
          <w:p w14:paraId="078EB4C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AF7AB4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9E1C0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D1FD3D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B19EC88">
            <w:pPr>
              <w:shd w:val="clear"/>
              <w:spacing w:line="360" w:lineRule="auto"/>
              <w:jc w:val="center"/>
              <w:rPr>
                <w:rFonts w:hint="eastAsia" w:ascii="宋体" w:hAnsi="宋体" w:eastAsia="宋体" w:cs="宋体"/>
                <w:b/>
                <w:color w:val="auto"/>
                <w:sz w:val="24"/>
                <w:highlight w:val="none"/>
              </w:rPr>
            </w:pPr>
          </w:p>
          <w:p w14:paraId="3743E6F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BB52538">
            <w:pPr>
              <w:shd w:val="clear"/>
              <w:spacing w:line="360" w:lineRule="auto"/>
              <w:jc w:val="center"/>
              <w:rPr>
                <w:rFonts w:hint="eastAsia" w:ascii="宋体" w:hAnsi="宋体" w:eastAsia="宋体" w:cs="宋体"/>
                <w:b/>
                <w:color w:val="auto"/>
                <w:sz w:val="24"/>
                <w:highlight w:val="none"/>
              </w:rPr>
            </w:pPr>
          </w:p>
        </w:tc>
      </w:tr>
      <w:tr w14:paraId="17DA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B8C138">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0D53FD">
            <w:pPr>
              <w:shd w:val="clea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A751DD">
            <w:pPr>
              <w:shd w:val="clea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6FCD19">
            <w:pPr>
              <w:shd w:val="clea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9882A">
            <w:pPr>
              <w:shd w:val="clea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1AA8DA">
            <w:pPr>
              <w:shd w:val="clea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B2317C">
            <w:pPr>
              <w:shd w:val="clear"/>
              <w:spacing w:line="360" w:lineRule="auto"/>
              <w:jc w:val="center"/>
              <w:rPr>
                <w:rFonts w:hint="eastAsia" w:ascii="宋体" w:hAnsi="宋体" w:eastAsia="宋体" w:cs="宋体"/>
                <w:color w:val="auto"/>
                <w:sz w:val="24"/>
                <w:highlight w:val="none"/>
              </w:rPr>
            </w:pPr>
          </w:p>
        </w:tc>
      </w:tr>
      <w:tr w14:paraId="6675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07547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179655">
            <w:pPr>
              <w:shd w:val="clea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F9C872">
            <w:pPr>
              <w:shd w:val="clea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42C1D1">
            <w:pPr>
              <w:shd w:val="clea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E88265">
            <w:pPr>
              <w:shd w:val="clea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A3E0EB">
            <w:pPr>
              <w:shd w:val="clea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BCFC52">
            <w:pPr>
              <w:shd w:val="clear"/>
              <w:spacing w:line="360" w:lineRule="auto"/>
              <w:jc w:val="center"/>
              <w:rPr>
                <w:rFonts w:hint="eastAsia" w:ascii="宋体" w:hAnsi="宋体" w:eastAsia="宋体" w:cs="宋体"/>
                <w:color w:val="auto"/>
                <w:sz w:val="24"/>
                <w:highlight w:val="none"/>
              </w:rPr>
            </w:pPr>
          </w:p>
        </w:tc>
      </w:tr>
      <w:tr w14:paraId="12EE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D4F0B8">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29FEFD">
            <w:pPr>
              <w:shd w:val="clea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00B83B">
            <w:pPr>
              <w:shd w:val="clea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7E3620">
            <w:pPr>
              <w:shd w:val="clea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B0D238">
            <w:pPr>
              <w:shd w:val="clea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454DBE">
            <w:pPr>
              <w:shd w:val="clea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566A3F1">
            <w:pPr>
              <w:shd w:val="clear"/>
              <w:spacing w:line="360" w:lineRule="auto"/>
              <w:jc w:val="center"/>
              <w:rPr>
                <w:rFonts w:hint="eastAsia" w:ascii="宋体" w:hAnsi="宋体" w:eastAsia="宋体" w:cs="宋体"/>
                <w:color w:val="auto"/>
                <w:sz w:val="24"/>
                <w:highlight w:val="none"/>
              </w:rPr>
            </w:pPr>
          </w:p>
        </w:tc>
      </w:tr>
    </w:tbl>
    <w:p w14:paraId="76629E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3B138C">
      <w:pPr>
        <w:jc w:val="center"/>
        <w:rPr>
          <w:rFonts w:hint="eastAsia" w:ascii="宋体" w:hAnsi="宋体" w:eastAsia="宋体" w:cs="宋体"/>
          <w:b/>
          <w:color w:val="auto"/>
          <w:kern w:val="0"/>
          <w:sz w:val="32"/>
          <w:szCs w:val="32"/>
          <w:highlight w:val="none"/>
        </w:rPr>
      </w:pPr>
    </w:p>
    <w:p w14:paraId="71B65C86">
      <w:pPr>
        <w:jc w:val="center"/>
        <w:rPr>
          <w:rFonts w:hint="eastAsia" w:ascii="宋体" w:hAnsi="宋体" w:eastAsia="宋体" w:cs="宋体"/>
          <w:b/>
          <w:color w:val="auto"/>
          <w:kern w:val="0"/>
          <w:sz w:val="32"/>
          <w:szCs w:val="32"/>
          <w:highlight w:val="none"/>
        </w:rPr>
      </w:pPr>
    </w:p>
    <w:p w14:paraId="1912FD6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2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2877E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847446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221D994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26C4088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34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CFC8B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503713ED">
            <w:pPr>
              <w:jc w:val="center"/>
              <w:rPr>
                <w:rFonts w:hint="eastAsia" w:ascii="宋体" w:hAnsi="宋体" w:eastAsia="宋体" w:cs="宋体"/>
                <w:b/>
                <w:color w:val="auto"/>
                <w:kern w:val="0"/>
                <w:sz w:val="32"/>
                <w:szCs w:val="32"/>
                <w:highlight w:val="none"/>
              </w:rPr>
            </w:pPr>
          </w:p>
        </w:tc>
        <w:tc>
          <w:tcPr>
            <w:tcW w:w="3546" w:type="dxa"/>
          </w:tcPr>
          <w:p w14:paraId="2837BAAA">
            <w:pPr>
              <w:jc w:val="center"/>
              <w:rPr>
                <w:rFonts w:hint="eastAsia" w:ascii="宋体" w:hAnsi="宋体" w:eastAsia="宋体" w:cs="宋体"/>
                <w:b/>
                <w:color w:val="auto"/>
                <w:kern w:val="0"/>
                <w:sz w:val="32"/>
                <w:szCs w:val="32"/>
                <w:highlight w:val="none"/>
              </w:rPr>
            </w:pPr>
          </w:p>
        </w:tc>
        <w:tc>
          <w:tcPr>
            <w:tcW w:w="1276" w:type="dxa"/>
          </w:tcPr>
          <w:p w14:paraId="27D7ECB4">
            <w:pPr>
              <w:jc w:val="center"/>
              <w:rPr>
                <w:rFonts w:hint="eastAsia" w:ascii="宋体" w:hAnsi="宋体" w:eastAsia="宋体" w:cs="宋体"/>
                <w:b/>
                <w:color w:val="auto"/>
                <w:kern w:val="0"/>
                <w:sz w:val="32"/>
                <w:szCs w:val="32"/>
                <w:highlight w:val="none"/>
              </w:rPr>
            </w:pPr>
          </w:p>
        </w:tc>
      </w:tr>
      <w:tr w14:paraId="7EF5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CA94E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2BF12AC">
            <w:pPr>
              <w:jc w:val="center"/>
              <w:rPr>
                <w:rFonts w:hint="eastAsia" w:ascii="宋体" w:hAnsi="宋体" w:eastAsia="宋体" w:cs="宋体"/>
                <w:b/>
                <w:color w:val="auto"/>
                <w:kern w:val="0"/>
                <w:sz w:val="32"/>
                <w:szCs w:val="32"/>
                <w:highlight w:val="none"/>
              </w:rPr>
            </w:pPr>
          </w:p>
        </w:tc>
        <w:tc>
          <w:tcPr>
            <w:tcW w:w="3546" w:type="dxa"/>
          </w:tcPr>
          <w:p w14:paraId="3B21D234">
            <w:pPr>
              <w:jc w:val="center"/>
              <w:rPr>
                <w:rFonts w:hint="eastAsia" w:ascii="宋体" w:hAnsi="宋体" w:eastAsia="宋体" w:cs="宋体"/>
                <w:b/>
                <w:color w:val="auto"/>
                <w:kern w:val="0"/>
                <w:sz w:val="32"/>
                <w:szCs w:val="32"/>
                <w:highlight w:val="none"/>
              </w:rPr>
            </w:pPr>
          </w:p>
        </w:tc>
        <w:tc>
          <w:tcPr>
            <w:tcW w:w="1276" w:type="dxa"/>
          </w:tcPr>
          <w:p w14:paraId="1D83F85E">
            <w:pPr>
              <w:jc w:val="center"/>
              <w:rPr>
                <w:rFonts w:hint="eastAsia" w:ascii="宋体" w:hAnsi="宋体" w:eastAsia="宋体" w:cs="宋体"/>
                <w:b/>
                <w:color w:val="auto"/>
                <w:kern w:val="0"/>
                <w:sz w:val="32"/>
                <w:szCs w:val="32"/>
                <w:highlight w:val="none"/>
              </w:rPr>
            </w:pPr>
          </w:p>
        </w:tc>
      </w:tr>
      <w:tr w14:paraId="6544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9EBF5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674E147">
            <w:pPr>
              <w:jc w:val="center"/>
              <w:rPr>
                <w:rFonts w:hint="eastAsia" w:ascii="宋体" w:hAnsi="宋体" w:eastAsia="宋体" w:cs="宋体"/>
                <w:b/>
                <w:color w:val="auto"/>
                <w:kern w:val="0"/>
                <w:sz w:val="32"/>
                <w:szCs w:val="32"/>
                <w:highlight w:val="none"/>
              </w:rPr>
            </w:pPr>
          </w:p>
        </w:tc>
        <w:tc>
          <w:tcPr>
            <w:tcW w:w="3546" w:type="dxa"/>
          </w:tcPr>
          <w:p w14:paraId="134BCD85">
            <w:pPr>
              <w:jc w:val="center"/>
              <w:rPr>
                <w:rFonts w:hint="eastAsia" w:ascii="宋体" w:hAnsi="宋体" w:eastAsia="宋体" w:cs="宋体"/>
                <w:b/>
                <w:color w:val="auto"/>
                <w:kern w:val="0"/>
                <w:sz w:val="32"/>
                <w:szCs w:val="32"/>
                <w:highlight w:val="none"/>
              </w:rPr>
            </w:pPr>
          </w:p>
        </w:tc>
        <w:tc>
          <w:tcPr>
            <w:tcW w:w="1276" w:type="dxa"/>
          </w:tcPr>
          <w:p w14:paraId="6EB82424">
            <w:pPr>
              <w:jc w:val="center"/>
              <w:rPr>
                <w:rFonts w:hint="eastAsia" w:ascii="宋体" w:hAnsi="宋体" w:eastAsia="宋体" w:cs="宋体"/>
                <w:b/>
                <w:color w:val="auto"/>
                <w:kern w:val="0"/>
                <w:sz w:val="32"/>
                <w:szCs w:val="32"/>
                <w:highlight w:val="none"/>
              </w:rPr>
            </w:pPr>
          </w:p>
        </w:tc>
      </w:tr>
    </w:tbl>
    <w:p w14:paraId="751DB0A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C6F551F">
      <w:pPr>
        <w:jc w:val="center"/>
        <w:rPr>
          <w:rFonts w:hint="eastAsia" w:ascii="宋体" w:hAnsi="宋体" w:eastAsia="宋体" w:cs="宋体"/>
          <w:b/>
          <w:color w:val="auto"/>
          <w:kern w:val="0"/>
          <w:sz w:val="32"/>
          <w:szCs w:val="32"/>
          <w:highlight w:val="none"/>
        </w:rPr>
      </w:pPr>
    </w:p>
    <w:p w14:paraId="19A14BD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7E0CE59">
      <w:pPr>
        <w:ind w:firstLine="1911" w:firstLineChars="595"/>
        <w:rPr>
          <w:rFonts w:hint="eastAsia" w:ascii="宋体" w:hAnsi="宋体" w:eastAsia="宋体" w:cs="宋体"/>
          <w:b/>
          <w:bCs/>
          <w:color w:val="auto"/>
          <w:sz w:val="32"/>
          <w:szCs w:val="32"/>
          <w:highlight w:val="none"/>
        </w:rPr>
      </w:pPr>
    </w:p>
    <w:p w14:paraId="571147C1">
      <w:pPr>
        <w:ind w:firstLine="1911" w:firstLineChars="595"/>
        <w:rPr>
          <w:rFonts w:hint="eastAsia" w:ascii="宋体" w:hAnsi="宋体" w:eastAsia="宋体" w:cs="宋体"/>
          <w:b/>
          <w:bCs/>
          <w:color w:val="auto"/>
          <w:sz w:val="32"/>
          <w:szCs w:val="32"/>
          <w:highlight w:val="none"/>
        </w:rPr>
      </w:pPr>
    </w:p>
    <w:p w14:paraId="39D55126">
      <w:pPr>
        <w:ind w:firstLine="1911" w:firstLineChars="595"/>
        <w:rPr>
          <w:rFonts w:hint="eastAsia" w:ascii="宋体" w:hAnsi="宋体" w:eastAsia="宋体" w:cs="宋体"/>
          <w:b/>
          <w:bCs/>
          <w:color w:val="auto"/>
          <w:sz w:val="32"/>
          <w:szCs w:val="32"/>
          <w:highlight w:val="none"/>
        </w:rPr>
      </w:pPr>
    </w:p>
    <w:p w14:paraId="79F8AA62">
      <w:pPr>
        <w:ind w:firstLine="1911" w:firstLineChars="595"/>
        <w:rPr>
          <w:rFonts w:hint="eastAsia" w:ascii="宋体" w:hAnsi="宋体" w:eastAsia="宋体" w:cs="宋体"/>
          <w:b/>
          <w:bCs/>
          <w:color w:val="auto"/>
          <w:sz w:val="32"/>
          <w:szCs w:val="32"/>
          <w:highlight w:val="none"/>
        </w:rPr>
      </w:pPr>
    </w:p>
    <w:p w14:paraId="33577C90">
      <w:pPr>
        <w:ind w:firstLine="1911" w:firstLineChars="595"/>
        <w:rPr>
          <w:rFonts w:hint="eastAsia" w:ascii="宋体" w:hAnsi="宋体" w:eastAsia="宋体" w:cs="宋体"/>
          <w:b/>
          <w:bCs/>
          <w:color w:val="auto"/>
          <w:sz w:val="32"/>
          <w:szCs w:val="32"/>
          <w:highlight w:val="none"/>
        </w:rPr>
      </w:pPr>
    </w:p>
    <w:p w14:paraId="233E9580">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57F199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AA0F846">
      <w:pPr>
        <w:snapToGrid w:val="0"/>
        <w:spacing w:line="360" w:lineRule="auto"/>
        <w:rPr>
          <w:rFonts w:hint="eastAsia" w:ascii="宋体" w:hAnsi="宋体" w:eastAsia="宋体" w:cs="宋体"/>
          <w:color w:val="auto"/>
          <w:sz w:val="24"/>
          <w:highlight w:val="none"/>
        </w:rPr>
      </w:pPr>
    </w:p>
    <w:p w14:paraId="62AECB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4C43AF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860E58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CC463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1516B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81FA5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236AA2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D51918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C9FD06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859402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502677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5BDAB8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A32658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EB626A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D02FE1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918FDD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657DB25">
      <w:pPr>
        <w:spacing w:line="360" w:lineRule="auto"/>
        <w:jc w:val="center"/>
        <w:rPr>
          <w:rFonts w:hint="eastAsia" w:ascii="宋体" w:hAnsi="宋体" w:eastAsia="宋体" w:cs="宋体"/>
          <w:b/>
          <w:bCs/>
          <w:color w:val="auto"/>
          <w:sz w:val="24"/>
          <w:highlight w:val="none"/>
        </w:rPr>
      </w:pPr>
    </w:p>
    <w:p w14:paraId="3F96266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59BBD4A">
      <w:pPr>
        <w:spacing w:line="360" w:lineRule="auto"/>
        <w:jc w:val="center"/>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207E3D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B45359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45C4609">
      <w:pPr>
        <w:spacing w:line="360" w:lineRule="auto"/>
        <w:jc w:val="center"/>
        <w:outlineLvl w:val="0"/>
        <w:rPr>
          <w:rFonts w:hint="eastAsia" w:ascii="宋体" w:hAnsi="宋体" w:eastAsia="宋体" w:cs="宋体"/>
          <w:b/>
          <w:color w:val="auto"/>
          <w:kern w:val="0"/>
          <w:sz w:val="36"/>
          <w:szCs w:val="36"/>
          <w:highlight w:val="none"/>
        </w:rPr>
      </w:pPr>
    </w:p>
    <w:p w14:paraId="497E52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94171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154661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（3）报价说明（如有）………………………………………………………………（页码）</w:t>
      </w:r>
    </w:p>
    <w:p w14:paraId="325C36A4">
      <w:pPr>
        <w:snapToGrid w:val="0"/>
        <w:spacing w:line="360" w:lineRule="auto"/>
        <w:ind w:right="480"/>
        <w:jc w:val="center"/>
        <w:rPr>
          <w:rFonts w:hint="eastAsia" w:ascii="宋体" w:hAnsi="宋体" w:eastAsia="宋体" w:cs="宋体"/>
          <w:b/>
          <w:color w:val="auto"/>
          <w:kern w:val="0"/>
          <w:sz w:val="32"/>
          <w:szCs w:val="32"/>
          <w:highlight w:val="none"/>
        </w:rPr>
      </w:pPr>
    </w:p>
    <w:p w14:paraId="538E39A1">
      <w:pPr>
        <w:snapToGrid w:val="0"/>
        <w:spacing w:line="360" w:lineRule="auto"/>
        <w:ind w:right="480"/>
        <w:jc w:val="center"/>
        <w:rPr>
          <w:rFonts w:hint="eastAsia" w:ascii="宋体" w:hAnsi="宋体" w:eastAsia="宋体" w:cs="宋体"/>
          <w:b/>
          <w:color w:val="auto"/>
          <w:kern w:val="0"/>
          <w:sz w:val="32"/>
          <w:szCs w:val="32"/>
          <w:highlight w:val="none"/>
        </w:rPr>
      </w:pPr>
    </w:p>
    <w:p w14:paraId="6FC50D7C">
      <w:pPr>
        <w:snapToGrid w:val="0"/>
        <w:spacing w:line="360" w:lineRule="auto"/>
        <w:ind w:right="480"/>
        <w:jc w:val="center"/>
        <w:rPr>
          <w:rFonts w:hint="eastAsia" w:ascii="宋体" w:hAnsi="宋体" w:eastAsia="宋体" w:cs="宋体"/>
          <w:b/>
          <w:color w:val="auto"/>
          <w:kern w:val="0"/>
          <w:sz w:val="32"/>
          <w:szCs w:val="32"/>
          <w:highlight w:val="none"/>
        </w:rPr>
      </w:pPr>
    </w:p>
    <w:p w14:paraId="1CA1D496">
      <w:pPr>
        <w:snapToGrid w:val="0"/>
        <w:spacing w:line="360" w:lineRule="auto"/>
        <w:ind w:right="480"/>
        <w:jc w:val="center"/>
        <w:rPr>
          <w:rFonts w:hint="eastAsia" w:ascii="宋体" w:hAnsi="宋体" w:eastAsia="宋体" w:cs="宋体"/>
          <w:b/>
          <w:color w:val="auto"/>
          <w:kern w:val="0"/>
          <w:sz w:val="32"/>
          <w:szCs w:val="32"/>
          <w:highlight w:val="none"/>
        </w:rPr>
      </w:pPr>
    </w:p>
    <w:p w14:paraId="642ADDA7">
      <w:pPr>
        <w:snapToGrid w:val="0"/>
        <w:spacing w:line="360" w:lineRule="auto"/>
        <w:ind w:right="480"/>
        <w:jc w:val="center"/>
        <w:rPr>
          <w:rFonts w:hint="eastAsia" w:ascii="宋体" w:hAnsi="宋体" w:eastAsia="宋体" w:cs="宋体"/>
          <w:b/>
          <w:color w:val="auto"/>
          <w:kern w:val="0"/>
          <w:sz w:val="32"/>
          <w:szCs w:val="32"/>
          <w:highlight w:val="none"/>
        </w:rPr>
      </w:pPr>
    </w:p>
    <w:p w14:paraId="7D93A54C">
      <w:pPr>
        <w:snapToGrid w:val="0"/>
        <w:spacing w:line="360" w:lineRule="auto"/>
        <w:ind w:right="480"/>
        <w:jc w:val="center"/>
        <w:rPr>
          <w:rFonts w:hint="eastAsia" w:ascii="宋体" w:hAnsi="宋体" w:eastAsia="宋体" w:cs="宋体"/>
          <w:b/>
          <w:color w:val="auto"/>
          <w:kern w:val="0"/>
          <w:sz w:val="32"/>
          <w:szCs w:val="32"/>
          <w:highlight w:val="none"/>
        </w:rPr>
      </w:pPr>
    </w:p>
    <w:p w14:paraId="4313B037">
      <w:pPr>
        <w:snapToGrid w:val="0"/>
        <w:spacing w:line="360" w:lineRule="auto"/>
        <w:ind w:right="480"/>
        <w:jc w:val="center"/>
        <w:rPr>
          <w:rFonts w:hint="eastAsia" w:ascii="宋体" w:hAnsi="宋体" w:eastAsia="宋体" w:cs="宋体"/>
          <w:b/>
          <w:color w:val="auto"/>
          <w:kern w:val="0"/>
          <w:sz w:val="32"/>
          <w:szCs w:val="32"/>
          <w:highlight w:val="none"/>
        </w:rPr>
      </w:pPr>
    </w:p>
    <w:p w14:paraId="2A0C54CD">
      <w:pPr>
        <w:snapToGrid w:val="0"/>
        <w:spacing w:line="360" w:lineRule="auto"/>
        <w:ind w:right="480"/>
        <w:jc w:val="center"/>
        <w:rPr>
          <w:rFonts w:hint="eastAsia" w:ascii="宋体" w:hAnsi="宋体" w:eastAsia="宋体" w:cs="宋体"/>
          <w:b/>
          <w:color w:val="auto"/>
          <w:kern w:val="0"/>
          <w:sz w:val="32"/>
          <w:szCs w:val="32"/>
          <w:highlight w:val="none"/>
        </w:rPr>
      </w:pPr>
    </w:p>
    <w:p w14:paraId="1D82F691">
      <w:pPr>
        <w:snapToGrid w:val="0"/>
        <w:spacing w:line="360" w:lineRule="auto"/>
        <w:ind w:right="480"/>
        <w:jc w:val="center"/>
        <w:rPr>
          <w:rFonts w:hint="eastAsia" w:ascii="宋体" w:hAnsi="宋体" w:eastAsia="宋体" w:cs="宋体"/>
          <w:b/>
          <w:color w:val="auto"/>
          <w:kern w:val="0"/>
          <w:sz w:val="32"/>
          <w:szCs w:val="32"/>
          <w:highlight w:val="none"/>
        </w:rPr>
      </w:pPr>
    </w:p>
    <w:p w14:paraId="6D5C917C">
      <w:pPr>
        <w:snapToGrid w:val="0"/>
        <w:spacing w:line="360" w:lineRule="auto"/>
        <w:ind w:right="480"/>
        <w:jc w:val="center"/>
        <w:rPr>
          <w:rFonts w:hint="eastAsia" w:ascii="宋体" w:hAnsi="宋体" w:eastAsia="宋体" w:cs="宋体"/>
          <w:b/>
          <w:color w:val="auto"/>
          <w:kern w:val="0"/>
          <w:sz w:val="32"/>
          <w:szCs w:val="32"/>
          <w:highlight w:val="none"/>
        </w:rPr>
      </w:pPr>
    </w:p>
    <w:p w14:paraId="6E094CBC">
      <w:pPr>
        <w:snapToGrid w:val="0"/>
        <w:spacing w:line="360" w:lineRule="auto"/>
        <w:ind w:right="480"/>
        <w:jc w:val="center"/>
        <w:rPr>
          <w:rFonts w:hint="eastAsia" w:ascii="宋体" w:hAnsi="宋体" w:eastAsia="宋体" w:cs="宋体"/>
          <w:b/>
          <w:color w:val="auto"/>
          <w:kern w:val="0"/>
          <w:sz w:val="32"/>
          <w:szCs w:val="32"/>
          <w:highlight w:val="none"/>
        </w:rPr>
      </w:pPr>
    </w:p>
    <w:p w14:paraId="0E21629E">
      <w:pPr>
        <w:snapToGrid w:val="0"/>
        <w:spacing w:line="360" w:lineRule="auto"/>
        <w:ind w:right="480"/>
        <w:jc w:val="center"/>
        <w:rPr>
          <w:rFonts w:hint="eastAsia" w:ascii="宋体" w:hAnsi="宋体" w:eastAsia="宋体" w:cs="宋体"/>
          <w:b/>
          <w:color w:val="auto"/>
          <w:kern w:val="0"/>
          <w:sz w:val="32"/>
          <w:szCs w:val="32"/>
          <w:highlight w:val="none"/>
        </w:rPr>
      </w:pPr>
    </w:p>
    <w:p w14:paraId="77516E01">
      <w:pPr>
        <w:snapToGrid w:val="0"/>
        <w:spacing w:line="360" w:lineRule="auto"/>
        <w:ind w:right="480"/>
        <w:jc w:val="center"/>
        <w:rPr>
          <w:rFonts w:hint="eastAsia" w:ascii="宋体" w:hAnsi="宋体" w:eastAsia="宋体" w:cs="宋体"/>
          <w:b/>
          <w:color w:val="auto"/>
          <w:kern w:val="0"/>
          <w:sz w:val="32"/>
          <w:szCs w:val="32"/>
          <w:highlight w:val="none"/>
        </w:rPr>
      </w:pPr>
    </w:p>
    <w:p w14:paraId="0DAA29EB">
      <w:pPr>
        <w:snapToGrid w:val="0"/>
        <w:spacing w:line="360" w:lineRule="auto"/>
        <w:ind w:right="480"/>
        <w:jc w:val="center"/>
        <w:rPr>
          <w:rFonts w:hint="eastAsia" w:ascii="宋体" w:hAnsi="宋体" w:eastAsia="宋体" w:cs="宋体"/>
          <w:b/>
          <w:color w:val="auto"/>
          <w:kern w:val="0"/>
          <w:sz w:val="32"/>
          <w:szCs w:val="32"/>
          <w:highlight w:val="none"/>
        </w:rPr>
      </w:pPr>
    </w:p>
    <w:p w14:paraId="363796F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3907A5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C84C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A4BCAB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DBD6EE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79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C5E0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7DE7A5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79DC4B9E">
            <w:pPr>
              <w:spacing w:line="360" w:lineRule="auto"/>
              <w:jc w:val="center"/>
              <w:rPr>
                <w:rFonts w:hint="eastAsia" w:ascii="宋体" w:hAnsi="宋体" w:eastAsia="宋体" w:cs="宋体"/>
                <w:b/>
                <w:color w:val="auto"/>
                <w:sz w:val="24"/>
                <w:highlight w:val="none"/>
              </w:rPr>
            </w:pPr>
          </w:p>
          <w:p w14:paraId="39A471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26B2C1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14:paraId="597111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46F34D3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2B2A17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14:paraId="3DB4E78C">
            <w:pPr>
              <w:spacing w:line="360" w:lineRule="auto"/>
              <w:jc w:val="center"/>
              <w:rPr>
                <w:rFonts w:hint="eastAsia" w:ascii="宋体" w:hAnsi="宋体" w:eastAsia="宋体" w:cs="宋体"/>
                <w:b/>
                <w:color w:val="auto"/>
                <w:sz w:val="24"/>
                <w:highlight w:val="none"/>
              </w:rPr>
            </w:pPr>
          </w:p>
          <w:p w14:paraId="4B0408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14:paraId="0ADD80CF">
            <w:pPr>
              <w:spacing w:line="360" w:lineRule="auto"/>
              <w:jc w:val="center"/>
              <w:rPr>
                <w:rFonts w:hint="eastAsia" w:ascii="宋体" w:hAnsi="宋体" w:eastAsia="宋体" w:cs="宋体"/>
                <w:b/>
                <w:color w:val="auto"/>
                <w:sz w:val="24"/>
                <w:highlight w:val="none"/>
              </w:rPr>
            </w:pPr>
          </w:p>
        </w:tc>
      </w:tr>
      <w:tr w14:paraId="7633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4F5E7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3B22D73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3864A7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F4BCFF8">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B9764C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FCFDAD8">
            <w:pPr>
              <w:spacing w:line="360" w:lineRule="auto"/>
              <w:jc w:val="center"/>
              <w:rPr>
                <w:rFonts w:hint="eastAsia" w:ascii="宋体" w:hAnsi="宋体" w:eastAsia="宋体" w:cs="宋体"/>
                <w:color w:val="auto"/>
                <w:sz w:val="24"/>
                <w:highlight w:val="none"/>
              </w:rPr>
            </w:pPr>
          </w:p>
        </w:tc>
        <w:tc>
          <w:tcPr>
            <w:tcW w:w="1984" w:type="dxa"/>
            <w:vAlign w:val="center"/>
          </w:tcPr>
          <w:p w14:paraId="1EA82052">
            <w:pPr>
              <w:spacing w:line="360" w:lineRule="auto"/>
              <w:jc w:val="center"/>
              <w:rPr>
                <w:rFonts w:hint="eastAsia" w:ascii="宋体" w:hAnsi="宋体" w:eastAsia="宋体" w:cs="宋体"/>
                <w:color w:val="auto"/>
                <w:sz w:val="24"/>
                <w:highlight w:val="none"/>
              </w:rPr>
            </w:pPr>
          </w:p>
        </w:tc>
        <w:tc>
          <w:tcPr>
            <w:tcW w:w="3119" w:type="dxa"/>
            <w:vAlign w:val="center"/>
          </w:tcPr>
          <w:p w14:paraId="5DE8F2C9">
            <w:pPr>
              <w:spacing w:line="360" w:lineRule="auto"/>
              <w:jc w:val="center"/>
              <w:rPr>
                <w:rFonts w:hint="eastAsia" w:ascii="宋体" w:hAnsi="宋体" w:eastAsia="宋体" w:cs="宋体"/>
                <w:color w:val="auto"/>
                <w:sz w:val="24"/>
                <w:highlight w:val="none"/>
                <w:lang w:val="en-US" w:eastAsia="zh-CN"/>
              </w:rPr>
            </w:pPr>
          </w:p>
        </w:tc>
      </w:tr>
      <w:tr w14:paraId="5CD8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651E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224CB6C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1389DFE">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CD3C79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C09DD1B">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14969F3">
            <w:pPr>
              <w:spacing w:line="360" w:lineRule="auto"/>
              <w:jc w:val="center"/>
              <w:rPr>
                <w:rFonts w:hint="eastAsia" w:ascii="宋体" w:hAnsi="宋体" w:eastAsia="宋体" w:cs="宋体"/>
                <w:color w:val="auto"/>
                <w:sz w:val="24"/>
                <w:highlight w:val="none"/>
              </w:rPr>
            </w:pPr>
          </w:p>
        </w:tc>
        <w:tc>
          <w:tcPr>
            <w:tcW w:w="1984" w:type="dxa"/>
            <w:vAlign w:val="center"/>
          </w:tcPr>
          <w:p w14:paraId="44D0357C">
            <w:pPr>
              <w:spacing w:line="360" w:lineRule="auto"/>
              <w:jc w:val="center"/>
              <w:rPr>
                <w:rFonts w:hint="eastAsia" w:ascii="宋体" w:hAnsi="宋体" w:eastAsia="宋体" w:cs="宋体"/>
                <w:color w:val="auto"/>
                <w:sz w:val="24"/>
                <w:highlight w:val="none"/>
              </w:rPr>
            </w:pPr>
          </w:p>
        </w:tc>
        <w:tc>
          <w:tcPr>
            <w:tcW w:w="3119" w:type="dxa"/>
            <w:vAlign w:val="center"/>
          </w:tcPr>
          <w:p w14:paraId="6C6732FE">
            <w:pPr>
              <w:spacing w:line="360" w:lineRule="auto"/>
              <w:jc w:val="center"/>
              <w:rPr>
                <w:rFonts w:hint="eastAsia" w:ascii="宋体" w:hAnsi="宋体" w:eastAsia="宋体" w:cs="宋体"/>
                <w:color w:val="auto"/>
                <w:sz w:val="24"/>
                <w:highlight w:val="none"/>
              </w:rPr>
            </w:pPr>
          </w:p>
        </w:tc>
      </w:tr>
      <w:tr w14:paraId="67CD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B5E1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76012388">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D496F5D">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D923D52">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EB7840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90D4FDB">
            <w:pPr>
              <w:spacing w:line="360" w:lineRule="auto"/>
              <w:jc w:val="center"/>
              <w:rPr>
                <w:rFonts w:hint="eastAsia" w:ascii="宋体" w:hAnsi="宋体" w:eastAsia="宋体" w:cs="宋体"/>
                <w:color w:val="auto"/>
                <w:sz w:val="24"/>
                <w:highlight w:val="none"/>
              </w:rPr>
            </w:pPr>
          </w:p>
        </w:tc>
        <w:tc>
          <w:tcPr>
            <w:tcW w:w="1984" w:type="dxa"/>
            <w:vAlign w:val="center"/>
          </w:tcPr>
          <w:p w14:paraId="676C2C2D">
            <w:pPr>
              <w:spacing w:line="360" w:lineRule="auto"/>
              <w:jc w:val="center"/>
              <w:rPr>
                <w:rFonts w:hint="eastAsia" w:ascii="宋体" w:hAnsi="宋体" w:eastAsia="宋体" w:cs="宋体"/>
                <w:color w:val="auto"/>
                <w:sz w:val="24"/>
                <w:highlight w:val="none"/>
              </w:rPr>
            </w:pPr>
          </w:p>
        </w:tc>
        <w:tc>
          <w:tcPr>
            <w:tcW w:w="3119" w:type="dxa"/>
            <w:vAlign w:val="center"/>
          </w:tcPr>
          <w:p w14:paraId="35A7C9C0">
            <w:pPr>
              <w:spacing w:line="360" w:lineRule="auto"/>
              <w:jc w:val="center"/>
              <w:rPr>
                <w:rFonts w:hint="eastAsia" w:ascii="宋体" w:hAnsi="宋体" w:eastAsia="宋体" w:cs="宋体"/>
                <w:color w:val="auto"/>
                <w:sz w:val="24"/>
                <w:highlight w:val="none"/>
              </w:rPr>
            </w:pPr>
          </w:p>
        </w:tc>
      </w:tr>
      <w:tr w14:paraId="2A53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7C8D79">
            <w:pPr>
              <w:spacing w:line="360" w:lineRule="auto"/>
              <w:jc w:val="center"/>
              <w:rPr>
                <w:rFonts w:hint="eastAsia" w:ascii="宋体" w:hAnsi="宋体" w:eastAsia="宋体" w:cs="宋体"/>
                <w:color w:val="auto"/>
                <w:sz w:val="24"/>
                <w:highlight w:val="none"/>
              </w:rPr>
            </w:pPr>
          </w:p>
        </w:tc>
        <w:tc>
          <w:tcPr>
            <w:tcW w:w="1417" w:type="dxa"/>
            <w:vAlign w:val="center"/>
          </w:tcPr>
          <w:p w14:paraId="4BEC9D3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CB96C12">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E282B8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858D4D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A0FCC99">
            <w:pPr>
              <w:spacing w:line="360" w:lineRule="auto"/>
              <w:jc w:val="center"/>
              <w:rPr>
                <w:rFonts w:hint="eastAsia" w:ascii="宋体" w:hAnsi="宋体" w:eastAsia="宋体" w:cs="宋体"/>
                <w:color w:val="auto"/>
                <w:sz w:val="24"/>
                <w:highlight w:val="none"/>
              </w:rPr>
            </w:pPr>
          </w:p>
        </w:tc>
        <w:tc>
          <w:tcPr>
            <w:tcW w:w="1984" w:type="dxa"/>
            <w:vAlign w:val="center"/>
          </w:tcPr>
          <w:p w14:paraId="34F3319A">
            <w:pPr>
              <w:spacing w:line="360" w:lineRule="auto"/>
              <w:jc w:val="center"/>
              <w:rPr>
                <w:rFonts w:hint="eastAsia" w:ascii="宋体" w:hAnsi="宋体" w:eastAsia="宋体" w:cs="宋体"/>
                <w:color w:val="auto"/>
                <w:sz w:val="24"/>
                <w:highlight w:val="none"/>
              </w:rPr>
            </w:pPr>
          </w:p>
        </w:tc>
        <w:tc>
          <w:tcPr>
            <w:tcW w:w="3119" w:type="dxa"/>
            <w:vAlign w:val="center"/>
          </w:tcPr>
          <w:p w14:paraId="051BBCC5">
            <w:pPr>
              <w:spacing w:line="360" w:lineRule="auto"/>
              <w:jc w:val="center"/>
              <w:rPr>
                <w:rFonts w:hint="eastAsia" w:ascii="宋体" w:hAnsi="宋体" w:eastAsia="宋体" w:cs="宋体"/>
                <w:color w:val="auto"/>
                <w:sz w:val="24"/>
                <w:highlight w:val="none"/>
              </w:rPr>
            </w:pPr>
          </w:p>
        </w:tc>
      </w:tr>
      <w:tr w14:paraId="61A7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1EBE4C">
            <w:pPr>
              <w:spacing w:line="360" w:lineRule="auto"/>
              <w:jc w:val="center"/>
              <w:rPr>
                <w:rFonts w:hint="eastAsia" w:ascii="宋体" w:hAnsi="宋体" w:eastAsia="宋体" w:cs="宋体"/>
                <w:color w:val="auto"/>
                <w:sz w:val="24"/>
                <w:highlight w:val="none"/>
              </w:rPr>
            </w:pPr>
          </w:p>
        </w:tc>
        <w:tc>
          <w:tcPr>
            <w:tcW w:w="1417" w:type="dxa"/>
            <w:vAlign w:val="center"/>
          </w:tcPr>
          <w:p w14:paraId="3322E735">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F4A579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D66340D">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51E8E79">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9F17439">
            <w:pPr>
              <w:spacing w:line="360" w:lineRule="auto"/>
              <w:jc w:val="center"/>
              <w:rPr>
                <w:rFonts w:hint="eastAsia" w:ascii="宋体" w:hAnsi="宋体" w:eastAsia="宋体" w:cs="宋体"/>
                <w:color w:val="auto"/>
                <w:sz w:val="24"/>
                <w:highlight w:val="none"/>
              </w:rPr>
            </w:pPr>
          </w:p>
        </w:tc>
        <w:tc>
          <w:tcPr>
            <w:tcW w:w="1984" w:type="dxa"/>
            <w:vAlign w:val="center"/>
          </w:tcPr>
          <w:p w14:paraId="6462A5E8">
            <w:pPr>
              <w:spacing w:line="360" w:lineRule="auto"/>
              <w:jc w:val="center"/>
              <w:rPr>
                <w:rFonts w:hint="eastAsia" w:ascii="宋体" w:hAnsi="宋体" w:eastAsia="宋体" w:cs="宋体"/>
                <w:color w:val="auto"/>
                <w:sz w:val="24"/>
                <w:highlight w:val="none"/>
              </w:rPr>
            </w:pPr>
          </w:p>
        </w:tc>
        <w:tc>
          <w:tcPr>
            <w:tcW w:w="3119" w:type="dxa"/>
            <w:vAlign w:val="center"/>
          </w:tcPr>
          <w:p w14:paraId="62CF7B72">
            <w:pPr>
              <w:spacing w:line="360" w:lineRule="auto"/>
              <w:jc w:val="center"/>
              <w:rPr>
                <w:rFonts w:hint="eastAsia" w:ascii="宋体" w:hAnsi="宋体" w:eastAsia="宋体" w:cs="宋体"/>
                <w:color w:val="auto"/>
                <w:sz w:val="24"/>
                <w:highlight w:val="none"/>
              </w:rPr>
            </w:pPr>
          </w:p>
        </w:tc>
      </w:tr>
      <w:tr w14:paraId="5E7A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02B68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3C3854C6">
            <w:pPr>
              <w:spacing w:line="360" w:lineRule="auto"/>
              <w:jc w:val="center"/>
              <w:rPr>
                <w:rFonts w:hint="eastAsia" w:ascii="宋体" w:hAnsi="宋体" w:eastAsia="宋体" w:cs="宋体"/>
                <w:color w:val="auto"/>
                <w:sz w:val="24"/>
                <w:highlight w:val="none"/>
              </w:rPr>
            </w:pPr>
          </w:p>
        </w:tc>
      </w:tr>
      <w:tr w14:paraId="4133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98E30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5AF61ADE">
            <w:pPr>
              <w:spacing w:line="360" w:lineRule="auto"/>
              <w:jc w:val="center"/>
              <w:rPr>
                <w:rFonts w:hint="eastAsia" w:ascii="宋体" w:hAnsi="宋体" w:eastAsia="宋体" w:cs="宋体"/>
                <w:color w:val="auto"/>
                <w:sz w:val="24"/>
                <w:highlight w:val="none"/>
              </w:rPr>
            </w:pPr>
          </w:p>
        </w:tc>
      </w:tr>
    </w:tbl>
    <w:p w14:paraId="19B9084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955706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5E3B9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9276A2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CB9A6EA">
      <w:pPr>
        <w:snapToGrid w:val="0"/>
        <w:spacing w:line="360" w:lineRule="auto"/>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1D7616">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、供应商</w:t>
      </w:r>
      <w:r>
        <w:rPr>
          <w:rFonts w:hint="eastAsia" w:ascii="宋体" w:hAnsi="宋体" w:cs="宋体"/>
          <w:b/>
          <w:color w:val="auto"/>
          <w:kern w:val="0"/>
          <w:sz w:val="24"/>
          <w:highlight w:val="none"/>
          <w:lang w:eastAsia="zh-CN"/>
        </w:rPr>
        <w:t>每标项</w:t>
      </w:r>
      <w:r>
        <w:rPr>
          <w:rFonts w:hint="eastAsia" w:ascii="宋体" w:hAnsi="宋体" w:cs="宋体"/>
          <w:b/>
          <w:color w:val="auto"/>
          <w:kern w:val="0"/>
          <w:sz w:val="24"/>
          <w:highlight w:val="none"/>
        </w:rPr>
        <w:t>报价低于</w:t>
      </w:r>
      <w:r>
        <w:rPr>
          <w:rFonts w:hint="eastAsia" w:ascii="宋体" w:hAnsi="宋体" w:cs="宋体"/>
          <w:b/>
          <w:color w:val="auto"/>
          <w:kern w:val="0"/>
          <w:sz w:val="24"/>
          <w:highlight w:val="none"/>
          <w:lang w:eastAsia="zh-CN"/>
        </w:rPr>
        <w:t>该标项</w:t>
      </w:r>
      <w:r>
        <w:rPr>
          <w:rFonts w:hint="eastAsia" w:ascii="宋体" w:hAnsi="宋体" w:cs="宋体"/>
          <w:b/>
          <w:color w:val="auto"/>
          <w:kern w:val="0"/>
          <w:sz w:val="24"/>
          <w:highlight w:val="none"/>
        </w:rPr>
        <w:t>项目预算50%的，应当在报价文件中详细阐述不影响产品质量或者诚信履约的具体原因。</w:t>
      </w:r>
    </w:p>
    <w:p w14:paraId="059712E6">
      <w:pPr>
        <w:snapToGrid w:val="0"/>
        <w:spacing w:line="360" w:lineRule="auto"/>
        <w:ind w:firstLine="482" w:firstLineChars="200"/>
        <w:jc w:val="left"/>
        <w:rPr>
          <w:rFonts w:hint="eastAsia" w:ascii="宋体" w:hAnsi="宋体" w:cs="宋体"/>
          <w:b/>
          <w:bCs/>
          <w:color w:val="auto"/>
          <w:kern w:val="0"/>
          <w:sz w:val="24"/>
          <w:szCs w:val="22"/>
          <w:highlight w:val="none"/>
          <w:lang w:val="en-US" w:eastAsia="zh-CN"/>
        </w:rPr>
        <w:sectPr>
          <w:pgSz w:w="16838" w:h="11906" w:orient="landscape"/>
          <w:pgMar w:top="993" w:right="1247" w:bottom="1418" w:left="1276" w:header="680" w:footer="680" w:gutter="0"/>
          <w:cols w:space="720" w:num="1"/>
          <w:titlePg/>
          <w:docGrid w:linePitch="312" w:charSpace="0"/>
        </w:sectPr>
      </w:pPr>
    </w:p>
    <w:p w14:paraId="590AD5F0">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386" w:name="_Hlk101259491"/>
      <w:r>
        <w:rPr>
          <w:rFonts w:hint="eastAsia" w:ascii="宋体" w:hAnsi="宋体" w:eastAsia="宋体" w:cs="宋体"/>
          <w:color w:val="auto"/>
          <w:sz w:val="32"/>
          <w:szCs w:val="32"/>
          <w:highlight w:val="none"/>
        </w:rPr>
        <w:t>（如果有）</w:t>
      </w:r>
      <w:bookmarkEnd w:id="386"/>
    </w:p>
    <w:p w14:paraId="6B00679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2C022B6">
      <w:pPr>
        <w:rPr>
          <w:rFonts w:hint="eastAsia" w:ascii="宋体" w:hAnsi="宋体" w:eastAsia="宋体" w:cs="宋体"/>
          <w:color w:val="auto"/>
          <w:highlight w:val="none"/>
        </w:rPr>
      </w:pPr>
    </w:p>
    <w:p w14:paraId="5E787E43">
      <w:pPr>
        <w:rPr>
          <w:rFonts w:hint="eastAsia" w:ascii="宋体" w:hAnsi="宋体" w:eastAsia="宋体" w:cs="宋体"/>
          <w:color w:val="auto"/>
          <w:highlight w:val="none"/>
        </w:rPr>
      </w:pPr>
    </w:p>
    <w:p w14:paraId="62DF00C2">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三、报价说明</w:t>
      </w:r>
      <w:r>
        <w:rPr>
          <w:rFonts w:hint="eastAsia" w:ascii="宋体" w:hAnsi="宋体" w:eastAsia="宋体" w:cs="宋体"/>
          <w:color w:val="auto"/>
          <w:sz w:val="32"/>
          <w:szCs w:val="32"/>
          <w:highlight w:val="none"/>
        </w:rPr>
        <w:t>（如果有）</w:t>
      </w:r>
    </w:p>
    <w:p w14:paraId="71845A9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供应商报价低于项目预算50%的，应当在报价文件中详细阐述不影响产品质量或者诚信履约的具体原因。</w:t>
      </w:r>
    </w:p>
    <w:p w14:paraId="640C0EE7">
      <w:pPr>
        <w:widowControl/>
        <w:adjustRightInd/>
        <w:jc w:val="left"/>
        <w:rPr>
          <w:rFonts w:hint="eastAsia" w:ascii="宋体" w:hAnsi="宋体" w:eastAsia="宋体" w:cs="宋体"/>
          <w:b/>
          <w:color w:val="auto"/>
          <w:kern w:val="0"/>
          <w:sz w:val="36"/>
          <w:szCs w:val="36"/>
          <w:highlight w:val="none"/>
        </w:rPr>
      </w:pPr>
      <w:bookmarkStart w:id="387" w:name="_Toc465665161"/>
      <w:r>
        <w:rPr>
          <w:rFonts w:hint="eastAsia" w:ascii="宋体" w:hAnsi="宋体" w:eastAsia="宋体" w:cs="宋体"/>
          <w:bCs/>
          <w:color w:val="auto"/>
          <w:kern w:val="0"/>
          <w:sz w:val="36"/>
          <w:szCs w:val="36"/>
          <w:highlight w:val="none"/>
        </w:rPr>
        <w:br w:type="page"/>
      </w:r>
    </w:p>
    <w:p w14:paraId="3D81E751">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387"/>
    </w:p>
    <w:p w14:paraId="1B2DFFC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E82A257">
      <w:pPr>
        <w:spacing w:line="360" w:lineRule="auto"/>
        <w:jc w:val="center"/>
        <w:rPr>
          <w:rFonts w:hint="eastAsia" w:ascii="宋体" w:hAnsi="宋体" w:eastAsia="宋体" w:cs="宋体"/>
          <w:b/>
          <w:color w:val="auto"/>
          <w:spacing w:val="6"/>
          <w:sz w:val="32"/>
          <w:szCs w:val="32"/>
          <w:highlight w:val="none"/>
        </w:rPr>
      </w:pPr>
      <w:bookmarkStart w:id="388" w:name="OLE_LINK14"/>
      <w:bookmarkStart w:id="389" w:name="OLE_LINK13"/>
      <w:r>
        <w:rPr>
          <w:rFonts w:hint="eastAsia" w:ascii="宋体" w:hAnsi="宋体" w:eastAsia="宋体" w:cs="宋体"/>
          <w:b/>
          <w:color w:val="auto"/>
          <w:spacing w:val="6"/>
          <w:sz w:val="32"/>
          <w:szCs w:val="32"/>
          <w:highlight w:val="none"/>
        </w:rPr>
        <w:t>残疾人福利性单位声明函</w:t>
      </w:r>
    </w:p>
    <w:bookmarkEnd w:id="388"/>
    <w:bookmarkEnd w:id="389"/>
    <w:p w14:paraId="769DEB5B">
      <w:pPr>
        <w:spacing w:line="360" w:lineRule="auto"/>
        <w:rPr>
          <w:rFonts w:hint="eastAsia" w:ascii="宋体" w:hAnsi="宋体" w:eastAsia="宋体" w:cs="宋体"/>
          <w:b/>
          <w:color w:val="auto"/>
          <w:spacing w:val="6"/>
          <w:sz w:val="30"/>
          <w:szCs w:val="30"/>
          <w:highlight w:val="none"/>
        </w:rPr>
      </w:pPr>
    </w:p>
    <w:p w14:paraId="01A5D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BD11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75B6A15">
      <w:pPr>
        <w:spacing w:line="360" w:lineRule="auto"/>
        <w:ind w:firstLine="480" w:firstLineChars="200"/>
        <w:rPr>
          <w:rFonts w:hint="eastAsia" w:ascii="宋体" w:hAnsi="宋体" w:eastAsia="宋体" w:cs="宋体"/>
          <w:color w:val="auto"/>
          <w:sz w:val="24"/>
          <w:highlight w:val="none"/>
        </w:rPr>
      </w:pPr>
    </w:p>
    <w:p w14:paraId="1E3804AE">
      <w:pPr>
        <w:spacing w:line="360" w:lineRule="auto"/>
        <w:ind w:firstLine="480" w:firstLineChars="200"/>
        <w:rPr>
          <w:rFonts w:hint="eastAsia" w:ascii="宋体" w:hAnsi="宋体" w:eastAsia="宋体" w:cs="宋体"/>
          <w:color w:val="auto"/>
          <w:sz w:val="24"/>
          <w:highlight w:val="none"/>
        </w:rPr>
      </w:pPr>
    </w:p>
    <w:p w14:paraId="1E2B174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26E43F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340AC00">
      <w:pPr>
        <w:spacing w:line="360" w:lineRule="auto"/>
        <w:ind w:firstLine="480" w:firstLineChars="200"/>
        <w:rPr>
          <w:rFonts w:hint="eastAsia" w:ascii="宋体" w:hAnsi="宋体" w:eastAsia="宋体" w:cs="宋体"/>
          <w:color w:val="auto"/>
          <w:sz w:val="24"/>
          <w:highlight w:val="none"/>
        </w:rPr>
      </w:pPr>
    </w:p>
    <w:p w14:paraId="27EFE9D1">
      <w:pPr>
        <w:spacing w:line="360" w:lineRule="auto"/>
        <w:ind w:firstLine="420" w:firstLineChars="200"/>
        <w:rPr>
          <w:rFonts w:hint="eastAsia" w:ascii="宋体" w:hAnsi="宋体" w:eastAsia="宋体" w:cs="宋体"/>
          <w:color w:val="auto"/>
          <w:highlight w:val="none"/>
        </w:rPr>
      </w:pPr>
    </w:p>
    <w:p w14:paraId="06D05917">
      <w:pPr>
        <w:spacing w:line="360" w:lineRule="auto"/>
        <w:ind w:firstLine="420" w:firstLineChars="200"/>
        <w:rPr>
          <w:rFonts w:hint="eastAsia" w:ascii="宋体" w:hAnsi="宋体" w:eastAsia="宋体" w:cs="宋体"/>
          <w:color w:val="auto"/>
          <w:highlight w:val="none"/>
        </w:rPr>
      </w:pPr>
    </w:p>
    <w:p w14:paraId="1D7E6551">
      <w:pPr>
        <w:spacing w:line="360" w:lineRule="auto"/>
        <w:ind w:firstLine="420" w:firstLineChars="200"/>
        <w:rPr>
          <w:rFonts w:hint="eastAsia" w:ascii="宋体" w:hAnsi="宋体" w:eastAsia="宋体" w:cs="宋体"/>
          <w:color w:val="auto"/>
          <w:highlight w:val="none"/>
        </w:rPr>
      </w:pPr>
    </w:p>
    <w:p w14:paraId="09B926AF">
      <w:pPr>
        <w:spacing w:line="360" w:lineRule="auto"/>
        <w:ind w:firstLine="420" w:firstLineChars="200"/>
        <w:rPr>
          <w:rFonts w:hint="eastAsia" w:ascii="宋体" w:hAnsi="宋体" w:eastAsia="宋体" w:cs="宋体"/>
          <w:color w:val="auto"/>
          <w:highlight w:val="none"/>
        </w:rPr>
      </w:pPr>
    </w:p>
    <w:p w14:paraId="0EDB638E">
      <w:pPr>
        <w:spacing w:line="360" w:lineRule="auto"/>
        <w:rPr>
          <w:rFonts w:hint="eastAsia" w:ascii="宋体" w:hAnsi="宋体" w:eastAsia="宋体" w:cs="宋体"/>
          <w:b/>
          <w:color w:val="auto"/>
          <w:sz w:val="24"/>
          <w:highlight w:val="none"/>
        </w:rPr>
      </w:pPr>
    </w:p>
    <w:p w14:paraId="44C67159">
      <w:pPr>
        <w:spacing w:line="360" w:lineRule="auto"/>
        <w:rPr>
          <w:rFonts w:hint="eastAsia" w:ascii="宋体" w:hAnsi="宋体" w:eastAsia="宋体" w:cs="宋体"/>
          <w:b/>
          <w:color w:val="auto"/>
          <w:sz w:val="24"/>
          <w:highlight w:val="none"/>
        </w:rPr>
      </w:pPr>
    </w:p>
    <w:p w14:paraId="18FE7277">
      <w:pPr>
        <w:spacing w:line="360" w:lineRule="auto"/>
        <w:rPr>
          <w:rFonts w:hint="eastAsia" w:ascii="宋体" w:hAnsi="宋体" w:eastAsia="宋体" w:cs="宋体"/>
          <w:b/>
          <w:color w:val="auto"/>
          <w:sz w:val="24"/>
          <w:highlight w:val="none"/>
        </w:rPr>
      </w:pPr>
    </w:p>
    <w:p w14:paraId="6AD41595">
      <w:pPr>
        <w:spacing w:line="360" w:lineRule="auto"/>
        <w:rPr>
          <w:rFonts w:hint="eastAsia" w:ascii="宋体" w:hAnsi="宋体" w:eastAsia="宋体" w:cs="宋体"/>
          <w:b/>
          <w:color w:val="auto"/>
          <w:sz w:val="24"/>
          <w:highlight w:val="none"/>
        </w:rPr>
      </w:pPr>
    </w:p>
    <w:p w14:paraId="3BB70EAF">
      <w:pPr>
        <w:spacing w:line="360" w:lineRule="auto"/>
        <w:rPr>
          <w:rFonts w:hint="eastAsia" w:ascii="宋体" w:hAnsi="宋体" w:eastAsia="宋体" w:cs="宋体"/>
          <w:b/>
          <w:color w:val="auto"/>
          <w:sz w:val="24"/>
          <w:highlight w:val="none"/>
        </w:rPr>
      </w:pPr>
    </w:p>
    <w:p w14:paraId="0300938D">
      <w:pPr>
        <w:spacing w:line="360" w:lineRule="auto"/>
        <w:rPr>
          <w:rFonts w:hint="eastAsia" w:ascii="宋体" w:hAnsi="宋体" w:eastAsia="宋体" w:cs="宋体"/>
          <w:b/>
          <w:color w:val="auto"/>
          <w:sz w:val="24"/>
          <w:highlight w:val="none"/>
        </w:rPr>
      </w:pPr>
    </w:p>
    <w:p w14:paraId="0BD0EDF7">
      <w:pPr>
        <w:spacing w:line="360" w:lineRule="auto"/>
        <w:rPr>
          <w:rFonts w:hint="eastAsia" w:ascii="宋体" w:hAnsi="宋体" w:eastAsia="宋体" w:cs="宋体"/>
          <w:b/>
          <w:color w:val="auto"/>
          <w:sz w:val="24"/>
          <w:highlight w:val="none"/>
        </w:rPr>
      </w:pPr>
    </w:p>
    <w:p w14:paraId="5C9A4CF8">
      <w:pPr>
        <w:spacing w:line="360" w:lineRule="auto"/>
        <w:rPr>
          <w:rFonts w:hint="eastAsia" w:ascii="宋体" w:hAnsi="宋体" w:eastAsia="宋体" w:cs="宋体"/>
          <w:b/>
          <w:color w:val="auto"/>
          <w:sz w:val="24"/>
          <w:highlight w:val="none"/>
        </w:rPr>
      </w:pPr>
    </w:p>
    <w:p w14:paraId="084D1621">
      <w:pPr>
        <w:spacing w:line="360" w:lineRule="auto"/>
        <w:rPr>
          <w:rFonts w:hint="eastAsia" w:ascii="宋体" w:hAnsi="宋体" w:eastAsia="宋体" w:cs="宋体"/>
          <w:b/>
          <w:color w:val="auto"/>
          <w:sz w:val="24"/>
          <w:highlight w:val="none"/>
        </w:rPr>
      </w:pPr>
    </w:p>
    <w:p w14:paraId="3AA991E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AB6D7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4BB6C6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E1FF3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6E938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AB0D0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D184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B92A5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2FC5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16313D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5788D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1A0FC8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169A8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60B90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DC4E14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A4B4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EF7B08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46D00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AB2B3A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BDBDCD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46990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F9D97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52DF60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15D5C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8377A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05E2D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C498B31">
      <w:pPr>
        <w:spacing w:line="360" w:lineRule="auto"/>
        <w:jc w:val="center"/>
        <w:rPr>
          <w:rFonts w:hint="eastAsia" w:ascii="宋体" w:hAnsi="宋体" w:eastAsia="宋体" w:cs="宋体"/>
          <w:b/>
          <w:bCs/>
          <w:color w:val="auto"/>
          <w:sz w:val="24"/>
          <w:highlight w:val="none"/>
        </w:rPr>
      </w:pPr>
    </w:p>
    <w:p w14:paraId="65225799">
      <w:pPr>
        <w:spacing w:line="360" w:lineRule="auto"/>
        <w:rPr>
          <w:rFonts w:hint="eastAsia" w:ascii="宋体" w:hAnsi="宋体" w:eastAsia="宋体" w:cs="宋体"/>
          <w:b/>
          <w:color w:val="auto"/>
          <w:sz w:val="24"/>
          <w:highlight w:val="none"/>
        </w:rPr>
      </w:pPr>
    </w:p>
    <w:p w14:paraId="2236946D">
      <w:pPr>
        <w:spacing w:line="360" w:lineRule="auto"/>
        <w:rPr>
          <w:rFonts w:hint="eastAsia" w:ascii="宋体" w:hAnsi="宋体" w:eastAsia="宋体" w:cs="宋体"/>
          <w:b/>
          <w:color w:val="auto"/>
          <w:sz w:val="24"/>
          <w:highlight w:val="none"/>
        </w:rPr>
      </w:pPr>
    </w:p>
    <w:p w14:paraId="23CD207E">
      <w:pPr>
        <w:spacing w:line="360" w:lineRule="auto"/>
        <w:rPr>
          <w:rFonts w:hint="eastAsia" w:ascii="宋体" w:hAnsi="宋体" w:eastAsia="宋体" w:cs="宋体"/>
          <w:b/>
          <w:color w:val="auto"/>
          <w:sz w:val="24"/>
          <w:highlight w:val="none"/>
        </w:rPr>
      </w:pPr>
    </w:p>
    <w:p w14:paraId="28F316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3FFAD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70C770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CDC59F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147B3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F6B70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4FEDB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70D664">
      <w:pPr>
        <w:widowControl/>
        <w:spacing w:line="360" w:lineRule="auto"/>
        <w:ind w:firstLine="600" w:firstLineChars="200"/>
        <w:jc w:val="left"/>
        <w:rPr>
          <w:rFonts w:hint="eastAsia" w:ascii="宋体" w:hAnsi="宋体" w:eastAsia="宋体" w:cs="宋体"/>
          <w:color w:val="auto"/>
          <w:sz w:val="30"/>
          <w:szCs w:val="30"/>
          <w:highlight w:val="none"/>
        </w:rPr>
      </w:pPr>
    </w:p>
    <w:p w14:paraId="66695507">
      <w:pPr>
        <w:spacing w:line="360" w:lineRule="auto"/>
        <w:jc w:val="center"/>
        <w:rPr>
          <w:rFonts w:hint="eastAsia" w:ascii="宋体" w:hAnsi="宋体" w:eastAsia="宋体" w:cs="宋体"/>
          <w:b/>
          <w:color w:val="auto"/>
          <w:spacing w:val="6"/>
          <w:sz w:val="32"/>
          <w:szCs w:val="32"/>
          <w:highlight w:val="none"/>
        </w:rPr>
      </w:pPr>
    </w:p>
    <w:p w14:paraId="694671F2">
      <w:pPr>
        <w:spacing w:line="360" w:lineRule="auto"/>
        <w:jc w:val="center"/>
        <w:rPr>
          <w:rFonts w:hint="eastAsia" w:ascii="宋体" w:hAnsi="宋体" w:eastAsia="宋体" w:cs="宋体"/>
          <w:b/>
          <w:color w:val="auto"/>
          <w:spacing w:val="6"/>
          <w:sz w:val="32"/>
          <w:szCs w:val="32"/>
          <w:highlight w:val="none"/>
        </w:rPr>
      </w:pPr>
    </w:p>
    <w:p w14:paraId="7134B517">
      <w:pPr>
        <w:spacing w:line="360" w:lineRule="auto"/>
        <w:jc w:val="center"/>
        <w:rPr>
          <w:rFonts w:hint="eastAsia" w:ascii="宋体" w:hAnsi="宋体" w:eastAsia="宋体" w:cs="宋体"/>
          <w:b/>
          <w:color w:val="auto"/>
          <w:spacing w:val="6"/>
          <w:sz w:val="32"/>
          <w:szCs w:val="32"/>
          <w:highlight w:val="none"/>
        </w:rPr>
      </w:pPr>
    </w:p>
    <w:p w14:paraId="51551D5E">
      <w:pPr>
        <w:spacing w:line="360" w:lineRule="auto"/>
        <w:jc w:val="center"/>
        <w:rPr>
          <w:rFonts w:hint="eastAsia" w:ascii="宋体" w:hAnsi="宋体" w:eastAsia="宋体" w:cs="宋体"/>
          <w:b/>
          <w:color w:val="auto"/>
          <w:spacing w:val="6"/>
          <w:sz w:val="32"/>
          <w:szCs w:val="32"/>
          <w:highlight w:val="none"/>
        </w:rPr>
      </w:pPr>
    </w:p>
    <w:p w14:paraId="121D987C">
      <w:pPr>
        <w:spacing w:line="360" w:lineRule="auto"/>
        <w:jc w:val="center"/>
        <w:rPr>
          <w:rFonts w:hint="eastAsia" w:ascii="宋体" w:hAnsi="宋体" w:eastAsia="宋体" w:cs="宋体"/>
          <w:b/>
          <w:color w:val="auto"/>
          <w:spacing w:val="6"/>
          <w:sz w:val="32"/>
          <w:szCs w:val="32"/>
          <w:highlight w:val="none"/>
        </w:rPr>
      </w:pPr>
    </w:p>
    <w:p w14:paraId="37D5094B">
      <w:pPr>
        <w:spacing w:line="360" w:lineRule="auto"/>
        <w:jc w:val="center"/>
        <w:rPr>
          <w:rFonts w:hint="eastAsia" w:ascii="宋体" w:hAnsi="宋体" w:eastAsia="宋体" w:cs="宋体"/>
          <w:b/>
          <w:color w:val="auto"/>
          <w:spacing w:val="6"/>
          <w:sz w:val="32"/>
          <w:szCs w:val="32"/>
          <w:highlight w:val="none"/>
        </w:rPr>
      </w:pPr>
    </w:p>
    <w:p w14:paraId="7C7DBD17">
      <w:pPr>
        <w:spacing w:line="360" w:lineRule="auto"/>
        <w:jc w:val="center"/>
        <w:rPr>
          <w:rFonts w:hint="eastAsia" w:ascii="宋体" w:hAnsi="宋体" w:eastAsia="宋体" w:cs="宋体"/>
          <w:b/>
          <w:color w:val="auto"/>
          <w:spacing w:val="6"/>
          <w:sz w:val="32"/>
          <w:szCs w:val="32"/>
          <w:highlight w:val="none"/>
        </w:rPr>
      </w:pPr>
    </w:p>
    <w:p w14:paraId="3599AD9E">
      <w:pPr>
        <w:spacing w:line="360" w:lineRule="auto"/>
        <w:jc w:val="center"/>
        <w:rPr>
          <w:rFonts w:hint="eastAsia" w:ascii="宋体" w:hAnsi="宋体" w:eastAsia="宋体" w:cs="宋体"/>
          <w:b/>
          <w:color w:val="auto"/>
          <w:spacing w:val="6"/>
          <w:sz w:val="32"/>
          <w:szCs w:val="32"/>
          <w:highlight w:val="none"/>
        </w:rPr>
      </w:pPr>
    </w:p>
    <w:p w14:paraId="70E3B746">
      <w:pPr>
        <w:spacing w:line="360" w:lineRule="auto"/>
        <w:jc w:val="center"/>
        <w:rPr>
          <w:rFonts w:hint="eastAsia" w:ascii="宋体" w:hAnsi="宋体" w:eastAsia="宋体" w:cs="宋体"/>
          <w:b/>
          <w:color w:val="auto"/>
          <w:spacing w:val="6"/>
          <w:sz w:val="32"/>
          <w:szCs w:val="32"/>
          <w:highlight w:val="none"/>
        </w:rPr>
      </w:pPr>
    </w:p>
    <w:p w14:paraId="6C84CA76">
      <w:pPr>
        <w:spacing w:line="360" w:lineRule="auto"/>
        <w:jc w:val="center"/>
        <w:rPr>
          <w:rFonts w:hint="eastAsia" w:ascii="宋体" w:hAnsi="宋体" w:eastAsia="宋体" w:cs="宋体"/>
          <w:b/>
          <w:color w:val="auto"/>
          <w:spacing w:val="6"/>
          <w:sz w:val="32"/>
          <w:szCs w:val="32"/>
          <w:highlight w:val="none"/>
        </w:rPr>
      </w:pPr>
    </w:p>
    <w:p w14:paraId="08C6B566">
      <w:pPr>
        <w:spacing w:line="360" w:lineRule="auto"/>
        <w:jc w:val="center"/>
        <w:rPr>
          <w:rFonts w:hint="eastAsia" w:ascii="宋体" w:hAnsi="宋体" w:eastAsia="宋体" w:cs="宋体"/>
          <w:b/>
          <w:color w:val="auto"/>
          <w:spacing w:val="6"/>
          <w:sz w:val="32"/>
          <w:szCs w:val="32"/>
          <w:highlight w:val="none"/>
        </w:rPr>
      </w:pPr>
    </w:p>
    <w:p w14:paraId="4C33491F">
      <w:pPr>
        <w:spacing w:line="360" w:lineRule="auto"/>
        <w:jc w:val="center"/>
        <w:rPr>
          <w:rFonts w:hint="eastAsia" w:ascii="宋体" w:hAnsi="宋体" w:eastAsia="宋体" w:cs="宋体"/>
          <w:b/>
          <w:color w:val="auto"/>
          <w:spacing w:val="6"/>
          <w:sz w:val="32"/>
          <w:szCs w:val="32"/>
          <w:highlight w:val="none"/>
        </w:rPr>
      </w:pPr>
    </w:p>
    <w:p w14:paraId="7B6B93CF">
      <w:pPr>
        <w:spacing w:line="360" w:lineRule="auto"/>
        <w:jc w:val="left"/>
        <w:rPr>
          <w:rFonts w:hint="eastAsia" w:ascii="宋体" w:hAnsi="宋体" w:eastAsia="宋体" w:cs="宋体"/>
          <w:b/>
          <w:color w:val="auto"/>
          <w:spacing w:val="6"/>
          <w:sz w:val="32"/>
          <w:szCs w:val="32"/>
          <w:highlight w:val="none"/>
        </w:rPr>
      </w:pPr>
    </w:p>
    <w:p w14:paraId="0E25CFF0">
      <w:pPr>
        <w:spacing w:line="360" w:lineRule="auto"/>
        <w:jc w:val="left"/>
        <w:rPr>
          <w:rFonts w:hint="eastAsia" w:ascii="宋体" w:hAnsi="宋体" w:eastAsia="宋体" w:cs="宋体"/>
          <w:b/>
          <w:color w:val="auto"/>
          <w:spacing w:val="6"/>
          <w:sz w:val="32"/>
          <w:szCs w:val="32"/>
          <w:highlight w:val="none"/>
        </w:rPr>
      </w:pPr>
    </w:p>
    <w:p w14:paraId="06E6A1F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2F8C95B">
      <w:pPr>
        <w:spacing w:line="360" w:lineRule="auto"/>
        <w:jc w:val="center"/>
        <w:rPr>
          <w:rFonts w:hint="eastAsia" w:ascii="宋体" w:hAnsi="宋体" w:eastAsia="宋体" w:cs="宋体"/>
          <w:b/>
          <w:color w:val="auto"/>
          <w:sz w:val="24"/>
          <w:highlight w:val="none"/>
        </w:rPr>
      </w:pPr>
    </w:p>
    <w:p w14:paraId="4BA76AD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738D0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6DBED4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85DD1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E1085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574E12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44F17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0571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A3E7E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438F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E487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CA3E7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AB50D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05162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A2698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AABE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BA0DA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A4382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49C29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2CDE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5493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712A1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0CD3B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0152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E243F0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01482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9FB57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FDE6A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C8122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C7C5E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750859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BF94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B3ECA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67183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84C9D8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3CA90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F6566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3D899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6F195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760E3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4116A76">
      <w:pPr>
        <w:spacing w:line="360" w:lineRule="auto"/>
        <w:rPr>
          <w:rFonts w:hint="eastAsia" w:ascii="宋体" w:hAnsi="宋体" w:eastAsia="宋体" w:cs="宋体"/>
          <w:b/>
          <w:color w:val="auto"/>
          <w:sz w:val="24"/>
          <w:highlight w:val="none"/>
        </w:rPr>
      </w:pPr>
    </w:p>
    <w:p w14:paraId="02306AEB">
      <w:pPr>
        <w:spacing w:line="360" w:lineRule="auto"/>
        <w:rPr>
          <w:rFonts w:hint="eastAsia" w:ascii="宋体" w:hAnsi="宋体" w:eastAsia="宋体" w:cs="宋体"/>
          <w:b/>
          <w:color w:val="auto"/>
          <w:sz w:val="24"/>
          <w:highlight w:val="none"/>
        </w:rPr>
      </w:pPr>
    </w:p>
    <w:p w14:paraId="0A14D6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BC7EC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7EFA7E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B93F67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B25D7D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0C0367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474EE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841FC8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BC233A">
      <w:pPr>
        <w:spacing w:line="360" w:lineRule="auto"/>
        <w:rPr>
          <w:rFonts w:hint="eastAsia" w:ascii="宋体" w:hAnsi="宋体" w:eastAsia="宋体" w:cs="宋体"/>
          <w:b/>
          <w:color w:val="auto"/>
          <w:sz w:val="24"/>
          <w:highlight w:val="none"/>
        </w:rPr>
      </w:pPr>
    </w:p>
    <w:p w14:paraId="6F4F2CDF">
      <w:pPr>
        <w:autoSpaceDE w:val="0"/>
        <w:autoSpaceDN w:val="0"/>
        <w:jc w:val="center"/>
        <w:rPr>
          <w:rFonts w:hint="eastAsia" w:ascii="宋体" w:hAnsi="宋体" w:eastAsia="宋体" w:cs="宋体"/>
          <w:b/>
          <w:color w:val="auto"/>
          <w:spacing w:val="6"/>
          <w:sz w:val="32"/>
          <w:szCs w:val="32"/>
          <w:highlight w:val="none"/>
        </w:rPr>
      </w:pPr>
    </w:p>
    <w:p w14:paraId="4C5C7762">
      <w:pPr>
        <w:autoSpaceDE w:val="0"/>
        <w:autoSpaceDN w:val="0"/>
        <w:jc w:val="center"/>
        <w:rPr>
          <w:rFonts w:hint="eastAsia" w:ascii="宋体" w:hAnsi="宋体" w:eastAsia="宋体" w:cs="宋体"/>
          <w:b/>
          <w:color w:val="auto"/>
          <w:spacing w:val="6"/>
          <w:sz w:val="32"/>
          <w:szCs w:val="32"/>
          <w:highlight w:val="none"/>
        </w:rPr>
      </w:pPr>
    </w:p>
    <w:p w14:paraId="5CE3B79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09F13D5">
      <w:pPr>
        <w:spacing w:line="360" w:lineRule="auto"/>
        <w:rPr>
          <w:rFonts w:hint="eastAsia" w:ascii="宋体" w:hAnsi="宋体" w:eastAsia="宋体" w:cs="宋体"/>
          <w:color w:val="auto"/>
          <w:sz w:val="24"/>
          <w:highlight w:val="none"/>
          <w:u w:val="single"/>
        </w:rPr>
      </w:pPr>
    </w:p>
    <w:p w14:paraId="45147C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7EFAED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CD4B8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915960E">
      <w:pPr>
        <w:spacing w:line="360" w:lineRule="auto"/>
        <w:ind w:firstLine="494"/>
        <w:rPr>
          <w:rFonts w:hint="eastAsia" w:ascii="宋体" w:hAnsi="宋体" w:eastAsia="宋体" w:cs="宋体"/>
          <w:color w:val="auto"/>
          <w:sz w:val="24"/>
          <w:highlight w:val="none"/>
        </w:rPr>
      </w:pPr>
    </w:p>
    <w:p w14:paraId="2B149F51">
      <w:pPr>
        <w:spacing w:line="360" w:lineRule="auto"/>
        <w:ind w:firstLine="494"/>
        <w:rPr>
          <w:rFonts w:hint="eastAsia" w:ascii="宋体" w:hAnsi="宋体" w:eastAsia="宋体" w:cs="宋体"/>
          <w:color w:val="auto"/>
          <w:sz w:val="24"/>
          <w:highlight w:val="none"/>
        </w:rPr>
      </w:pPr>
    </w:p>
    <w:p w14:paraId="6502B216">
      <w:pPr>
        <w:spacing w:line="360" w:lineRule="auto"/>
        <w:ind w:firstLine="494"/>
        <w:rPr>
          <w:rFonts w:hint="eastAsia" w:ascii="宋体" w:hAnsi="宋体" w:eastAsia="宋体" w:cs="宋体"/>
          <w:color w:val="auto"/>
          <w:sz w:val="24"/>
          <w:highlight w:val="none"/>
        </w:rPr>
      </w:pPr>
    </w:p>
    <w:p w14:paraId="73639B70">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FA06DA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592055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BAA4B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DC80312">
      <w:pPr>
        <w:autoSpaceDE w:val="0"/>
        <w:autoSpaceDN w:val="0"/>
        <w:jc w:val="center"/>
        <w:rPr>
          <w:rFonts w:hint="eastAsia" w:ascii="宋体" w:hAnsi="宋体" w:eastAsia="宋体" w:cs="宋体"/>
          <w:b/>
          <w:color w:val="auto"/>
          <w:spacing w:val="6"/>
          <w:sz w:val="32"/>
          <w:szCs w:val="32"/>
          <w:highlight w:val="none"/>
        </w:rPr>
      </w:pPr>
    </w:p>
    <w:p w14:paraId="54340891">
      <w:pPr>
        <w:autoSpaceDE w:val="0"/>
        <w:autoSpaceDN w:val="0"/>
        <w:jc w:val="center"/>
        <w:rPr>
          <w:rFonts w:hint="eastAsia" w:ascii="宋体" w:hAnsi="宋体" w:eastAsia="宋体" w:cs="宋体"/>
          <w:b/>
          <w:color w:val="auto"/>
          <w:spacing w:val="6"/>
          <w:sz w:val="32"/>
          <w:szCs w:val="32"/>
          <w:highlight w:val="none"/>
        </w:rPr>
      </w:pPr>
    </w:p>
    <w:p w14:paraId="05B87D50">
      <w:pPr>
        <w:autoSpaceDE w:val="0"/>
        <w:autoSpaceDN w:val="0"/>
        <w:jc w:val="center"/>
        <w:rPr>
          <w:rFonts w:hint="eastAsia" w:ascii="宋体" w:hAnsi="宋体" w:eastAsia="宋体" w:cs="宋体"/>
          <w:b/>
          <w:color w:val="auto"/>
          <w:spacing w:val="6"/>
          <w:sz w:val="32"/>
          <w:szCs w:val="32"/>
          <w:highlight w:val="none"/>
        </w:rPr>
      </w:pPr>
    </w:p>
    <w:p w14:paraId="2A2D07EB">
      <w:pPr>
        <w:autoSpaceDE w:val="0"/>
        <w:autoSpaceDN w:val="0"/>
        <w:jc w:val="center"/>
        <w:rPr>
          <w:rFonts w:hint="eastAsia" w:ascii="宋体" w:hAnsi="宋体" w:eastAsia="宋体" w:cs="宋体"/>
          <w:b/>
          <w:color w:val="auto"/>
          <w:spacing w:val="6"/>
          <w:sz w:val="32"/>
          <w:szCs w:val="32"/>
          <w:highlight w:val="none"/>
        </w:rPr>
      </w:pPr>
    </w:p>
    <w:p w14:paraId="2078F9E8">
      <w:pPr>
        <w:autoSpaceDE w:val="0"/>
        <w:autoSpaceDN w:val="0"/>
        <w:jc w:val="center"/>
        <w:rPr>
          <w:rFonts w:hint="eastAsia" w:ascii="宋体" w:hAnsi="宋体" w:eastAsia="宋体" w:cs="宋体"/>
          <w:b/>
          <w:color w:val="auto"/>
          <w:spacing w:val="6"/>
          <w:sz w:val="32"/>
          <w:szCs w:val="32"/>
          <w:highlight w:val="none"/>
        </w:rPr>
      </w:pPr>
    </w:p>
    <w:p w14:paraId="0F0055AD">
      <w:pPr>
        <w:autoSpaceDE w:val="0"/>
        <w:autoSpaceDN w:val="0"/>
        <w:jc w:val="center"/>
        <w:rPr>
          <w:rFonts w:hint="eastAsia" w:ascii="宋体" w:hAnsi="宋体" w:eastAsia="宋体" w:cs="宋体"/>
          <w:b/>
          <w:color w:val="auto"/>
          <w:spacing w:val="6"/>
          <w:sz w:val="32"/>
          <w:szCs w:val="32"/>
          <w:highlight w:val="none"/>
        </w:rPr>
      </w:pPr>
    </w:p>
    <w:p w14:paraId="76DA7902">
      <w:pPr>
        <w:autoSpaceDE w:val="0"/>
        <w:autoSpaceDN w:val="0"/>
        <w:jc w:val="center"/>
        <w:rPr>
          <w:rFonts w:hint="eastAsia" w:ascii="宋体" w:hAnsi="宋体" w:eastAsia="宋体" w:cs="宋体"/>
          <w:b/>
          <w:color w:val="auto"/>
          <w:spacing w:val="6"/>
          <w:sz w:val="32"/>
          <w:szCs w:val="32"/>
          <w:highlight w:val="none"/>
        </w:rPr>
      </w:pPr>
    </w:p>
    <w:p w14:paraId="2BFED3CC">
      <w:pPr>
        <w:autoSpaceDE w:val="0"/>
        <w:autoSpaceDN w:val="0"/>
        <w:jc w:val="center"/>
        <w:rPr>
          <w:rFonts w:hint="eastAsia" w:ascii="宋体" w:hAnsi="宋体" w:eastAsia="宋体" w:cs="宋体"/>
          <w:b/>
          <w:color w:val="auto"/>
          <w:spacing w:val="6"/>
          <w:sz w:val="32"/>
          <w:szCs w:val="32"/>
          <w:highlight w:val="none"/>
        </w:rPr>
      </w:pPr>
    </w:p>
    <w:p w14:paraId="07703256">
      <w:pPr>
        <w:autoSpaceDE w:val="0"/>
        <w:autoSpaceDN w:val="0"/>
        <w:jc w:val="center"/>
        <w:rPr>
          <w:rFonts w:hint="eastAsia" w:ascii="宋体" w:hAnsi="宋体" w:eastAsia="宋体" w:cs="宋体"/>
          <w:b/>
          <w:color w:val="auto"/>
          <w:spacing w:val="6"/>
          <w:sz w:val="32"/>
          <w:szCs w:val="32"/>
          <w:highlight w:val="none"/>
        </w:rPr>
      </w:pPr>
    </w:p>
    <w:p w14:paraId="1183E087">
      <w:pPr>
        <w:autoSpaceDE w:val="0"/>
        <w:autoSpaceDN w:val="0"/>
        <w:jc w:val="center"/>
        <w:rPr>
          <w:rFonts w:hint="eastAsia" w:ascii="宋体" w:hAnsi="宋体" w:eastAsia="宋体" w:cs="宋体"/>
          <w:b/>
          <w:color w:val="auto"/>
          <w:spacing w:val="6"/>
          <w:sz w:val="32"/>
          <w:szCs w:val="32"/>
          <w:highlight w:val="none"/>
        </w:rPr>
      </w:pPr>
    </w:p>
    <w:p w14:paraId="497A5FE8">
      <w:pPr>
        <w:autoSpaceDE w:val="0"/>
        <w:autoSpaceDN w:val="0"/>
        <w:jc w:val="center"/>
        <w:rPr>
          <w:rFonts w:hint="eastAsia" w:ascii="宋体" w:hAnsi="宋体" w:eastAsia="宋体" w:cs="宋体"/>
          <w:b/>
          <w:color w:val="auto"/>
          <w:spacing w:val="6"/>
          <w:sz w:val="32"/>
          <w:szCs w:val="32"/>
          <w:highlight w:val="none"/>
        </w:rPr>
      </w:pPr>
    </w:p>
    <w:p w14:paraId="3E6DB44D">
      <w:pPr>
        <w:autoSpaceDE w:val="0"/>
        <w:autoSpaceDN w:val="0"/>
        <w:jc w:val="center"/>
        <w:rPr>
          <w:rFonts w:hint="eastAsia" w:ascii="宋体" w:hAnsi="宋体" w:eastAsia="宋体" w:cs="宋体"/>
          <w:b/>
          <w:color w:val="auto"/>
          <w:spacing w:val="6"/>
          <w:sz w:val="32"/>
          <w:szCs w:val="32"/>
          <w:highlight w:val="none"/>
        </w:rPr>
      </w:pPr>
    </w:p>
    <w:p w14:paraId="103FE96E">
      <w:pPr>
        <w:autoSpaceDE w:val="0"/>
        <w:autoSpaceDN w:val="0"/>
        <w:jc w:val="center"/>
        <w:rPr>
          <w:rFonts w:hint="eastAsia" w:ascii="宋体" w:hAnsi="宋体" w:eastAsia="宋体" w:cs="宋体"/>
          <w:b/>
          <w:color w:val="auto"/>
          <w:spacing w:val="6"/>
          <w:sz w:val="32"/>
          <w:szCs w:val="32"/>
          <w:highlight w:val="none"/>
        </w:rPr>
      </w:pPr>
    </w:p>
    <w:p w14:paraId="501666DF">
      <w:pPr>
        <w:autoSpaceDE w:val="0"/>
        <w:autoSpaceDN w:val="0"/>
        <w:jc w:val="center"/>
        <w:rPr>
          <w:rFonts w:hint="eastAsia" w:ascii="宋体" w:hAnsi="宋体" w:eastAsia="宋体" w:cs="宋体"/>
          <w:b/>
          <w:color w:val="auto"/>
          <w:spacing w:val="6"/>
          <w:sz w:val="32"/>
          <w:szCs w:val="32"/>
          <w:highlight w:val="none"/>
        </w:rPr>
      </w:pPr>
    </w:p>
    <w:p w14:paraId="4CF3732B">
      <w:pPr>
        <w:autoSpaceDE w:val="0"/>
        <w:autoSpaceDN w:val="0"/>
        <w:jc w:val="center"/>
        <w:rPr>
          <w:rFonts w:hint="eastAsia" w:ascii="宋体" w:hAnsi="宋体" w:eastAsia="宋体" w:cs="宋体"/>
          <w:b/>
          <w:color w:val="auto"/>
          <w:spacing w:val="6"/>
          <w:sz w:val="32"/>
          <w:szCs w:val="32"/>
          <w:highlight w:val="none"/>
        </w:rPr>
      </w:pPr>
    </w:p>
    <w:p w14:paraId="133DEDA1">
      <w:pPr>
        <w:autoSpaceDE w:val="0"/>
        <w:autoSpaceDN w:val="0"/>
        <w:jc w:val="center"/>
        <w:rPr>
          <w:rFonts w:hint="eastAsia" w:ascii="宋体" w:hAnsi="宋体" w:eastAsia="宋体" w:cs="宋体"/>
          <w:b/>
          <w:color w:val="auto"/>
          <w:spacing w:val="6"/>
          <w:sz w:val="32"/>
          <w:szCs w:val="32"/>
          <w:highlight w:val="none"/>
        </w:rPr>
      </w:pPr>
    </w:p>
    <w:p w14:paraId="5E3FC82F">
      <w:pPr>
        <w:autoSpaceDE w:val="0"/>
        <w:autoSpaceDN w:val="0"/>
        <w:jc w:val="center"/>
        <w:rPr>
          <w:rFonts w:hint="eastAsia" w:ascii="宋体" w:hAnsi="宋体" w:eastAsia="宋体" w:cs="宋体"/>
          <w:b/>
          <w:color w:val="auto"/>
          <w:spacing w:val="6"/>
          <w:sz w:val="32"/>
          <w:szCs w:val="32"/>
          <w:highlight w:val="none"/>
        </w:rPr>
      </w:pPr>
    </w:p>
    <w:p w14:paraId="084B9F8D">
      <w:pPr>
        <w:autoSpaceDE w:val="0"/>
        <w:autoSpaceDN w:val="0"/>
        <w:jc w:val="center"/>
        <w:rPr>
          <w:rFonts w:hint="eastAsia" w:ascii="宋体" w:hAnsi="宋体" w:eastAsia="宋体" w:cs="宋体"/>
          <w:b/>
          <w:color w:val="auto"/>
          <w:spacing w:val="6"/>
          <w:sz w:val="32"/>
          <w:szCs w:val="32"/>
          <w:highlight w:val="none"/>
        </w:rPr>
      </w:pPr>
    </w:p>
    <w:p w14:paraId="5F4DF1A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64EC82E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5C8DD98">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u w:val="single"/>
          <w14:ligatures w14:val="none"/>
        </w:rPr>
        <w:t>（联合体所有成员名称）</w:t>
      </w:r>
      <w:r>
        <w:rPr>
          <w:rFonts w:hint="eastAsia" w:ascii="宋体" w:hAnsi="宋体" w:cs="宋体"/>
          <w:color w:val="auto"/>
          <w:kern w:val="0"/>
          <w:sz w:val="24"/>
          <w:szCs w:val="24"/>
          <w:highlight w:val="none"/>
          <w14:ligatures w14:val="none"/>
        </w:rPr>
        <w:t>自愿</w:t>
      </w:r>
      <w:r>
        <w:rPr>
          <w:rFonts w:hint="eastAsia" w:ascii="宋体" w:hAnsi="宋体" w:cs="宋体"/>
          <w:color w:val="auto"/>
          <w:kern w:val="0"/>
          <w:sz w:val="24"/>
          <w:szCs w:val="24"/>
          <w:highlight w:val="none"/>
          <w:lang w:val="zh-CN"/>
          <w14:ligatures w14:val="none"/>
        </w:rPr>
        <w:t>组成一个联合体，以一个投标人的身份</w:t>
      </w:r>
      <w:r>
        <w:rPr>
          <w:rFonts w:hint="eastAsia" w:ascii="宋体" w:hAnsi="宋体" w:cs="宋体"/>
          <w:color w:val="auto"/>
          <w:kern w:val="0"/>
          <w:sz w:val="24"/>
          <w:szCs w:val="24"/>
          <w:highlight w:val="none"/>
          <w14:ligatures w14:val="none"/>
        </w:rPr>
        <w:t>参加</w:t>
      </w:r>
      <w:r>
        <w:rPr>
          <w:rFonts w:hint="eastAsia" w:ascii="宋体" w:hAnsi="宋体" w:cs="宋体"/>
          <w:color w:val="auto"/>
          <w:sz w:val="24"/>
          <w:szCs w:val="24"/>
          <w:highlight w:val="none"/>
          <w14:ligatures w14:val="none"/>
        </w:rPr>
        <w:t>（项目名称）【招标编号：（采购编号）】</w:t>
      </w:r>
      <w:r>
        <w:rPr>
          <w:rFonts w:hint="eastAsia" w:ascii="宋体" w:hAnsi="宋体" w:cs="宋体"/>
          <w:color w:val="auto"/>
          <w:kern w:val="0"/>
          <w:sz w:val="24"/>
          <w:szCs w:val="24"/>
          <w:highlight w:val="none"/>
          <w:lang w:val="zh-CN"/>
          <w14:ligatures w14:val="none"/>
        </w:rPr>
        <w:t xml:space="preserve">投标。 </w:t>
      </w:r>
    </w:p>
    <w:p w14:paraId="25E9E9E9">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一、各方一致决定，</w:t>
      </w:r>
      <w:r>
        <w:rPr>
          <w:rFonts w:hint="eastAsia" w:ascii="宋体" w:hAnsi="宋体" w:cs="宋体"/>
          <w:color w:val="auto"/>
          <w:kern w:val="0"/>
          <w:sz w:val="24"/>
          <w:szCs w:val="24"/>
          <w:highlight w:val="none"/>
          <w:u w:val="single"/>
          <w14:ligatures w14:val="none"/>
        </w:rPr>
        <w:t>（某联合体成员名称）</w:t>
      </w:r>
      <w:r>
        <w:rPr>
          <w:rFonts w:hint="eastAsia" w:ascii="宋体" w:hAnsi="宋体" w:cs="宋体"/>
          <w:color w:val="auto"/>
          <w:kern w:val="0"/>
          <w:sz w:val="24"/>
          <w:szCs w:val="24"/>
          <w:highlight w:val="none"/>
          <w14:ligatures w14:val="none"/>
        </w:rPr>
        <w:t>为联合体</w:t>
      </w:r>
      <w:r>
        <w:rPr>
          <w:rFonts w:hint="eastAsia" w:ascii="宋体" w:hAnsi="宋体" w:cs="宋体"/>
          <w:color w:val="auto"/>
          <w:kern w:val="0"/>
          <w:sz w:val="24"/>
          <w:szCs w:val="24"/>
          <w:highlight w:val="none"/>
          <w:lang w:val="zh-CN"/>
          <w14:ligatures w14:val="none"/>
        </w:rPr>
        <w:t>牵头人</w:t>
      </w:r>
      <w:r>
        <w:rPr>
          <w:rFonts w:hint="eastAsia" w:ascii="宋体" w:hAnsi="宋体" w:cs="宋体"/>
          <w:color w:val="auto"/>
          <w:sz w:val="24"/>
          <w:szCs w:val="24"/>
          <w:highlight w:val="none"/>
          <w14:ligatures w14:val="none"/>
        </w:rPr>
        <w:t>，代表所有联合体成员负责投标和合同实施阶段的主办、协调工作</w:t>
      </w:r>
      <w:r>
        <w:rPr>
          <w:rFonts w:hint="eastAsia" w:ascii="宋体" w:hAnsi="宋体" w:cs="宋体"/>
          <w:color w:val="auto"/>
          <w:kern w:val="0"/>
          <w:sz w:val="24"/>
          <w:szCs w:val="24"/>
          <w:highlight w:val="none"/>
          <w:lang w:val="zh-CN"/>
          <w14:ligatures w14:val="none"/>
        </w:rPr>
        <w:t>。</w:t>
      </w:r>
    </w:p>
    <w:p w14:paraId="19BF5362">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二、</w:t>
      </w:r>
      <w:r>
        <w:rPr>
          <w:rFonts w:hint="eastAsia" w:ascii="宋体" w:hAnsi="宋体" w:cs="宋体"/>
          <w:color w:val="auto"/>
          <w:sz w:val="24"/>
          <w:szCs w:val="24"/>
          <w:highlight w:val="none"/>
          <w14:ligatures w14:val="none"/>
        </w:rPr>
        <w:t>所有联合体成员各方签署授权书，授权书载明的</w:t>
      </w:r>
      <w:r>
        <w:rPr>
          <w:rFonts w:hint="eastAsia" w:ascii="宋体" w:hAnsi="宋体" w:cs="宋体"/>
          <w:color w:val="auto"/>
          <w:kern w:val="0"/>
          <w:sz w:val="24"/>
          <w:szCs w:val="24"/>
          <w:highlight w:val="none"/>
          <w:lang w:val="zh-CN"/>
          <w14:ligatures w14:val="none"/>
        </w:rPr>
        <w:t>授权代表根据招标文件规定及投标内容而对采购人、采购代理机构所作的任何合法承诺，包括书面澄清及相应等均对联合投标各方产生约束力。</w:t>
      </w:r>
    </w:p>
    <w:p w14:paraId="5BEE91DE">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三、本次联合投标中，分工如下：</w:t>
      </w:r>
    </w:p>
    <w:p w14:paraId="6A5EE57C">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u w:val="single"/>
          <w14:ligatures w14:val="none"/>
        </w:rPr>
        <w:t>（联合体成员1）</w:t>
      </w:r>
      <w:r>
        <w:rPr>
          <w:rFonts w:hint="eastAsia" w:ascii="宋体" w:hAnsi="宋体" w:cs="宋体"/>
          <w:color w:val="auto"/>
          <w:kern w:val="0"/>
          <w:sz w:val="24"/>
          <w:szCs w:val="24"/>
          <w:highlight w:val="none"/>
          <w:lang w:val="zh-CN"/>
          <w14:ligatures w14:val="none"/>
        </w:rPr>
        <w:t>承担的工作和义务为：</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kern w:val="0"/>
          <w:sz w:val="24"/>
          <w:szCs w:val="24"/>
          <w:highlight w:val="none"/>
          <w:lang w:val="zh-CN"/>
          <w14:ligatures w14:val="none"/>
        </w:rPr>
        <w:t>；</w:t>
      </w:r>
    </w:p>
    <w:p w14:paraId="5596BF34">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u w:val="single"/>
          <w14:ligatures w14:val="none"/>
        </w:rPr>
        <w:t>（联合体成员</w:t>
      </w:r>
      <w:r>
        <w:rPr>
          <w:rFonts w:ascii="宋体" w:hAnsi="宋体" w:cs="宋体"/>
          <w:color w:val="auto"/>
          <w:kern w:val="0"/>
          <w:sz w:val="24"/>
          <w:szCs w:val="24"/>
          <w:highlight w:val="none"/>
          <w:u w:val="single"/>
          <w14:ligatures w14:val="none"/>
        </w:rPr>
        <w:t>2</w:t>
      </w:r>
      <w:r>
        <w:rPr>
          <w:rFonts w:hint="eastAsia" w:ascii="宋体" w:hAnsi="宋体" w:cs="宋体"/>
          <w:color w:val="auto"/>
          <w:kern w:val="0"/>
          <w:sz w:val="24"/>
          <w:szCs w:val="24"/>
          <w:highlight w:val="none"/>
          <w:u w:val="single"/>
          <w14:ligatures w14:val="none"/>
        </w:rPr>
        <w:t>）</w:t>
      </w:r>
      <w:r>
        <w:rPr>
          <w:rFonts w:hint="eastAsia" w:ascii="宋体" w:hAnsi="宋体" w:cs="宋体"/>
          <w:color w:val="auto"/>
          <w:kern w:val="0"/>
          <w:sz w:val="24"/>
          <w:szCs w:val="24"/>
          <w:highlight w:val="none"/>
          <w:lang w:val="zh-CN"/>
          <w14:ligatures w14:val="none"/>
        </w:rPr>
        <w:t>承担的工作和义务为：</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kern w:val="0"/>
          <w:sz w:val="24"/>
          <w:szCs w:val="24"/>
          <w:highlight w:val="none"/>
          <w:lang w:val="zh-CN"/>
          <w14:ligatures w14:val="none"/>
        </w:rPr>
        <w:t>；</w:t>
      </w:r>
    </w:p>
    <w:p w14:paraId="13322315">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w:t>
      </w:r>
    </w:p>
    <w:p w14:paraId="05789368">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四、联合体成员中小企业合同份额。</w:t>
      </w:r>
    </w:p>
    <w:p w14:paraId="7DBBA7C9">
      <w:pPr>
        <w:snapToGrid w:val="0"/>
        <w:spacing w:line="360" w:lineRule="auto"/>
        <w:ind w:firstLine="480"/>
        <w:rPr>
          <w:rFonts w:hint="eastAsia" w:ascii="宋体" w:hAnsi="宋体" w:cs="宋体"/>
          <w:b/>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1、</w:t>
      </w:r>
      <w:r>
        <w:rPr>
          <w:rFonts w:hint="eastAsia" w:ascii="宋体" w:hAnsi="宋体" w:cs="宋体"/>
          <w:color w:val="auto"/>
          <w:kern w:val="0"/>
          <w:sz w:val="24"/>
          <w:szCs w:val="24"/>
          <w:highlight w:val="none"/>
          <w:u w:val="single"/>
          <w14:ligatures w14:val="none"/>
        </w:rPr>
        <w:t>（</w:t>
      </w:r>
      <w:bookmarkStart w:id="390" w:name="_Hlk101131882"/>
      <w:r>
        <w:rPr>
          <w:rFonts w:hint="eastAsia" w:ascii="宋体" w:hAnsi="宋体" w:cs="宋体"/>
          <w:color w:val="auto"/>
          <w:kern w:val="0"/>
          <w:sz w:val="24"/>
          <w:szCs w:val="24"/>
          <w:highlight w:val="none"/>
          <w:u w:val="single"/>
          <w14:ligatures w14:val="none"/>
        </w:rPr>
        <w:t>联合体成员X</w:t>
      </w:r>
      <w:r>
        <w:rPr>
          <w:rFonts w:ascii="宋体" w:hAnsi="宋体" w:cs="宋体"/>
          <w:color w:val="auto"/>
          <w:kern w:val="0"/>
          <w:sz w:val="24"/>
          <w:szCs w:val="24"/>
          <w:highlight w:val="none"/>
          <w:u w:val="single"/>
          <w14:ligatures w14:val="none"/>
        </w:rPr>
        <w:t>,</w:t>
      </w:r>
      <w:r>
        <w:rPr>
          <w:rFonts w:hint="eastAsia" w:ascii="宋体" w:hAnsi="宋体" w:cs="宋体"/>
          <w:color w:val="auto"/>
          <w:kern w:val="0"/>
          <w:sz w:val="24"/>
          <w:szCs w:val="24"/>
          <w:highlight w:val="none"/>
          <w:u w:val="single"/>
          <w14:ligatures w14:val="none"/>
        </w:rPr>
        <w:t>……</w:t>
      </w:r>
      <w:bookmarkEnd w:id="390"/>
      <w:r>
        <w:rPr>
          <w:rFonts w:hint="eastAsia" w:ascii="宋体" w:hAnsi="宋体" w:cs="宋体"/>
          <w:color w:val="auto"/>
          <w:kern w:val="0"/>
          <w:sz w:val="24"/>
          <w:szCs w:val="24"/>
          <w:highlight w:val="none"/>
          <w:u w:val="single"/>
          <w14:ligatures w14:val="none"/>
        </w:rPr>
        <w:t>）</w:t>
      </w:r>
      <w:r>
        <w:rPr>
          <w:rFonts w:hint="eastAsia" w:ascii="宋体" w:hAnsi="宋体" w:cs="宋体"/>
          <w:color w:val="auto"/>
          <w:kern w:val="0"/>
          <w:sz w:val="24"/>
          <w:szCs w:val="24"/>
          <w:highlight w:val="none"/>
          <w14:ligatures w14:val="none"/>
        </w:rPr>
        <w:t>提供的服务由小微企业承接，其合同份额占到合同总金额</w:t>
      </w:r>
      <w:r>
        <w:rPr>
          <w:rFonts w:hint="eastAsia" w:ascii="宋体" w:hAnsi="宋体" w:cs="宋体"/>
          <w:color w:val="auto"/>
          <w:kern w:val="0"/>
          <w:sz w:val="24"/>
          <w:szCs w:val="24"/>
          <w:highlight w:val="none"/>
          <w:u w:val="single"/>
          <w14:ligatures w14:val="none"/>
        </w:rPr>
        <w:t xml:space="preserve">     </w:t>
      </w:r>
      <w:r>
        <w:rPr>
          <w:rFonts w:hint="eastAsia" w:ascii="宋体" w:hAnsi="宋体" w:cs="宋体"/>
          <w:color w:val="auto"/>
          <w:kern w:val="0"/>
          <w:sz w:val="24"/>
          <w:szCs w:val="24"/>
          <w:highlight w:val="none"/>
          <w14:ligatures w14:val="none"/>
        </w:rPr>
        <w:t>%以上</w:t>
      </w:r>
      <w:r>
        <w:rPr>
          <w:rFonts w:hint="eastAsia" w:ascii="宋体" w:hAnsi="宋体" w:cs="宋体"/>
          <w:color w:val="auto"/>
          <w:kern w:val="0"/>
          <w:sz w:val="24"/>
          <w:szCs w:val="24"/>
          <w:highlight w:val="none"/>
          <w:lang w:val="zh-CN"/>
          <w14:ligatures w14:val="none"/>
        </w:rPr>
        <w:t>。</w:t>
      </w:r>
      <w:r>
        <w:rPr>
          <w:rFonts w:hint="eastAsia" w:ascii="宋体" w:hAnsi="宋体" w:cs="宋体"/>
          <w:b/>
          <w:color w:val="auto"/>
          <w:kern w:val="0"/>
          <w:sz w:val="24"/>
          <w:szCs w:val="24"/>
          <w:highlight w:val="none"/>
          <w:lang w:val="zh-CN"/>
          <w14:ligatures w14:val="none"/>
        </w:rPr>
        <w:t>（</w:t>
      </w:r>
      <w:bookmarkStart w:id="391" w:name="_Hlk101133598"/>
      <w:r>
        <w:rPr>
          <w:rFonts w:hint="eastAsia" w:ascii="宋体" w:hAnsi="宋体" w:cs="宋体"/>
          <w:b/>
          <w:color w:val="auto"/>
          <w:kern w:val="0"/>
          <w:sz w:val="24"/>
          <w:szCs w:val="24"/>
          <w:highlight w:val="none"/>
          <w:lang w:val="zh-CN"/>
          <w14:ligatures w14: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szCs w:val="24"/>
          <w:highlight w:val="none"/>
          <w14:ligatures w14:val="none"/>
        </w:rPr>
        <w:t>拟享受以上价格扣除政策的，填写有关内容。</w:t>
      </w:r>
      <w:bookmarkEnd w:id="391"/>
      <w:r>
        <w:rPr>
          <w:rFonts w:hint="eastAsia" w:ascii="宋体" w:hAnsi="宋体" w:cs="宋体"/>
          <w:b/>
          <w:color w:val="auto"/>
          <w:kern w:val="0"/>
          <w:sz w:val="24"/>
          <w:szCs w:val="24"/>
          <w:highlight w:val="none"/>
          <w:lang w:val="zh-CN"/>
          <w14:ligatures w14:val="none"/>
        </w:rPr>
        <w:t>）</w:t>
      </w:r>
    </w:p>
    <w:p w14:paraId="2320D444">
      <w:pPr>
        <w:spacing w:line="360" w:lineRule="auto"/>
        <w:ind w:firstLine="480" w:firstLineChars="200"/>
        <w:rPr>
          <w:rFonts w:hint="eastAsia" w:ascii="宋体" w:hAnsi="宋体" w:cs="宋体"/>
          <w:b/>
          <w:bCs/>
          <w:color w:val="auto"/>
          <w:kern w:val="0"/>
          <w:sz w:val="24"/>
          <w:szCs w:val="24"/>
          <w:highlight w:val="none"/>
          <w:lang w:val="zh-CN"/>
          <w14:ligatures w14:val="none"/>
        </w:rPr>
      </w:pPr>
      <w:r>
        <w:rPr>
          <w:rFonts w:hint="eastAsia" w:ascii="宋体" w:hAnsi="宋体" w:cs="宋体"/>
          <w:color w:val="auto"/>
          <w:sz w:val="24"/>
          <w:szCs w:val="24"/>
          <w:highlight w:val="none"/>
          <w14:ligatures w14:val="none"/>
        </w:rPr>
        <w:t>2、中小企业合同金额达到</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sz w:val="24"/>
          <w:szCs w:val="24"/>
          <w:highlight w:val="none"/>
          <w14:ligatures w14:val="none"/>
        </w:rPr>
        <w:t>%，小微企业合同金额达到</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sz w:val="24"/>
          <w:szCs w:val="24"/>
          <w:highlight w:val="none"/>
          <w14:ligatures w14:val="none"/>
        </w:rPr>
        <w:t>%</w:t>
      </w:r>
      <w:r>
        <w:rPr>
          <w:rFonts w:hint="eastAsia" w:ascii="宋体" w:hAnsi="宋体" w:cs="宋体"/>
          <w:color w:val="auto"/>
          <w:kern w:val="0"/>
          <w:sz w:val="24"/>
          <w:szCs w:val="24"/>
          <w:highlight w:val="none"/>
          <w:lang w:val="zh-CN"/>
          <w14:ligatures w14:val="none"/>
        </w:rPr>
        <w:t>。</w:t>
      </w:r>
      <w:r>
        <w:rPr>
          <w:rFonts w:hint="eastAsia" w:ascii="宋体" w:hAnsi="宋体" w:cs="宋体"/>
          <w:b/>
          <w:bCs/>
          <w:color w:val="auto"/>
          <w:kern w:val="0"/>
          <w:sz w:val="24"/>
          <w:szCs w:val="24"/>
          <w:highlight w:val="none"/>
          <w:lang w:val="zh-CN"/>
          <w14:ligatures w14:val="none"/>
        </w:rPr>
        <w:t>（</w:t>
      </w:r>
      <w:r>
        <w:rPr>
          <w:rFonts w:hint="eastAsia" w:ascii="宋体" w:hAnsi="宋体" w:cs="宋体"/>
          <w:b/>
          <w:bCs/>
          <w:color w:val="auto"/>
          <w:sz w:val="24"/>
          <w:szCs w:val="24"/>
          <w:highlight w:val="none"/>
          <w14:ligatures w14: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szCs w:val="24"/>
          <w:highlight w:val="none"/>
          <w:lang w:val="zh-CN"/>
          <w14:ligatures w14:val="none"/>
        </w:rPr>
        <w:t>）</w:t>
      </w:r>
    </w:p>
    <w:p w14:paraId="3D7BED20">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五、如果中标，</w:t>
      </w:r>
      <w:r>
        <w:rPr>
          <w:rFonts w:hint="eastAsia" w:ascii="宋体" w:hAnsi="宋体" w:cs="宋体"/>
          <w:color w:val="auto"/>
          <w:sz w:val="24"/>
          <w:szCs w:val="24"/>
          <w:highlight w:val="none"/>
          <w14:ligatures w14:val="none"/>
        </w:rPr>
        <w:t>联合体各成员方共同与采购人签订合同，并就采购合同约定的事项对采购人承担连带责任。</w:t>
      </w:r>
    </w:p>
    <w:p w14:paraId="5644B5D9">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六、有关本次联合投标的其他事宜：</w:t>
      </w:r>
    </w:p>
    <w:p w14:paraId="25011BC7">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1、联合体各方不再单独参加或者与其他供应商另外组成联合体参加同一合同项下的政府采购活动。</w:t>
      </w:r>
    </w:p>
    <w:p w14:paraId="369361E2">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2、联合体中有同类资质的各方按照联合体分工承担相同工作的，按照资质等级较低的供应商确定资质等级。</w:t>
      </w:r>
    </w:p>
    <w:p w14:paraId="4F1EE49B">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3、本协议提交采购人、采购代理机构后，联合体各方不得以任何形式对上述内容进行修改或撤销。</w:t>
      </w:r>
    </w:p>
    <w:p w14:paraId="6F34EF6A">
      <w:pPr>
        <w:snapToGrid w:val="0"/>
        <w:spacing w:line="360" w:lineRule="auto"/>
        <w:ind w:firstLine="5040" w:firstLineChars="210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联合体成员名称(电子签名/公章)：</w:t>
      </w:r>
    </w:p>
    <w:p w14:paraId="5CD19EEE">
      <w:pPr>
        <w:snapToGrid w:val="0"/>
        <w:spacing w:line="360" w:lineRule="auto"/>
        <w:ind w:firstLine="5040" w:firstLineChars="210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联合体成员名称(电子签名/公章)：</w:t>
      </w:r>
    </w:p>
    <w:p w14:paraId="70CB002D">
      <w:pPr>
        <w:snapToGrid w:val="0"/>
        <w:spacing w:line="360" w:lineRule="auto"/>
        <w:ind w:right="960" w:firstLine="480"/>
        <w:jc w:val="center"/>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 xml:space="preserve">                   ……</w:t>
      </w:r>
    </w:p>
    <w:p w14:paraId="36D2B7E2">
      <w:pPr>
        <w:snapToGrid w:val="0"/>
        <w:spacing w:line="360" w:lineRule="auto"/>
        <w:ind w:firstLine="480"/>
        <w:jc w:val="right"/>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日期：  年  月   日</w:t>
      </w:r>
    </w:p>
    <w:p w14:paraId="1CF31B88">
      <w:pPr>
        <w:snapToGrid w:val="0"/>
        <w:spacing w:line="360" w:lineRule="auto"/>
        <w:jc w:val="right"/>
        <w:rPr>
          <w:rFonts w:hint="eastAsia" w:ascii="宋体" w:hAnsi="宋体" w:eastAsia="宋体" w:cs="宋体"/>
          <w:color w:val="auto"/>
          <w:kern w:val="0"/>
          <w:sz w:val="24"/>
          <w:highlight w:val="none"/>
          <w:lang w:val="zh-CN"/>
        </w:rPr>
      </w:pPr>
    </w:p>
    <w:p w14:paraId="40DEB60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5E9F3E">
      <w:pPr>
        <w:autoSpaceDE w:val="0"/>
        <w:autoSpaceDN w:val="0"/>
        <w:jc w:val="center"/>
        <w:rPr>
          <w:rFonts w:hint="eastAsia" w:ascii="宋体" w:hAnsi="宋体" w:eastAsia="宋体" w:cs="宋体"/>
          <w:b/>
          <w:color w:val="auto"/>
          <w:spacing w:val="6"/>
          <w:sz w:val="32"/>
          <w:szCs w:val="32"/>
          <w:highlight w:val="none"/>
        </w:rPr>
      </w:pPr>
    </w:p>
    <w:p w14:paraId="57E5D7AC">
      <w:pPr>
        <w:autoSpaceDE w:val="0"/>
        <w:autoSpaceDN w:val="0"/>
        <w:jc w:val="center"/>
        <w:rPr>
          <w:rFonts w:hint="eastAsia" w:ascii="宋体" w:hAnsi="宋体" w:eastAsia="宋体" w:cs="宋体"/>
          <w:b/>
          <w:color w:val="auto"/>
          <w:spacing w:val="6"/>
          <w:sz w:val="32"/>
          <w:szCs w:val="32"/>
          <w:highlight w:val="none"/>
        </w:rPr>
      </w:pPr>
    </w:p>
    <w:p w14:paraId="0B57932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0CE14C9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8C4D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E844D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AB204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D0179AA">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8390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8C587C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w:t>
      </w:r>
      <w:r>
        <w:rPr>
          <w:rFonts w:hint="eastAsia" w:ascii="宋体" w:hAnsi="宋体" w:cs="宋体"/>
          <w:color w:val="auto"/>
          <w:kern w:val="0"/>
          <w:sz w:val="24"/>
          <w:highlight w:val="none"/>
          <w:u w:val="single"/>
          <w:lang w:eastAsia="zh-CN"/>
        </w:rPr>
        <w:t>服务</w:t>
      </w:r>
      <w:r>
        <w:rPr>
          <w:rFonts w:hint="eastAsia" w:ascii="宋体" w:hAnsi="宋体" w:eastAsia="宋体" w:cs="宋体"/>
          <w:color w:val="auto"/>
          <w:kern w:val="0"/>
          <w:sz w:val="24"/>
          <w:highlight w:val="none"/>
          <w:u w:val="single"/>
        </w:rPr>
        <w:t>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47BAB1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39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392"/>
    </w:p>
    <w:p w14:paraId="47A11C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B5FF0D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5B2A1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0E5C52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38524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C5DF63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7A839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FB398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887A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B3848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30AF87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0043490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5FE7E5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601A67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1D0A7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52EB222">
      <w:pPr>
        <w:autoSpaceDE w:val="0"/>
        <w:autoSpaceDN w:val="0"/>
        <w:jc w:val="center"/>
        <w:rPr>
          <w:rFonts w:hint="eastAsia" w:ascii="宋体" w:hAnsi="宋体" w:eastAsia="宋体" w:cs="宋体"/>
          <w:b/>
          <w:color w:val="auto"/>
          <w:spacing w:val="6"/>
          <w:sz w:val="32"/>
          <w:szCs w:val="32"/>
          <w:highlight w:val="none"/>
        </w:rPr>
      </w:pPr>
    </w:p>
    <w:p w14:paraId="590A5325">
      <w:pPr>
        <w:autoSpaceDE w:val="0"/>
        <w:autoSpaceDN w:val="0"/>
        <w:jc w:val="center"/>
        <w:rPr>
          <w:rFonts w:hint="eastAsia" w:ascii="宋体" w:hAnsi="宋体" w:eastAsia="宋体" w:cs="宋体"/>
          <w:b/>
          <w:color w:val="auto"/>
          <w:spacing w:val="6"/>
          <w:sz w:val="32"/>
          <w:szCs w:val="32"/>
          <w:highlight w:val="none"/>
        </w:rPr>
      </w:pPr>
    </w:p>
    <w:p w14:paraId="68D37B05">
      <w:pPr>
        <w:autoSpaceDE w:val="0"/>
        <w:autoSpaceDN w:val="0"/>
        <w:jc w:val="center"/>
        <w:rPr>
          <w:rFonts w:hint="eastAsia" w:ascii="宋体" w:hAnsi="宋体" w:eastAsia="宋体" w:cs="宋体"/>
          <w:b/>
          <w:color w:val="auto"/>
          <w:spacing w:val="6"/>
          <w:sz w:val="32"/>
          <w:szCs w:val="32"/>
          <w:highlight w:val="none"/>
        </w:rPr>
      </w:pPr>
    </w:p>
    <w:p w14:paraId="58364EDF">
      <w:pPr>
        <w:autoSpaceDE w:val="0"/>
        <w:autoSpaceDN w:val="0"/>
        <w:jc w:val="center"/>
        <w:rPr>
          <w:rFonts w:hint="eastAsia" w:ascii="宋体" w:hAnsi="宋体" w:eastAsia="宋体" w:cs="宋体"/>
          <w:b/>
          <w:color w:val="auto"/>
          <w:spacing w:val="6"/>
          <w:sz w:val="32"/>
          <w:szCs w:val="32"/>
          <w:highlight w:val="none"/>
        </w:rPr>
      </w:pPr>
    </w:p>
    <w:p w14:paraId="32E3910E">
      <w:pPr>
        <w:autoSpaceDE w:val="0"/>
        <w:autoSpaceDN w:val="0"/>
        <w:jc w:val="center"/>
        <w:rPr>
          <w:rFonts w:hint="eastAsia" w:ascii="宋体" w:hAnsi="宋体" w:eastAsia="宋体" w:cs="宋体"/>
          <w:b/>
          <w:color w:val="auto"/>
          <w:spacing w:val="6"/>
          <w:sz w:val="32"/>
          <w:szCs w:val="32"/>
          <w:highlight w:val="none"/>
        </w:rPr>
      </w:pPr>
    </w:p>
    <w:p w14:paraId="7065F330">
      <w:pPr>
        <w:autoSpaceDE w:val="0"/>
        <w:autoSpaceDN w:val="0"/>
        <w:jc w:val="center"/>
        <w:rPr>
          <w:rFonts w:hint="eastAsia" w:ascii="宋体" w:hAnsi="宋体" w:eastAsia="宋体" w:cs="宋体"/>
          <w:b/>
          <w:color w:val="auto"/>
          <w:spacing w:val="6"/>
          <w:sz w:val="32"/>
          <w:szCs w:val="32"/>
          <w:highlight w:val="none"/>
        </w:rPr>
      </w:pPr>
    </w:p>
    <w:p w14:paraId="57EFE92B">
      <w:pPr>
        <w:autoSpaceDE w:val="0"/>
        <w:autoSpaceDN w:val="0"/>
        <w:jc w:val="center"/>
        <w:rPr>
          <w:rFonts w:hint="eastAsia" w:ascii="宋体" w:hAnsi="宋体" w:eastAsia="宋体" w:cs="宋体"/>
          <w:b/>
          <w:color w:val="auto"/>
          <w:spacing w:val="6"/>
          <w:sz w:val="32"/>
          <w:szCs w:val="32"/>
          <w:highlight w:val="none"/>
        </w:rPr>
      </w:pPr>
    </w:p>
    <w:p w14:paraId="39090420">
      <w:pPr>
        <w:autoSpaceDE w:val="0"/>
        <w:autoSpaceDN w:val="0"/>
        <w:jc w:val="center"/>
        <w:rPr>
          <w:rFonts w:hint="eastAsia" w:ascii="宋体" w:hAnsi="宋体" w:eastAsia="宋体" w:cs="宋体"/>
          <w:b/>
          <w:color w:val="auto"/>
          <w:spacing w:val="6"/>
          <w:sz w:val="32"/>
          <w:szCs w:val="32"/>
          <w:highlight w:val="none"/>
        </w:rPr>
      </w:pPr>
    </w:p>
    <w:p w14:paraId="2FC1991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2145A33">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3B1CF276">
      <w:pPr>
        <w:spacing w:line="360" w:lineRule="auto"/>
        <w:jc w:val="center"/>
        <w:rPr>
          <w:rFonts w:hint="eastAsia" w:ascii="宋体" w:hAnsi="宋体" w:eastAsia="宋体" w:cs="宋体"/>
          <w:color w:val="auto"/>
          <w:sz w:val="24"/>
          <w:highlight w:val="none"/>
          <w:u w:val="single"/>
        </w:rPr>
      </w:pPr>
    </w:p>
    <w:p w14:paraId="322084F5">
      <w:pPr>
        <w:shd w:val="clear" w:color="auto" w:fill="auto"/>
        <w:spacing w:line="360" w:lineRule="auto"/>
        <w:ind w:firstLine="482" w:firstLineChars="150"/>
        <w:jc w:val="center"/>
        <w:rPr>
          <w:rFonts w:hint="eastAsia" w:ascii="宋体" w:hAnsi="宋体" w:cs="宋体"/>
          <w:color w:val="auto"/>
          <w:sz w:val="24"/>
          <w:highlight w:val="none"/>
        </w:rPr>
      </w:pPr>
      <w:r>
        <w:rPr>
          <w:rFonts w:hint="eastAsia" w:ascii="宋体" w:hAnsi="宋体" w:eastAsia="宋体" w:cs="宋体"/>
          <w:b/>
          <w:color w:val="auto"/>
          <w:sz w:val="32"/>
          <w:szCs w:val="32"/>
          <w:highlight w:val="none"/>
        </w:rPr>
        <w:t>中小企业声明函（服务）</w:t>
      </w:r>
    </w:p>
    <w:p w14:paraId="4C32D923">
      <w:pPr>
        <w:shd w:val="clear" w:color="auto" w:fill="auto"/>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杭州市钱塘区人民政府前进街道办事处</w:t>
      </w:r>
      <w:r>
        <w:rPr>
          <w:rFonts w:hint="eastAsia" w:ascii="宋体" w:hAnsi="宋体" w:cs="宋体"/>
          <w:color w:val="auto"/>
          <w:sz w:val="24"/>
          <w:highlight w:val="none"/>
        </w:rPr>
        <w:t>（单位名称）的</w:t>
      </w:r>
      <w:r>
        <w:rPr>
          <w:rFonts w:hint="eastAsia" w:ascii="宋体" w:hAnsi="宋体" w:cs="宋体"/>
          <w:color w:val="auto"/>
          <w:sz w:val="24"/>
          <w:highlight w:val="none"/>
          <w:u w:val="single"/>
          <w:lang w:eastAsia="zh-CN"/>
        </w:rPr>
        <w:t>前进街道河道保洁项目</w:t>
      </w:r>
      <w:r>
        <w:rPr>
          <w:rFonts w:hint="eastAsia" w:ascii="宋体" w:hAnsi="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3AE9AC40">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前进街道河道保洁项目</w:t>
      </w:r>
      <w:r>
        <w:rPr>
          <w:rFonts w:hint="eastAsia" w:ascii="宋体" w:hAnsi="宋体" w:cs="宋体"/>
          <w:color w:val="auto"/>
          <w:sz w:val="24"/>
          <w:highlight w:val="none"/>
        </w:rPr>
        <w:t>，属于</w:t>
      </w:r>
      <w:r>
        <w:rPr>
          <w:rFonts w:hint="eastAsia" w:ascii="宋体" w:hAnsi="宋体" w:cs="宋体"/>
          <w:color w:val="FF0000"/>
          <w:kern w:val="0"/>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BBA38F">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41EADD2">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3A25FF0D">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E2912BC">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BE58B2">
      <w:pPr>
        <w:shd w:val="clear" w:color="auto" w:fill="auto"/>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E0C9B92">
      <w:pPr>
        <w:shd w:val="clear" w:color="auto" w:fill="auto"/>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  日</w:t>
      </w:r>
    </w:p>
    <w:p w14:paraId="52F4C379">
      <w:pPr>
        <w:shd w:val="clear" w:color="auto" w:fill="auto"/>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从业人员、营业收入、资产总额填报上一年度数据，无上一年度数据的新成立企业可不填报。</w:t>
      </w:r>
    </w:p>
    <w:p w14:paraId="0A798691">
      <w:pPr>
        <w:spacing w:line="360" w:lineRule="auto"/>
        <w:ind w:right="420" w:firstLine="480" w:firstLineChars="200"/>
        <w:rPr>
          <w:rFonts w:hint="eastAsia" w:ascii="宋体" w:hAnsi="宋体" w:cs="宋体"/>
          <w:sz w:val="24"/>
          <w:highlight w:val="none"/>
        </w:rPr>
      </w:pPr>
      <w:r>
        <w:rPr>
          <w:rFonts w:hint="eastAsia" w:ascii="宋体" w:hAnsi="宋体" w:cs="宋体"/>
          <w:color w:val="auto"/>
          <w:sz w:val="24"/>
          <w:highlight w:val="none"/>
        </w:rPr>
        <w:t xml:space="preserve">   注：</w:t>
      </w:r>
      <w:r>
        <w:rPr>
          <w:rFonts w:hint="eastAsia" w:ascii="宋体" w:hAnsi="宋体" w:cs="宋体"/>
          <w:sz w:val="24"/>
          <w:highlight w:val="none"/>
        </w:rPr>
        <w:t>1、《中小企业声明函》填写要求及规定：</w:t>
      </w:r>
    </w:p>
    <w:p w14:paraId="2B9CBF9B">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（1）“标的名称”、“采购文件中明确的所属行业”依据招标文件第二部分供应商须知前附表中“采购标的及其对应的中小企业划分标准所属行业”逐一填写，不得缺漏。</w:t>
      </w:r>
    </w:p>
    <w:p w14:paraId="03081711">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投标人的《中小企业声明函》未包括全部采购标的，未填写“所属行业”，或者填写的“所属行业”与采购文件中明确的所属行业不一致的，《中小企业声明函》均无效。</w:t>
      </w:r>
    </w:p>
    <w:p w14:paraId="693C1B24">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（2）“从业人员、营业收入、资产总额”等3项数据依据上一年度的数据进行填写。</w:t>
      </w:r>
    </w:p>
    <w:p w14:paraId="07E9A797">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本年度新成立企业，无上一年度数据的，可以不填写“从业人员、营业收入、资产总额”等3项数据，但仍应对“企业类型”和“与大企业的负责人是否为同一人，或者与大企业是否存在直接控股、管理关系”进行声明，否则《中小企业声明函》无效。</w:t>
      </w:r>
    </w:p>
    <w:p w14:paraId="13A60DBF">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（3）“企业类型”（包括“中型企业”、“小型企业”及“微型企业”三类）依据《中小企业划型标准规定》（工信部联企业〔2011〕300号），结合以上数据，进行确定并填写。</w:t>
      </w:r>
    </w:p>
    <w:p w14:paraId="41F5FF1D">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未填写“企业类型”或者填写的“企业类型”与实际不符的，《中小企业声明函》无效。投标人声明的“企业类型”获得了本不应获得的利益（资格审查通过或价格扣除）的，按提供虚假材料认定，依法承担法律责任。</w:t>
      </w:r>
    </w:p>
    <w:p w14:paraId="5A35541F">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2、视同为小型、微型企业。</w:t>
      </w:r>
    </w:p>
    <w:p w14:paraId="58E88DDA">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（1）根据《关于促进残疾人就业政府采购政策的通知》（财库〔2017〕141号）规定，符合条件的残疾人福利性单位提供《残疾人福利性单位声明函》（后附），视同小型、微型企业。</w:t>
      </w:r>
    </w:p>
    <w:p w14:paraId="26D25116">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根据《关于政府采购支持监狱企业发展有关问题的通知》（财库〔2014〕68号）规定，监狱企业提供由省级以上监狱管理局、戒毒管理局（含新疆生产建设兵团）出具的属于监狱企业证明文件的，视同为小型、微型企业。</w:t>
      </w:r>
    </w:p>
    <w:p w14:paraId="11B6AB42">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（3）视同小型、微型企业的残疾人福利性单位、监狱企业，提供符合要求的《残疾人福利性单位声明函》或监狱企业证明文件后，不需要提供《中小企业声明函》。</w:t>
      </w:r>
    </w:p>
    <w:p w14:paraId="73F323C0">
      <w:pPr>
        <w:spacing w:line="360" w:lineRule="auto"/>
        <w:jc w:val="center"/>
        <w:rPr>
          <w:rFonts w:hint="eastAsia" w:ascii="宋体" w:hAnsi="宋体" w:eastAsia="宋体" w:cs="宋体"/>
          <w:b/>
          <w:color w:val="auto"/>
          <w:sz w:val="32"/>
          <w:szCs w:val="32"/>
          <w:highlight w:val="none"/>
        </w:rPr>
      </w:pPr>
    </w:p>
    <w:p w14:paraId="65368D49">
      <w:pP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br w:type="page"/>
      </w:r>
    </w:p>
    <w:p w14:paraId="770F74AF">
      <w:pPr>
        <w:spacing w:line="360" w:lineRule="auto"/>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关于钱塘区政府采购支持中小企业信用融资相关事项通知</w:t>
      </w:r>
    </w:p>
    <w:p w14:paraId="3E6CBCE9">
      <w:pPr>
        <w:spacing w:line="360" w:lineRule="auto"/>
        <w:jc w:val="center"/>
        <w:rPr>
          <w:rFonts w:hint="eastAsia" w:ascii="宋体" w:hAnsi="宋体" w:eastAsia="宋体" w:cs="宋体"/>
          <w:b/>
          <w:color w:val="auto"/>
          <w:sz w:val="24"/>
          <w:szCs w:val="21"/>
          <w:highlight w:val="none"/>
        </w:rPr>
      </w:pPr>
    </w:p>
    <w:p w14:paraId="0EDF93F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60D8A20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29D289A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727D8E37">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5BC8388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2B0156B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1F18C2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253B3EF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2A4484B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3881CF0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559B9D97">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38E1872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284D666C">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14:paraId="6A946BA6">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C511612">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76E1F40E">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05F50D02">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4F7349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821FB9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A90907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49D3E4D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1D045B4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5F749E5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63FA306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01E578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56BE722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22231E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5B63795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0EB7EB9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4D6A18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4262F3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4A02356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392FB70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09A07BB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BC644FE">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6027A6B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686C8A2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3C4EF5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7424106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3C2E37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63BBDCA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126501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7365B08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06E60E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51B0FFD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04F3091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97204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61D20A9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739D457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46CD93D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30775B4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C8F299A">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20E138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20ACD3E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1B3434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11A5DDB9">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7BFEEFA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361D060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5535ADC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1C3B449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43F937EA">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7736065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013D897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3AAD351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5FDDE25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7B5CA36">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402C4DE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4C9831D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25421A8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7AC9B86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1DAE204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4824C0F4">
            <w:pPr>
              <w:widowControl/>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15067483470</w:t>
            </w:r>
          </w:p>
        </w:tc>
      </w:tr>
      <w:tr w14:paraId="6A1A89DF">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D2ACB6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303CB54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1922DCF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6DFB5A1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672A68D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32B9B0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121F87C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7CE2C8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6E22149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236B0408">
      <w:pPr>
        <w:spacing w:line="360" w:lineRule="auto"/>
        <w:ind w:left="5060" w:hanging="5060" w:hangingChars="2100"/>
        <w:rPr>
          <w:rFonts w:hint="eastAsia" w:ascii="宋体" w:hAnsi="宋体" w:eastAsia="宋体" w:cs="宋体"/>
          <w:b/>
          <w:bCs/>
          <w:color w:val="auto"/>
          <w:kern w:val="0"/>
          <w:sz w:val="24"/>
          <w:highlight w:val="none"/>
        </w:rPr>
      </w:pPr>
    </w:p>
    <w:p w14:paraId="733D964E">
      <w:pP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br w:type="page"/>
      </w:r>
    </w:p>
    <w:p w14:paraId="22B55C1A">
      <w:pPr>
        <w:spacing w:line="360" w:lineRule="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附件：《中小企业划型标准规定》工信部联企业〔2011〕300号</w:t>
      </w:r>
    </w:p>
    <w:tbl>
      <w:tblPr>
        <w:tblStyle w:val="63"/>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6F255A61">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18C42AAB">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351EF70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7ECE1BC7">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31DF73D6">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5061B79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1709332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微型企业标准</w:t>
            </w:r>
          </w:p>
        </w:tc>
      </w:tr>
      <w:tr w14:paraId="4D4C168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282C52E">
            <w:pPr>
              <w:widowControl/>
              <w:adjustRightInd/>
              <w:spacing w:line="4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6E23D46D">
            <w:pPr>
              <w:widowControl/>
              <w:adjustRightInd/>
              <w:spacing w:line="4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农、林、牧、渔业</w:t>
            </w:r>
          </w:p>
        </w:tc>
        <w:tc>
          <w:tcPr>
            <w:tcW w:w="1093" w:type="dxa"/>
            <w:tcBorders>
              <w:left w:val="single" w:color="000000" w:sz="4" w:space="0"/>
              <w:bottom w:val="single" w:color="000000" w:sz="4" w:space="0"/>
              <w:right w:val="single" w:color="000000" w:sz="4" w:space="0"/>
            </w:tcBorders>
            <w:vAlign w:val="center"/>
          </w:tcPr>
          <w:p w14:paraId="2C58744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C94B9D3">
            <w:pPr>
              <w:widowControl/>
              <w:adjustRightInd/>
              <w:spacing w:line="4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540DAA08">
            <w:pPr>
              <w:widowControl/>
              <w:adjustRightInd/>
              <w:spacing w:line="440" w:lineRule="exact"/>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716F9B70">
            <w:pPr>
              <w:widowControl/>
              <w:adjustRightInd/>
              <w:spacing w:line="440" w:lineRule="exact"/>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33AFE5A0">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50万元以下</w:t>
            </w:r>
          </w:p>
        </w:tc>
      </w:tr>
      <w:tr w14:paraId="6932B9B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279D466">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04A5863F">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工业</w:t>
            </w:r>
          </w:p>
        </w:tc>
        <w:tc>
          <w:tcPr>
            <w:tcW w:w="1093" w:type="dxa"/>
            <w:tcBorders>
              <w:left w:val="single" w:color="000000" w:sz="4" w:space="0"/>
              <w:bottom w:val="single" w:color="000000" w:sz="4" w:space="0"/>
              <w:right w:val="single" w:color="000000" w:sz="4" w:space="0"/>
            </w:tcBorders>
            <w:vAlign w:val="center"/>
          </w:tcPr>
          <w:p w14:paraId="30F91926">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7A713CFF">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1F3FF519">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267A984D">
            <w:pPr>
              <w:widowControl/>
              <w:adjustRightInd/>
              <w:spacing w:line="440" w:lineRule="exact"/>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DB4FE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F410FEF">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从业人员20人以下或营业收入300万元以下</w:t>
            </w:r>
          </w:p>
        </w:tc>
      </w:tr>
      <w:tr w14:paraId="487D5B0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5D3F5DC">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4F08D73F">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建筑业</w:t>
            </w:r>
          </w:p>
        </w:tc>
        <w:tc>
          <w:tcPr>
            <w:tcW w:w="1093" w:type="dxa"/>
            <w:tcBorders>
              <w:left w:val="single" w:color="000000" w:sz="4" w:space="0"/>
              <w:bottom w:val="single" w:color="000000" w:sz="4" w:space="0"/>
              <w:right w:val="single" w:color="000000" w:sz="4" w:space="0"/>
            </w:tcBorders>
            <w:vAlign w:val="center"/>
          </w:tcPr>
          <w:p w14:paraId="7D87416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14:paraId="327037E6">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vAlign w:val="center"/>
          </w:tcPr>
          <w:p w14:paraId="00C7F1C1">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02BF9AA">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639AED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B39ADB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营业收入300万元以下或资产总额300万元以下的</w:t>
            </w:r>
          </w:p>
        </w:tc>
      </w:tr>
      <w:tr w14:paraId="1A7887A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CE0CFEE">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4E68F85A">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批发业</w:t>
            </w:r>
          </w:p>
        </w:tc>
        <w:tc>
          <w:tcPr>
            <w:tcW w:w="1093" w:type="dxa"/>
            <w:tcBorders>
              <w:left w:val="single" w:color="000000" w:sz="4" w:space="0"/>
              <w:bottom w:val="single" w:color="000000" w:sz="4" w:space="0"/>
              <w:right w:val="single" w:color="000000" w:sz="4" w:space="0"/>
            </w:tcBorders>
            <w:vAlign w:val="center"/>
          </w:tcPr>
          <w:p w14:paraId="39F7C642">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31CA635E">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7D3D70D">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CE68E48">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4EC70BD">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F328B4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从业人员5人以下或营业收入1000万元以下的</w:t>
            </w:r>
          </w:p>
        </w:tc>
      </w:tr>
      <w:tr w14:paraId="5B4BD55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E08B60B">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1EE6E5A7">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零售业</w:t>
            </w:r>
          </w:p>
        </w:tc>
        <w:tc>
          <w:tcPr>
            <w:tcW w:w="1093" w:type="dxa"/>
            <w:tcBorders>
              <w:left w:val="single" w:color="000000" w:sz="4" w:space="0"/>
              <w:bottom w:val="single" w:color="000000" w:sz="4" w:space="0"/>
              <w:right w:val="single" w:color="000000" w:sz="4" w:space="0"/>
            </w:tcBorders>
            <w:vAlign w:val="center"/>
          </w:tcPr>
          <w:p w14:paraId="298F313B">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2004EA62">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3FC15CDD">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3D54E1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1DD7FBB">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9BF0053">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5FFD1DD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A586705">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5CED61F0">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交通运输业</w:t>
            </w:r>
          </w:p>
        </w:tc>
        <w:tc>
          <w:tcPr>
            <w:tcW w:w="1093" w:type="dxa"/>
            <w:tcBorders>
              <w:left w:val="single" w:color="000000" w:sz="4" w:space="0"/>
              <w:bottom w:val="single" w:color="000000" w:sz="4" w:space="0"/>
              <w:right w:val="single" w:color="000000" w:sz="4" w:space="0"/>
            </w:tcBorders>
            <w:vAlign w:val="center"/>
          </w:tcPr>
          <w:p w14:paraId="420F4C5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08A6547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2477121B">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E4D0B1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149D28B">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1DB257A">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从业人员20人以下或营业收入200万元以下的</w:t>
            </w:r>
          </w:p>
        </w:tc>
      </w:tr>
      <w:tr w14:paraId="4B61DAC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A8CEA63">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380C569B">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仓储业</w:t>
            </w:r>
          </w:p>
        </w:tc>
        <w:tc>
          <w:tcPr>
            <w:tcW w:w="1093" w:type="dxa"/>
            <w:tcBorders>
              <w:left w:val="single" w:color="000000" w:sz="4" w:space="0"/>
              <w:bottom w:val="single" w:color="000000" w:sz="4" w:space="0"/>
              <w:right w:val="single" w:color="000000" w:sz="4" w:space="0"/>
            </w:tcBorders>
            <w:vAlign w:val="center"/>
          </w:tcPr>
          <w:p w14:paraId="5220B452">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49ED5304">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2E261F72">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01EAC6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F4F90AB">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48EC4F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从业人员20人以下或营业收入100万元以下的</w:t>
            </w:r>
          </w:p>
        </w:tc>
      </w:tr>
      <w:tr w14:paraId="2ECD8D3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D59318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7B380E7">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邮政业</w:t>
            </w:r>
          </w:p>
        </w:tc>
        <w:tc>
          <w:tcPr>
            <w:tcW w:w="1093" w:type="dxa"/>
            <w:tcBorders>
              <w:left w:val="single" w:color="000000" w:sz="4" w:space="0"/>
              <w:bottom w:val="single" w:color="000000" w:sz="4" w:space="0"/>
              <w:right w:val="single" w:color="000000" w:sz="4" w:space="0"/>
            </w:tcBorders>
            <w:vAlign w:val="center"/>
          </w:tcPr>
          <w:p w14:paraId="6392DF1A">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700E846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166FF35B">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65D2B8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D7AEB0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5A8C45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从业人员20人以下或营业收入100万元以下的</w:t>
            </w:r>
          </w:p>
        </w:tc>
      </w:tr>
      <w:tr w14:paraId="2B94BC9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06ACB7F">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94FD896">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住宿业</w:t>
            </w:r>
          </w:p>
        </w:tc>
        <w:tc>
          <w:tcPr>
            <w:tcW w:w="1093" w:type="dxa"/>
            <w:tcBorders>
              <w:left w:val="single" w:color="000000" w:sz="4" w:space="0"/>
              <w:bottom w:val="single" w:color="000000" w:sz="4" w:space="0"/>
              <w:right w:val="single" w:color="000000" w:sz="4" w:space="0"/>
            </w:tcBorders>
            <w:vAlign w:val="center"/>
          </w:tcPr>
          <w:p w14:paraId="4FD470B4">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50830E9D">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70EB967E">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B13F005">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3C64F98">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A71B788">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2804FB2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6B7604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4C4ECD0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餐饮业</w:t>
            </w:r>
          </w:p>
        </w:tc>
        <w:tc>
          <w:tcPr>
            <w:tcW w:w="1093" w:type="dxa"/>
            <w:tcBorders>
              <w:left w:val="single" w:color="000000" w:sz="4" w:space="0"/>
              <w:bottom w:val="single" w:color="000000" w:sz="4" w:space="0"/>
              <w:right w:val="single" w:color="000000" w:sz="4" w:space="0"/>
            </w:tcBorders>
            <w:vAlign w:val="center"/>
          </w:tcPr>
          <w:p w14:paraId="5F73408B">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1307F26A">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1E80FA9A">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3B6631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7463D9D">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745280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0990C0D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56BDE5">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D049795">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信息传输业</w:t>
            </w:r>
          </w:p>
        </w:tc>
        <w:tc>
          <w:tcPr>
            <w:tcW w:w="1093" w:type="dxa"/>
            <w:tcBorders>
              <w:left w:val="single" w:color="000000" w:sz="4" w:space="0"/>
              <w:bottom w:val="single" w:color="000000" w:sz="4" w:space="0"/>
              <w:right w:val="single" w:color="000000" w:sz="4" w:space="0"/>
            </w:tcBorders>
            <w:vAlign w:val="center"/>
          </w:tcPr>
          <w:p w14:paraId="33873E7D">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6D8C75E6">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03FF06D">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1F3D99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9DC148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86BC66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65128B8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B4C9DD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4A8F17D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软件和信息技术服务业</w:t>
            </w:r>
          </w:p>
        </w:tc>
        <w:tc>
          <w:tcPr>
            <w:tcW w:w="1093" w:type="dxa"/>
            <w:tcBorders>
              <w:left w:val="single" w:color="000000" w:sz="4" w:space="0"/>
              <w:bottom w:val="single" w:color="000000" w:sz="4" w:space="0"/>
              <w:right w:val="single" w:color="000000" w:sz="4" w:space="0"/>
            </w:tcBorders>
            <w:vAlign w:val="center"/>
          </w:tcPr>
          <w:p w14:paraId="6A0E6A30">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01093ACB">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FCEF427">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6BEF15A">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D161311">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A4F24C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从业人员10人以下或营业收入50万元以下的</w:t>
            </w:r>
          </w:p>
        </w:tc>
      </w:tr>
      <w:tr w14:paraId="5D084EB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3C0058">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04A4890C">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房地产开发经营</w:t>
            </w:r>
          </w:p>
        </w:tc>
        <w:tc>
          <w:tcPr>
            <w:tcW w:w="1093" w:type="dxa"/>
            <w:tcBorders>
              <w:left w:val="single" w:color="000000" w:sz="4" w:space="0"/>
              <w:bottom w:val="single" w:color="000000" w:sz="4" w:space="0"/>
              <w:right w:val="single" w:color="000000" w:sz="4" w:space="0"/>
            </w:tcBorders>
            <w:vAlign w:val="center"/>
          </w:tcPr>
          <w:p w14:paraId="5087BD4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14:paraId="76775B62">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vAlign w:val="center"/>
          </w:tcPr>
          <w:p w14:paraId="00B949EC">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52DB22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E047CFC">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11C046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营业收入100万元以下或资产总额2000万元以下的</w:t>
            </w:r>
          </w:p>
        </w:tc>
      </w:tr>
      <w:tr w14:paraId="6B66B27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3C67D60">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468D0B7">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物业管理</w:t>
            </w:r>
          </w:p>
        </w:tc>
        <w:tc>
          <w:tcPr>
            <w:tcW w:w="1093" w:type="dxa"/>
            <w:tcBorders>
              <w:left w:val="single" w:color="000000" w:sz="4" w:space="0"/>
              <w:bottom w:val="single" w:color="000000" w:sz="4" w:space="0"/>
              <w:right w:val="single" w:color="000000" w:sz="4" w:space="0"/>
            </w:tcBorders>
            <w:vAlign w:val="center"/>
          </w:tcPr>
          <w:p w14:paraId="116F9A93">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4348858F">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5968173F">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898DE1">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2591A2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5C7A98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从业人员100人以下或营业收入500万元以下的</w:t>
            </w:r>
          </w:p>
        </w:tc>
      </w:tr>
      <w:tr w14:paraId="659F238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1A745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0AEA307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租赁和商务服务业</w:t>
            </w:r>
          </w:p>
        </w:tc>
        <w:tc>
          <w:tcPr>
            <w:tcW w:w="1093" w:type="dxa"/>
            <w:tcBorders>
              <w:left w:val="single" w:color="000000" w:sz="4" w:space="0"/>
              <w:bottom w:val="single" w:color="000000" w:sz="4" w:space="0"/>
              <w:right w:val="single" w:color="000000" w:sz="4" w:space="0"/>
            </w:tcBorders>
            <w:vAlign w:val="center"/>
          </w:tcPr>
          <w:p w14:paraId="688A30EA">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14:paraId="4041788B">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vAlign w:val="center"/>
          </w:tcPr>
          <w:p w14:paraId="18BA4729">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BDA3EA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15BD5A8">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B46082A">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从业人员10人以下或资产总额100万元以下的</w:t>
            </w:r>
          </w:p>
        </w:tc>
      </w:tr>
      <w:tr w14:paraId="412F5A6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94FC288">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00C436DD">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其他未列明行业</w:t>
            </w:r>
          </w:p>
        </w:tc>
        <w:tc>
          <w:tcPr>
            <w:tcW w:w="1093" w:type="dxa"/>
            <w:tcBorders>
              <w:left w:val="single" w:color="000000" w:sz="4" w:space="0"/>
              <w:bottom w:val="single" w:color="000000" w:sz="4" w:space="0"/>
              <w:right w:val="single" w:color="000000" w:sz="4" w:space="0"/>
            </w:tcBorders>
            <w:vAlign w:val="center"/>
          </w:tcPr>
          <w:p w14:paraId="1158F99B">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tc>
        <w:tc>
          <w:tcPr>
            <w:tcW w:w="1892" w:type="dxa"/>
            <w:tcBorders>
              <w:left w:val="single" w:color="000000" w:sz="4" w:space="0"/>
              <w:bottom w:val="single" w:color="000000" w:sz="4" w:space="0"/>
              <w:right w:val="single" w:color="000000" w:sz="4" w:space="0"/>
            </w:tcBorders>
            <w:vAlign w:val="center"/>
          </w:tcPr>
          <w:p w14:paraId="79C2A27D">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89BFF8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6FA242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27C30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从业人员10人以下的</w:t>
            </w:r>
          </w:p>
        </w:tc>
      </w:tr>
    </w:tbl>
    <w:p w14:paraId="7DB49862">
      <w:pPr>
        <w:spacing w:line="360" w:lineRule="auto"/>
        <w:jc w:val="both"/>
        <w:rPr>
          <w:rFonts w:hint="eastAsia" w:ascii="宋体" w:hAnsi="宋体" w:eastAsia="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01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78E8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66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11E1ED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F8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CFC8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41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310CC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B4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91429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3C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F04CE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F6D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15AA">
    <w:pPr>
      <w:pStyle w:val="40"/>
      <w:framePr w:wrap="around" w:vAnchor="text" w:hAnchor="margin" w:xAlign="right" w:y="1"/>
      <w:rPr>
        <w:rStyle w:val="73"/>
      </w:rPr>
    </w:pPr>
    <w:r>
      <w:fldChar w:fldCharType="begin"/>
    </w:r>
    <w:r>
      <w:rPr>
        <w:rStyle w:val="73"/>
      </w:rPr>
      <w:instrText xml:space="preserve">PAGE  </w:instrText>
    </w:r>
    <w:r>
      <w:fldChar w:fldCharType="end"/>
    </w:r>
  </w:p>
  <w:p w14:paraId="2A714801">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7BB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3" w:name="_Toc164085800"/>
    <w:bookmarkStart w:id="394" w:name="_Toc91899912"/>
    <w:bookmarkStart w:id="395" w:name="_Toc131845147"/>
    <w:bookmarkStart w:id="396" w:name="_Toc36110187"/>
    <w:r>
      <w:rPr>
        <w:rFonts w:hint="eastAsia" w:ascii="仿宋_GB2312" w:eastAsia="仿宋_GB2312"/>
        <w:kern w:val="0"/>
        <w:szCs w:val="21"/>
      </w:rPr>
      <w:t xml:space="preserve"> 页</w:t>
    </w:r>
    <w:bookmarkEnd w:id="393"/>
    <w:bookmarkEnd w:id="394"/>
    <w:bookmarkEnd w:id="395"/>
    <w:bookmarkEnd w:id="39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A30D">
    <w:pPr>
      <w:pStyle w:val="41"/>
      <w:jc w:val="right"/>
      <w:rPr>
        <w:rFonts w:ascii="仿宋_GB2312" w:eastAsia="仿宋_GB2312"/>
        <w:b/>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4F6">
    <w:pPr>
      <w:pStyle w:val="41"/>
    </w:pPr>
    <w:r>
      <w:t></w:t>
    </w:r>
    <w:r>
      <w:rPr>
        <w:rFonts w:hint="eastAsia"/>
      </w:rPr>
      <w:t xml:space="preserve">         </w:t>
    </w:r>
  </w:p>
  <w:p w14:paraId="4378D461">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EFBF">
    <w:pPr>
      <w:pStyle w:val="41"/>
      <w:rPr>
        <w:rFonts w:ascii="仿宋_GB2312" w:eastAsia="仿宋_GB2312"/>
        <w:b/>
        <w:i/>
        <w:u w:val="single"/>
      </w:rPr>
    </w:pPr>
    <w:r>
      <w:t></w:t>
    </w:r>
    <w:r>
      <w:rPr>
        <w:rFonts w:hint="eastAsia"/>
      </w:rPr>
      <w:t xml:space="preserve">                                                </w:t>
    </w:r>
    <w:r>
      <w:t xml:space="preserve"> 杭州市政府采购公开招标文件</w:t>
    </w:r>
  </w:p>
  <w:p w14:paraId="57A1C17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2F300">
    <w:pPr>
      <w:pStyle w:val="41"/>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BF85">
    <w:pPr>
      <w:pStyle w:val="41"/>
      <w:jc w:val="right"/>
      <w:rPr>
        <w:rFonts w:ascii="仿宋_GB2312" w:eastAsia="仿宋_GB2312"/>
        <w:b/>
        <w:i/>
        <w:u w:val="single"/>
      </w:rPr>
    </w:pPr>
    <w:r>
      <w:rPr>
        <w:rFonts w:hint="eastAsia"/>
      </w:rPr>
      <w:t xml:space="preserve">                                  </w:t>
    </w:r>
    <w:r>
      <w:t>杭州市政府采购公开招标文件</w:t>
    </w:r>
  </w:p>
  <w:p w14:paraId="405244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2F1E">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1CE4">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D2D9">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C8EAD"/>
    <w:multiLevelType w:val="singleLevel"/>
    <w:tmpl w:val="3D9C8EAD"/>
    <w:lvl w:ilvl="0" w:tentative="0">
      <w:start w:val="1"/>
      <w:numFmt w:val="chineseCounting"/>
      <w:suff w:val="nothing"/>
      <w:lvlText w:val="%1、"/>
      <w:lvlJc w:val="left"/>
      <w:rPr>
        <w:rFonts w:hint="eastAsia"/>
      </w:rPr>
    </w:lvl>
  </w:abstractNum>
  <w:abstractNum w:abstractNumId="1">
    <w:nsid w:val="6FAE7052"/>
    <w:multiLevelType w:val="singleLevel"/>
    <w:tmpl w:val="6FAE705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ZjM1ZjljZjc3NmZiMTRjMThiODBmOTg5OTd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84"/>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2FE0"/>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1BE"/>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75E"/>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329"/>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0E35"/>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924"/>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0F5"/>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86E"/>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5B9"/>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4FC3"/>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2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52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B97"/>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783"/>
    <w:rsid w:val="00ED4A77"/>
    <w:rsid w:val="00ED4B6E"/>
    <w:rsid w:val="00ED5981"/>
    <w:rsid w:val="00ED5BB5"/>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3A6"/>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A6C4F"/>
    <w:rsid w:val="025F0711"/>
    <w:rsid w:val="026B2E25"/>
    <w:rsid w:val="02824D4D"/>
    <w:rsid w:val="029321BF"/>
    <w:rsid w:val="02DC4B10"/>
    <w:rsid w:val="02DD76CE"/>
    <w:rsid w:val="02F36323"/>
    <w:rsid w:val="02F5619C"/>
    <w:rsid w:val="0326446A"/>
    <w:rsid w:val="032737F2"/>
    <w:rsid w:val="03287ACA"/>
    <w:rsid w:val="032D5555"/>
    <w:rsid w:val="036634D2"/>
    <w:rsid w:val="03DD35E4"/>
    <w:rsid w:val="04076900"/>
    <w:rsid w:val="041A5A3B"/>
    <w:rsid w:val="042311BA"/>
    <w:rsid w:val="042B157A"/>
    <w:rsid w:val="046447EC"/>
    <w:rsid w:val="0483014C"/>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5CD"/>
    <w:rsid w:val="0779354C"/>
    <w:rsid w:val="07846919"/>
    <w:rsid w:val="08061376"/>
    <w:rsid w:val="08452D77"/>
    <w:rsid w:val="08560F6B"/>
    <w:rsid w:val="086401F8"/>
    <w:rsid w:val="08751CAA"/>
    <w:rsid w:val="087E4C40"/>
    <w:rsid w:val="08A871D0"/>
    <w:rsid w:val="08D66AD6"/>
    <w:rsid w:val="08DA33A3"/>
    <w:rsid w:val="08E80F13"/>
    <w:rsid w:val="09335624"/>
    <w:rsid w:val="0944690F"/>
    <w:rsid w:val="09535675"/>
    <w:rsid w:val="095F057D"/>
    <w:rsid w:val="09611CF3"/>
    <w:rsid w:val="09642282"/>
    <w:rsid w:val="09733572"/>
    <w:rsid w:val="09772C16"/>
    <w:rsid w:val="098353B5"/>
    <w:rsid w:val="099948FD"/>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E7886"/>
    <w:rsid w:val="0BF6188C"/>
    <w:rsid w:val="0BF73C91"/>
    <w:rsid w:val="0C170175"/>
    <w:rsid w:val="0C571A41"/>
    <w:rsid w:val="0C5C1171"/>
    <w:rsid w:val="0C5E1CBC"/>
    <w:rsid w:val="0C615B50"/>
    <w:rsid w:val="0C8445DA"/>
    <w:rsid w:val="0C87121B"/>
    <w:rsid w:val="0CC007F7"/>
    <w:rsid w:val="0CC617AC"/>
    <w:rsid w:val="0CD43E9E"/>
    <w:rsid w:val="0CE618DF"/>
    <w:rsid w:val="0CFE707A"/>
    <w:rsid w:val="0D063BDA"/>
    <w:rsid w:val="0D08375F"/>
    <w:rsid w:val="0D184CFB"/>
    <w:rsid w:val="0D427DD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028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45E1E"/>
    <w:rsid w:val="10C26171"/>
    <w:rsid w:val="10F33360"/>
    <w:rsid w:val="10FC16EA"/>
    <w:rsid w:val="110F1D40"/>
    <w:rsid w:val="11266F33"/>
    <w:rsid w:val="118963A1"/>
    <w:rsid w:val="11C6522A"/>
    <w:rsid w:val="11E104CC"/>
    <w:rsid w:val="11E20309"/>
    <w:rsid w:val="12131955"/>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85C9A"/>
    <w:rsid w:val="14982588"/>
    <w:rsid w:val="149A5AD9"/>
    <w:rsid w:val="14A7619D"/>
    <w:rsid w:val="150536C3"/>
    <w:rsid w:val="150C1963"/>
    <w:rsid w:val="151447A0"/>
    <w:rsid w:val="154A6454"/>
    <w:rsid w:val="15762120"/>
    <w:rsid w:val="15B50D11"/>
    <w:rsid w:val="161B31AF"/>
    <w:rsid w:val="16A8729C"/>
    <w:rsid w:val="16B33777"/>
    <w:rsid w:val="16BC70A7"/>
    <w:rsid w:val="16C6339E"/>
    <w:rsid w:val="172F2D79"/>
    <w:rsid w:val="17557BEF"/>
    <w:rsid w:val="178C0CC9"/>
    <w:rsid w:val="17D349C1"/>
    <w:rsid w:val="18244F26"/>
    <w:rsid w:val="1830729E"/>
    <w:rsid w:val="1870062C"/>
    <w:rsid w:val="18817102"/>
    <w:rsid w:val="18830A15"/>
    <w:rsid w:val="18852B28"/>
    <w:rsid w:val="188B5321"/>
    <w:rsid w:val="19932372"/>
    <w:rsid w:val="19A20DD5"/>
    <w:rsid w:val="19AE03F1"/>
    <w:rsid w:val="19D66847"/>
    <w:rsid w:val="1A071A03"/>
    <w:rsid w:val="1A1F16AE"/>
    <w:rsid w:val="1A3B5C77"/>
    <w:rsid w:val="1A8F2BF3"/>
    <w:rsid w:val="1A984BAD"/>
    <w:rsid w:val="1AB8220E"/>
    <w:rsid w:val="1ABF7252"/>
    <w:rsid w:val="1AE4166C"/>
    <w:rsid w:val="1AF06CFB"/>
    <w:rsid w:val="1AF11B8D"/>
    <w:rsid w:val="1B11359C"/>
    <w:rsid w:val="1B2A271F"/>
    <w:rsid w:val="1B530544"/>
    <w:rsid w:val="1B713184"/>
    <w:rsid w:val="1BA209CF"/>
    <w:rsid w:val="1BB4777D"/>
    <w:rsid w:val="1BD75AB8"/>
    <w:rsid w:val="1C0459C2"/>
    <w:rsid w:val="1C1B3B4A"/>
    <w:rsid w:val="1C313BDC"/>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92BA8"/>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0F1962"/>
    <w:rsid w:val="221D1D20"/>
    <w:rsid w:val="22334A87"/>
    <w:rsid w:val="224C4B4B"/>
    <w:rsid w:val="22BE4F7D"/>
    <w:rsid w:val="22BE6801"/>
    <w:rsid w:val="23056708"/>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3449F"/>
    <w:rsid w:val="25A917A6"/>
    <w:rsid w:val="25B753DF"/>
    <w:rsid w:val="25BE27CC"/>
    <w:rsid w:val="25F74A5C"/>
    <w:rsid w:val="2628662C"/>
    <w:rsid w:val="262D45DE"/>
    <w:rsid w:val="267A6B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0493E"/>
    <w:rsid w:val="294C65AD"/>
    <w:rsid w:val="29806583"/>
    <w:rsid w:val="298B3C4C"/>
    <w:rsid w:val="29F26D24"/>
    <w:rsid w:val="2A15033F"/>
    <w:rsid w:val="2A1662C1"/>
    <w:rsid w:val="2A1C7367"/>
    <w:rsid w:val="2A2815FA"/>
    <w:rsid w:val="2A2878AC"/>
    <w:rsid w:val="2A6D6092"/>
    <w:rsid w:val="2A7D76B4"/>
    <w:rsid w:val="2B437463"/>
    <w:rsid w:val="2B7807EE"/>
    <w:rsid w:val="2BA50BF7"/>
    <w:rsid w:val="2BBF00EC"/>
    <w:rsid w:val="2BC37CFD"/>
    <w:rsid w:val="2BD5237F"/>
    <w:rsid w:val="2BE536CE"/>
    <w:rsid w:val="2BE758D9"/>
    <w:rsid w:val="2BF346BB"/>
    <w:rsid w:val="2BFD741C"/>
    <w:rsid w:val="2C09049E"/>
    <w:rsid w:val="2C0A653C"/>
    <w:rsid w:val="2C191F85"/>
    <w:rsid w:val="2C2B3683"/>
    <w:rsid w:val="2C5710AE"/>
    <w:rsid w:val="2CE82D6F"/>
    <w:rsid w:val="2CF33A75"/>
    <w:rsid w:val="2D343236"/>
    <w:rsid w:val="2D376E0C"/>
    <w:rsid w:val="2D575011"/>
    <w:rsid w:val="2D847E91"/>
    <w:rsid w:val="2DD15014"/>
    <w:rsid w:val="2DDB2E87"/>
    <w:rsid w:val="2DF72DE4"/>
    <w:rsid w:val="2E0220AF"/>
    <w:rsid w:val="2E4B082A"/>
    <w:rsid w:val="2E5D4E86"/>
    <w:rsid w:val="2E5D790B"/>
    <w:rsid w:val="2E9A3C18"/>
    <w:rsid w:val="2EBB0FEE"/>
    <w:rsid w:val="2EC63002"/>
    <w:rsid w:val="2F0A6B38"/>
    <w:rsid w:val="2F946CCB"/>
    <w:rsid w:val="2FD25781"/>
    <w:rsid w:val="2FDC745C"/>
    <w:rsid w:val="2FF14E52"/>
    <w:rsid w:val="2FFD7934"/>
    <w:rsid w:val="30733ACD"/>
    <w:rsid w:val="308C3862"/>
    <w:rsid w:val="309379D8"/>
    <w:rsid w:val="30A270F7"/>
    <w:rsid w:val="30C72319"/>
    <w:rsid w:val="30DF1478"/>
    <w:rsid w:val="30EC586F"/>
    <w:rsid w:val="311741D6"/>
    <w:rsid w:val="3129239C"/>
    <w:rsid w:val="319C6071"/>
    <w:rsid w:val="31AC537E"/>
    <w:rsid w:val="31B34BC4"/>
    <w:rsid w:val="31E3679B"/>
    <w:rsid w:val="31E732FD"/>
    <w:rsid w:val="32517576"/>
    <w:rsid w:val="325C3906"/>
    <w:rsid w:val="32BE5C2C"/>
    <w:rsid w:val="32FB6478"/>
    <w:rsid w:val="33263B3F"/>
    <w:rsid w:val="336963EB"/>
    <w:rsid w:val="33816EEB"/>
    <w:rsid w:val="3381760D"/>
    <w:rsid w:val="33EB55CD"/>
    <w:rsid w:val="33EC4C02"/>
    <w:rsid w:val="340D2360"/>
    <w:rsid w:val="3410665D"/>
    <w:rsid w:val="34211214"/>
    <w:rsid w:val="342E63AB"/>
    <w:rsid w:val="34950E68"/>
    <w:rsid w:val="34986E94"/>
    <w:rsid w:val="34AF62C9"/>
    <w:rsid w:val="34CB4388"/>
    <w:rsid w:val="34FA6E12"/>
    <w:rsid w:val="34FB5BBD"/>
    <w:rsid w:val="34FDE596"/>
    <w:rsid w:val="35470E02"/>
    <w:rsid w:val="35475C92"/>
    <w:rsid w:val="354D7158"/>
    <w:rsid w:val="358D5588"/>
    <w:rsid w:val="35F1677D"/>
    <w:rsid w:val="363A3B40"/>
    <w:rsid w:val="365302AE"/>
    <w:rsid w:val="36607A0A"/>
    <w:rsid w:val="366E227C"/>
    <w:rsid w:val="366F2E0D"/>
    <w:rsid w:val="367B6A5C"/>
    <w:rsid w:val="36A74ADA"/>
    <w:rsid w:val="36AD60D5"/>
    <w:rsid w:val="36B224F9"/>
    <w:rsid w:val="36EC0CC9"/>
    <w:rsid w:val="373F410B"/>
    <w:rsid w:val="37AE5168"/>
    <w:rsid w:val="37B87D95"/>
    <w:rsid w:val="37EE7094"/>
    <w:rsid w:val="38237904"/>
    <w:rsid w:val="38296C89"/>
    <w:rsid w:val="383002EB"/>
    <w:rsid w:val="38586797"/>
    <w:rsid w:val="385D15DF"/>
    <w:rsid w:val="38BC0149"/>
    <w:rsid w:val="38D87D1C"/>
    <w:rsid w:val="39636459"/>
    <w:rsid w:val="396B7F6C"/>
    <w:rsid w:val="39B417A9"/>
    <w:rsid w:val="39C064A6"/>
    <w:rsid w:val="39FC5695"/>
    <w:rsid w:val="3A006D8E"/>
    <w:rsid w:val="3A3651E5"/>
    <w:rsid w:val="3A744481"/>
    <w:rsid w:val="3A8C7BEF"/>
    <w:rsid w:val="3A906246"/>
    <w:rsid w:val="3AD94D90"/>
    <w:rsid w:val="3B2349B7"/>
    <w:rsid w:val="3B5A714C"/>
    <w:rsid w:val="3B616CFF"/>
    <w:rsid w:val="3B6259F6"/>
    <w:rsid w:val="3B7641EF"/>
    <w:rsid w:val="3B976654"/>
    <w:rsid w:val="3BC01EFC"/>
    <w:rsid w:val="3BCA786A"/>
    <w:rsid w:val="3BCD02B3"/>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87410"/>
    <w:rsid w:val="4019356B"/>
    <w:rsid w:val="40592157"/>
    <w:rsid w:val="40666F03"/>
    <w:rsid w:val="406E1CAE"/>
    <w:rsid w:val="40A0133A"/>
    <w:rsid w:val="40C31A53"/>
    <w:rsid w:val="40FF545D"/>
    <w:rsid w:val="410067C8"/>
    <w:rsid w:val="4110479E"/>
    <w:rsid w:val="416F3BBA"/>
    <w:rsid w:val="418F0D2A"/>
    <w:rsid w:val="419339CE"/>
    <w:rsid w:val="41B36150"/>
    <w:rsid w:val="41D01505"/>
    <w:rsid w:val="41FA6F8D"/>
    <w:rsid w:val="42474939"/>
    <w:rsid w:val="424C3C57"/>
    <w:rsid w:val="42613FF3"/>
    <w:rsid w:val="42660D96"/>
    <w:rsid w:val="428667D2"/>
    <w:rsid w:val="42CD1CE0"/>
    <w:rsid w:val="42E1381E"/>
    <w:rsid w:val="42ED6459"/>
    <w:rsid w:val="42FE58DD"/>
    <w:rsid w:val="43174B3D"/>
    <w:rsid w:val="434B790E"/>
    <w:rsid w:val="4360274F"/>
    <w:rsid w:val="43977AB6"/>
    <w:rsid w:val="43A15B81"/>
    <w:rsid w:val="43A3342B"/>
    <w:rsid w:val="43C77C27"/>
    <w:rsid w:val="43DE09EE"/>
    <w:rsid w:val="44002FAD"/>
    <w:rsid w:val="44581EC4"/>
    <w:rsid w:val="449101DD"/>
    <w:rsid w:val="44DE1391"/>
    <w:rsid w:val="451B225C"/>
    <w:rsid w:val="451F5F32"/>
    <w:rsid w:val="452410C9"/>
    <w:rsid w:val="45317DFB"/>
    <w:rsid w:val="455F591C"/>
    <w:rsid w:val="456D3CE4"/>
    <w:rsid w:val="4579042C"/>
    <w:rsid w:val="457F0571"/>
    <w:rsid w:val="45851176"/>
    <w:rsid w:val="45C63B94"/>
    <w:rsid w:val="460E7DA5"/>
    <w:rsid w:val="4630388E"/>
    <w:rsid w:val="46422483"/>
    <w:rsid w:val="46484168"/>
    <w:rsid w:val="4659254A"/>
    <w:rsid w:val="465B0637"/>
    <w:rsid w:val="465E3F0D"/>
    <w:rsid w:val="466A16E6"/>
    <w:rsid w:val="46893F2B"/>
    <w:rsid w:val="46BF7974"/>
    <w:rsid w:val="46C4686E"/>
    <w:rsid w:val="471D4813"/>
    <w:rsid w:val="477B778F"/>
    <w:rsid w:val="478203EC"/>
    <w:rsid w:val="47B025FA"/>
    <w:rsid w:val="4809698F"/>
    <w:rsid w:val="4811697D"/>
    <w:rsid w:val="481933D9"/>
    <w:rsid w:val="487A3E25"/>
    <w:rsid w:val="488B5503"/>
    <w:rsid w:val="48937E21"/>
    <w:rsid w:val="489A0361"/>
    <w:rsid w:val="48B94FF3"/>
    <w:rsid w:val="48E37AAB"/>
    <w:rsid w:val="48FD4B4C"/>
    <w:rsid w:val="490A68E0"/>
    <w:rsid w:val="491055FE"/>
    <w:rsid w:val="495F5B3E"/>
    <w:rsid w:val="496F77D7"/>
    <w:rsid w:val="497654FD"/>
    <w:rsid w:val="49B64211"/>
    <w:rsid w:val="49BC3715"/>
    <w:rsid w:val="49C10C05"/>
    <w:rsid w:val="49CA4227"/>
    <w:rsid w:val="49F6167F"/>
    <w:rsid w:val="49F837E3"/>
    <w:rsid w:val="4A064FA0"/>
    <w:rsid w:val="4A16615C"/>
    <w:rsid w:val="4A2E1E17"/>
    <w:rsid w:val="4A4424D7"/>
    <w:rsid w:val="4AB82D0F"/>
    <w:rsid w:val="4AE271AB"/>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2360FA"/>
    <w:rsid w:val="4E793892"/>
    <w:rsid w:val="4E800872"/>
    <w:rsid w:val="4EC569ED"/>
    <w:rsid w:val="4ED50EA1"/>
    <w:rsid w:val="4EEC050C"/>
    <w:rsid w:val="4F104EC3"/>
    <w:rsid w:val="4F47354A"/>
    <w:rsid w:val="4F911C54"/>
    <w:rsid w:val="4FE625E0"/>
    <w:rsid w:val="5021480F"/>
    <w:rsid w:val="507471E8"/>
    <w:rsid w:val="50962ECB"/>
    <w:rsid w:val="50A42E38"/>
    <w:rsid w:val="50A4577F"/>
    <w:rsid w:val="50B73D1F"/>
    <w:rsid w:val="50BD5BC9"/>
    <w:rsid w:val="50C11EEE"/>
    <w:rsid w:val="50E97CFC"/>
    <w:rsid w:val="50FA4028"/>
    <w:rsid w:val="510D65B7"/>
    <w:rsid w:val="511157AB"/>
    <w:rsid w:val="51197AA1"/>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65C4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E0A58"/>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D0DF8"/>
    <w:rsid w:val="58AE4F0C"/>
    <w:rsid w:val="58B85899"/>
    <w:rsid w:val="58E363A9"/>
    <w:rsid w:val="59166304"/>
    <w:rsid w:val="595E1678"/>
    <w:rsid w:val="596D5BD4"/>
    <w:rsid w:val="5970569C"/>
    <w:rsid w:val="597E3DD8"/>
    <w:rsid w:val="59BA435D"/>
    <w:rsid w:val="59F80043"/>
    <w:rsid w:val="5A09252F"/>
    <w:rsid w:val="5A0B2778"/>
    <w:rsid w:val="5A2A7C7B"/>
    <w:rsid w:val="5A3E2560"/>
    <w:rsid w:val="5A5D3B6E"/>
    <w:rsid w:val="5A637A76"/>
    <w:rsid w:val="5A6D33BA"/>
    <w:rsid w:val="5A7307AF"/>
    <w:rsid w:val="5A792B1F"/>
    <w:rsid w:val="5A874767"/>
    <w:rsid w:val="5AA85BE2"/>
    <w:rsid w:val="5AAD6F28"/>
    <w:rsid w:val="5AD63A24"/>
    <w:rsid w:val="5B2E1A1D"/>
    <w:rsid w:val="5B410050"/>
    <w:rsid w:val="5B843A1C"/>
    <w:rsid w:val="5B873E3F"/>
    <w:rsid w:val="5BD52A47"/>
    <w:rsid w:val="5C02690E"/>
    <w:rsid w:val="5C196DA7"/>
    <w:rsid w:val="5C2A048C"/>
    <w:rsid w:val="5C6A3FB3"/>
    <w:rsid w:val="5C80234E"/>
    <w:rsid w:val="5C8A680C"/>
    <w:rsid w:val="5CFD62A4"/>
    <w:rsid w:val="5D0C4701"/>
    <w:rsid w:val="5D0F0395"/>
    <w:rsid w:val="5D1D1474"/>
    <w:rsid w:val="5D221076"/>
    <w:rsid w:val="5D397964"/>
    <w:rsid w:val="5D5A391C"/>
    <w:rsid w:val="5D5F10C0"/>
    <w:rsid w:val="5D891B7B"/>
    <w:rsid w:val="5DAD38EE"/>
    <w:rsid w:val="5E006862"/>
    <w:rsid w:val="5E0207B9"/>
    <w:rsid w:val="5E1834A1"/>
    <w:rsid w:val="5E261785"/>
    <w:rsid w:val="5E34780F"/>
    <w:rsid w:val="5E4A7017"/>
    <w:rsid w:val="5E552BBA"/>
    <w:rsid w:val="5E611C10"/>
    <w:rsid w:val="5E7A0F3F"/>
    <w:rsid w:val="5EFC7377"/>
    <w:rsid w:val="5F06174D"/>
    <w:rsid w:val="5F3A3602"/>
    <w:rsid w:val="5F426012"/>
    <w:rsid w:val="5F45733B"/>
    <w:rsid w:val="5F6277C6"/>
    <w:rsid w:val="5F6D0B1D"/>
    <w:rsid w:val="5F816EBD"/>
    <w:rsid w:val="5F8D0B82"/>
    <w:rsid w:val="5FCC5339"/>
    <w:rsid w:val="5FE34A5B"/>
    <w:rsid w:val="5FFE1E36"/>
    <w:rsid w:val="60232584"/>
    <w:rsid w:val="607330CE"/>
    <w:rsid w:val="60825176"/>
    <w:rsid w:val="609F2AC4"/>
    <w:rsid w:val="60A46F85"/>
    <w:rsid w:val="60FA2EE8"/>
    <w:rsid w:val="61054A27"/>
    <w:rsid w:val="610A52BC"/>
    <w:rsid w:val="611D2366"/>
    <w:rsid w:val="61421856"/>
    <w:rsid w:val="615227C4"/>
    <w:rsid w:val="61654E3F"/>
    <w:rsid w:val="6170071F"/>
    <w:rsid w:val="6182292A"/>
    <w:rsid w:val="619F7F92"/>
    <w:rsid w:val="61C0178A"/>
    <w:rsid w:val="61F94C26"/>
    <w:rsid w:val="62000E56"/>
    <w:rsid w:val="624F3E49"/>
    <w:rsid w:val="62632286"/>
    <w:rsid w:val="62885958"/>
    <w:rsid w:val="62F40B65"/>
    <w:rsid w:val="62FC2CFE"/>
    <w:rsid w:val="63024505"/>
    <w:rsid w:val="634C5BD2"/>
    <w:rsid w:val="635600A5"/>
    <w:rsid w:val="635B1DB5"/>
    <w:rsid w:val="63711FED"/>
    <w:rsid w:val="63865A9E"/>
    <w:rsid w:val="63880DDC"/>
    <w:rsid w:val="638D750D"/>
    <w:rsid w:val="63AC6CC0"/>
    <w:rsid w:val="63F529E4"/>
    <w:rsid w:val="64055776"/>
    <w:rsid w:val="64240056"/>
    <w:rsid w:val="643E143A"/>
    <w:rsid w:val="643E324C"/>
    <w:rsid w:val="64491666"/>
    <w:rsid w:val="648B6EEF"/>
    <w:rsid w:val="64AA03AE"/>
    <w:rsid w:val="64C158BF"/>
    <w:rsid w:val="64CE2EAA"/>
    <w:rsid w:val="650C6EA7"/>
    <w:rsid w:val="653C3090"/>
    <w:rsid w:val="65854376"/>
    <w:rsid w:val="658767BE"/>
    <w:rsid w:val="65892531"/>
    <w:rsid w:val="65FA31A3"/>
    <w:rsid w:val="66195831"/>
    <w:rsid w:val="661B38E5"/>
    <w:rsid w:val="662621EA"/>
    <w:rsid w:val="662E75B1"/>
    <w:rsid w:val="66342C2E"/>
    <w:rsid w:val="663E784C"/>
    <w:rsid w:val="667B6071"/>
    <w:rsid w:val="668B6A45"/>
    <w:rsid w:val="672F3F24"/>
    <w:rsid w:val="673E055F"/>
    <w:rsid w:val="67551CE3"/>
    <w:rsid w:val="67A128A6"/>
    <w:rsid w:val="67A22552"/>
    <w:rsid w:val="67B22DCC"/>
    <w:rsid w:val="67BE71AA"/>
    <w:rsid w:val="67D90273"/>
    <w:rsid w:val="67DE5875"/>
    <w:rsid w:val="67E55852"/>
    <w:rsid w:val="67EB1AB4"/>
    <w:rsid w:val="67FA1285"/>
    <w:rsid w:val="68551F4F"/>
    <w:rsid w:val="687C10C9"/>
    <w:rsid w:val="68840C16"/>
    <w:rsid w:val="68876EFB"/>
    <w:rsid w:val="68884654"/>
    <w:rsid w:val="68945B31"/>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E47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E15FC"/>
    <w:rsid w:val="6DF43C2E"/>
    <w:rsid w:val="6DF51CA3"/>
    <w:rsid w:val="6DF6201A"/>
    <w:rsid w:val="6E3D233E"/>
    <w:rsid w:val="6E436A40"/>
    <w:rsid w:val="6E587601"/>
    <w:rsid w:val="6E8335BD"/>
    <w:rsid w:val="6E8E12EF"/>
    <w:rsid w:val="6E972936"/>
    <w:rsid w:val="6ED446C5"/>
    <w:rsid w:val="6F2A7D94"/>
    <w:rsid w:val="6F8331F1"/>
    <w:rsid w:val="6FAE1A09"/>
    <w:rsid w:val="6FD75BF8"/>
    <w:rsid w:val="707723D0"/>
    <w:rsid w:val="70A408DB"/>
    <w:rsid w:val="70F5661B"/>
    <w:rsid w:val="71360107"/>
    <w:rsid w:val="713B688E"/>
    <w:rsid w:val="71D43752"/>
    <w:rsid w:val="71F1796A"/>
    <w:rsid w:val="72154626"/>
    <w:rsid w:val="72262B5D"/>
    <w:rsid w:val="72283FF7"/>
    <w:rsid w:val="722E7212"/>
    <w:rsid w:val="723A0474"/>
    <w:rsid w:val="725923E4"/>
    <w:rsid w:val="72864BF7"/>
    <w:rsid w:val="729023FC"/>
    <w:rsid w:val="72FD2525"/>
    <w:rsid w:val="73C0646E"/>
    <w:rsid w:val="742222F5"/>
    <w:rsid w:val="74476126"/>
    <w:rsid w:val="74706664"/>
    <w:rsid w:val="747F3682"/>
    <w:rsid w:val="749C4185"/>
    <w:rsid w:val="75067759"/>
    <w:rsid w:val="752E6DCD"/>
    <w:rsid w:val="7551380D"/>
    <w:rsid w:val="75600BE5"/>
    <w:rsid w:val="7564475C"/>
    <w:rsid w:val="7583797F"/>
    <w:rsid w:val="758962F1"/>
    <w:rsid w:val="75D20F1D"/>
    <w:rsid w:val="75DA2C18"/>
    <w:rsid w:val="75DE7597"/>
    <w:rsid w:val="75F54412"/>
    <w:rsid w:val="761D08E0"/>
    <w:rsid w:val="765D347C"/>
    <w:rsid w:val="76650B0D"/>
    <w:rsid w:val="76826699"/>
    <w:rsid w:val="76C87133"/>
    <w:rsid w:val="76CD08D5"/>
    <w:rsid w:val="76DB4B92"/>
    <w:rsid w:val="77052AA4"/>
    <w:rsid w:val="77136511"/>
    <w:rsid w:val="77340A39"/>
    <w:rsid w:val="77351FD0"/>
    <w:rsid w:val="77472422"/>
    <w:rsid w:val="777F31F2"/>
    <w:rsid w:val="77D1700D"/>
    <w:rsid w:val="77EC04CC"/>
    <w:rsid w:val="78281DF2"/>
    <w:rsid w:val="78775729"/>
    <w:rsid w:val="78892E5A"/>
    <w:rsid w:val="78A42DB0"/>
    <w:rsid w:val="78A656AB"/>
    <w:rsid w:val="78B2245C"/>
    <w:rsid w:val="78B35B5F"/>
    <w:rsid w:val="78E172CC"/>
    <w:rsid w:val="78EA1D1F"/>
    <w:rsid w:val="7904172F"/>
    <w:rsid w:val="790F7E27"/>
    <w:rsid w:val="792A231A"/>
    <w:rsid w:val="79316829"/>
    <w:rsid w:val="796C4DDB"/>
    <w:rsid w:val="797E66A9"/>
    <w:rsid w:val="798518A4"/>
    <w:rsid w:val="798E18C9"/>
    <w:rsid w:val="79A97383"/>
    <w:rsid w:val="79E27E8B"/>
    <w:rsid w:val="79F850CE"/>
    <w:rsid w:val="79FD443C"/>
    <w:rsid w:val="7A1D1975"/>
    <w:rsid w:val="7A3E5150"/>
    <w:rsid w:val="7A4670D6"/>
    <w:rsid w:val="7A534B63"/>
    <w:rsid w:val="7A615382"/>
    <w:rsid w:val="7A67303B"/>
    <w:rsid w:val="7AAB1D04"/>
    <w:rsid w:val="7ABA4368"/>
    <w:rsid w:val="7AD05746"/>
    <w:rsid w:val="7B164183"/>
    <w:rsid w:val="7B195DAB"/>
    <w:rsid w:val="7B257FFD"/>
    <w:rsid w:val="7B343476"/>
    <w:rsid w:val="7B5A2978"/>
    <w:rsid w:val="7B5A7E4C"/>
    <w:rsid w:val="7B667AF9"/>
    <w:rsid w:val="7B7468F8"/>
    <w:rsid w:val="7BEE0103"/>
    <w:rsid w:val="7C0A0FE4"/>
    <w:rsid w:val="7C254906"/>
    <w:rsid w:val="7C590818"/>
    <w:rsid w:val="7C7C10F6"/>
    <w:rsid w:val="7C853BEA"/>
    <w:rsid w:val="7C881368"/>
    <w:rsid w:val="7CD442F6"/>
    <w:rsid w:val="7CE27788"/>
    <w:rsid w:val="7D0C32F1"/>
    <w:rsid w:val="7D0F408D"/>
    <w:rsid w:val="7D491C6C"/>
    <w:rsid w:val="7D5429C0"/>
    <w:rsid w:val="7D6E6D43"/>
    <w:rsid w:val="7D9F4904"/>
    <w:rsid w:val="7DB57A34"/>
    <w:rsid w:val="7DC17223"/>
    <w:rsid w:val="7DE60973"/>
    <w:rsid w:val="7DEF0916"/>
    <w:rsid w:val="7E1E5218"/>
    <w:rsid w:val="7E422DF8"/>
    <w:rsid w:val="7E9A4E1F"/>
    <w:rsid w:val="7EA7723A"/>
    <w:rsid w:val="7EF56FBB"/>
    <w:rsid w:val="7F0768EB"/>
    <w:rsid w:val="7F143BEC"/>
    <w:rsid w:val="7F715AF2"/>
    <w:rsid w:val="7F886E69"/>
    <w:rsid w:val="BB7FA927"/>
    <w:rsid w:val="D6ED11FF"/>
    <w:rsid w:val="DCDFDE3E"/>
    <w:rsid w:val="F5FFD31F"/>
    <w:rsid w:val="FFCF1770"/>
    <w:rsid w:val="FFDB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style01"/>
    <w:qFormat/>
    <w:uiPriority w:val="0"/>
    <w:rPr>
      <w:rFonts w:hint="eastAsia" w:ascii="仿宋_GB2312" w:hAnsi="Times New Roman" w:eastAsia="仿宋_GB2312"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16489</Words>
  <Characters>17769</Characters>
  <Lines>371</Lines>
  <Paragraphs>104</Paragraphs>
  <TotalTime>18</TotalTime>
  <ScaleCrop>false</ScaleCrop>
  <LinksUpToDate>false</LinksUpToDate>
  <CharactersWithSpaces>18214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2023-12-16T06:14:00Z</dcterms:created>
  <dc:creator>玥</dc:creator>
  <cp:lastModifiedBy>吃货旅程</cp:lastModifiedBy>
  <cp:lastPrinted>2025-03-03T09:38:00Z</cp:lastPrinted>
  <dcterms:modified xsi:type="dcterms:W3CDTF">2025-03-10T09:59:37Z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77F12CFFAD3C49E09F6A8679DE47BCB5_13</vt:lpwstr>
  </property>
  <property fmtid="{D5CDD505-2E9C-101B-9397-08002B2CF9AE}" pid="5" name="KSOTemplateDocerSaveRecord">
    <vt:lpwstr>eyJoZGlkIjoiN2E1ZjM1ZjljZjc3NmZiMTRjMThiODBmOTg5OTdmYWYiLCJ1c2VySWQiOiIyOTcyNzgzMTMifQ==</vt:lpwstr>
  </property>
</Properties>
</file>