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C96D9">
      <w:pPr>
        <w:tabs>
          <w:tab w:val="left" w:pos="2730"/>
        </w:tabs>
        <w:spacing w:line="360" w:lineRule="auto"/>
        <w:jc w:val="center"/>
        <w:rPr>
          <w:rFonts w:hint="eastAsia" w:ascii="宋体" w:hAnsi="宋体" w:eastAsia="宋体" w:cs="宋体"/>
          <w:b/>
          <w:color w:val="auto"/>
          <w:sz w:val="24"/>
          <w:highlight w:val="none"/>
        </w:rPr>
      </w:pPr>
    </w:p>
    <w:p w14:paraId="50504008">
      <w:pPr>
        <w:spacing w:line="360" w:lineRule="auto"/>
        <w:jc w:val="center"/>
        <w:rPr>
          <w:rFonts w:hint="eastAsia" w:ascii="宋体" w:hAnsi="宋体" w:eastAsia="宋体" w:cs="宋体"/>
          <w:b/>
          <w:color w:val="auto"/>
          <w:sz w:val="24"/>
          <w:highlight w:val="none"/>
        </w:rPr>
      </w:pPr>
    </w:p>
    <w:p w14:paraId="78A1FC58">
      <w:pPr>
        <w:adjustRightInd/>
        <w:spacing w:line="360" w:lineRule="auto"/>
        <w:jc w:val="center"/>
        <w:rPr>
          <w:rFonts w:hint="eastAsia" w:ascii="宋体" w:hAnsi="宋体" w:eastAsia="宋体" w:cs="宋体"/>
          <w:b/>
          <w:color w:val="auto"/>
          <w:sz w:val="44"/>
          <w:szCs w:val="44"/>
          <w:highlight w:val="none"/>
        </w:rPr>
      </w:pPr>
    </w:p>
    <w:p w14:paraId="0C423583">
      <w:pPr>
        <w:adjustRightInd/>
        <w:spacing w:line="360" w:lineRule="auto"/>
        <w:jc w:val="center"/>
        <w:rPr>
          <w:rFonts w:hint="eastAsia" w:ascii="宋体" w:hAnsi="宋体" w:eastAsia="宋体" w:cs="宋体"/>
          <w:b/>
          <w:color w:val="auto"/>
          <w:sz w:val="48"/>
          <w:szCs w:val="48"/>
          <w:highlight w:val="none"/>
        </w:rPr>
      </w:pPr>
    </w:p>
    <w:p w14:paraId="790D5D2A">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前进街道四工段横河等水环境治理服务项目</w:t>
      </w:r>
    </w:p>
    <w:p w14:paraId="32B06713">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33121E5C">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2F32DF86">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编号:QTCG-GK-2025-033</w:t>
      </w:r>
    </w:p>
    <w:p w14:paraId="4F2DDBE0">
      <w:pPr>
        <w:adjustRightInd/>
        <w:spacing w:line="360" w:lineRule="auto"/>
        <w:rPr>
          <w:rFonts w:hint="eastAsia" w:ascii="宋体" w:hAnsi="宋体" w:eastAsia="宋体" w:cs="宋体"/>
          <w:color w:val="auto"/>
          <w:sz w:val="28"/>
          <w:szCs w:val="20"/>
          <w:highlight w:val="none"/>
        </w:rPr>
      </w:pPr>
    </w:p>
    <w:p w14:paraId="7FE9B72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055B05A3">
      <w:pPr>
        <w:spacing w:line="360" w:lineRule="auto"/>
        <w:jc w:val="center"/>
        <w:rPr>
          <w:rFonts w:hint="eastAsia" w:ascii="宋体" w:hAnsi="宋体" w:eastAsia="宋体" w:cs="宋体"/>
          <w:b/>
          <w:color w:val="auto"/>
          <w:sz w:val="44"/>
          <w:szCs w:val="44"/>
          <w:highlight w:val="none"/>
        </w:rPr>
      </w:pPr>
    </w:p>
    <w:p w14:paraId="5EBA8750">
      <w:pPr>
        <w:spacing w:line="360" w:lineRule="auto"/>
        <w:jc w:val="center"/>
        <w:rPr>
          <w:rFonts w:hint="eastAsia" w:ascii="宋体" w:hAnsi="宋体" w:eastAsia="宋体" w:cs="宋体"/>
          <w:color w:val="auto"/>
          <w:sz w:val="24"/>
          <w:highlight w:val="none"/>
        </w:rPr>
      </w:pPr>
    </w:p>
    <w:p w14:paraId="38FD55D0">
      <w:pPr>
        <w:spacing w:line="360" w:lineRule="auto"/>
        <w:jc w:val="center"/>
        <w:rPr>
          <w:rFonts w:hint="eastAsia" w:ascii="宋体" w:hAnsi="宋体" w:eastAsia="宋体" w:cs="宋体"/>
          <w:color w:val="auto"/>
          <w:sz w:val="24"/>
          <w:highlight w:val="none"/>
        </w:rPr>
      </w:pPr>
    </w:p>
    <w:p w14:paraId="42987DBD">
      <w:pPr>
        <w:spacing w:line="360" w:lineRule="auto"/>
        <w:rPr>
          <w:rFonts w:hint="eastAsia" w:ascii="宋体" w:hAnsi="宋体" w:eastAsia="宋体" w:cs="宋体"/>
          <w:color w:val="auto"/>
          <w:sz w:val="32"/>
          <w:szCs w:val="32"/>
          <w:highlight w:val="none"/>
        </w:rPr>
      </w:pPr>
    </w:p>
    <w:p w14:paraId="66DA5FD0">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杭州市钱塘区人民政府前进街道办事处</w:t>
      </w:r>
    </w:p>
    <w:p w14:paraId="37A97E7D">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浙江经济建设投资咨询中心有限公司</w:t>
      </w:r>
    </w:p>
    <w:p w14:paraId="47E513C5">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eastAsia="zh-CN"/>
        </w:rPr>
        <w:t>十</w:t>
      </w:r>
      <w:r>
        <w:rPr>
          <w:rFonts w:hint="eastAsia" w:ascii="宋体" w:hAnsi="宋体" w:eastAsia="宋体" w:cs="宋体"/>
          <w:bCs/>
          <w:color w:val="auto"/>
          <w:sz w:val="32"/>
          <w:szCs w:val="32"/>
          <w:highlight w:val="none"/>
        </w:rPr>
        <w:t>日</w:t>
      </w:r>
    </w:p>
    <w:p w14:paraId="77ABC4A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77CA12EE">
      <w:pPr>
        <w:spacing w:line="360" w:lineRule="auto"/>
        <w:jc w:val="center"/>
        <w:rPr>
          <w:rFonts w:hint="eastAsia" w:ascii="宋体" w:hAnsi="宋体" w:eastAsia="宋体" w:cs="宋体"/>
          <w:color w:val="auto"/>
          <w:sz w:val="24"/>
          <w:highlight w:val="none"/>
        </w:rPr>
      </w:pPr>
    </w:p>
    <w:p w14:paraId="08502703">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BC748BA">
      <w:pPr>
        <w:spacing w:line="360" w:lineRule="auto"/>
        <w:rPr>
          <w:rFonts w:hint="eastAsia" w:ascii="宋体" w:hAnsi="宋体" w:eastAsia="宋体" w:cs="宋体"/>
          <w:color w:val="auto"/>
          <w:sz w:val="32"/>
          <w:szCs w:val="32"/>
          <w:highlight w:val="none"/>
        </w:rPr>
      </w:pPr>
    </w:p>
    <w:p w14:paraId="59C4D9A0">
      <w:pPr>
        <w:spacing w:line="360" w:lineRule="auto"/>
        <w:rPr>
          <w:rFonts w:hint="eastAsia" w:ascii="宋体" w:hAnsi="宋体" w:eastAsia="宋体" w:cs="宋体"/>
          <w:color w:val="auto"/>
          <w:sz w:val="32"/>
          <w:szCs w:val="32"/>
          <w:highlight w:val="none"/>
        </w:rPr>
      </w:pPr>
    </w:p>
    <w:p w14:paraId="690A365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8E1648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4A13B44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5D2610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254769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CEC21E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4FE80DF">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43CE89D3">
      <w:pPr>
        <w:spacing w:line="360" w:lineRule="auto"/>
        <w:ind w:firstLine="549" w:firstLineChars="229"/>
        <w:rPr>
          <w:rFonts w:hint="eastAsia" w:ascii="宋体" w:hAnsi="宋体" w:eastAsia="宋体" w:cs="宋体"/>
          <w:color w:val="auto"/>
          <w:sz w:val="24"/>
          <w:highlight w:val="none"/>
        </w:rPr>
      </w:pPr>
    </w:p>
    <w:p w14:paraId="00E56298">
      <w:pPr>
        <w:spacing w:line="360" w:lineRule="auto"/>
        <w:ind w:firstLine="549" w:firstLineChars="229"/>
        <w:rPr>
          <w:rFonts w:hint="eastAsia" w:ascii="宋体" w:hAnsi="宋体" w:eastAsia="宋体" w:cs="宋体"/>
          <w:color w:val="auto"/>
          <w:sz w:val="24"/>
          <w:highlight w:val="none"/>
        </w:rPr>
      </w:pPr>
    </w:p>
    <w:p w14:paraId="4EBCD4B9">
      <w:pPr>
        <w:spacing w:line="360" w:lineRule="auto"/>
        <w:ind w:firstLine="549" w:firstLineChars="229"/>
        <w:rPr>
          <w:rFonts w:hint="eastAsia" w:ascii="宋体" w:hAnsi="宋体" w:eastAsia="宋体" w:cs="宋体"/>
          <w:color w:val="auto"/>
          <w:sz w:val="24"/>
          <w:highlight w:val="none"/>
        </w:rPr>
      </w:pPr>
    </w:p>
    <w:p w14:paraId="22037806">
      <w:pPr>
        <w:spacing w:line="360" w:lineRule="auto"/>
        <w:ind w:firstLine="549" w:firstLineChars="229"/>
        <w:rPr>
          <w:rFonts w:hint="eastAsia" w:ascii="宋体" w:hAnsi="宋体" w:eastAsia="宋体" w:cs="宋体"/>
          <w:color w:val="auto"/>
          <w:sz w:val="24"/>
          <w:highlight w:val="none"/>
        </w:rPr>
      </w:pPr>
    </w:p>
    <w:p w14:paraId="0BCBE570">
      <w:pPr>
        <w:spacing w:line="360" w:lineRule="auto"/>
        <w:ind w:firstLine="549" w:firstLineChars="229"/>
        <w:rPr>
          <w:rFonts w:hint="eastAsia" w:ascii="宋体" w:hAnsi="宋体" w:eastAsia="宋体" w:cs="宋体"/>
          <w:color w:val="auto"/>
          <w:sz w:val="24"/>
          <w:highlight w:val="none"/>
        </w:rPr>
      </w:pPr>
    </w:p>
    <w:p w14:paraId="0A911CA9">
      <w:pPr>
        <w:spacing w:line="360" w:lineRule="auto"/>
        <w:ind w:firstLine="549" w:firstLineChars="229"/>
        <w:rPr>
          <w:rFonts w:hint="eastAsia" w:ascii="宋体" w:hAnsi="宋体" w:eastAsia="宋体" w:cs="宋体"/>
          <w:color w:val="auto"/>
          <w:sz w:val="24"/>
          <w:highlight w:val="none"/>
        </w:rPr>
      </w:pPr>
    </w:p>
    <w:p w14:paraId="789F0F02">
      <w:pPr>
        <w:spacing w:line="360" w:lineRule="auto"/>
        <w:ind w:firstLine="549" w:firstLineChars="229"/>
        <w:rPr>
          <w:rFonts w:hint="eastAsia" w:ascii="宋体" w:hAnsi="宋体" w:eastAsia="宋体" w:cs="宋体"/>
          <w:color w:val="auto"/>
          <w:sz w:val="24"/>
          <w:highlight w:val="none"/>
        </w:rPr>
      </w:pPr>
    </w:p>
    <w:p w14:paraId="33FD1A64">
      <w:pPr>
        <w:spacing w:line="360" w:lineRule="auto"/>
        <w:ind w:firstLine="549" w:firstLineChars="229"/>
        <w:rPr>
          <w:rFonts w:hint="eastAsia" w:ascii="宋体" w:hAnsi="宋体" w:eastAsia="宋体" w:cs="宋体"/>
          <w:color w:val="auto"/>
          <w:sz w:val="24"/>
          <w:highlight w:val="none"/>
        </w:rPr>
      </w:pPr>
    </w:p>
    <w:p w14:paraId="774A7C99">
      <w:pPr>
        <w:spacing w:line="360" w:lineRule="auto"/>
        <w:ind w:firstLine="549" w:firstLineChars="229"/>
        <w:rPr>
          <w:rFonts w:hint="eastAsia" w:ascii="宋体" w:hAnsi="宋体" w:eastAsia="宋体" w:cs="宋体"/>
          <w:color w:val="auto"/>
          <w:sz w:val="24"/>
          <w:highlight w:val="none"/>
        </w:rPr>
      </w:pPr>
    </w:p>
    <w:p w14:paraId="7166DDCF">
      <w:pPr>
        <w:spacing w:line="360" w:lineRule="auto"/>
        <w:ind w:firstLine="549" w:firstLineChars="229"/>
        <w:rPr>
          <w:rFonts w:hint="eastAsia" w:ascii="宋体" w:hAnsi="宋体" w:eastAsia="宋体" w:cs="宋体"/>
          <w:color w:val="auto"/>
          <w:sz w:val="24"/>
          <w:highlight w:val="none"/>
        </w:rPr>
      </w:pPr>
    </w:p>
    <w:p w14:paraId="186F6EF5">
      <w:pPr>
        <w:spacing w:line="360" w:lineRule="auto"/>
        <w:ind w:firstLine="549" w:firstLineChars="229"/>
        <w:rPr>
          <w:rFonts w:hint="eastAsia" w:ascii="宋体" w:hAnsi="宋体" w:eastAsia="宋体" w:cs="宋体"/>
          <w:color w:val="auto"/>
          <w:sz w:val="24"/>
          <w:highlight w:val="none"/>
        </w:rPr>
      </w:pPr>
    </w:p>
    <w:p w14:paraId="27BA242E">
      <w:pPr>
        <w:spacing w:line="360" w:lineRule="auto"/>
        <w:ind w:firstLine="549" w:firstLineChars="229"/>
        <w:rPr>
          <w:rFonts w:hint="eastAsia" w:ascii="宋体" w:hAnsi="宋体" w:eastAsia="宋体" w:cs="宋体"/>
          <w:color w:val="auto"/>
          <w:sz w:val="24"/>
          <w:highlight w:val="none"/>
        </w:rPr>
      </w:pPr>
    </w:p>
    <w:p w14:paraId="39CD90D7">
      <w:pPr>
        <w:spacing w:line="360" w:lineRule="auto"/>
        <w:rPr>
          <w:rFonts w:hint="eastAsia" w:ascii="宋体" w:hAnsi="宋体" w:eastAsia="宋体" w:cs="宋体"/>
          <w:color w:val="auto"/>
          <w:sz w:val="24"/>
          <w:highlight w:val="none"/>
        </w:rPr>
      </w:pPr>
    </w:p>
    <w:p w14:paraId="7FE4D6CB">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130B0D4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16BF9A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前进街道四工段横河等水环境治理服务项目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 xml:space="preserve">5 </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 xml:space="preserve">3 </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 xml:space="preserve"> 31</w:t>
      </w:r>
      <w:r>
        <w:rPr>
          <w:rStyle w:val="77"/>
          <w:rFonts w:hint="eastAsia" w:ascii="宋体" w:hAnsi="宋体" w:eastAsia="宋体" w:cs="宋体"/>
          <w:snapToGrid/>
          <w:color w:val="auto"/>
          <w:kern w:val="2"/>
          <w:sz w:val="24"/>
          <w:szCs w:val="24"/>
          <w:highlight w:val="none"/>
        </w:rPr>
        <w:t>日</w:t>
      </w:r>
      <w:r>
        <w:rPr>
          <w:rStyle w:val="77"/>
          <w:rFonts w:hint="eastAsia" w:ascii="宋体" w:hAnsi="宋体" w:eastAsia="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 xml:space="preserve"> 点</w:t>
      </w:r>
      <w:r>
        <w:rPr>
          <w:rStyle w:val="77"/>
          <w:rFonts w:hint="eastAsia" w:ascii="宋体" w:hAnsi="宋体" w:eastAsia="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657D223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58DF8373">
      <w:pPr>
        <w:spacing w:line="360" w:lineRule="auto"/>
        <w:rPr>
          <w:rFonts w:hint="default" w:ascii="宋体" w:hAnsi="宋体" w:eastAsia="宋体" w:cs="宋体"/>
          <w:b w:val="0"/>
          <w:bCs/>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QTCG-GK-2025-033</w:t>
      </w:r>
      <w:r>
        <w:rPr>
          <w:rFonts w:hint="eastAsia" w:ascii="宋体" w:hAnsi="宋体" w:cs="宋体"/>
          <w:b w:val="0"/>
          <w:bCs/>
          <w:color w:val="auto"/>
          <w:sz w:val="24"/>
          <w:highlight w:val="none"/>
          <w:lang w:val="en-US" w:eastAsia="zh-CN"/>
        </w:rPr>
        <w:t xml:space="preserve">  </w:t>
      </w:r>
    </w:p>
    <w:p w14:paraId="2B2742F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前进街道四工段横河等水环境治理服务项目</w:t>
      </w:r>
    </w:p>
    <w:p w14:paraId="104BEDF0">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预算金额（万元）：</w:t>
      </w:r>
      <w:r>
        <w:rPr>
          <w:rFonts w:hint="eastAsia" w:ascii="宋体" w:hAnsi="宋体" w:cs="宋体"/>
          <w:b w:val="0"/>
          <w:bCs/>
          <w:color w:val="auto"/>
          <w:sz w:val="24"/>
          <w:highlight w:val="none"/>
          <w:lang w:val="en-US" w:eastAsia="zh-CN"/>
        </w:rPr>
        <w:t>93.574</w:t>
      </w:r>
    </w:p>
    <w:p w14:paraId="218BC42D">
      <w:pPr>
        <w:spacing w:line="360" w:lineRule="auto"/>
        <w:ind w:firstLine="480"/>
        <w:rPr>
          <w:rFonts w:hint="default"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rPr>
        <w:t>最高限价（万元）：</w:t>
      </w:r>
      <w:r>
        <w:rPr>
          <w:rFonts w:hint="eastAsia" w:ascii="宋体" w:hAnsi="宋体" w:cs="宋体"/>
          <w:b w:val="0"/>
          <w:bCs/>
          <w:color w:val="auto"/>
          <w:sz w:val="24"/>
          <w:highlight w:val="none"/>
          <w:lang w:val="en-US" w:eastAsia="zh-CN"/>
        </w:rPr>
        <w:t>93.574</w:t>
      </w:r>
    </w:p>
    <w:p w14:paraId="039200F1">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p>
    <w:p w14:paraId="54F10BC1">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标项1：</w:t>
      </w:r>
    </w:p>
    <w:p w14:paraId="4D01C12E">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标项名称：</w:t>
      </w:r>
      <w:r>
        <w:rPr>
          <w:rFonts w:hint="eastAsia" w:hAnsi="宋体" w:cs="宋体"/>
          <w:color w:val="auto"/>
          <w:sz w:val="24"/>
          <w:highlight w:val="none"/>
          <w:lang w:eastAsia="zh-CN"/>
        </w:rPr>
        <w:t>前进街道四工段横河等水环境治理服务项目</w:t>
      </w:r>
    </w:p>
    <w:p w14:paraId="6CA849CC">
      <w:pPr>
        <w:pStyle w:val="15"/>
        <w:spacing w:line="360" w:lineRule="auto"/>
        <w:ind w:firstLine="480"/>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1</w:t>
      </w:r>
    </w:p>
    <w:p w14:paraId="0269B853">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预算金额（万元）：</w:t>
      </w:r>
      <w:r>
        <w:rPr>
          <w:rFonts w:hint="eastAsia" w:hAnsi="宋体" w:cs="宋体"/>
          <w:b w:val="0"/>
          <w:bCs/>
          <w:color w:val="auto"/>
          <w:sz w:val="24"/>
          <w:highlight w:val="none"/>
          <w:lang w:val="en-US" w:eastAsia="zh-CN"/>
        </w:rPr>
        <w:t>93.574</w:t>
      </w:r>
      <w:r>
        <w:rPr>
          <w:rFonts w:hint="eastAsia" w:ascii="宋体" w:hAnsi="宋体" w:eastAsia="宋体" w:cs="宋体"/>
          <w:bCs/>
          <w:snapToGrid/>
          <w:color w:val="auto"/>
          <w:kern w:val="2"/>
          <w:sz w:val="24"/>
          <w:szCs w:val="24"/>
          <w:highlight w:val="none"/>
        </w:rPr>
        <w:t xml:space="preserve">万元 </w:t>
      </w:r>
    </w:p>
    <w:p w14:paraId="1CE82DF7">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单位：项</w:t>
      </w:r>
    </w:p>
    <w:p w14:paraId="4A08994D">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简要规格描述：</w:t>
      </w:r>
      <w:r>
        <w:rPr>
          <w:rFonts w:hint="eastAsia" w:hAnsi="宋体" w:cs="宋体"/>
          <w:color w:val="auto"/>
          <w:sz w:val="24"/>
          <w:highlight w:val="none"/>
          <w:lang w:eastAsia="zh-CN"/>
        </w:rPr>
        <w:t>对前进街道辖区四工段横河等10条河道实施水环境设施运维养护及水质提升</w:t>
      </w:r>
      <w:r>
        <w:rPr>
          <w:rFonts w:hint="eastAsia" w:ascii="宋体" w:hAnsi="宋体" w:eastAsia="宋体" w:cs="宋体"/>
          <w:bCs/>
          <w:snapToGrid/>
          <w:color w:val="auto"/>
          <w:kern w:val="2"/>
          <w:sz w:val="24"/>
          <w:szCs w:val="24"/>
          <w:highlight w:val="none"/>
        </w:rPr>
        <w:t>。详见招标文件第三部分采购需求。</w:t>
      </w:r>
    </w:p>
    <w:p w14:paraId="5EA73789">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备注：</w:t>
      </w:r>
    </w:p>
    <w:p w14:paraId="73C0C7DC">
      <w:pPr>
        <w:pStyle w:val="131"/>
        <w:ind w:firstLine="482"/>
        <w:outlineLvl w:val="2"/>
        <w:rPr>
          <w:rFonts w:hint="default" w:ascii="宋体" w:hAnsi="宋体" w:eastAsia="宋体" w:cs="宋体"/>
          <w:color w:val="auto"/>
          <w:highlight w:val="none"/>
          <w:lang w:val="en-US" w:eastAsia="zh-CN"/>
        </w:rPr>
      </w:pPr>
      <w:r>
        <w:rPr>
          <w:rFonts w:hint="eastAsia" w:ascii="宋体" w:hAnsi="宋体" w:eastAsia="宋体" w:cs="宋体"/>
          <w:b/>
          <w:color w:val="auto"/>
          <w:highlight w:val="none"/>
        </w:rPr>
        <w:t>合同履约期限：</w:t>
      </w:r>
      <w:r>
        <w:rPr>
          <w:rFonts w:hint="eastAsia" w:ascii="宋体" w:hAnsi="宋体" w:cs="宋体"/>
          <w:b/>
          <w:color w:val="auto"/>
          <w:highlight w:val="none"/>
          <w:lang w:val="en-US" w:eastAsia="zh-CN"/>
        </w:rPr>
        <w:t>合同签订且生效之日起至1年。</w:t>
      </w:r>
    </w:p>
    <w:p w14:paraId="633ACC3B">
      <w:pPr>
        <w:pStyle w:val="1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4386EEC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6D426DC8">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BFC0D09">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4B23C920">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43707CE5">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124426C6">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5CA5D691">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服务全部由符合政策要求的中小企业承接，提供中小企业声明函</w:t>
      </w:r>
      <w:r>
        <w:rPr>
          <w:rFonts w:hint="eastAsia" w:ascii="宋体" w:hAnsi="宋体" w:eastAsia="宋体" w:cs="宋体"/>
          <w:color w:val="auto"/>
          <w:sz w:val="24"/>
          <w:highlight w:val="none"/>
        </w:rPr>
        <w:t>；</w:t>
      </w:r>
    </w:p>
    <w:p w14:paraId="0EA8FDB6">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255CBDF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2"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0AA03445">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A901D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0389357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39A66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290D716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3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31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2CF0D00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4FAED2A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7990C83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28073FA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2E9BA60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3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31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57F2152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32BE2655">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3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31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p>
    <w:p w14:paraId="356282BD">
      <w:pPr>
        <w:shd w:val="clear" w:color="auto" w:fill="auto"/>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0689BFE">
      <w:pPr>
        <w:spacing w:line="360" w:lineRule="auto"/>
        <w:ind w:firstLine="1446" w:firstLineChars="600"/>
        <w:rPr>
          <w:rFonts w:hint="eastAsia" w:ascii="宋体" w:hAnsi="宋体" w:cs="宋体"/>
          <w:color w:val="auto"/>
          <w:sz w:val="24"/>
          <w:highlight w:val="none"/>
        </w:rPr>
      </w:pPr>
      <w:r>
        <w:rPr>
          <w:rFonts w:hint="eastAsia" w:ascii="宋体" w:hAnsi="宋体" w:cs="宋体"/>
          <w:b/>
          <w:bCs/>
          <w:color w:val="auto"/>
          <w:sz w:val="24"/>
          <w:highlight w:val="none"/>
        </w:rPr>
        <w:t>（线下）：</w:t>
      </w:r>
      <w:r>
        <w:rPr>
          <w:rFonts w:hint="eastAsia" w:ascii="宋体" w:hAnsi="宋体" w:cs="宋体"/>
          <w:color w:val="auto"/>
          <w:sz w:val="24"/>
          <w:highlight w:val="none"/>
        </w:rPr>
        <w:t>浙江省杭州市钱塘区下沙街道金沙大道600号东楼6楼</w:t>
      </w:r>
      <w:r>
        <w:rPr>
          <w:rFonts w:hint="eastAsia" w:ascii="宋体" w:hAnsi="宋体" w:cs="宋体"/>
          <w:color w:val="auto"/>
          <w:sz w:val="24"/>
          <w:highlight w:val="none"/>
          <w:lang w:val="en-US" w:eastAsia="zh-CN"/>
        </w:rPr>
        <w:t xml:space="preserve"> 4 </w:t>
      </w:r>
      <w:r>
        <w:rPr>
          <w:rFonts w:hint="eastAsia" w:ascii="宋体" w:hAnsi="宋体" w:cs="宋体"/>
          <w:color w:val="auto"/>
          <w:sz w:val="24"/>
          <w:highlight w:val="none"/>
        </w:rPr>
        <w:t>号开标室。</w:t>
      </w:r>
    </w:p>
    <w:p w14:paraId="0D246364">
      <w:pPr>
        <w:spacing w:line="360" w:lineRule="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五、</w:t>
      </w:r>
      <w:r>
        <w:rPr>
          <w:rFonts w:hint="eastAsia" w:ascii="宋体" w:hAnsi="宋体" w:eastAsia="宋体" w:cs="宋体"/>
          <w:b/>
          <w:color w:val="auto"/>
          <w:sz w:val="24"/>
          <w:highlight w:val="none"/>
          <w:lang w:eastAsia="zh-CN"/>
        </w:rPr>
        <w:t>采购意向公开链接</w:t>
      </w:r>
    </w:p>
    <w:p w14:paraId="64D10C5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fldChar w:fldCharType="begin"/>
      </w:r>
      <w:r>
        <w:rPr>
          <w:rFonts w:hint="eastAsia" w:ascii="宋体" w:hAnsi="宋体" w:eastAsia="宋体" w:cs="宋体"/>
          <w:color w:val="auto"/>
          <w:sz w:val="24"/>
          <w:highlight w:val="none"/>
          <w:lang w:eastAsia="zh-CN"/>
        </w:rPr>
        <w:instrText xml:space="preserve"> HYPERLINK "https://zfcg.czt.zj.gov.cn/site/detail?parentId=600007&amp;articleId=ipUxJDaA2pw%2B%2Bi4EwfAFfw%3D%3D" </w:instrText>
      </w:r>
      <w:r>
        <w:rPr>
          <w:rFonts w:hint="eastAsia" w:ascii="宋体" w:hAnsi="宋体" w:eastAsia="宋体" w:cs="宋体"/>
          <w:color w:val="auto"/>
          <w:sz w:val="24"/>
          <w:highlight w:val="none"/>
          <w:lang w:eastAsia="zh-CN"/>
        </w:rPr>
        <w:fldChar w:fldCharType="separate"/>
      </w:r>
      <w:r>
        <w:rPr>
          <w:rStyle w:val="77"/>
          <w:rFonts w:hint="eastAsia" w:ascii="宋体" w:hAnsi="宋体" w:eastAsia="宋体" w:cs="宋体"/>
          <w:sz w:val="24"/>
          <w:highlight w:val="none"/>
          <w:lang w:eastAsia="zh-CN"/>
        </w:rPr>
        <w:t>https://zfcg.czt.zj.gov.cn/site/detail?parentId=600007&amp;articleId=ipUxJDaA2pw%2B%2Bi4EwfAFfw%3D%3D</w:t>
      </w:r>
      <w:r>
        <w:rPr>
          <w:rFonts w:hint="eastAsia" w:ascii="宋体" w:hAnsi="宋体" w:eastAsia="宋体" w:cs="宋体"/>
          <w:color w:val="auto"/>
          <w:sz w:val="24"/>
          <w:highlight w:val="none"/>
          <w:lang w:eastAsia="zh-CN"/>
        </w:rPr>
        <w:fldChar w:fldCharType="end"/>
      </w:r>
    </w:p>
    <w:p w14:paraId="756FF11F">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 xml:space="preserve">公告期限 </w:t>
      </w:r>
    </w:p>
    <w:p w14:paraId="496C9A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DEF4D2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七</w:t>
      </w:r>
      <w:r>
        <w:rPr>
          <w:rFonts w:hint="eastAsia" w:ascii="宋体" w:hAnsi="宋体" w:eastAsia="宋体" w:cs="宋体"/>
          <w:b/>
          <w:color w:val="auto"/>
          <w:sz w:val="24"/>
          <w:highlight w:val="none"/>
        </w:rPr>
        <w:t>、其他补充事宜</w:t>
      </w:r>
    </w:p>
    <w:p w14:paraId="61969C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9E3EE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0FE2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85B4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w:t>
      </w:r>
    </w:p>
    <w:p w14:paraId="57B5BA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C336D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（3）钱塘区政府采购支持中小企业信用融资：</w:t>
      </w:r>
    </w:p>
    <w:p w14:paraId="10ED1F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75B6B1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A.适用对象：在浙江“政采云”平台注册入库，并取得钱塘区政府采购合同的中小企业供应商。</w:t>
      </w:r>
    </w:p>
    <w:p w14:paraId="1DF286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B.相关信息获取方式：具体合作银行及联系方式详见采购文件。登陆杭州钱塘新区管理委员会官网（http://qt.hangzhou.gov.cn） “公告公示”专栏，可查看信用融资政策文件及各相关银行服务方案。</w:t>
      </w:r>
    </w:p>
    <w:p w14:paraId="4F8AE2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申请方式和步骤：①供应商若有融资意向，需先与钱塘新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14:paraId="159CA2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1193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本项目招标文件公告期限与招标公告的公告期限一致。</w:t>
      </w:r>
    </w:p>
    <w:p w14:paraId="445A64E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1AC9DB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2EAC0D48">
      <w:pPr>
        <w:adjustRightInd/>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杭州市钱塘区人民政府前进街道办事处</w:t>
      </w:r>
    </w:p>
    <w:p w14:paraId="4804BEAE">
      <w:pPr>
        <w:adjustRightInd/>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址：钱塘区前进街道江东一路5000号      </w:t>
      </w:r>
    </w:p>
    <w:p w14:paraId="7153779B">
      <w:pPr>
        <w:adjustRightInd/>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48644D2B">
      <w:pPr>
        <w:adjustRightInd/>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谢</w:t>
      </w:r>
      <w:r>
        <w:rPr>
          <w:rFonts w:hint="eastAsia" w:ascii="宋体" w:hAnsi="宋体" w:eastAsia="宋体" w:cs="宋体"/>
          <w:color w:val="auto"/>
          <w:sz w:val="24"/>
          <w:highlight w:val="none"/>
        </w:rPr>
        <w:t>工</w:t>
      </w:r>
    </w:p>
    <w:p w14:paraId="02092EB4">
      <w:pPr>
        <w:adjustRightInd/>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项目联系方式（询问）：</w:t>
      </w:r>
      <w:r>
        <w:rPr>
          <w:rFonts w:hint="eastAsia" w:ascii="宋体" w:hAnsi="宋体" w:eastAsia="宋体" w:cs="宋体"/>
          <w:sz w:val="24"/>
          <w:highlight w:val="none"/>
        </w:rPr>
        <w:t>0571-82106627</w:t>
      </w:r>
      <w:r>
        <w:rPr>
          <w:rFonts w:hint="eastAsia" w:ascii="宋体" w:hAnsi="宋体" w:eastAsia="宋体" w:cs="宋体"/>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p>
    <w:p w14:paraId="7E4B7B95">
      <w:pPr>
        <w:adjustRightInd/>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徐调</w:t>
      </w:r>
      <w:r>
        <w:rPr>
          <w:rFonts w:hint="eastAsia" w:ascii="宋体" w:hAnsi="宋体" w:eastAsia="宋体" w:cs="宋体"/>
          <w:color w:val="auto"/>
          <w:sz w:val="24"/>
          <w:highlight w:val="none"/>
        </w:rPr>
        <w:t> </w:t>
      </w:r>
    </w:p>
    <w:p w14:paraId="36A14D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0571-82106628</w:t>
      </w:r>
      <w:r>
        <w:rPr>
          <w:rFonts w:hint="eastAsia" w:ascii="宋体" w:hAnsi="宋体" w:eastAsia="宋体" w:cs="宋体"/>
          <w:color w:val="auto"/>
          <w:sz w:val="24"/>
          <w:highlight w:val="none"/>
        </w:rPr>
        <w:t xml:space="preserve"> </w:t>
      </w:r>
    </w:p>
    <w:p w14:paraId="69D773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4F0C4F84">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称：浙江经济建设投资咨询中心有限公司</w:t>
      </w:r>
    </w:p>
    <w:p w14:paraId="35FCFD61">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址：杭州市萧山区空间结构产业园3号楼317号</w:t>
      </w:r>
    </w:p>
    <w:p w14:paraId="6B74215A">
      <w:p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p>
    <w:p w14:paraId="14D27848">
      <w:p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项目联系人（询问）：陈俏</w:t>
      </w:r>
    </w:p>
    <w:p w14:paraId="6F0EF30A">
      <w:p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项目联系方式（询问）：18268803655</w:t>
      </w:r>
    </w:p>
    <w:p w14:paraId="2C03663A">
      <w:p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质疑联系人：高杰</w:t>
      </w:r>
    </w:p>
    <w:p w14:paraId="74B7C48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质疑联系方式：13867138864</w:t>
      </w:r>
    </w:p>
    <w:p w14:paraId="6AE3646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73A7D8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称：杭州市钱塘区财政局、浙江省政府采购行政裁决服务中心（杭州）</w:t>
      </w:r>
    </w:p>
    <w:p w14:paraId="74B92C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址：杭州市上城区清泰街549号城建综合大楼11楼（快递仅限ems或顺丰） </w:t>
      </w:r>
    </w:p>
    <w:p w14:paraId="07BDE1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55D00F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299C678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监督投诉电话：0571-87800218,0571-87227671</w:t>
      </w:r>
    </w:p>
    <w:p w14:paraId="05C863D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3195E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E07A4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F13EFFF">
      <w:pPr>
        <w:pStyle w:val="33"/>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03F0B4EA">
      <w:pPr>
        <w:pStyle w:val="3"/>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2A9BFD5E">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55ADB31C">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640" w:type="dxa"/>
        <w:tblInd w:w="-29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1843"/>
        <w:gridCol w:w="7168"/>
      </w:tblGrid>
      <w:tr w14:paraId="42758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blHeader/>
        </w:trPr>
        <w:tc>
          <w:tcPr>
            <w:tcW w:w="629" w:type="dxa"/>
          </w:tcPr>
          <w:p w14:paraId="2360905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vAlign w:val="center"/>
          </w:tcPr>
          <w:p w14:paraId="4AC5FF8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7168" w:type="dxa"/>
            <w:vAlign w:val="center"/>
          </w:tcPr>
          <w:p w14:paraId="1E6AC87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02D08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trPr>
        <w:tc>
          <w:tcPr>
            <w:tcW w:w="629" w:type="dxa"/>
          </w:tcPr>
          <w:p w14:paraId="68F2A44A">
            <w:pPr>
              <w:snapToGrid w:val="0"/>
              <w:spacing w:line="360" w:lineRule="auto"/>
              <w:jc w:val="center"/>
              <w:rPr>
                <w:rFonts w:hint="eastAsia" w:ascii="宋体" w:hAnsi="宋体" w:eastAsia="宋体" w:cs="宋体"/>
                <w:color w:val="auto"/>
                <w:sz w:val="24"/>
                <w:highlight w:val="none"/>
              </w:rPr>
            </w:pPr>
          </w:p>
          <w:p w14:paraId="48F353B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vAlign w:val="center"/>
          </w:tcPr>
          <w:p w14:paraId="46BC0C9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7168" w:type="dxa"/>
            <w:vAlign w:val="center"/>
          </w:tcPr>
          <w:p w14:paraId="01EDB752">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类。</w:t>
            </w:r>
          </w:p>
        </w:tc>
      </w:tr>
      <w:tr w14:paraId="5FC39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31" w:hRule="atLeast"/>
        </w:trPr>
        <w:tc>
          <w:tcPr>
            <w:tcW w:w="629" w:type="dxa"/>
          </w:tcPr>
          <w:p w14:paraId="228E4EFB">
            <w:pPr>
              <w:snapToGrid w:val="0"/>
              <w:spacing w:line="360" w:lineRule="auto"/>
              <w:jc w:val="center"/>
              <w:rPr>
                <w:rFonts w:hint="eastAsia" w:ascii="宋体" w:hAnsi="宋体" w:eastAsia="宋体" w:cs="宋体"/>
                <w:color w:val="auto"/>
                <w:sz w:val="24"/>
                <w:highlight w:val="none"/>
              </w:rPr>
            </w:pPr>
          </w:p>
          <w:p w14:paraId="34FC093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vAlign w:val="center"/>
          </w:tcPr>
          <w:p w14:paraId="484EE95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7168" w:type="dxa"/>
            <w:vAlign w:val="center"/>
          </w:tcPr>
          <w:p w14:paraId="7F2AE8DA">
            <w:pPr>
              <w:numPr>
                <w:ilvl w:val="0"/>
                <w:numId w:val="0"/>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标</w:t>
            </w:r>
            <w:r>
              <w:rPr>
                <w:rFonts w:hint="eastAsia" w:ascii="宋体" w:hAnsi="宋体" w:eastAsia="宋体" w:cs="宋体"/>
                <w:color w:val="auto"/>
                <w:kern w:val="0"/>
                <w:sz w:val="24"/>
                <w:highlight w:val="none"/>
                <w:lang w:eastAsia="zh-CN"/>
              </w:rPr>
              <w:t>项</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w:t>
            </w:r>
            <w:r>
              <w:rPr>
                <w:rFonts w:hint="eastAsia" w:ascii="宋体" w:hAnsi="宋体" w:eastAsia="宋体" w:cs="宋体"/>
                <w:strike w:val="0"/>
                <w:dstrike w:val="0"/>
                <w:color w:val="auto"/>
                <w:kern w:val="0"/>
                <w:sz w:val="24"/>
                <w:highlight w:val="none"/>
                <w:u w:val="single"/>
              </w:rPr>
              <w:t xml:space="preserve"> </w:t>
            </w:r>
            <w:r>
              <w:rPr>
                <w:rFonts w:hint="eastAsia" w:ascii="宋体" w:hAnsi="宋体" w:cs="宋体"/>
                <w:strike w:val="0"/>
                <w:dstrike w:val="0"/>
                <w:color w:val="auto"/>
                <w:kern w:val="0"/>
                <w:sz w:val="24"/>
                <w:highlight w:val="none"/>
                <w:u w:val="single"/>
                <w:lang w:eastAsia="zh-CN"/>
              </w:rPr>
              <w:t>前进街道四工段横河等水环境治理服务项目</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b w:val="0"/>
                <w:bCs w:val="0"/>
                <w:color w:val="auto"/>
                <w:sz w:val="24"/>
                <w:szCs w:val="24"/>
                <w:highlight w:val="none"/>
                <w:u w:val="single"/>
              </w:rPr>
              <w:t>其他未列明</w:t>
            </w:r>
            <w:r>
              <w:rPr>
                <w:rFonts w:hint="eastAsia" w:ascii="宋体" w:hAnsi="宋体" w:eastAsia="宋体" w:cs="宋体"/>
                <w:b/>
                <w:bCs/>
                <w:color w:val="auto"/>
                <w:sz w:val="24"/>
                <w:szCs w:val="24"/>
                <w:highlight w:val="none"/>
              </w:rPr>
              <w:t>行业；</w:t>
            </w:r>
            <w:r>
              <w:rPr>
                <w:rFonts w:hint="eastAsia" w:ascii="宋体" w:hAnsi="宋体" w:eastAsia="宋体" w:cs="宋体"/>
                <w:color w:val="auto"/>
                <w:highlight w:val="none"/>
              </w:rPr>
              <w:t xml:space="preserve"> </w:t>
            </w:r>
          </w:p>
          <w:p w14:paraId="70F9B8A7">
            <w:pPr>
              <w:numPr>
                <w:ilvl w:val="0"/>
                <w:numId w:val="0"/>
              </w:numPr>
              <w:snapToGrid w:val="0"/>
              <w:spacing w:line="360" w:lineRule="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根据《关于印发中小企业划型标准规定的通知》工信部联企业〔2011〕300号文件规定，从业人员300人以下的为中小微型企业。其中，从业人员100人及以上的为中型企业;从业人员10人及以上的为小型企业;从业人员10人以下的为微型企业。。</w:t>
            </w:r>
          </w:p>
        </w:tc>
      </w:tr>
      <w:tr w14:paraId="13FEF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53" w:hRule="atLeast"/>
        </w:trPr>
        <w:tc>
          <w:tcPr>
            <w:tcW w:w="629" w:type="dxa"/>
          </w:tcPr>
          <w:p w14:paraId="1D0FACF6">
            <w:pPr>
              <w:snapToGrid w:val="0"/>
              <w:spacing w:line="360" w:lineRule="auto"/>
              <w:jc w:val="center"/>
              <w:rPr>
                <w:rFonts w:hint="eastAsia" w:ascii="宋体" w:hAnsi="宋体" w:eastAsia="宋体" w:cs="宋体"/>
                <w:color w:val="auto"/>
                <w:sz w:val="24"/>
                <w:highlight w:val="none"/>
              </w:rPr>
            </w:pPr>
          </w:p>
          <w:p w14:paraId="3373B6A1">
            <w:pPr>
              <w:snapToGrid w:val="0"/>
              <w:spacing w:line="360" w:lineRule="auto"/>
              <w:jc w:val="center"/>
              <w:rPr>
                <w:rFonts w:hint="eastAsia" w:ascii="宋体" w:hAnsi="宋体" w:eastAsia="宋体" w:cs="宋体"/>
                <w:color w:val="auto"/>
                <w:sz w:val="24"/>
                <w:highlight w:val="none"/>
              </w:rPr>
            </w:pPr>
          </w:p>
          <w:p w14:paraId="5F8AF17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Align w:val="center"/>
          </w:tcPr>
          <w:p w14:paraId="6457EF6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7168" w:type="dxa"/>
            <w:vAlign w:val="center"/>
          </w:tcPr>
          <w:p w14:paraId="60B72463">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41E010DD">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03D00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45" w:hRule="atLeast"/>
        </w:trPr>
        <w:tc>
          <w:tcPr>
            <w:tcW w:w="629" w:type="dxa"/>
            <w:vAlign w:val="center"/>
          </w:tcPr>
          <w:p w14:paraId="0EA8F67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vAlign w:val="center"/>
          </w:tcPr>
          <w:p w14:paraId="3822CD0C">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7168" w:type="dxa"/>
            <w:vAlign w:val="center"/>
          </w:tcPr>
          <w:p w14:paraId="1AF83C33">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辅助  </w:t>
            </w:r>
            <w:r>
              <w:rPr>
                <w:rFonts w:hint="eastAsia" w:ascii="宋体" w:hAnsi="宋体" w:eastAsia="宋体" w:cs="宋体"/>
                <w:color w:val="auto"/>
                <w:sz w:val="24"/>
                <w:highlight w:val="none"/>
              </w:rPr>
              <w:t>工作分包。</w:t>
            </w:r>
          </w:p>
          <w:p w14:paraId="00689EBE">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7A676C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33C41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0" w:hRule="atLeast"/>
        </w:trPr>
        <w:tc>
          <w:tcPr>
            <w:tcW w:w="629" w:type="dxa"/>
          </w:tcPr>
          <w:p w14:paraId="0B815BE4">
            <w:pPr>
              <w:snapToGrid w:val="0"/>
              <w:spacing w:line="360" w:lineRule="auto"/>
              <w:jc w:val="center"/>
              <w:rPr>
                <w:rFonts w:hint="eastAsia" w:ascii="宋体" w:hAnsi="宋体" w:eastAsia="宋体" w:cs="宋体"/>
                <w:color w:val="auto"/>
                <w:sz w:val="24"/>
                <w:highlight w:val="none"/>
              </w:rPr>
            </w:pPr>
          </w:p>
          <w:p w14:paraId="2372E441">
            <w:pPr>
              <w:snapToGrid w:val="0"/>
              <w:spacing w:line="360" w:lineRule="auto"/>
              <w:jc w:val="center"/>
              <w:rPr>
                <w:rFonts w:hint="eastAsia" w:ascii="宋体" w:hAnsi="宋体" w:eastAsia="宋体" w:cs="宋体"/>
                <w:color w:val="auto"/>
                <w:sz w:val="24"/>
                <w:highlight w:val="none"/>
              </w:rPr>
            </w:pPr>
          </w:p>
          <w:p w14:paraId="4BD69DD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vAlign w:val="center"/>
          </w:tcPr>
          <w:p w14:paraId="75E48C4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7168" w:type="dxa"/>
            <w:vAlign w:val="center"/>
          </w:tcPr>
          <w:p w14:paraId="053C6C9E">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39CD075">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731C0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29" w:type="dxa"/>
          </w:tcPr>
          <w:p w14:paraId="55E6DF3E">
            <w:pPr>
              <w:snapToGrid w:val="0"/>
              <w:spacing w:line="360" w:lineRule="auto"/>
              <w:jc w:val="center"/>
              <w:rPr>
                <w:rFonts w:hint="eastAsia" w:ascii="宋体" w:hAnsi="宋体" w:eastAsia="宋体" w:cs="宋体"/>
                <w:color w:val="auto"/>
                <w:sz w:val="24"/>
                <w:highlight w:val="none"/>
              </w:rPr>
            </w:pPr>
          </w:p>
          <w:p w14:paraId="0D7B6842">
            <w:pPr>
              <w:snapToGrid w:val="0"/>
              <w:spacing w:line="360" w:lineRule="auto"/>
              <w:jc w:val="center"/>
              <w:rPr>
                <w:rFonts w:hint="eastAsia" w:ascii="宋体" w:hAnsi="宋体" w:eastAsia="宋体" w:cs="宋体"/>
                <w:color w:val="auto"/>
                <w:sz w:val="24"/>
                <w:highlight w:val="none"/>
              </w:rPr>
            </w:pPr>
          </w:p>
          <w:p w14:paraId="4311550F">
            <w:pPr>
              <w:snapToGrid w:val="0"/>
              <w:spacing w:line="360" w:lineRule="auto"/>
              <w:jc w:val="center"/>
              <w:rPr>
                <w:rFonts w:hint="eastAsia" w:ascii="宋体" w:hAnsi="宋体" w:eastAsia="宋体" w:cs="宋体"/>
                <w:color w:val="auto"/>
                <w:sz w:val="24"/>
                <w:highlight w:val="none"/>
              </w:rPr>
            </w:pPr>
          </w:p>
          <w:p w14:paraId="412AF1A7">
            <w:pPr>
              <w:snapToGrid w:val="0"/>
              <w:spacing w:line="360" w:lineRule="auto"/>
              <w:jc w:val="center"/>
              <w:rPr>
                <w:rFonts w:hint="eastAsia" w:ascii="宋体" w:hAnsi="宋体" w:eastAsia="宋体" w:cs="宋体"/>
                <w:color w:val="auto"/>
                <w:sz w:val="24"/>
                <w:highlight w:val="none"/>
              </w:rPr>
            </w:pPr>
          </w:p>
          <w:p w14:paraId="5A7F0471">
            <w:pPr>
              <w:snapToGrid w:val="0"/>
              <w:spacing w:line="360" w:lineRule="auto"/>
              <w:jc w:val="center"/>
              <w:rPr>
                <w:rFonts w:hint="eastAsia" w:ascii="宋体" w:hAnsi="宋体" w:eastAsia="宋体" w:cs="宋体"/>
                <w:color w:val="auto"/>
                <w:sz w:val="24"/>
                <w:highlight w:val="none"/>
              </w:rPr>
            </w:pPr>
          </w:p>
          <w:p w14:paraId="3A1477B7">
            <w:pPr>
              <w:snapToGrid w:val="0"/>
              <w:spacing w:line="360" w:lineRule="auto"/>
              <w:jc w:val="center"/>
              <w:rPr>
                <w:rFonts w:hint="eastAsia" w:ascii="宋体" w:hAnsi="宋体" w:eastAsia="宋体" w:cs="宋体"/>
                <w:color w:val="auto"/>
                <w:sz w:val="24"/>
                <w:highlight w:val="none"/>
              </w:rPr>
            </w:pPr>
          </w:p>
          <w:p w14:paraId="295BD92E">
            <w:pPr>
              <w:snapToGrid w:val="0"/>
              <w:spacing w:line="360" w:lineRule="auto"/>
              <w:jc w:val="center"/>
              <w:rPr>
                <w:rFonts w:hint="eastAsia" w:ascii="宋体" w:hAnsi="宋体" w:eastAsia="宋体" w:cs="宋体"/>
                <w:color w:val="auto"/>
                <w:sz w:val="24"/>
                <w:highlight w:val="none"/>
              </w:rPr>
            </w:pPr>
          </w:p>
          <w:p w14:paraId="561086B1">
            <w:pPr>
              <w:snapToGrid w:val="0"/>
              <w:spacing w:line="360" w:lineRule="auto"/>
              <w:jc w:val="center"/>
              <w:rPr>
                <w:rFonts w:hint="eastAsia" w:ascii="宋体" w:hAnsi="宋体" w:eastAsia="宋体" w:cs="宋体"/>
                <w:color w:val="auto"/>
                <w:sz w:val="24"/>
                <w:highlight w:val="none"/>
              </w:rPr>
            </w:pPr>
          </w:p>
          <w:p w14:paraId="4706B135">
            <w:pPr>
              <w:snapToGrid w:val="0"/>
              <w:spacing w:line="360" w:lineRule="auto"/>
              <w:jc w:val="center"/>
              <w:rPr>
                <w:rFonts w:hint="eastAsia" w:ascii="宋体" w:hAnsi="宋体" w:eastAsia="宋体" w:cs="宋体"/>
                <w:color w:val="auto"/>
                <w:sz w:val="24"/>
                <w:highlight w:val="none"/>
              </w:rPr>
            </w:pPr>
          </w:p>
          <w:p w14:paraId="69E7E68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vAlign w:val="center"/>
          </w:tcPr>
          <w:p w14:paraId="21BABEE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7168" w:type="dxa"/>
            <w:vAlign w:val="center"/>
          </w:tcPr>
          <w:p w14:paraId="07F76A3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4E1D2BA7">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3BF21D9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1F0E71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8F8195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7147F40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00CB76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6C5BAA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67B7DD3">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2FE58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67" w:hRule="atLeast"/>
        </w:trPr>
        <w:tc>
          <w:tcPr>
            <w:tcW w:w="629" w:type="dxa"/>
          </w:tcPr>
          <w:p w14:paraId="5F33C044">
            <w:pPr>
              <w:snapToGrid w:val="0"/>
              <w:spacing w:line="360" w:lineRule="auto"/>
              <w:jc w:val="center"/>
              <w:rPr>
                <w:rFonts w:hint="eastAsia" w:ascii="宋体" w:hAnsi="宋体" w:eastAsia="宋体" w:cs="宋体"/>
                <w:color w:val="auto"/>
                <w:sz w:val="24"/>
                <w:highlight w:val="none"/>
              </w:rPr>
            </w:pPr>
          </w:p>
          <w:p w14:paraId="40CDBF22">
            <w:pPr>
              <w:snapToGrid w:val="0"/>
              <w:spacing w:line="360" w:lineRule="auto"/>
              <w:jc w:val="center"/>
              <w:rPr>
                <w:rFonts w:hint="eastAsia" w:ascii="宋体" w:hAnsi="宋体" w:eastAsia="宋体" w:cs="宋体"/>
                <w:color w:val="auto"/>
                <w:sz w:val="24"/>
                <w:highlight w:val="none"/>
              </w:rPr>
            </w:pPr>
          </w:p>
          <w:p w14:paraId="46E787C8">
            <w:pPr>
              <w:snapToGrid w:val="0"/>
              <w:spacing w:line="360" w:lineRule="auto"/>
              <w:jc w:val="center"/>
              <w:rPr>
                <w:rFonts w:hint="eastAsia" w:ascii="宋体" w:hAnsi="宋体" w:eastAsia="宋体" w:cs="宋体"/>
                <w:color w:val="auto"/>
                <w:sz w:val="24"/>
                <w:highlight w:val="none"/>
              </w:rPr>
            </w:pPr>
          </w:p>
          <w:p w14:paraId="28DF421E">
            <w:pPr>
              <w:snapToGrid w:val="0"/>
              <w:spacing w:line="360" w:lineRule="auto"/>
              <w:jc w:val="center"/>
              <w:rPr>
                <w:rFonts w:hint="eastAsia" w:ascii="宋体" w:hAnsi="宋体" w:eastAsia="宋体" w:cs="宋体"/>
                <w:color w:val="auto"/>
                <w:sz w:val="24"/>
                <w:highlight w:val="none"/>
              </w:rPr>
            </w:pPr>
          </w:p>
          <w:p w14:paraId="34645E77">
            <w:pPr>
              <w:snapToGrid w:val="0"/>
              <w:spacing w:line="360" w:lineRule="auto"/>
              <w:jc w:val="center"/>
              <w:rPr>
                <w:rFonts w:hint="eastAsia" w:ascii="宋体" w:hAnsi="宋体" w:eastAsia="宋体" w:cs="宋体"/>
                <w:color w:val="auto"/>
                <w:sz w:val="24"/>
                <w:highlight w:val="none"/>
              </w:rPr>
            </w:pPr>
          </w:p>
          <w:p w14:paraId="45CC6A71">
            <w:pPr>
              <w:snapToGrid w:val="0"/>
              <w:spacing w:line="360" w:lineRule="auto"/>
              <w:jc w:val="center"/>
              <w:rPr>
                <w:rFonts w:hint="eastAsia" w:ascii="宋体" w:hAnsi="宋体" w:eastAsia="宋体" w:cs="宋体"/>
                <w:color w:val="auto"/>
                <w:sz w:val="24"/>
                <w:highlight w:val="none"/>
              </w:rPr>
            </w:pPr>
          </w:p>
          <w:p w14:paraId="3291778A">
            <w:pPr>
              <w:snapToGrid w:val="0"/>
              <w:spacing w:line="360" w:lineRule="auto"/>
              <w:jc w:val="center"/>
              <w:rPr>
                <w:rFonts w:hint="eastAsia" w:ascii="宋体" w:hAnsi="宋体" w:eastAsia="宋体" w:cs="宋体"/>
                <w:color w:val="auto"/>
                <w:sz w:val="24"/>
                <w:highlight w:val="none"/>
              </w:rPr>
            </w:pPr>
          </w:p>
          <w:p w14:paraId="6B84C995">
            <w:pPr>
              <w:snapToGrid w:val="0"/>
              <w:spacing w:line="360" w:lineRule="auto"/>
              <w:jc w:val="center"/>
              <w:rPr>
                <w:rFonts w:hint="eastAsia" w:ascii="宋体" w:hAnsi="宋体" w:eastAsia="宋体" w:cs="宋体"/>
                <w:color w:val="auto"/>
                <w:sz w:val="24"/>
                <w:highlight w:val="none"/>
              </w:rPr>
            </w:pPr>
          </w:p>
          <w:p w14:paraId="6B2A8C4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vAlign w:val="center"/>
          </w:tcPr>
          <w:p w14:paraId="2EB8750A">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7168" w:type="dxa"/>
            <w:vAlign w:val="center"/>
          </w:tcPr>
          <w:p w14:paraId="4F62F3AB">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7B4BA809">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0A7D6E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6EDAFCF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011300A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25A5E02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DA0412E">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7AA4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29" w:type="dxa"/>
            <w:vMerge w:val="restart"/>
          </w:tcPr>
          <w:p w14:paraId="72254B43">
            <w:pPr>
              <w:snapToGrid w:val="0"/>
              <w:spacing w:line="360" w:lineRule="auto"/>
              <w:jc w:val="center"/>
              <w:rPr>
                <w:rFonts w:hint="eastAsia" w:ascii="宋体" w:hAnsi="宋体" w:eastAsia="宋体" w:cs="宋体"/>
                <w:color w:val="auto"/>
                <w:sz w:val="24"/>
                <w:highlight w:val="none"/>
              </w:rPr>
            </w:pPr>
          </w:p>
          <w:p w14:paraId="5CA1A946">
            <w:pPr>
              <w:snapToGrid w:val="0"/>
              <w:spacing w:line="360" w:lineRule="auto"/>
              <w:jc w:val="center"/>
              <w:rPr>
                <w:rFonts w:hint="eastAsia" w:ascii="宋体" w:hAnsi="宋体" w:eastAsia="宋体" w:cs="宋体"/>
                <w:color w:val="auto"/>
                <w:sz w:val="24"/>
                <w:highlight w:val="none"/>
              </w:rPr>
            </w:pPr>
          </w:p>
          <w:p w14:paraId="3D9AFB8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vAlign w:val="center"/>
          </w:tcPr>
          <w:p w14:paraId="6E6E682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7168" w:type="dxa"/>
            <w:vAlign w:val="center"/>
          </w:tcPr>
          <w:p w14:paraId="2B2835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2F9D4E5">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7F919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7" w:hRule="atLeast"/>
        </w:trPr>
        <w:tc>
          <w:tcPr>
            <w:tcW w:w="629" w:type="dxa"/>
            <w:vMerge w:val="continue"/>
          </w:tcPr>
          <w:p w14:paraId="74D33246">
            <w:pPr>
              <w:snapToGrid w:val="0"/>
              <w:spacing w:line="360" w:lineRule="auto"/>
              <w:jc w:val="center"/>
              <w:rPr>
                <w:rFonts w:hint="eastAsia" w:ascii="宋体" w:hAnsi="宋体" w:eastAsia="宋体" w:cs="宋体"/>
                <w:color w:val="auto"/>
                <w:sz w:val="24"/>
                <w:highlight w:val="none"/>
              </w:rPr>
            </w:pPr>
          </w:p>
        </w:tc>
        <w:tc>
          <w:tcPr>
            <w:tcW w:w="1843" w:type="dxa"/>
            <w:vMerge w:val="continue"/>
            <w:vAlign w:val="center"/>
          </w:tcPr>
          <w:p w14:paraId="7A9F96F0">
            <w:pPr>
              <w:snapToGrid w:val="0"/>
              <w:spacing w:line="360" w:lineRule="auto"/>
              <w:jc w:val="center"/>
              <w:rPr>
                <w:rFonts w:hint="eastAsia" w:ascii="宋体" w:hAnsi="宋体" w:eastAsia="宋体" w:cs="宋体"/>
                <w:b/>
                <w:color w:val="auto"/>
                <w:sz w:val="24"/>
                <w:highlight w:val="none"/>
              </w:rPr>
            </w:pPr>
          </w:p>
        </w:tc>
        <w:tc>
          <w:tcPr>
            <w:tcW w:w="7168" w:type="dxa"/>
            <w:vAlign w:val="center"/>
          </w:tcPr>
          <w:p w14:paraId="7C4B5C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5E2F6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5" w:hRule="atLeast"/>
        </w:trPr>
        <w:tc>
          <w:tcPr>
            <w:tcW w:w="629" w:type="dxa"/>
          </w:tcPr>
          <w:p w14:paraId="5D544E8D">
            <w:pPr>
              <w:snapToGrid w:val="0"/>
              <w:spacing w:line="360" w:lineRule="auto"/>
              <w:jc w:val="center"/>
              <w:rPr>
                <w:rFonts w:hint="eastAsia" w:ascii="宋体" w:hAnsi="宋体" w:eastAsia="宋体" w:cs="宋体"/>
                <w:color w:val="auto"/>
                <w:sz w:val="24"/>
                <w:highlight w:val="none"/>
              </w:rPr>
            </w:pPr>
          </w:p>
          <w:p w14:paraId="194F3349">
            <w:pPr>
              <w:snapToGrid w:val="0"/>
              <w:spacing w:line="360" w:lineRule="auto"/>
              <w:jc w:val="center"/>
              <w:rPr>
                <w:rFonts w:hint="eastAsia" w:ascii="宋体" w:hAnsi="宋体" w:eastAsia="宋体" w:cs="宋体"/>
                <w:color w:val="auto"/>
                <w:sz w:val="24"/>
                <w:highlight w:val="none"/>
              </w:rPr>
            </w:pPr>
          </w:p>
          <w:p w14:paraId="20690B0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vAlign w:val="center"/>
          </w:tcPr>
          <w:p w14:paraId="027E23C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7168" w:type="dxa"/>
            <w:vAlign w:val="center"/>
          </w:tcPr>
          <w:p w14:paraId="13E42B4B">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F218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6" w:hRule="atLeast"/>
        </w:trPr>
        <w:tc>
          <w:tcPr>
            <w:tcW w:w="629" w:type="dxa"/>
          </w:tcPr>
          <w:p w14:paraId="2256350B">
            <w:pPr>
              <w:snapToGrid w:val="0"/>
              <w:spacing w:line="360" w:lineRule="auto"/>
              <w:jc w:val="center"/>
              <w:rPr>
                <w:rFonts w:hint="eastAsia" w:ascii="宋体" w:hAnsi="宋体" w:eastAsia="宋体" w:cs="宋体"/>
                <w:color w:val="auto"/>
                <w:sz w:val="24"/>
                <w:highlight w:val="none"/>
              </w:rPr>
            </w:pPr>
          </w:p>
          <w:p w14:paraId="31C663FB">
            <w:pPr>
              <w:snapToGrid w:val="0"/>
              <w:spacing w:line="360" w:lineRule="auto"/>
              <w:jc w:val="center"/>
              <w:rPr>
                <w:rFonts w:hint="eastAsia" w:ascii="宋体" w:hAnsi="宋体" w:eastAsia="宋体" w:cs="宋体"/>
                <w:color w:val="auto"/>
                <w:sz w:val="24"/>
                <w:highlight w:val="none"/>
              </w:rPr>
            </w:pPr>
          </w:p>
          <w:p w14:paraId="5C7A0653">
            <w:pPr>
              <w:snapToGrid w:val="0"/>
              <w:spacing w:line="360" w:lineRule="auto"/>
              <w:jc w:val="center"/>
              <w:rPr>
                <w:rFonts w:hint="eastAsia" w:ascii="宋体" w:hAnsi="宋体" w:eastAsia="宋体" w:cs="宋体"/>
                <w:color w:val="auto"/>
                <w:sz w:val="24"/>
                <w:highlight w:val="none"/>
              </w:rPr>
            </w:pPr>
          </w:p>
          <w:p w14:paraId="41D2808D">
            <w:pPr>
              <w:snapToGrid w:val="0"/>
              <w:spacing w:line="360" w:lineRule="auto"/>
              <w:jc w:val="center"/>
              <w:rPr>
                <w:rFonts w:hint="eastAsia" w:ascii="宋体" w:hAnsi="宋体" w:eastAsia="宋体" w:cs="宋体"/>
                <w:color w:val="auto"/>
                <w:sz w:val="24"/>
                <w:highlight w:val="none"/>
              </w:rPr>
            </w:pPr>
          </w:p>
          <w:p w14:paraId="39DD9CC2">
            <w:pPr>
              <w:snapToGrid w:val="0"/>
              <w:spacing w:line="360" w:lineRule="auto"/>
              <w:jc w:val="center"/>
              <w:rPr>
                <w:rFonts w:hint="eastAsia" w:ascii="宋体" w:hAnsi="宋体" w:eastAsia="宋体" w:cs="宋体"/>
                <w:color w:val="auto"/>
                <w:sz w:val="24"/>
                <w:highlight w:val="none"/>
              </w:rPr>
            </w:pPr>
          </w:p>
          <w:p w14:paraId="18FAED0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vAlign w:val="center"/>
          </w:tcPr>
          <w:p w14:paraId="6297020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7168" w:type="dxa"/>
            <w:vAlign w:val="center"/>
          </w:tcPr>
          <w:p w14:paraId="39A5B67C">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4C756A96">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357E2B43">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1800276">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332B0B54">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12445C8C">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1F235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36" w:hRule="atLeast"/>
        </w:trPr>
        <w:tc>
          <w:tcPr>
            <w:tcW w:w="629" w:type="dxa"/>
          </w:tcPr>
          <w:p w14:paraId="7B099F42">
            <w:pPr>
              <w:snapToGrid w:val="0"/>
              <w:spacing w:line="360" w:lineRule="auto"/>
              <w:jc w:val="center"/>
              <w:rPr>
                <w:rFonts w:hint="eastAsia" w:ascii="宋体" w:hAnsi="宋体" w:eastAsia="宋体" w:cs="宋体"/>
                <w:color w:val="auto"/>
                <w:sz w:val="24"/>
                <w:highlight w:val="none"/>
              </w:rPr>
            </w:pPr>
          </w:p>
          <w:p w14:paraId="219AAD2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14:paraId="41D1A95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7168" w:type="dxa"/>
            <w:vAlign w:val="center"/>
          </w:tcPr>
          <w:p w14:paraId="5ADD04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E6FF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39" w:hRule="atLeast"/>
        </w:trPr>
        <w:tc>
          <w:tcPr>
            <w:tcW w:w="629" w:type="dxa"/>
          </w:tcPr>
          <w:p w14:paraId="14512C4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vAlign w:val="center"/>
          </w:tcPr>
          <w:p w14:paraId="297715C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7168" w:type="dxa"/>
            <w:vAlign w:val="center"/>
          </w:tcPr>
          <w:p w14:paraId="7ADC5A3C">
            <w:pPr>
              <w:pStyle w:val="33"/>
              <w:spacing w:line="360" w:lineRule="auto"/>
              <w:rPr>
                <w:rFonts w:hint="eastAsia" w:ascii="宋体" w:hAnsi="宋体" w:eastAsia="宋体" w:cs="宋体"/>
                <w:color w:val="auto"/>
                <w:kern w:val="28"/>
                <w:sz w:val="24"/>
                <w:highlight w:val="none"/>
              </w:rPr>
            </w:pPr>
            <w:r>
              <w:rPr>
                <w:rFonts w:hint="eastAsia" w:hAnsi="宋体" w:cs="宋体"/>
                <w:color w:val="000000"/>
                <w:kern w:val="28"/>
                <w:sz w:val="24"/>
                <w:szCs w:val="24"/>
                <w:highlight w:val="none"/>
              </w:rPr>
              <w:t>备份投标文件送达地点：</w:t>
            </w:r>
            <w:r>
              <w:rPr>
                <w:rFonts w:hint="eastAsia" w:hAnsi="宋体" w:cs="宋体"/>
                <w:color w:val="000000"/>
                <w:kern w:val="28"/>
                <w:sz w:val="24"/>
                <w:szCs w:val="24"/>
                <w:highlight w:val="none"/>
                <w:u w:val="single"/>
              </w:rPr>
              <w:t>杭州市萧山区空间结构产业园3号楼</w:t>
            </w:r>
            <w:r>
              <w:rPr>
                <w:rStyle w:val="964"/>
                <w:rFonts w:hint="default" w:ascii="宋体" w:hAnsi="宋体" w:eastAsia="宋体" w:cs="宋体"/>
                <w:highlight w:val="none"/>
              </w:rPr>
              <w:t>，</w:t>
            </w:r>
            <w:r>
              <w:rPr>
                <w:rFonts w:hint="eastAsia" w:hAnsi="宋体" w:cs="宋体"/>
                <w:color w:val="000000"/>
                <w:kern w:val="28"/>
                <w:sz w:val="24"/>
                <w:szCs w:val="24"/>
                <w:highlight w:val="none"/>
              </w:rPr>
              <w:t>备份投标文件签收人员联系电话：</w:t>
            </w:r>
            <w:r>
              <w:rPr>
                <w:rFonts w:hint="eastAsia" w:hAnsi="宋体" w:cs="宋体"/>
                <w:color w:val="000000"/>
                <w:kern w:val="28"/>
                <w:sz w:val="24"/>
                <w:szCs w:val="24"/>
                <w:highlight w:val="none"/>
                <w:u w:val="single"/>
              </w:rPr>
              <w:t>陈工18268803655</w:t>
            </w:r>
            <w:r>
              <w:rPr>
                <w:rFonts w:hint="eastAsia" w:hAnsi="宋体" w:cs="宋体"/>
                <w:color w:val="000000"/>
                <w:sz w:val="24"/>
                <w:szCs w:val="24"/>
                <w:highlight w:val="none"/>
              </w:rPr>
              <w:t>。</w:t>
            </w:r>
            <w:r>
              <w:rPr>
                <w:rFonts w:hint="eastAsia" w:hAnsi="宋体" w:cs="宋体"/>
                <w:color w:val="000000"/>
                <w:kern w:val="28"/>
                <w:sz w:val="24"/>
                <w:szCs w:val="24"/>
                <w:highlight w:val="none"/>
              </w:rPr>
              <w:t>因开标地点与代理机构办公地点不在同一处，备份文件如开标当天送出，请在投标截止时间之前，送至</w:t>
            </w:r>
            <w:r>
              <w:rPr>
                <w:rFonts w:hint="eastAsia" w:hAnsi="宋体" w:cs="宋体"/>
                <w:color w:val="000000"/>
                <w:kern w:val="28"/>
                <w:sz w:val="24"/>
                <w:szCs w:val="24"/>
                <w:highlight w:val="none"/>
                <w:u w:val="single"/>
              </w:rPr>
              <w:t>杭州市钱塘区金沙大道600号东楼6楼</w:t>
            </w:r>
            <w:r>
              <w:rPr>
                <w:rFonts w:hint="eastAsia" w:hAnsi="宋体" w:cs="宋体"/>
                <w:color w:val="000000"/>
                <w:kern w:val="28"/>
                <w:sz w:val="24"/>
                <w:szCs w:val="24"/>
                <w:highlight w:val="none"/>
                <w:u w:val="single"/>
                <w:lang w:val="en-US" w:eastAsia="zh-CN"/>
              </w:rPr>
              <w:t>4</w:t>
            </w:r>
            <w:r>
              <w:rPr>
                <w:rFonts w:hint="eastAsia" w:hAnsi="宋体" w:cs="宋体"/>
                <w:color w:val="000000"/>
                <w:kern w:val="28"/>
                <w:sz w:val="24"/>
                <w:szCs w:val="24"/>
                <w:highlight w:val="none"/>
                <w:u w:val="single"/>
              </w:rPr>
              <w:t>号开标室</w:t>
            </w:r>
            <w:r>
              <w:rPr>
                <w:rFonts w:hint="eastAsia" w:hAnsi="宋体" w:cs="宋体"/>
                <w:color w:val="000000"/>
                <w:kern w:val="28"/>
                <w:sz w:val="24"/>
                <w:szCs w:val="24"/>
                <w:highlight w:val="none"/>
              </w:rPr>
              <w:t>。</w:t>
            </w:r>
            <w:r>
              <w:rPr>
                <w:rFonts w:hint="eastAsia" w:hAnsi="宋体" w:cs="宋体"/>
                <w:b/>
                <w:color w:val="000000"/>
                <w:sz w:val="24"/>
                <w:szCs w:val="24"/>
                <w:highlight w:val="none"/>
              </w:rPr>
              <w:t>采购人、采购机构不强制或变相强制投标人提交备份投标文件。</w:t>
            </w:r>
          </w:p>
        </w:tc>
      </w:tr>
      <w:tr w14:paraId="4686F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trPr>
        <w:tc>
          <w:tcPr>
            <w:tcW w:w="629" w:type="dxa"/>
            <w:vMerge w:val="restart"/>
          </w:tcPr>
          <w:p w14:paraId="7E80B5F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vAlign w:val="center"/>
          </w:tcPr>
          <w:p w14:paraId="71D5EFD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7168" w:type="dxa"/>
            <w:vAlign w:val="center"/>
          </w:tcPr>
          <w:p w14:paraId="18783731">
            <w:pPr>
              <w:spacing w:line="360" w:lineRule="auto"/>
              <w:rPr>
                <w:rFonts w:hint="eastAsia" w:ascii="宋体" w:hAnsi="宋体" w:eastAsia="宋体" w:cs="宋体"/>
                <w:snapToGrid w:val="0"/>
                <w:color w:val="auto"/>
                <w:kern w:val="28"/>
                <w:sz w:val="24"/>
                <w:highlight w:val="none"/>
              </w:rPr>
            </w:pPr>
            <w:r>
              <w:rPr>
                <w:rFonts w:hint="eastAsia" w:hAnsi="宋体" w:cs="宋体"/>
                <w:sz w:val="24"/>
                <w:highlight w:val="none"/>
              </w:rPr>
              <w:t>以联合体形式投标的，提供联合协议，格式见采购文件第六部分。供应商不以联合体形式投标的，则无需提供。</w:t>
            </w:r>
          </w:p>
        </w:tc>
      </w:tr>
      <w:tr w14:paraId="5BA8B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trPr>
        <w:tc>
          <w:tcPr>
            <w:tcW w:w="629" w:type="dxa"/>
            <w:vMerge w:val="continue"/>
          </w:tcPr>
          <w:p w14:paraId="0FCA9417">
            <w:pPr>
              <w:snapToGrid w:val="0"/>
              <w:spacing w:line="360" w:lineRule="auto"/>
              <w:jc w:val="center"/>
              <w:rPr>
                <w:rFonts w:hint="eastAsia" w:ascii="宋体" w:hAnsi="宋体" w:eastAsia="宋体" w:cs="宋体"/>
                <w:color w:val="auto"/>
                <w:sz w:val="24"/>
                <w:highlight w:val="none"/>
              </w:rPr>
            </w:pPr>
          </w:p>
        </w:tc>
        <w:tc>
          <w:tcPr>
            <w:tcW w:w="1843" w:type="dxa"/>
            <w:vMerge w:val="continue"/>
            <w:vAlign w:val="center"/>
          </w:tcPr>
          <w:p w14:paraId="476FAAF8">
            <w:pPr>
              <w:snapToGrid w:val="0"/>
              <w:spacing w:line="360" w:lineRule="auto"/>
              <w:jc w:val="center"/>
              <w:rPr>
                <w:rFonts w:hint="eastAsia" w:ascii="宋体" w:hAnsi="宋体" w:eastAsia="宋体" w:cs="宋体"/>
                <w:b/>
                <w:color w:val="auto"/>
                <w:sz w:val="24"/>
                <w:highlight w:val="none"/>
              </w:rPr>
            </w:pPr>
          </w:p>
        </w:tc>
        <w:tc>
          <w:tcPr>
            <w:tcW w:w="7168" w:type="dxa"/>
            <w:vAlign w:val="center"/>
          </w:tcPr>
          <w:p w14:paraId="2C889D37">
            <w:pPr>
              <w:spacing w:line="360" w:lineRule="auto"/>
              <w:rPr>
                <w:rFonts w:hint="eastAsia" w:hAnsi="宋体" w:cs="宋体"/>
                <w:sz w:val="24"/>
                <w:highlight w:val="none"/>
              </w:rPr>
            </w:pPr>
            <w:r>
              <w:rPr>
                <w:rFonts w:hint="eastAsia" w:hAnsi="宋体" w:cs="宋体"/>
                <w:b/>
                <w:bCs/>
                <w:color w:val="auto"/>
                <w:sz w:val="24"/>
                <w:highlight w:val="none"/>
              </w:rPr>
              <w:t>以联合体形式投标的，除联合体协议书、</w:t>
            </w:r>
            <w:r>
              <w:rPr>
                <w:rFonts w:hint="eastAsia" w:ascii="宋体" w:hAnsi="宋体" w:eastAsia="宋体" w:cs="宋体"/>
                <w:b/>
                <w:bCs/>
                <w:color w:val="auto"/>
                <w:sz w:val="24"/>
                <w:highlight w:val="none"/>
              </w:rPr>
              <w:t>符合参加政府采购活动应当具备的一般条件的承诺函</w:t>
            </w:r>
            <w:r>
              <w:rPr>
                <w:rFonts w:hint="eastAsia" w:ascii="宋体" w:hAnsi="宋体" w:cs="宋体"/>
                <w:b/>
                <w:bCs/>
                <w:color w:val="auto"/>
                <w:sz w:val="24"/>
                <w:highlight w:val="none"/>
                <w:lang w:eastAsia="zh-CN"/>
              </w:rPr>
              <w:t>、授权委托书</w:t>
            </w:r>
            <w:r>
              <w:rPr>
                <w:rFonts w:hint="eastAsia" w:hAnsi="宋体" w:cs="宋体"/>
                <w:b/>
                <w:bCs/>
                <w:color w:val="auto"/>
                <w:sz w:val="24"/>
                <w:highlight w:val="none"/>
              </w:rPr>
              <w:t>之外的仅由联合体牵头人加盖单位电子印章即可。</w:t>
            </w:r>
          </w:p>
        </w:tc>
      </w:tr>
      <w:tr w14:paraId="47060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trPr>
        <w:tc>
          <w:tcPr>
            <w:tcW w:w="629" w:type="dxa"/>
            <w:vMerge w:val="continue"/>
          </w:tcPr>
          <w:p w14:paraId="5F93930A">
            <w:pPr>
              <w:snapToGrid w:val="0"/>
              <w:spacing w:line="360" w:lineRule="auto"/>
              <w:jc w:val="center"/>
              <w:rPr>
                <w:rFonts w:hint="eastAsia" w:ascii="宋体" w:hAnsi="宋体" w:eastAsia="宋体" w:cs="宋体"/>
                <w:color w:val="auto"/>
                <w:sz w:val="24"/>
                <w:highlight w:val="none"/>
              </w:rPr>
            </w:pPr>
          </w:p>
        </w:tc>
        <w:tc>
          <w:tcPr>
            <w:tcW w:w="1843" w:type="dxa"/>
            <w:vMerge w:val="continue"/>
            <w:vAlign w:val="center"/>
          </w:tcPr>
          <w:p w14:paraId="0DFC5DD6">
            <w:pPr>
              <w:snapToGrid w:val="0"/>
              <w:spacing w:line="360" w:lineRule="auto"/>
              <w:jc w:val="center"/>
              <w:rPr>
                <w:rFonts w:hint="eastAsia" w:ascii="宋体" w:hAnsi="宋体" w:eastAsia="宋体" w:cs="宋体"/>
                <w:b/>
                <w:color w:val="auto"/>
                <w:sz w:val="24"/>
                <w:highlight w:val="none"/>
              </w:rPr>
            </w:pPr>
          </w:p>
        </w:tc>
        <w:tc>
          <w:tcPr>
            <w:tcW w:w="7168" w:type="dxa"/>
            <w:vAlign w:val="center"/>
          </w:tcPr>
          <w:p w14:paraId="26653539">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8AAF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5" w:hRule="atLeast"/>
        </w:trPr>
        <w:tc>
          <w:tcPr>
            <w:tcW w:w="629" w:type="dxa"/>
            <w:vMerge w:val="continue"/>
          </w:tcPr>
          <w:p w14:paraId="5CB48147">
            <w:pPr>
              <w:snapToGrid w:val="0"/>
              <w:spacing w:line="360" w:lineRule="auto"/>
              <w:jc w:val="center"/>
              <w:rPr>
                <w:rFonts w:hint="eastAsia" w:ascii="宋体" w:hAnsi="宋体" w:eastAsia="宋体" w:cs="宋体"/>
                <w:color w:val="auto"/>
                <w:sz w:val="24"/>
                <w:highlight w:val="none"/>
              </w:rPr>
            </w:pPr>
          </w:p>
        </w:tc>
        <w:tc>
          <w:tcPr>
            <w:tcW w:w="1843" w:type="dxa"/>
            <w:vMerge w:val="continue"/>
            <w:vAlign w:val="center"/>
          </w:tcPr>
          <w:p w14:paraId="39CE1091">
            <w:pPr>
              <w:snapToGrid w:val="0"/>
              <w:spacing w:line="360" w:lineRule="auto"/>
              <w:jc w:val="center"/>
              <w:rPr>
                <w:rFonts w:hint="eastAsia" w:ascii="宋体" w:hAnsi="宋体" w:eastAsia="宋体" w:cs="宋体"/>
                <w:b/>
                <w:color w:val="auto"/>
                <w:sz w:val="24"/>
                <w:highlight w:val="none"/>
              </w:rPr>
            </w:pPr>
          </w:p>
        </w:tc>
        <w:tc>
          <w:tcPr>
            <w:tcW w:w="7168" w:type="dxa"/>
            <w:vAlign w:val="center"/>
          </w:tcPr>
          <w:p w14:paraId="79B4B5EA">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24036A52">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A15C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2" w:hRule="atLeast"/>
        </w:trPr>
        <w:tc>
          <w:tcPr>
            <w:tcW w:w="629" w:type="dxa"/>
            <w:vMerge w:val="continue"/>
          </w:tcPr>
          <w:p w14:paraId="1B31B73C">
            <w:pPr>
              <w:snapToGrid w:val="0"/>
              <w:spacing w:line="360" w:lineRule="auto"/>
              <w:jc w:val="center"/>
              <w:rPr>
                <w:rFonts w:hint="eastAsia" w:ascii="宋体" w:hAnsi="宋体" w:eastAsia="宋体" w:cs="宋体"/>
                <w:color w:val="auto"/>
                <w:sz w:val="24"/>
                <w:highlight w:val="none"/>
              </w:rPr>
            </w:pPr>
          </w:p>
        </w:tc>
        <w:tc>
          <w:tcPr>
            <w:tcW w:w="1843" w:type="dxa"/>
            <w:vMerge w:val="continue"/>
            <w:vAlign w:val="center"/>
          </w:tcPr>
          <w:p w14:paraId="7ECAF530">
            <w:pPr>
              <w:snapToGrid w:val="0"/>
              <w:spacing w:line="360" w:lineRule="auto"/>
              <w:jc w:val="center"/>
              <w:rPr>
                <w:rFonts w:hint="eastAsia" w:ascii="宋体" w:hAnsi="宋体" w:eastAsia="宋体" w:cs="宋体"/>
                <w:b/>
                <w:color w:val="auto"/>
                <w:sz w:val="24"/>
                <w:highlight w:val="none"/>
              </w:rPr>
            </w:pPr>
          </w:p>
        </w:tc>
        <w:tc>
          <w:tcPr>
            <w:tcW w:w="7168" w:type="dxa"/>
            <w:vAlign w:val="center"/>
          </w:tcPr>
          <w:p w14:paraId="4C8A35B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标项</w:t>
            </w:r>
            <w:r>
              <w:rPr>
                <w:rFonts w:hint="eastAsia" w:ascii="宋体" w:hAnsi="宋体" w:eastAsia="宋体" w:cs="宋体"/>
                <w:color w:val="auto"/>
                <w:kern w:val="0"/>
                <w:sz w:val="24"/>
                <w:highlight w:val="none"/>
              </w:rPr>
              <w:t>中标候选人个数：1人</w:t>
            </w:r>
          </w:p>
        </w:tc>
      </w:tr>
      <w:tr w14:paraId="38716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trPr>
        <w:tc>
          <w:tcPr>
            <w:tcW w:w="629" w:type="dxa"/>
            <w:vMerge w:val="continue"/>
          </w:tcPr>
          <w:p w14:paraId="007374E2">
            <w:pPr>
              <w:snapToGrid w:val="0"/>
              <w:spacing w:line="360" w:lineRule="auto"/>
              <w:jc w:val="center"/>
              <w:rPr>
                <w:rFonts w:hint="eastAsia" w:ascii="宋体" w:hAnsi="宋体" w:eastAsia="宋体" w:cs="宋体"/>
                <w:color w:val="auto"/>
                <w:sz w:val="24"/>
                <w:highlight w:val="none"/>
              </w:rPr>
            </w:pPr>
          </w:p>
        </w:tc>
        <w:tc>
          <w:tcPr>
            <w:tcW w:w="1843" w:type="dxa"/>
            <w:vMerge w:val="continue"/>
            <w:vAlign w:val="center"/>
          </w:tcPr>
          <w:p w14:paraId="0EE2341C">
            <w:pPr>
              <w:snapToGrid w:val="0"/>
              <w:spacing w:line="360" w:lineRule="auto"/>
              <w:jc w:val="center"/>
              <w:rPr>
                <w:rFonts w:hint="eastAsia" w:ascii="宋体" w:hAnsi="宋体" w:eastAsia="宋体" w:cs="宋体"/>
                <w:b/>
                <w:color w:val="auto"/>
                <w:sz w:val="24"/>
                <w:highlight w:val="none"/>
              </w:rPr>
            </w:pPr>
          </w:p>
        </w:tc>
        <w:tc>
          <w:tcPr>
            <w:tcW w:w="7168" w:type="dxa"/>
            <w:vAlign w:val="center"/>
          </w:tcPr>
          <w:p w14:paraId="3B9060F1">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采购代理服务费：本项目的采购代理费由中标人支付。</w:t>
            </w:r>
          </w:p>
          <w:p w14:paraId="55DAE624">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计费标准：按计价格【2002】1980号文件标准计取。</w:t>
            </w:r>
          </w:p>
          <w:p w14:paraId="300389E3">
            <w:pPr>
              <w:spacing w:line="360" w:lineRule="auto"/>
              <w:rPr>
                <w:rFonts w:hint="eastAsia" w:ascii="宋体" w:hAnsi="宋体" w:eastAsia="宋体" w:cs="宋体"/>
                <w:color w:val="auto"/>
                <w:highlight w:val="none"/>
                <w:lang w:val="en-US"/>
              </w:rPr>
            </w:pPr>
            <w:r>
              <w:rPr>
                <w:rFonts w:hint="eastAsia" w:ascii="宋体" w:hAnsi="宋体" w:eastAsia="宋体" w:cs="宋体"/>
                <w:snapToGrid w:val="0"/>
                <w:color w:val="auto"/>
                <w:kern w:val="28"/>
                <w:sz w:val="24"/>
                <w:highlight w:val="none"/>
              </w:rPr>
              <w:t>结算方式及时间为：中标人在领取中标通知书后7个工作日内由中标供应商一次性向采购代理机构付清。</w:t>
            </w:r>
          </w:p>
        </w:tc>
      </w:tr>
      <w:tr w14:paraId="27A93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trPr>
        <w:tc>
          <w:tcPr>
            <w:tcW w:w="629" w:type="dxa"/>
          </w:tcPr>
          <w:p w14:paraId="5754085E">
            <w:pPr>
              <w:snapToGrid w:val="0"/>
              <w:spacing w:line="360" w:lineRule="auto"/>
              <w:jc w:val="center"/>
              <w:rPr>
                <w:rFonts w:hint="eastAsia" w:ascii="宋体" w:hAnsi="宋体" w:eastAsia="宋体" w:cs="宋体"/>
                <w:color w:val="auto"/>
                <w:sz w:val="24"/>
                <w:highlight w:val="none"/>
              </w:rPr>
            </w:pPr>
            <w:bookmarkStart w:id="13" w:name="_Toc164416483"/>
            <w:bookmarkStart w:id="14" w:name="第三部分"/>
          </w:p>
        </w:tc>
        <w:tc>
          <w:tcPr>
            <w:tcW w:w="1843" w:type="dxa"/>
            <w:vAlign w:val="center"/>
          </w:tcPr>
          <w:p w14:paraId="5EFBA14D">
            <w:pPr>
              <w:shd w:val="clear" w:color="auto" w:fill="auto"/>
              <w:snapToGrid w:val="0"/>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rPr>
              <w:t>特别说明</w:t>
            </w:r>
          </w:p>
        </w:tc>
        <w:tc>
          <w:tcPr>
            <w:tcW w:w="7168" w:type="dxa"/>
            <w:vAlign w:val="center"/>
          </w:tcPr>
          <w:p w14:paraId="4BB92BE5">
            <w:pPr>
              <w:numPr>
                <w:ilvl w:val="0"/>
                <w:numId w:val="0"/>
              </w:num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▲1.不同供应商的电子投标（响应）文件上传计算机的网卡MAC地址或硬盘序列号等硬件信息相同的</w:t>
            </w:r>
            <w:r>
              <w:rPr>
                <w:rFonts w:hint="eastAsia" w:ascii="宋体" w:hAnsi="宋体" w:cs="宋体"/>
                <w:color w:val="auto"/>
                <w:kern w:val="0"/>
                <w:sz w:val="24"/>
                <w:highlight w:val="none"/>
                <w:lang w:val="en-US" w:eastAsia="zh-CN"/>
              </w:rPr>
              <w:t>，其响应文件无效</w:t>
            </w:r>
            <w:r>
              <w:rPr>
                <w:rFonts w:hint="eastAsia" w:ascii="宋体" w:hAnsi="宋体" w:eastAsia="宋体" w:cs="宋体"/>
                <w:color w:val="auto"/>
                <w:sz w:val="24"/>
                <w:highlight w:val="none"/>
              </w:rPr>
              <w:t>；</w:t>
            </w:r>
          </w:p>
          <w:p w14:paraId="7C66FE36">
            <w:pPr>
              <w:numPr>
                <w:ilvl w:val="0"/>
                <w:numId w:val="0"/>
              </w:num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highlight w:val="none"/>
              </w:rPr>
              <w:t>上传的电子投标（响应）文件若出现使用本项目其他投标（响应）供应商的数字证书加密的，或者加盖本项目其他投标（响应）供应商的电子印章的</w:t>
            </w:r>
            <w:r>
              <w:rPr>
                <w:rFonts w:hint="eastAsia" w:ascii="宋体" w:hAnsi="宋体" w:cs="宋体"/>
                <w:color w:val="auto"/>
                <w:kern w:val="0"/>
                <w:sz w:val="24"/>
                <w:highlight w:val="none"/>
                <w:lang w:val="en-US" w:eastAsia="zh-CN"/>
              </w:rPr>
              <w:t>，其响应文件无效</w:t>
            </w:r>
            <w:r>
              <w:rPr>
                <w:rFonts w:hint="eastAsia" w:ascii="宋体" w:hAnsi="宋体" w:eastAsia="宋体" w:cs="宋体"/>
                <w:color w:val="auto"/>
                <w:sz w:val="24"/>
                <w:highlight w:val="none"/>
              </w:rPr>
              <w:t>；</w:t>
            </w:r>
          </w:p>
          <w:p w14:paraId="23C0BC62">
            <w:pPr>
              <w:numPr>
                <w:ilvl w:val="0"/>
                <w:numId w:val="0"/>
              </w:numPr>
              <w:shd w:val="clear" w:color="auto" w:fill="auto"/>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highlight w:val="none"/>
              </w:rPr>
              <w:t>不同供应商的投标（响应）文件的内容存在三处（含）以上错误一致的</w:t>
            </w:r>
            <w:r>
              <w:rPr>
                <w:rFonts w:hint="eastAsia" w:ascii="宋体" w:hAnsi="宋体" w:cs="宋体"/>
                <w:color w:val="auto"/>
                <w:kern w:val="0"/>
                <w:sz w:val="24"/>
                <w:highlight w:val="none"/>
                <w:lang w:val="en-US" w:eastAsia="zh-CN"/>
              </w:rPr>
              <w:t>，其响应文件无效</w:t>
            </w:r>
            <w:r>
              <w:rPr>
                <w:rFonts w:hint="eastAsia" w:ascii="宋体" w:hAnsi="宋体" w:eastAsia="宋体" w:cs="宋体"/>
                <w:color w:val="auto"/>
                <w:sz w:val="24"/>
                <w:highlight w:val="none"/>
              </w:rPr>
              <w:t>；</w:t>
            </w:r>
          </w:p>
          <w:p w14:paraId="1B35B9A2">
            <w:pPr>
              <w:numPr>
                <w:ilvl w:val="0"/>
                <w:numId w:val="0"/>
              </w:numPr>
              <w:shd w:val="clear" w:color="auto" w:fill="auto"/>
              <w:spacing w:line="360" w:lineRule="auto"/>
              <w:ind w:leftChars="0"/>
              <w:rPr>
                <w:rFonts w:hint="eastAsia" w:ascii="宋体" w:hAnsi="宋体" w:eastAsia="宋体" w:cs="宋体"/>
                <w:snapToGrid w:val="0"/>
                <w:color w:val="auto"/>
                <w:kern w:val="28"/>
                <w:sz w:val="24"/>
                <w:highlight w:val="none"/>
              </w:rPr>
            </w:pPr>
            <w:r>
              <w:rPr>
                <w:rFonts w:hint="eastAsia" w:ascii="宋体" w:hAnsi="宋体" w:eastAsia="宋体" w:cs="宋体"/>
                <w:color w:val="auto"/>
                <w:sz w:val="24"/>
                <w:highlight w:val="none"/>
              </w:rPr>
              <w:t>▲4.不同供应商联系人为同一人或不同联系人的联系电话一致的</w:t>
            </w:r>
            <w:r>
              <w:rPr>
                <w:rFonts w:hint="eastAsia" w:ascii="宋体" w:hAnsi="宋体" w:cs="宋体"/>
                <w:color w:val="auto"/>
                <w:kern w:val="0"/>
                <w:sz w:val="24"/>
                <w:highlight w:val="none"/>
                <w:lang w:val="en-US" w:eastAsia="zh-CN"/>
              </w:rPr>
              <w:t>，其响应文件无效</w:t>
            </w:r>
            <w:r>
              <w:rPr>
                <w:rFonts w:hint="eastAsia" w:ascii="宋体" w:hAnsi="宋体" w:eastAsia="宋体" w:cs="宋体"/>
                <w:color w:val="auto"/>
                <w:sz w:val="24"/>
                <w:highlight w:val="none"/>
              </w:rPr>
              <w:t>。</w:t>
            </w:r>
          </w:p>
        </w:tc>
      </w:tr>
      <w:bookmarkEnd w:id="10"/>
    </w:tbl>
    <w:p w14:paraId="5F0C98EE">
      <w:pPr>
        <w:pStyle w:val="3"/>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5386579">
      <w:pPr>
        <w:adjustRightInd/>
        <w:spacing w:line="360" w:lineRule="auto"/>
        <w:ind w:firstLine="3845" w:firstLineChars="1197"/>
        <w:outlineLvl w:val="0"/>
        <w:rPr>
          <w:rFonts w:hint="eastAsia" w:ascii="宋体" w:hAnsi="宋体" w:cs="宋体"/>
          <w:b/>
          <w:color w:val="auto"/>
          <w:sz w:val="32"/>
          <w:szCs w:val="20"/>
          <w:highlight w:val="none"/>
          <w14:ligatures w14:val="none"/>
        </w:rPr>
      </w:pPr>
      <w:bookmarkStart w:id="15" w:name="_Toc91899903"/>
      <w:r>
        <w:rPr>
          <w:rFonts w:hint="eastAsia" w:ascii="宋体" w:hAnsi="宋体" w:cs="宋体"/>
          <w:b/>
          <w:color w:val="auto"/>
          <w:sz w:val="32"/>
          <w:szCs w:val="20"/>
          <w:highlight w:val="none"/>
          <w14:ligatures w14:val="none"/>
        </w:rPr>
        <w:t>一、总则</w:t>
      </w:r>
    </w:p>
    <w:p w14:paraId="7F99932B">
      <w:pPr>
        <w:snapToGrid w:val="0"/>
        <w:spacing w:line="360" w:lineRule="auto"/>
        <w:ind w:firstLine="361" w:firstLineChars="150"/>
        <w:jc w:val="left"/>
        <w:outlineLvl w:val="1"/>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1. 适用范围</w:t>
      </w:r>
    </w:p>
    <w:p w14:paraId="41AFCC03">
      <w:pPr>
        <w:snapToGrid w:val="0"/>
        <w:spacing w:line="360" w:lineRule="auto"/>
        <w:ind w:firstLine="480" w:firstLineChars="200"/>
        <w:jc w:val="left"/>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本招标文件适用于该项目的招标、投标、开标、资格审查及信用信息查询、评标、定标、合同、验收等行为（法律、法规另有规定的，从其规定）。</w:t>
      </w:r>
    </w:p>
    <w:p w14:paraId="10325E71">
      <w:pPr>
        <w:adjustRightInd/>
        <w:spacing w:line="360" w:lineRule="auto"/>
        <w:ind w:firstLine="482"/>
        <w:outlineLvl w:val="0"/>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 xml:space="preserve">   2.定义</w:t>
      </w:r>
    </w:p>
    <w:p w14:paraId="775DD63C">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2.1 “采购人”系指招标公告中载明的本项目的采购人。</w:t>
      </w:r>
    </w:p>
    <w:p w14:paraId="65F0BD0C">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2.2 “采购代理机构”系指招标公告中载明的本项目的采购代理机构。</w:t>
      </w:r>
    </w:p>
    <w:p w14:paraId="5F915BEF">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2.3 “投标人”系指是指响应招标、参加投标竞争的法人、其他组织或者自然人。</w:t>
      </w:r>
    </w:p>
    <w:p w14:paraId="6680D336">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2.4 “负责人”系指法人企业的法定负责人，或其他组织为法律、行政法规规定代表单位行使职权的主要负责人，或自然人本人。</w:t>
      </w:r>
    </w:p>
    <w:p w14:paraId="7733B454">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599E212">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2.6“电子交易平台”系指本项目政府采购活动所依托的政府采购云平台（https://www.zcygov.cn/）。</w:t>
      </w:r>
    </w:p>
    <w:p w14:paraId="4B828137">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2.7 “▲” 系指实质性要求条款，“</w:t>
      </w:r>
      <w:r>
        <w:rPr>
          <w:rFonts w:ascii="Segoe UI Symbol" w:hAnsi="Segoe UI Symbol" w:cs="Segoe UI Symbol"/>
          <w:color w:val="auto"/>
          <w:sz w:val="24"/>
          <w:highlight w:val="none"/>
          <w14:ligatures w14:val="none"/>
        </w:rPr>
        <w:t>☑</w:t>
      </w:r>
      <w:r>
        <w:rPr>
          <w:rFonts w:hint="eastAsia" w:ascii="宋体" w:hAnsi="宋体" w:cs="宋体"/>
          <w:color w:val="auto"/>
          <w:sz w:val="24"/>
          <w:highlight w:val="none"/>
          <w14:ligatures w14:val="none"/>
        </w:rPr>
        <w:t>” 系指适用本项目的要求，“</w:t>
      </w:r>
      <w:sdt>
        <w:sdtPr>
          <w:rPr>
            <w:rFonts w:hint="eastAsia" w:ascii="宋体" w:hAnsi="宋体" w:cs="宋体"/>
            <w:color w:val="auto"/>
            <w:kern w:val="0"/>
            <w:sz w:val="24"/>
            <w:highlight w:val="none"/>
            <w14:ligatures w14:val="none"/>
          </w:rPr>
          <w:id w:val="147460674"/>
          <w14:checkbox>
            <w14:checked w14:val="0"/>
            <w14:checkedState w14:val="00FE" w14:font="Wingdings"/>
            <w14:uncheckedState w14:val="2610" w14:font="MS Gothic"/>
          </w14:checkbox>
        </w:sdtPr>
        <w:sdtEndPr>
          <w:rPr>
            <w:rFonts w:hint="eastAsia" w:ascii="宋体" w:hAnsi="宋体" w:cs="宋体"/>
            <w:color w:val="auto"/>
            <w:kern w:val="0"/>
            <w:sz w:val="24"/>
            <w:highlight w:val="none"/>
            <w14:ligatures w14:val="none"/>
          </w:rPr>
        </w:sdtEndPr>
        <w:sdtContent>
          <w:r>
            <w:rPr>
              <w:rFonts w:ascii="Segoe UI Symbol" w:hAnsi="Segoe UI Symbol" w:cs="Segoe UI Symbol"/>
              <w:color w:val="auto"/>
              <w:kern w:val="0"/>
              <w:sz w:val="24"/>
              <w:highlight w:val="none"/>
              <w14:ligatures w14:val="none"/>
            </w:rPr>
            <w:t>☐</w:t>
          </w:r>
        </w:sdtContent>
      </w:sdt>
      <w:r>
        <w:rPr>
          <w:rFonts w:hint="eastAsia" w:ascii="宋体" w:hAnsi="宋体" w:cs="宋体"/>
          <w:color w:val="auto"/>
          <w:sz w:val="24"/>
          <w:highlight w:val="none"/>
          <w14:ligatures w14:val="none"/>
        </w:rPr>
        <w:t>” 系指不适用本项目的要求。</w:t>
      </w:r>
    </w:p>
    <w:p w14:paraId="68A3E90E">
      <w:pPr>
        <w:spacing w:line="360" w:lineRule="auto"/>
        <w:ind w:firstLine="361" w:firstLineChars="150"/>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3.</w:t>
      </w:r>
      <w:r>
        <w:rPr>
          <w:rFonts w:hint="eastAsia" w:ascii="宋体" w:hAnsi="宋体" w:cs="宋体"/>
          <w:color w:val="auto"/>
          <w:highlight w:val="none"/>
          <w14:ligatures w14:val="none"/>
        </w:rPr>
        <w:t xml:space="preserve"> </w:t>
      </w:r>
      <w:r>
        <w:rPr>
          <w:rFonts w:hint="eastAsia" w:ascii="宋体" w:hAnsi="宋体" w:cs="宋体"/>
          <w:b/>
          <w:color w:val="auto"/>
          <w:sz w:val="24"/>
          <w:highlight w:val="none"/>
          <w14:ligatures w14:val="none"/>
        </w:rPr>
        <w:t>采购项目需要落实的政府采购政策</w:t>
      </w:r>
    </w:p>
    <w:p w14:paraId="7330A243">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14:ligatures w14:val="none"/>
        </w:rPr>
        <w:t>优先采购向我国企业转让技术、与我国企业签订消化吸收再创新方案的供应商的进口产品</w:t>
      </w:r>
      <w:r>
        <w:rPr>
          <w:rFonts w:hint="eastAsia" w:ascii="宋体" w:hAnsi="宋体" w:cs="宋体"/>
          <w:color w:val="auto"/>
          <w:sz w:val="24"/>
          <w:highlight w:val="none"/>
          <w14:ligatures w14:val="none"/>
        </w:rPr>
        <w:t>。</w:t>
      </w:r>
    </w:p>
    <w:p w14:paraId="2BCDDEED">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3.2 支持绿色发展</w:t>
      </w:r>
    </w:p>
    <w:p w14:paraId="13EDE3DF">
      <w:pPr>
        <w:spacing w:line="360" w:lineRule="auto"/>
        <w:ind w:firstLine="480" w:firstLineChars="200"/>
        <w:rPr>
          <w:rFonts w:hint="eastAsia" w:ascii="宋体" w:hAnsi="宋体" w:cs="宋体"/>
          <w:b/>
          <w:color w:val="auto"/>
          <w:sz w:val="24"/>
          <w:highlight w:val="none"/>
          <w14:ligatures w14:val="none"/>
        </w:rPr>
      </w:pPr>
      <w:r>
        <w:rPr>
          <w:rFonts w:hint="eastAsia" w:ascii="宋体" w:hAnsi="宋体" w:cs="宋体"/>
          <w:color w:val="auto"/>
          <w:sz w:val="24"/>
          <w:highlight w:val="none"/>
          <w14:ligatures w14: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14:ligatures w14:val="none"/>
        </w:rPr>
        <w:t>▲采购人拟采购的产品属于政府强制采购的节能产品品目清单范围的，投标人相应的投标产品未获得国家确定的认证机构出具的、处于有效期之内的节能产品认证证书的，投标无效。</w:t>
      </w:r>
    </w:p>
    <w:p w14:paraId="284B9736">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3.2.2 修缮、装修类项目采购建材的，采购人应将绿色建筑和绿色建材性能、指标等作为实质性条件纳入招标文件和合同。</w:t>
      </w:r>
    </w:p>
    <w:p w14:paraId="76F4CB1B">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820B881">
      <w:pPr>
        <w:spacing w:line="360" w:lineRule="auto"/>
        <w:ind w:firstLine="480" w:firstLineChars="200"/>
        <w:rPr>
          <w:rFonts w:hint="eastAsia" w:ascii="宋体" w:hAnsi="宋体" w:cs="宋体"/>
          <w:color w:val="auto"/>
          <w:sz w:val="24"/>
          <w:highlight w:val="none"/>
          <w14:ligatures w14:val="none"/>
        </w:rPr>
      </w:pPr>
      <w:r>
        <w:rPr>
          <w:rFonts w:ascii="宋体" w:hAnsi="宋体" w:cs="宋体"/>
          <w:color w:val="auto"/>
          <w:sz w:val="24"/>
          <w:highlight w:val="none"/>
          <w14:ligatures w14:val="none"/>
        </w:rPr>
        <w:t xml:space="preserve">3.2.4 </w:t>
      </w:r>
      <w:r>
        <w:rPr>
          <w:rFonts w:hint="eastAsia" w:ascii="宋体" w:hAnsi="宋体" w:cs="宋体"/>
          <w:color w:val="auto"/>
          <w:sz w:val="24"/>
          <w:highlight w:val="none"/>
          <w14:ligatures w14: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A5303B5">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3.3支持中小企业发展</w:t>
      </w:r>
    </w:p>
    <w:p w14:paraId="2DC1FE3D">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6432894">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符合中小企业划分标准的个体工商户，在政府采购活动中视同中小企业。</w:t>
      </w:r>
    </w:p>
    <w:p w14:paraId="59787501">
      <w:pPr>
        <w:widowControl/>
        <w:spacing w:line="360" w:lineRule="auto"/>
        <w:ind w:firstLine="480" w:firstLineChars="200"/>
        <w:jc w:val="left"/>
        <w:rPr>
          <w:rFonts w:hint="eastAsia" w:ascii="宋体" w:hAnsi="宋体" w:cs="宋体"/>
          <w:color w:val="auto"/>
          <w:kern w:val="0"/>
          <w:sz w:val="24"/>
          <w:highlight w:val="none"/>
          <w14:ligatures w14:val="none"/>
        </w:rPr>
      </w:pPr>
      <w:r>
        <w:rPr>
          <w:rFonts w:ascii="宋体" w:hAnsi="宋体" w:cs="宋体"/>
          <w:bCs/>
          <w:color w:val="auto"/>
          <w:sz w:val="24"/>
          <w:highlight w:val="none"/>
          <w14:ligatures w14:val="none"/>
        </w:rPr>
        <w:t>3.3.2</w:t>
      </w:r>
      <w:r>
        <w:rPr>
          <w:rFonts w:hint="eastAsia" w:ascii="宋体" w:hAnsi="宋体" w:cs="宋体"/>
          <w:color w:val="auto"/>
          <w:kern w:val="0"/>
          <w:sz w:val="24"/>
          <w:highlight w:val="none"/>
          <w14:ligatures w14: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D2D8CE3">
      <w:pPr>
        <w:widowControl/>
        <w:spacing w:line="360" w:lineRule="auto"/>
        <w:ind w:firstLine="480" w:firstLineChars="200"/>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以联合体形式参加政府采购活动，联合体各方均为中小企业的，联合体视同中小企业。其中，联合体各方均为小微企业的，联合体视同小微企业。</w:t>
      </w:r>
    </w:p>
    <w:p w14:paraId="5782E563">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14:ligatures w14:val="none"/>
        </w:rPr>
        <w:t>20</w:t>
      </w:r>
      <w:r>
        <w:rPr>
          <w:rFonts w:hint="eastAsia" w:ascii="宋体" w:hAnsi="宋体" w:cs="宋体"/>
          <w:color w:val="auto"/>
          <w:sz w:val="24"/>
          <w:highlight w:val="none"/>
          <w14:ligatures w14: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14:ligatures w14:val="none"/>
        </w:rPr>
        <w:t>6</w:t>
      </w:r>
      <w:r>
        <w:rPr>
          <w:rFonts w:hint="eastAsia" w:ascii="宋体" w:hAnsi="宋体" w:cs="宋体"/>
          <w:color w:val="auto"/>
          <w:sz w:val="24"/>
          <w:highlight w:val="none"/>
          <w14:ligatures w14:val="none"/>
        </w:rPr>
        <w:t>%的扣除，用扣除后的价格参加评审。组成联合体或者接受分包的小微企业与联合体内其他企业、分包企业之间存在直接控股、管理关系的，不享受价格扣除优惠政策。</w:t>
      </w:r>
    </w:p>
    <w:p w14:paraId="53A6E9CB">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3.3.4符合《关于促进残疾人就业政府采购政策的通知》（财库〔2017〕141号）规定的条件并提供《残疾人福利性单位声明函》（附件1）的残疾人福利性单位视同小型、微型企业；</w:t>
      </w:r>
    </w:p>
    <w:p w14:paraId="456400FD">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86C77F">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5A027F4">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3.3.7中小企业享受扶持政策获得政府采购合同的，小微企业不得将合同分包给大中型企业，中型企业不得将合同分包给大型企业。</w:t>
      </w:r>
    </w:p>
    <w:p w14:paraId="7C29AD27">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3.4</w:t>
      </w:r>
      <w:r>
        <w:rPr>
          <w:rFonts w:hint="eastAsia" w:ascii="宋体" w:hAnsi="宋体" w:cs="宋体"/>
          <w:bCs/>
          <w:color w:val="auto"/>
          <w:sz w:val="24"/>
          <w:highlight w:val="none"/>
          <w14:ligatures w14:val="none"/>
        </w:rPr>
        <w:t>支持创新发展</w:t>
      </w:r>
    </w:p>
    <w:p w14:paraId="65E4B87D">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3.4.1 采购人优先采购被认定为首台套产品和“制造精品”的自主创新产品。</w:t>
      </w:r>
    </w:p>
    <w:p w14:paraId="12866F0D">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3.4.2首台套产品被纳入《首台套产品推广应用指导目录》之日起</w:t>
      </w:r>
      <w:r>
        <w:rPr>
          <w:rFonts w:ascii="宋体" w:hAnsi="宋体" w:cs="宋体"/>
          <w:color w:val="auto"/>
          <w:sz w:val="24"/>
          <w:highlight w:val="none"/>
          <w14:ligatures w14:val="none"/>
        </w:rPr>
        <w:t>3</w:t>
      </w:r>
      <w:r>
        <w:rPr>
          <w:rFonts w:hint="eastAsia" w:ascii="宋体" w:hAnsi="宋体" w:cs="宋体"/>
          <w:color w:val="auto"/>
          <w:sz w:val="24"/>
          <w:highlight w:val="none"/>
          <w14:ligatures w14:val="none"/>
        </w:rPr>
        <w:t>年内，以及产品核心技术高于国内领先水平，并具有明晰自主知识产权的“制造精品”产品，自认定之日起2年内视同已具备相应销售业绩，参加政府采购活动时业绩分值为满分。</w:t>
      </w:r>
    </w:p>
    <w:p w14:paraId="4A5EFED1">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3.4.3 采购人应当贯彻落实知识产权保护相关法律法规，应当采购使用正版软件。</w:t>
      </w:r>
    </w:p>
    <w:p w14:paraId="39628180">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3.5平等对待内外资企业和符合条件的破产重整企业</w:t>
      </w:r>
    </w:p>
    <w:p w14:paraId="130EE2B8">
      <w:pPr>
        <w:spacing w:line="360" w:lineRule="auto"/>
        <w:ind w:firstLine="480" w:firstLineChars="200"/>
        <w:rPr>
          <w:rFonts w:hint="eastAsia" w:ascii="宋体" w:hAnsi="宋体" w:cs="宋体"/>
          <w:b/>
          <w:color w:val="auto"/>
          <w:sz w:val="24"/>
          <w:highlight w:val="none"/>
          <w14:ligatures w14:val="none"/>
        </w:rPr>
      </w:pPr>
      <w:r>
        <w:rPr>
          <w:rFonts w:hint="eastAsia" w:ascii="宋体" w:hAnsi="宋体" w:cs="宋体"/>
          <w:color w:val="auto"/>
          <w:sz w:val="24"/>
          <w:highlight w:val="none"/>
          <w14:ligatures w14:val="none"/>
        </w:rPr>
        <w:t>平等对待内外资企业和符合条件的破产重整企业，切实保障企业公平竞争，平等维护企业的合法利益。</w:t>
      </w:r>
      <w:r>
        <w:rPr>
          <w:rFonts w:hint="eastAsia" w:ascii="宋体" w:hAnsi="宋体" w:cs="宋体"/>
          <w:color w:val="auto"/>
          <w:sz w:val="24"/>
          <w:highlight w:val="none"/>
          <w14:ligatures w14:val="none"/>
        </w:rPr>
        <w:cr/>
      </w:r>
      <w:r>
        <w:rPr>
          <w:rFonts w:hint="eastAsia" w:ascii="宋体" w:hAnsi="宋体" w:cs="宋体"/>
          <w:b/>
          <w:color w:val="auto"/>
          <w:sz w:val="24"/>
          <w:highlight w:val="none"/>
          <w14:ligatures w14:val="none"/>
        </w:rPr>
        <w:t>4. 询问、质疑、投诉、补偿救济</w:t>
      </w:r>
    </w:p>
    <w:p w14:paraId="3D1C70CE">
      <w:pPr>
        <w:autoSpaceDE w:val="0"/>
        <w:autoSpaceDN w:val="0"/>
        <w:spacing w:line="360" w:lineRule="auto"/>
        <w:ind w:firstLine="480" w:firstLineChars="200"/>
        <w:jc w:val="left"/>
        <w:rPr>
          <w:rFonts w:hint="eastAsia" w:ascii="宋体" w:hAnsi="宋体" w:cs="宋体"/>
          <w:color w:val="auto"/>
          <w:kern w:val="0"/>
          <w:sz w:val="24"/>
          <w:highlight w:val="none"/>
          <w:lang w:val="zh-CN"/>
          <w14:ligatures w14:val="none"/>
        </w:rPr>
      </w:pPr>
      <w:r>
        <w:rPr>
          <w:rFonts w:hint="eastAsia" w:ascii="宋体" w:hAnsi="宋体" w:cs="宋体"/>
          <w:color w:val="auto"/>
          <w:kern w:val="0"/>
          <w:sz w:val="24"/>
          <w:highlight w:val="none"/>
          <w:lang w:val="zh-CN"/>
          <w14:ligatures w14:val="none"/>
        </w:rPr>
        <w:t>4.1在线询问、质疑、投诉。</w:t>
      </w:r>
    </w:p>
    <w:p w14:paraId="07205F03">
      <w:pPr>
        <w:autoSpaceDE w:val="0"/>
        <w:autoSpaceDN w:val="0"/>
        <w:spacing w:line="360" w:lineRule="auto"/>
        <w:ind w:firstLine="480" w:firstLineChars="200"/>
        <w:jc w:val="left"/>
        <w:rPr>
          <w:rFonts w:hint="eastAsia" w:ascii="宋体" w:hAnsi="宋体" w:cs="宋体"/>
          <w:color w:val="auto"/>
          <w:kern w:val="0"/>
          <w:sz w:val="24"/>
          <w:highlight w:val="none"/>
          <w:lang w:val="zh-CN"/>
          <w14:ligatures w14:val="none"/>
        </w:rPr>
      </w:pPr>
      <w:r>
        <w:rPr>
          <w:rFonts w:hint="eastAsia" w:ascii="宋体" w:hAnsi="宋体" w:cs="宋体"/>
          <w:color w:val="auto"/>
          <w:kern w:val="0"/>
          <w:sz w:val="24"/>
          <w:highlight w:val="none"/>
          <w:lang w:val="zh-CN"/>
          <w14:ligatures w14: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E9B733">
      <w:pPr>
        <w:autoSpaceDE w:val="0"/>
        <w:autoSpaceDN w:val="0"/>
        <w:spacing w:line="360" w:lineRule="auto"/>
        <w:ind w:firstLine="480" w:firstLineChars="200"/>
        <w:jc w:val="left"/>
        <w:rPr>
          <w:rFonts w:hint="eastAsia" w:ascii="宋体" w:hAnsi="宋体" w:cs="宋体"/>
          <w:color w:val="auto"/>
          <w:kern w:val="0"/>
          <w:sz w:val="24"/>
          <w:highlight w:val="none"/>
          <w:lang w:val="zh-CN"/>
          <w14:ligatures w14:val="none"/>
        </w:rPr>
      </w:pPr>
      <w:r>
        <w:rPr>
          <w:rFonts w:hint="eastAsia" w:ascii="宋体" w:hAnsi="宋体" w:cs="宋体"/>
          <w:color w:val="auto"/>
          <w:kern w:val="0"/>
          <w:sz w:val="24"/>
          <w:highlight w:val="none"/>
          <w:lang w:val="zh-CN"/>
          <w14:ligatures w14:val="none"/>
        </w:rPr>
        <w:t>4.2供应商询问</w:t>
      </w:r>
    </w:p>
    <w:p w14:paraId="442619CF">
      <w:pPr>
        <w:autoSpaceDE w:val="0"/>
        <w:autoSpaceDN w:val="0"/>
        <w:spacing w:line="360" w:lineRule="auto"/>
        <w:ind w:firstLine="480" w:firstLineChars="200"/>
        <w:jc w:val="left"/>
        <w:rPr>
          <w:rFonts w:hint="eastAsia" w:ascii="宋体" w:hAnsi="宋体" w:cs="宋体"/>
          <w:color w:val="auto"/>
          <w:kern w:val="0"/>
          <w:sz w:val="24"/>
          <w:highlight w:val="none"/>
          <w:lang w:val="zh-CN"/>
          <w14:ligatures w14:val="none"/>
        </w:rPr>
      </w:pPr>
      <w:r>
        <w:rPr>
          <w:rFonts w:hint="eastAsia" w:ascii="宋体" w:hAnsi="宋体" w:cs="宋体"/>
          <w:color w:val="auto"/>
          <w:kern w:val="0"/>
          <w:sz w:val="24"/>
          <w:highlight w:val="none"/>
          <w:lang w:val="zh-CN"/>
          <w14:ligatures w14: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B904D3">
      <w:pPr>
        <w:autoSpaceDE w:val="0"/>
        <w:autoSpaceDN w:val="0"/>
        <w:spacing w:line="360" w:lineRule="auto"/>
        <w:ind w:firstLine="480" w:firstLineChars="200"/>
        <w:jc w:val="left"/>
        <w:rPr>
          <w:rFonts w:hint="eastAsia" w:ascii="宋体" w:hAnsi="宋体" w:cs="宋体"/>
          <w:color w:val="auto"/>
          <w:kern w:val="0"/>
          <w:sz w:val="24"/>
          <w:highlight w:val="none"/>
          <w:lang w:val="zh-CN"/>
          <w14:ligatures w14:val="none"/>
        </w:rPr>
      </w:pPr>
      <w:r>
        <w:rPr>
          <w:rFonts w:hint="eastAsia" w:ascii="宋体" w:hAnsi="宋体" w:cs="宋体"/>
          <w:color w:val="auto"/>
          <w:kern w:val="0"/>
          <w:sz w:val="24"/>
          <w:highlight w:val="none"/>
          <w:lang w:val="zh-CN"/>
          <w14:ligatures w14:val="none"/>
        </w:rPr>
        <w:t>4.3供应商质疑</w:t>
      </w:r>
    </w:p>
    <w:p w14:paraId="48FAD856">
      <w:pPr>
        <w:spacing w:line="360" w:lineRule="auto"/>
        <w:ind w:firstLine="480" w:firstLineChars="200"/>
        <w:rPr>
          <w:rFonts w:hint="eastAsia" w:ascii="宋体" w:hAnsi="宋体" w:cs="宋体"/>
          <w:snapToGrid w:val="0"/>
          <w:color w:val="auto"/>
          <w:sz w:val="24"/>
          <w:szCs w:val="21"/>
          <w:highlight w:val="none"/>
          <w14:ligatures w14:val="none"/>
        </w:rPr>
      </w:pPr>
      <w:r>
        <w:rPr>
          <w:rFonts w:hint="eastAsia" w:ascii="宋体" w:hAnsi="宋体" w:cs="宋体"/>
          <w:snapToGrid w:val="0"/>
          <w:color w:val="auto"/>
          <w:kern w:val="0"/>
          <w:sz w:val="24"/>
          <w:szCs w:val="21"/>
          <w:highlight w:val="none"/>
          <w:lang w:val="zh-CN"/>
          <w14:ligatures w14:val="none"/>
        </w:rPr>
        <w:t>4.3</w:t>
      </w:r>
      <w:r>
        <w:rPr>
          <w:rFonts w:hint="eastAsia" w:ascii="宋体" w:hAnsi="宋体" w:cs="宋体"/>
          <w:snapToGrid w:val="0"/>
          <w:color w:val="auto"/>
          <w:sz w:val="24"/>
          <w:szCs w:val="21"/>
          <w:highlight w:val="none"/>
          <w14:ligatures w14:val="none"/>
        </w:rPr>
        <w:t>.1提出质疑的供应商应当是参与所质疑项目采购活动的供应商。潜在供应商已依法获取其可质疑的招标文件的，可以对该文件提出质疑。</w:t>
      </w:r>
    </w:p>
    <w:p w14:paraId="5A4A323C">
      <w:pPr>
        <w:spacing w:line="360" w:lineRule="auto"/>
        <w:ind w:firstLine="480" w:firstLineChars="200"/>
        <w:rPr>
          <w:rFonts w:hint="eastAsia" w:ascii="宋体" w:hAnsi="宋体" w:cs="宋体"/>
          <w:snapToGrid w:val="0"/>
          <w:color w:val="auto"/>
          <w:sz w:val="24"/>
          <w:szCs w:val="21"/>
          <w:highlight w:val="none"/>
          <w14:ligatures w14:val="none"/>
        </w:rPr>
      </w:pPr>
      <w:r>
        <w:rPr>
          <w:rFonts w:hint="eastAsia" w:ascii="宋体" w:hAnsi="宋体" w:cs="宋体"/>
          <w:snapToGrid w:val="0"/>
          <w:color w:val="auto"/>
          <w:kern w:val="0"/>
          <w:sz w:val="24"/>
          <w:szCs w:val="21"/>
          <w:highlight w:val="none"/>
          <w:lang w:val="zh-CN"/>
          <w14:ligatures w14:val="none"/>
        </w:rPr>
        <w:t>4.3</w:t>
      </w:r>
      <w:r>
        <w:rPr>
          <w:rFonts w:hint="eastAsia" w:ascii="宋体" w:hAnsi="宋体" w:cs="宋体"/>
          <w:snapToGrid w:val="0"/>
          <w:color w:val="auto"/>
          <w:sz w:val="24"/>
          <w:szCs w:val="21"/>
          <w:highlight w:val="none"/>
          <w14:ligatures w14: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B75FD36">
      <w:pPr>
        <w:widowControl/>
        <w:snapToGrid w:val="0"/>
        <w:spacing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4.3.2.1对招标文件提出质疑的，质疑期限为供应商获得招标文件之日或者招标文件公告期限届满之日起计算。</w:t>
      </w:r>
    </w:p>
    <w:p w14:paraId="28800385">
      <w:pPr>
        <w:spacing w:line="360" w:lineRule="auto"/>
        <w:ind w:left="479" w:leftChars="228" w:firstLine="480"/>
        <w:rPr>
          <w:rFonts w:hint="eastAsia" w:ascii="宋体" w:hAnsi="宋体" w:cs="宋体"/>
          <w:snapToGrid w:val="0"/>
          <w:color w:val="auto"/>
          <w:sz w:val="24"/>
          <w:szCs w:val="21"/>
          <w:highlight w:val="none"/>
          <w14:ligatures w14:val="none"/>
        </w:rPr>
      </w:pPr>
      <w:r>
        <w:rPr>
          <w:rFonts w:hint="eastAsia" w:ascii="宋体" w:hAnsi="宋体" w:cs="宋体"/>
          <w:snapToGrid w:val="0"/>
          <w:color w:val="auto"/>
          <w:sz w:val="24"/>
          <w:szCs w:val="21"/>
          <w:highlight w:val="none"/>
          <w14:ligatures w14:val="none"/>
        </w:rPr>
        <w:t>4.3.2.2对采购过程提出质疑的，质疑期限为各采购程序环节结束之日起计算。4.3.2.3对采购结果提出质疑的，质疑期限自采购结果公告期限届满之日起计算。</w:t>
      </w:r>
    </w:p>
    <w:p w14:paraId="5213C561">
      <w:pPr>
        <w:spacing w:line="360" w:lineRule="auto"/>
        <w:ind w:firstLine="480" w:firstLineChars="200"/>
        <w:rPr>
          <w:rFonts w:hint="eastAsia" w:ascii="宋体" w:hAnsi="宋体" w:cs="宋体"/>
          <w:snapToGrid w:val="0"/>
          <w:color w:val="auto"/>
          <w:kern w:val="0"/>
          <w:sz w:val="24"/>
          <w:szCs w:val="21"/>
          <w:highlight w:val="none"/>
          <w:lang w:val="zh-CN"/>
          <w14:ligatures w14:val="none"/>
        </w:rPr>
      </w:pPr>
      <w:r>
        <w:rPr>
          <w:rFonts w:hint="eastAsia" w:ascii="宋体" w:hAnsi="宋体" w:cs="宋体"/>
          <w:snapToGrid w:val="0"/>
          <w:color w:val="auto"/>
          <w:kern w:val="0"/>
          <w:sz w:val="24"/>
          <w:szCs w:val="21"/>
          <w:highlight w:val="none"/>
          <w:lang w:val="zh-CN"/>
          <w14:ligatures w14:val="none"/>
        </w:rPr>
        <w:t>4.3.3</w:t>
      </w:r>
      <w:r>
        <w:rPr>
          <w:rFonts w:hint="eastAsia" w:ascii="宋体" w:hAnsi="宋体" w:cs="宋体"/>
          <w:snapToGrid w:val="0"/>
          <w:color w:val="auto"/>
          <w:sz w:val="24"/>
          <w:szCs w:val="21"/>
          <w:highlight w:val="none"/>
          <w14:ligatures w14:val="none"/>
        </w:rPr>
        <w:t>供应商提出质疑应当提交质疑函和必要的证明材料。质疑函应当包括下列内容：</w:t>
      </w:r>
    </w:p>
    <w:p w14:paraId="5B87FFB1">
      <w:pPr>
        <w:spacing w:line="360" w:lineRule="auto"/>
        <w:ind w:firstLine="480" w:firstLineChars="200"/>
        <w:rPr>
          <w:rFonts w:hint="eastAsia" w:ascii="宋体" w:hAnsi="宋体" w:cs="宋体"/>
          <w:snapToGrid w:val="0"/>
          <w:color w:val="auto"/>
          <w:kern w:val="0"/>
          <w:sz w:val="24"/>
          <w:szCs w:val="21"/>
          <w:highlight w:val="none"/>
          <w:lang w:val="zh-CN"/>
          <w14:ligatures w14:val="none"/>
        </w:rPr>
      </w:pPr>
      <w:r>
        <w:rPr>
          <w:rFonts w:hint="eastAsia" w:ascii="宋体" w:hAnsi="宋体" w:cs="宋体"/>
          <w:snapToGrid w:val="0"/>
          <w:color w:val="auto"/>
          <w:kern w:val="0"/>
          <w:sz w:val="24"/>
          <w:szCs w:val="21"/>
          <w:highlight w:val="none"/>
          <w:lang w:val="zh-CN"/>
          <w14:ligatures w14:val="none"/>
        </w:rPr>
        <w:t>　　4.3.3.1供应商的姓名或者名称、地址、邮编、联系人及联系电话；</w:t>
      </w:r>
    </w:p>
    <w:p w14:paraId="0B6900E5">
      <w:pPr>
        <w:spacing w:line="360" w:lineRule="auto"/>
        <w:ind w:firstLine="480" w:firstLineChars="200"/>
        <w:rPr>
          <w:rFonts w:hint="eastAsia" w:ascii="宋体" w:hAnsi="宋体" w:cs="宋体"/>
          <w:snapToGrid w:val="0"/>
          <w:color w:val="auto"/>
          <w:kern w:val="0"/>
          <w:sz w:val="24"/>
          <w:szCs w:val="21"/>
          <w:highlight w:val="none"/>
          <w:lang w:val="zh-CN"/>
          <w14:ligatures w14:val="none"/>
        </w:rPr>
      </w:pPr>
      <w:r>
        <w:rPr>
          <w:rFonts w:hint="eastAsia" w:ascii="宋体" w:hAnsi="宋体" w:cs="宋体"/>
          <w:snapToGrid w:val="0"/>
          <w:color w:val="auto"/>
          <w:kern w:val="0"/>
          <w:sz w:val="24"/>
          <w:szCs w:val="21"/>
          <w:highlight w:val="none"/>
          <w:lang w:val="zh-CN"/>
          <w14:ligatures w14:val="none"/>
        </w:rPr>
        <w:t>　　4.3.3.2质疑项目的名称、编号；</w:t>
      </w:r>
    </w:p>
    <w:p w14:paraId="565411A1">
      <w:pPr>
        <w:spacing w:line="360" w:lineRule="auto"/>
        <w:ind w:firstLine="480" w:firstLineChars="200"/>
        <w:rPr>
          <w:rFonts w:hint="eastAsia" w:ascii="宋体" w:hAnsi="宋体" w:cs="宋体"/>
          <w:snapToGrid w:val="0"/>
          <w:color w:val="auto"/>
          <w:kern w:val="0"/>
          <w:sz w:val="24"/>
          <w:szCs w:val="21"/>
          <w:highlight w:val="none"/>
          <w:lang w:val="zh-CN"/>
          <w14:ligatures w14:val="none"/>
        </w:rPr>
      </w:pPr>
      <w:r>
        <w:rPr>
          <w:rFonts w:hint="eastAsia" w:ascii="宋体" w:hAnsi="宋体" w:cs="宋体"/>
          <w:snapToGrid w:val="0"/>
          <w:color w:val="auto"/>
          <w:kern w:val="0"/>
          <w:sz w:val="24"/>
          <w:szCs w:val="21"/>
          <w:highlight w:val="none"/>
          <w:lang w:val="zh-CN"/>
          <w14:ligatures w14:val="none"/>
        </w:rPr>
        <w:t>　　4.3.3.3具体、明确的质疑事项和与质疑事项相关的请求；</w:t>
      </w:r>
    </w:p>
    <w:p w14:paraId="72352F6B">
      <w:pPr>
        <w:spacing w:line="360" w:lineRule="auto"/>
        <w:ind w:firstLine="480" w:firstLineChars="200"/>
        <w:rPr>
          <w:rFonts w:hint="eastAsia" w:ascii="宋体" w:hAnsi="宋体" w:cs="宋体"/>
          <w:snapToGrid w:val="0"/>
          <w:color w:val="auto"/>
          <w:kern w:val="0"/>
          <w:sz w:val="24"/>
          <w:szCs w:val="21"/>
          <w:highlight w:val="none"/>
          <w:lang w:val="zh-CN"/>
          <w14:ligatures w14:val="none"/>
        </w:rPr>
      </w:pPr>
      <w:r>
        <w:rPr>
          <w:rFonts w:hint="eastAsia" w:ascii="宋体" w:hAnsi="宋体" w:cs="宋体"/>
          <w:snapToGrid w:val="0"/>
          <w:color w:val="auto"/>
          <w:kern w:val="0"/>
          <w:sz w:val="24"/>
          <w:szCs w:val="21"/>
          <w:highlight w:val="none"/>
          <w:lang w:val="zh-CN"/>
          <w14:ligatures w14:val="none"/>
        </w:rPr>
        <w:t>　　4.3.3.4事实依据；</w:t>
      </w:r>
    </w:p>
    <w:p w14:paraId="7D690538">
      <w:pPr>
        <w:spacing w:line="360" w:lineRule="auto"/>
        <w:ind w:firstLine="480" w:firstLineChars="200"/>
        <w:rPr>
          <w:rFonts w:hint="eastAsia" w:ascii="宋体" w:hAnsi="宋体" w:cs="宋体"/>
          <w:snapToGrid w:val="0"/>
          <w:color w:val="auto"/>
          <w:kern w:val="0"/>
          <w:sz w:val="24"/>
          <w:szCs w:val="21"/>
          <w:highlight w:val="none"/>
          <w:lang w:val="zh-CN"/>
          <w14:ligatures w14:val="none"/>
        </w:rPr>
      </w:pPr>
      <w:r>
        <w:rPr>
          <w:rFonts w:hint="eastAsia" w:ascii="宋体" w:hAnsi="宋体" w:cs="宋体"/>
          <w:snapToGrid w:val="0"/>
          <w:color w:val="auto"/>
          <w:kern w:val="0"/>
          <w:sz w:val="24"/>
          <w:szCs w:val="21"/>
          <w:highlight w:val="none"/>
          <w:lang w:val="zh-CN"/>
          <w14:ligatures w14:val="none"/>
        </w:rPr>
        <w:t>　　4.3.3.5必要的法律依据；</w:t>
      </w:r>
    </w:p>
    <w:p w14:paraId="40FA1E2B">
      <w:pPr>
        <w:spacing w:line="360" w:lineRule="auto"/>
        <w:ind w:firstLine="960" w:firstLineChars="400"/>
        <w:rPr>
          <w:rFonts w:hint="eastAsia" w:ascii="宋体" w:hAnsi="宋体" w:cs="宋体"/>
          <w:snapToGrid w:val="0"/>
          <w:color w:val="auto"/>
          <w:kern w:val="0"/>
          <w:sz w:val="24"/>
          <w:szCs w:val="21"/>
          <w:highlight w:val="none"/>
          <w:lang w:val="zh-CN"/>
          <w14:ligatures w14:val="none"/>
        </w:rPr>
      </w:pPr>
      <w:r>
        <w:rPr>
          <w:rFonts w:hint="eastAsia" w:ascii="宋体" w:hAnsi="宋体" w:cs="宋体"/>
          <w:snapToGrid w:val="0"/>
          <w:color w:val="auto"/>
          <w:kern w:val="0"/>
          <w:sz w:val="24"/>
          <w:szCs w:val="21"/>
          <w:highlight w:val="none"/>
          <w:lang w:val="zh-CN"/>
          <w14:ligatures w14:val="none"/>
        </w:rPr>
        <w:t>4.3.3.6提出质疑的日期。</w:t>
      </w:r>
    </w:p>
    <w:p w14:paraId="566435F4">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供应商提交的质疑函需一式三份。供应商为自然人的，应当由本人签字；供应商为法人或者其他组织的，应当由法定代表人、主要负责人，或者其授权代表签字或者盖章，并加盖公章。</w:t>
      </w:r>
    </w:p>
    <w:p w14:paraId="5D76C5C7">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质疑函范本及制作说明详见附件2。</w:t>
      </w:r>
    </w:p>
    <w:p w14:paraId="308E51F7">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4.3.4对同一采购程序环节的质疑，供应商须在法定质疑期内一次性提出。</w:t>
      </w:r>
    </w:p>
    <w:p w14:paraId="5EEB2F12">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lang w:val="zh-CN"/>
          <w14:ligatures w14:val="none"/>
        </w:rPr>
        <w:t>4.3</w:t>
      </w:r>
      <w:r>
        <w:rPr>
          <w:rFonts w:hint="eastAsia" w:ascii="宋体" w:hAnsi="宋体" w:cs="宋体"/>
          <w:color w:val="auto"/>
          <w:kern w:val="0"/>
          <w:sz w:val="24"/>
          <w:highlight w:val="none"/>
          <w14:ligatures w14: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F79A42C">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4.3.6询问或者质疑事项可能影响采购结果的，采购人应当暂停签订合同，已经签订合同的，应当中止履行合同。</w:t>
      </w:r>
    </w:p>
    <w:p w14:paraId="789C15A1">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4.4供应商投诉</w:t>
      </w:r>
    </w:p>
    <w:p w14:paraId="16F6C630">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lang w:val="zh-CN"/>
          <w14:ligatures w14:val="none"/>
        </w:rPr>
      </w:pPr>
      <w:r>
        <w:rPr>
          <w:rFonts w:hint="eastAsia" w:ascii="宋体" w:hAnsi="宋体" w:cs="宋体"/>
          <w:color w:val="auto"/>
          <w:kern w:val="0"/>
          <w:sz w:val="24"/>
          <w:highlight w:val="none"/>
          <w:lang w:val="zh-CN"/>
          <w14:ligatures w14:val="none"/>
        </w:rPr>
        <w:t>4.4.1质疑供应商对采购人、采购代理机构的答复不满意或者采购人、采购代理机构未在规定的时间内作出答复的，可以在答复期满后十五个工作日内向同级政府采购监督管理部门提出投诉。</w:t>
      </w:r>
    </w:p>
    <w:p w14:paraId="141DED4A">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4.4.</w:t>
      </w:r>
      <w:r>
        <w:rPr>
          <w:rFonts w:hint="eastAsia" w:ascii="宋体" w:hAnsi="宋体" w:cs="宋体"/>
          <w:color w:val="auto"/>
          <w:kern w:val="0"/>
          <w:sz w:val="24"/>
          <w:highlight w:val="none"/>
          <w:lang w:val="zh-CN"/>
          <w14:ligatures w14:val="none"/>
        </w:rPr>
        <w:t>2</w:t>
      </w:r>
      <w:r>
        <w:rPr>
          <w:rFonts w:hint="eastAsia" w:ascii="宋体" w:hAnsi="宋体" w:cs="宋体"/>
          <w:color w:val="auto"/>
          <w:kern w:val="0"/>
          <w:sz w:val="24"/>
          <w:highlight w:val="none"/>
          <w14:ligatures w14:val="none"/>
        </w:rPr>
        <w:t>供应商投诉的事项不得超出已质疑事项的范围，基于质疑答复内容提出的投诉事项除外。</w:t>
      </w:r>
    </w:p>
    <w:p w14:paraId="5B24FF28">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4.4.3供应商投诉应当有明确的请求和必要的证明材料。</w:t>
      </w:r>
    </w:p>
    <w:p w14:paraId="355D821D">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4.4.4以联合体形式参加政府采购活动的，其投诉应当由组成联合体的所有供应商共同提出。</w:t>
      </w:r>
    </w:p>
    <w:p w14:paraId="5F55718B">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BF1C79F">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投诉书范本及制作说明详见附件3。</w:t>
      </w:r>
    </w:p>
    <w:p w14:paraId="35840EB5">
      <w:pPr>
        <w:widowControl/>
        <w:shd w:val="clear" w:color="auto" w:fill="FFFFFF"/>
        <w:adjustRightInd/>
        <w:snapToGrid w:val="0"/>
        <w:spacing w:before="120" w:beforeAutospacing="1" w:after="120" w:afterAutospacing="1"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4.5 补偿救济</w:t>
      </w:r>
    </w:p>
    <w:p w14:paraId="2634F79E">
      <w:pPr>
        <w:widowControl/>
        <w:shd w:val="clear" w:color="auto" w:fill="FFFFFF"/>
        <w:adjustRightInd/>
        <w:snapToGrid w:val="0"/>
        <w:spacing w:before="120" w:beforeAutospacing="1" w:after="120" w:line="360" w:lineRule="auto"/>
        <w:ind w:firstLine="480"/>
        <w:contextualSpacing/>
        <w:jc w:val="left"/>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采购人（行政机关）因政策变化、规划调整而不履行政府采购合同的，供应商可依据《杭州市涉企补偿救济实施办法（试行）》向采购人（行政机关）提起补偿申请。</w:t>
      </w:r>
    </w:p>
    <w:p w14:paraId="590C3546">
      <w:pPr>
        <w:snapToGrid w:val="0"/>
        <w:spacing w:before="120" w:line="360" w:lineRule="auto"/>
        <w:ind w:firstLine="360" w:firstLineChars="200"/>
        <w:rPr>
          <w:rFonts w:hint="eastAsia" w:ascii="宋体" w:hAnsi="宋体" w:cs="宋体"/>
          <w:color w:val="auto"/>
          <w:sz w:val="18"/>
          <w:szCs w:val="18"/>
          <w:highlight w:val="none"/>
          <w14:ligatures w14:val="none"/>
        </w:rPr>
      </w:pPr>
    </w:p>
    <w:p w14:paraId="4464A635">
      <w:pPr>
        <w:adjustRightInd/>
        <w:spacing w:line="360" w:lineRule="auto"/>
        <w:ind w:firstLine="643"/>
        <w:jc w:val="center"/>
        <w:outlineLvl w:val="0"/>
        <w:rPr>
          <w:rFonts w:hint="eastAsia" w:ascii="宋体" w:hAnsi="宋体" w:cs="宋体"/>
          <w:b/>
          <w:color w:val="auto"/>
          <w:sz w:val="32"/>
          <w:szCs w:val="20"/>
          <w:highlight w:val="none"/>
          <w14:ligatures w14:val="none"/>
        </w:rPr>
      </w:pPr>
      <w:r>
        <w:rPr>
          <w:rFonts w:hint="eastAsia" w:ascii="宋体" w:hAnsi="宋体" w:cs="宋体"/>
          <w:b/>
          <w:color w:val="auto"/>
          <w:sz w:val="32"/>
          <w:szCs w:val="20"/>
          <w:highlight w:val="none"/>
          <w14:ligatures w14:val="none"/>
        </w:rPr>
        <w:t>二、招标文件的构成、澄清、修改</w:t>
      </w:r>
    </w:p>
    <w:p w14:paraId="644908AF">
      <w:pPr>
        <w:spacing w:line="360" w:lineRule="auto"/>
        <w:ind w:firstLine="482"/>
        <w:rPr>
          <w:rFonts w:hint="eastAsia" w:ascii="宋体" w:hAnsi="宋体" w:cs="宋体"/>
          <w:b/>
          <w:snapToGrid w:val="0"/>
          <w:color w:val="auto"/>
          <w:sz w:val="24"/>
          <w:highlight w:val="none"/>
          <w14:ligatures w14:val="none"/>
        </w:rPr>
      </w:pPr>
      <w:r>
        <w:rPr>
          <w:rFonts w:hint="eastAsia" w:ascii="宋体" w:hAnsi="宋体" w:cs="宋体"/>
          <w:b/>
          <w:snapToGrid w:val="0"/>
          <w:color w:val="auto"/>
          <w:sz w:val="24"/>
          <w:highlight w:val="none"/>
          <w14:ligatures w14:val="none"/>
        </w:rPr>
        <w:t>5．招标文件的构成</w:t>
      </w:r>
    </w:p>
    <w:p w14:paraId="60DEFBB6">
      <w:pPr>
        <w:spacing w:line="360" w:lineRule="auto"/>
        <w:ind w:firstLine="480" w:firstLineChars="200"/>
        <w:rPr>
          <w:rFonts w:hint="eastAsia" w:ascii="宋体" w:hAnsi="宋体" w:cs="宋体"/>
          <w:snapToGrid w:val="0"/>
          <w:color w:val="auto"/>
          <w:sz w:val="24"/>
          <w:highlight w:val="none"/>
          <w14:ligatures w14:val="none"/>
        </w:rPr>
      </w:pPr>
      <w:r>
        <w:rPr>
          <w:rFonts w:hint="eastAsia" w:ascii="宋体" w:hAnsi="宋体" w:cs="宋体"/>
          <w:snapToGrid w:val="0"/>
          <w:color w:val="auto"/>
          <w:sz w:val="24"/>
          <w:highlight w:val="none"/>
          <w14:ligatures w14:val="none"/>
        </w:rPr>
        <w:t>5.1 招标文件包括下列文件及附件：</w:t>
      </w:r>
    </w:p>
    <w:p w14:paraId="656B62A9">
      <w:pPr>
        <w:tabs>
          <w:tab w:val="left" w:pos="840"/>
        </w:tabs>
        <w:spacing w:line="360" w:lineRule="auto"/>
        <w:ind w:firstLine="960" w:firstLineChars="400"/>
        <w:rPr>
          <w:rFonts w:hint="eastAsia" w:ascii="宋体" w:hAnsi="宋体" w:cs="宋体"/>
          <w:snapToGrid w:val="0"/>
          <w:color w:val="auto"/>
          <w:sz w:val="24"/>
          <w:highlight w:val="none"/>
          <w14:ligatures w14:val="none"/>
        </w:rPr>
      </w:pPr>
      <w:r>
        <w:rPr>
          <w:rFonts w:hint="eastAsia" w:ascii="宋体" w:hAnsi="宋体" w:cs="宋体"/>
          <w:snapToGrid w:val="0"/>
          <w:color w:val="auto"/>
          <w:sz w:val="24"/>
          <w:highlight w:val="none"/>
          <w14:ligatures w14:val="none"/>
        </w:rPr>
        <w:t>5.1.1招标公告；</w:t>
      </w:r>
    </w:p>
    <w:p w14:paraId="63B4DCA9">
      <w:pPr>
        <w:tabs>
          <w:tab w:val="left" w:pos="840"/>
        </w:tabs>
        <w:spacing w:line="360" w:lineRule="auto"/>
        <w:ind w:firstLine="960" w:firstLineChars="400"/>
        <w:rPr>
          <w:rFonts w:hint="eastAsia" w:ascii="宋体" w:hAnsi="宋体" w:cs="宋体"/>
          <w:snapToGrid w:val="0"/>
          <w:color w:val="auto"/>
          <w:sz w:val="24"/>
          <w:highlight w:val="none"/>
          <w14:ligatures w14:val="none"/>
        </w:rPr>
      </w:pPr>
      <w:r>
        <w:rPr>
          <w:rFonts w:hint="eastAsia" w:ascii="宋体" w:hAnsi="宋体" w:cs="宋体"/>
          <w:snapToGrid w:val="0"/>
          <w:color w:val="auto"/>
          <w:sz w:val="24"/>
          <w:highlight w:val="none"/>
          <w14:ligatures w14:val="none"/>
        </w:rPr>
        <w:t>5.1.2投标人须知；</w:t>
      </w:r>
    </w:p>
    <w:p w14:paraId="2C82357C">
      <w:pPr>
        <w:tabs>
          <w:tab w:val="left" w:pos="840"/>
        </w:tabs>
        <w:spacing w:line="360" w:lineRule="auto"/>
        <w:ind w:firstLine="960" w:firstLineChars="400"/>
        <w:rPr>
          <w:rFonts w:hint="eastAsia" w:ascii="宋体" w:hAnsi="宋体" w:cs="宋体"/>
          <w:snapToGrid w:val="0"/>
          <w:color w:val="auto"/>
          <w:sz w:val="24"/>
          <w:highlight w:val="none"/>
          <w14:ligatures w14:val="none"/>
        </w:rPr>
      </w:pPr>
      <w:r>
        <w:rPr>
          <w:rFonts w:hint="eastAsia" w:ascii="宋体" w:hAnsi="宋体" w:cs="宋体"/>
          <w:snapToGrid w:val="0"/>
          <w:color w:val="auto"/>
          <w:sz w:val="24"/>
          <w:highlight w:val="none"/>
          <w14:ligatures w14:val="none"/>
        </w:rPr>
        <w:t>5.1.3采购需求；</w:t>
      </w:r>
    </w:p>
    <w:p w14:paraId="1A4A93B7">
      <w:pPr>
        <w:tabs>
          <w:tab w:val="left" w:pos="840"/>
        </w:tabs>
        <w:spacing w:line="360" w:lineRule="auto"/>
        <w:ind w:firstLine="960" w:firstLineChars="400"/>
        <w:rPr>
          <w:rFonts w:hint="eastAsia" w:ascii="宋体" w:hAnsi="宋体" w:cs="宋体"/>
          <w:snapToGrid w:val="0"/>
          <w:color w:val="auto"/>
          <w:sz w:val="24"/>
          <w:highlight w:val="none"/>
          <w14:ligatures w14:val="none"/>
        </w:rPr>
      </w:pPr>
      <w:r>
        <w:rPr>
          <w:rFonts w:hint="eastAsia" w:ascii="宋体" w:hAnsi="宋体" w:cs="宋体"/>
          <w:snapToGrid w:val="0"/>
          <w:color w:val="auto"/>
          <w:sz w:val="24"/>
          <w:highlight w:val="none"/>
          <w14:ligatures w14:val="none"/>
        </w:rPr>
        <w:t>5.1.4评标办法；</w:t>
      </w:r>
    </w:p>
    <w:p w14:paraId="3A1199C4">
      <w:pPr>
        <w:tabs>
          <w:tab w:val="left" w:pos="840"/>
        </w:tabs>
        <w:spacing w:line="360" w:lineRule="auto"/>
        <w:ind w:firstLine="960" w:firstLineChars="400"/>
        <w:rPr>
          <w:rFonts w:hint="eastAsia" w:ascii="宋体" w:hAnsi="宋体" w:cs="宋体"/>
          <w:snapToGrid w:val="0"/>
          <w:color w:val="auto"/>
          <w:sz w:val="24"/>
          <w:highlight w:val="none"/>
          <w14:ligatures w14:val="none"/>
        </w:rPr>
      </w:pPr>
      <w:r>
        <w:rPr>
          <w:rFonts w:hint="eastAsia" w:ascii="宋体" w:hAnsi="宋体" w:cs="宋体"/>
          <w:snapToGrid w:val="0"/>
          <w:color w:val="auto"/>
          <w:sz w:val="24"/>
          <w:highlight w:val="none"/>
          <w14:ligatures w14:val="none"/>
        </w:rPr>
        <w:t>5.1.5拟签订的合同文本；</w:t>
      </w:r>
    </w:p>
    <w:p w14:paraId="5044B637">
      <w:pPr>
        <w:tabs>
          <w:tab w:val="left" w:pos="840"/>
        </w:tabs>
        <w:spacing w:line="360" w:lineRule="auto"/>
        <w:ind w:firstLine="960" w:firstLineChars="400"/>
        <w:rPr>
          <w:rFonts w:hint="eastAsia" w:ascii="宋体" w:hAnsi="宋体" w:cs="宋体"/>
          <w:snapToGrid w:val="0"/>
          <w:color w:val="auto"/>
          <w:sz w:val="24"/>
          <w:highlight w:val="none"/>
          <w14:ligatures w14:val="none"/>
        </w:rPr>
      </w:pPr>
      <w:r>
        <w:rPr>
          <w:rFonts w:hint="eastAsia" w:ascii="宋体" w:hAnsi="宋体" w:cs="宋体"/>
          <w:snapToGrid w:val="0"/>
          <w:color w:val="auto"/>
          <w:sz w:val="24"/>
          <w:szCs w:val="21"/>
          <w:highlight w:val="none"/>
          <w14:ligatures w14:val="none"/>
        </w:rPr>
        <w:t>5.1.6</w:t>
      </w:r>
      <w:r>
        <w:rPr>
          <w:rFonts w:hint="eastAsia" w:ascii="宋体" w:hAnsi="宋体" w:cs="宋体"/>
          <w:snapToGrid w:val="0"/>
          <w:color w:val="auto"/>
          <w:sz w:val="24"/>
          <w:highlight w:val="none"/>
          <w14:ligatures w14:val="none"/>
        </w:rPr>
        <w:t>应提交的有关格式范例。</w:t>
      </w:r>
    </w:p>
    <w:p w14:paraId="770F36CA">
      <w:pPr>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5.2与本项目有关的</w:t>
      </w:r>
      <w:r>
        <w:rPr>
          <w:rFonts w:hint="eastAsia" w:ascii="宋体" w:hAnsi="宋体" w:cs="宋体"/>
          <w:bCs/>
          <w:color w:val="auto"/>
          <w:sz w:val="24"/>
          <w:highlight w:val="none"/>
          <w14:ligatures w14:val="none"/>
        </w:rPr>
        <w:t>澄清或者修改的内容为招标文件的组成部分</w:t>
      </w:r>
      <w:r>
        <w:rPr>
          <w:rFonts w:hint="eastAsia" w:ascii="宋体" w:hAnsi="宋体" w:cs="宋体"/>
          <w:color w:val="auto"/>
          <w:sz w:val="24"/>
          <w:highlight w:val="none"/>
          <w14:ligatures w14:val="none"/>
        </w:rPr>
        <w:t>。</w:t>
      </w:r>
    </w:p>
    <w:p w14:paraId="1DB5E948">
      <w:pPr>
        <w:spacing w:line="360" w:lineRule="auto"/>
        <w:ind w:firstLine="482"/>
        <w:rPr>
          <w:rFonts w:hint="eastAsia" w:ascii="宋体" w:hAnsi="宋体" w:cs="宋体"/>
          <w:b/>
          <w:snapToGrid w:val="0"/>
          <w:color w:val="auto"/>
          <w:sz w:val="24"/>
          <w:highlight w:val="none"/>
          <w14:ligatures w14:val="none"/>
        </w:rPr>
      </w:pPr>
      <w:r>
        <w:rPr>
          <w:rFonts w:hint="eastAsia" w:ascii="宋体" w:hAnsi="宋体" w:cs="宋体"/>
          <w:b/>
          <w:snapToGrid w:val="0"/>
          <w:color w:val="auto"/>
          <w:sz w:val="24"/>
          <w:highlight w:val="none"/>
          <w14:ligatures w14:val="none"/>
        </w:rPr>
        <w:t>6. 招标文件的澄清、修改</w:t>
      </w:r>
    </w:p>
    <w:p w14:paraId="66C33968">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6.1已获取招标文件的潜在投标人，若有问题需要澄清，应于投标截止时间前，以书面形式向采购代理机构提出。</w:t>
      </w:r>
    </w:p>
    <w:p w14:paraId="6A7E4B35">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1816D6">
      <w:pPr>
        <w:autoSpaceDE w:val="0"/>
        <w:autoSpaceDN w:val="0"/>
        <w:spacing w:line="360" w:lineRule="auto"/>
        <w:ind w:firstLine="480"/>
        <w:rPr>
          <w:rFonts w:hint="eastAsia" w:ascii="宋体" w:hAnsi="宋体" w:cs="宋体"/>
          <w:snapToGrid w:val="0"/>
          <w:color w:val="auto"/>
          <w:sz w:val="18"/>
          <w:szCs w:val="18"/>
          <w:highlight w:val="none"/>
          <w14:ligatures w14:val="none"/>
        </w:rPr>
      </w:pPr>
      <w:r>
        <w:rPr>
          <w:rFonts w:hint="eastAsia" w:ascii="宋体" w:hAnsi="宋体" w:cs="宋体"/>
          <w:snapToGrid w:val="0"/>
          <w:color w:val="auto"/>
          <w:sz w:val="24"/>
          <w:highlight w:val="none"/>
          <w14:ligatures w14:val="none"/>
        </w:rPr>
        <w:t xml:space="preserve">    </w:t>
      </w:r>
    </w:p>
    <w:p w14:paraId="5930B667">
      <w:pPr>
        <w:adjustRightInd/>
        <w:spacing w:line="360" w:lineRule="auto"/>
        <w:ind w:firstLine="602"/>
        <w:jc w:val="center"/>
        <w:outlineLvl w:val="0"/>
        <w:rPr>
          <w:rFonts w:hint="eastAsia" w:ascii="宋体" w:hAnsi="宋体" w:cs="宋体"/>
          <w:b/>
          <w:color w:val="auto"/>
          <w:sz w:val="30"/>
          <w:szCs w:val="20"/>
          <w:highlight w:val="none"/>
          <w14:ligatures w14:val="none"/>
        </w:rPr>
      </w:pPr>
      <w:r>
        <w:rPr>
          <w:rFonts w:hint="eastAsia" w:ascii="宋体" w:hAnsi="宋体" w:cs="宋体"/>
          <w:b/>
          <w:color w:val="auto"/>
          <w:sz w:val="30"/>
          <w:szCs w:val="20"/>
          <w:highlight w:val="none"/>
          <w14:ligatures w14:val="none"/>
        </w:rPr>
        <w:t>三、投标</w:t>
      </w:r>
    </w:p>
    <w:p w14:paraId="3CD28321">
      <w:pPr>
        <w:spacing w:line="360" w:lineRule="auto"/>
        <w:ind w:firstLine="482"/>
        <w:rPr>
          <w:rFonts w:hint="eastAsia" w:ascii="宋体" w:hAnsi="宋体" w:cs="宋体"/>
          <w:b/>
          <w:snapToGrid w:val="0"/>
          <w:color w:val="auto"/>
          <w:sz w:val="24"/>
          <w:highlight w:val="none"/>
          <w14:ligatures w14:val="none"/>
        </w:rPr>
      </w:pPr>
      <w:r>
        <w:rPr>
          <w:rFonts w:hint="eastAsia" w:ascii="宋体" w:hAnsi="宋体" w:cs="宋体"/>
          <w:b/>
          <w:snapToGrid w:val="0"/>
          <w:color w:val="auto"/>
          <w:sz w:val="24"/>
          <w:highlight w:val="none"/>
          <w14:ligatures w14:val="none"/>
        </w:rPr>
        <w:t>7. 招标文件的获取</w:t>
      </w:r>
    </w:p>
    <w:p w14:paraId="72FD7089">
      <w:pPr>
        <w:spacing w:line="360" w:lineRule="auto"/>
        <w:ind w:firstLine="480" w:firstLineChars="200"/>
        <w:rPr>
          <w:rFonts w:hint="eastAsia" w:ascii="宋体" w:hAnsi="宋体" w:cs="宋体"/>
          <w:snapToGrid w:val="0"/>
          <w:color w:val="auto"/>
          <w:kern w:val="28"/>
          <w:sz w:val="24"/>
          <w:highlight w:val="none"/>
          <w14:ligatures w14:val="none"/>
        </w:rPr>
      </w:pPr>
      <w:r>
        <w:rPr>
          <w:rFonts w:hint="eastAsia" w:ascii="宋体" w:hAnsi="宋体" w:cs="宋体"/>
          <w:snapToGrid w:val="0"/>
          <w:color w:val="auto"/>
          <w:kern w:val="28"/>
          <w:sz w:val="24"/>
          <w:highlight w:val="none"/>
          <w14:ligatures w14:val="none"/>
        </w:rPr>
        <w:t>详见招标公告中获取招标文件的时间期限、地点、方式及招标文件售价。</w:t>
      </w:r>
    </w:p>
    <w:p w14:paraId="7FD33904">
      <w:pPr>
        <w:spacing w:line="360" w:lineRule="auto"/>
        <w:ind w:firstLine="482"/>
        <w:rPr>
          <w:rFonts w:hint="eastAsia" w:ascii="宋体" w:hAnsi="宋体" w:cs="宋体"/>
          <w:b/>
          <w:snapToGrid w:val="0"/>
          <w:color w:val="auto"/>
          <w:sz w:val="24"/>
          <w:highlight w:val="none"/>
          <w14:ligatures w14:val="none"/>
        </w:rPr>
      </w:pPr>
      <w:r>
        <w:rPr>
          <w:rFonts w:hint="eastAsia" w:ascii="宋体" w:hAnsi="宋体" w:cs="宋体"/>
          <w:b/>
          <w:snapToGrid w:val="0"/>
          <w:color w:val="auto"/>
          <w:sz w:val="24"/>
          <w:highlight w:val="none"/>
          <w14:ligatures w14:val="none"/>
        </w:rPr>
        <w:t>8.开标前答疑会或现场考察</w:t>
      </w:r>
    </w:p>
    <w:p w14:paraId="653F5B64">
      <w:pPr>
        <w:spacing w:line="360" w:lineRule="auto"/>
        <w:ind w:firstLine="480" w:firstLineChars="200"/>
        <w:rPr>
          <w:rFonts w:hint="eastAsia" w:ascii="宋体" w:hAnsi="宋体" w:cs="宋体"/>
          <w:snapToGrid w:val="0"/>
          <w:color w:val="auto"/>
          <w:sz w:val="24"/>
          <w:highlight w:val="none"/>
          <w14:ligatures w14:val="none"/>
        </w:rPr>
      </w:pPr>
      <w:r>
        <w:rPr>
          <w:rFonts w:hint="eastAsia" w:ascii="宋体" w:hAnsi="宋体" w:cs="宋体"/>
          <w:snapToGrid w:val="0"/>
          <w:color w:val="auto"/>
          <w:sz w:val="24"/>
          <w:highlight w:val="none"/>
          <w14:ligatures w14:val="none"/>
        </w:rPr>
        <w:t>采购人组织潜在投标人现场考察或者召开开标前答疑会的，潜在投标人按第二部分投标人须知前附表的规定参加现场考察或者开标前答疑会。</w:t>
      </w:r>
    </w:p>
    <w:p w14:paraId="4AA1FECB">
      <w:pPr>
        <w:spacing w:line="360" w:lineRule="auto"/>
        <w:ind w:firstLine="482"/>
        <w:rPr>
          <w:rFonts w:hint="eastAsia" w:ascii="宋体" w:hAnsi="宋体" w:cs="宋体"/>
          <w:b/>
          <w:snapToGrid w:val="0"/>
          <w:color w:val="auto"/>
          <w:highlight w:val="none"/>
          <w14:ligatures w14:val="none"/>
        </w:rPr>
      </w:pPr>
      <w:r>
        <w:rPr>
          <w:rFonts w:hint="eastAsia" w:ascii="宋体" w:hAnsi="宋体" w:cs="宋体"/>
          <w:b/>
          <w:snapToGrid w:val="0"/>
          <w:color w:val="auto"/>
          <w:kern w:val="28"/>
          <w:sz w:val="24"/>
          <w:highlight w:val="none"/>
          <w14:ligatures w14:val="none"/>
        </w:rPr>
        <w:t>9.投标保证金</w:t>
      </w:r>
    </w:p>
    <w:p w14:paraId="43B88810">
      <w:pPr>
        <w:widowControl/>
        <w:snapToGrid w:val="0"/>
        <w:spacing w:line="360" w:lineRule="auto"/>
        <w:ind w:firstLine="470" w:firstLineChars="196"/>
        <w:rPr>
          <w:rFonts w:hint="eastAsia" w:ascii="宋体" w:hAnsi="宋体" w:cs="宋体"/>
          <w:snapToGrid w:val="0"/>
          <w:color w:val="auto"/>
          <w:kern w:val="28"/>
          <w:sz w:val="24"/>
          <w:szCs w:val="20"/>
          <w:highlight w:val="none"/>
          <w14:ligatures w14:val="none"/>
        </w:rPr>
      </w:pPr>
      <w:r>
        <w:rPr>
          <w:rFonts w:hint="eastAsia" w:ascii="宋体" w:hAnsi="宋体" w:cs="宋体"/>
          <w:snapToGrid w:val="0"/>
          <w:kern w:val="28"/>
          <w:sz w:val="24"/>
          <w:szCs w:val="20"/>
          <w:highlight w:val="none"/>
          <w14:ligatures w14:val="none"/>
        </w:rPr>
        <w:t>本项目不需缴纳投标保证金</w:t>
      </w:r>
      <w:r>
        <w:rPr>
          <w:rFonts w:hint="eastAsia" w:ascii="宋体" w:hAnsi="宋体" w:cs="宋体"/>
          <w:snapToGrid w:val="0"/>
          <w:color w:val="auto"/>
          <w:kern w:val="28"/>
          <w:sz w:val="24"/>
          <w:szCs w:val="20"/>
          <w:highlight w:val="none"/>
          <w14:ligatures w14:val="none"/>
        </w:rPr>
        <w:t>。</w:t>
      </w:r>
    </w:p>
    <w:p w14:paraId="1948B13F">
      <w:pPr>
        <w:spacing w:line="360" w:lineRule="auto"/>
        <w:ind w:firstLine="482"/>
        <w:rPr>
          <w:rFonts w:hint="eastAsia" w:ascii="宋体" w:hAnsi="宋体" w:cs="宋体"/>
          <w:b/>
          <w:snapToGrid w:val="0"/>
          <w:color w:val="auto"/>
          <w:sz w:val="24"/>
          <w:highlight w:val="none"/>
          <w14:ligatures w14:val="none"/>
        </w:rPr>
      </w:pPr>
      <w:r>
        <w:rPr>
          <w:rFonts w:hint="eastAsia" w:ascii="宋体" w:hAnsi="宋体" w:cs="宋体"/>
          <w:b/>
          <w:snapToGrid w:val="0"/>
          <w:color w:val="auto"/>
          <w:sz w:val="24"/>
          <w:highlight w:val="none"/>
          <w14:ligatures w14:val="none"/>
        </w:rPr>
        <w:t>10. 投标文件的语言</w:t>
      </w:r>
    </w:p>
    <w:p w14:paraId="14C472CA">
      <w:pPr>
        <w:autoSpaceDE w:val="0"/>
        <w:autoSpaceDN w:val="0"/>
        <w:spacing w:line="360" w:lineRule="auto"/>
        <w:ind w:firstLine="480" w:firstLineChars="200"/>
        <w:rPr>
          <w:rFonts w:hint="eastAsia" w:ascii="宋体" w:hAnsi="宋体" w:cs="宋体"/>
          <w:color w:val="auto"/>
          <w:sz w:val="24"/>
          <w:highlight w:val="none"/>
          <w:lang w:val="zh-CN"/>
          <w14:ligatures w14:val="none"/>
        </w:rPr>
      </w:pPr>
      <w:r>
        <w:rPr>
          <w:rFonts w:hint="eastAsia" w:ascii="宋体" w:hAnsi="宋体" w:cs="宋体"/>
          <w:color w:val="auto"/>
          <w:sz w:val="24"/>
          <w:highlight w:val="none"/>
          <w14:ligatures w14:val="none"/>
        </w:rPr>
        <w:t>投标文件及投标人与采购有关的来往通知、函件和文件均应使用中文。</w:t>
      </w:r>
    </w:p>
    <w:p w14:paraId="4F746C00">
      <w:pPr>
        <w:spacing w:line="360" w:lineRule="auto"/>
        <w:ind w:firstLine="482"/>
        <w:rPr>
          <w:rFonts w:hint="eastAsia" w:ascii="宋体" w:hAnsi="宋体" w:cs="宋体"/>
          <w:b/>
          <w:snapToGrid w:val="0"/>
          <w:color w:val="auto"/>
          <w:sz w:val="24"/>
          <w:highlight w:val="none"/>
          <w14:ligatures w14:val="none"/>
        </w:rPr>
      </w:pPr>
      <w:r>
        <w:rPr>
          <w:rFonts w:hint="eastAsia" w:ascii="宋体" w:hAnsi="宋体" w:cs="宋体"/>
          <w:b/>
          <w:snapToGrid w:val="0"/>
          <w:color w:val="auto"/>
          <w:sz w:val="24"/>
          <w:highlight w:val="none"/>
          <w14:ligatures w14:val="none"/>
        </w:rPr>
        <w:t>11. 投标文件的组成</w:t>
      </w:r>
    </w:p>
    <w:p w14:paraId="406013D1">
      <w:pPr>
        <w:snapToGrid w:val="0"/>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11.1</w:t>
      </w:r>
      <w:r>
        <w:rPr>
          <w:rFonts w:hint="eastAsia" w:ascii="宋体" w:hAnsi="宋体" w:cs="宋体"/>
          <w:b/>
          <w:color w:val="auto"/>
          <w:sz w:val="24"/>
          <w:highlight w:val="none"/>
          <w14:ligatures w14:val="none"/>
        </w:rPr>
        <w:t>资格文件</w:t>
      </w:r>
      <w:r>
        <w:rPr>
          <w:rFonts w:hint="eastAsia" w:ascii="宋体" w:hAnsi="宋体" w:cs="宋体"/>
          <w:color w:val="auto"/>
          <w:sz w:val="24"/>
          <w:highlight w:val="none"/>
          <w14:ligatures w14:val="none"/>
        </w:rPr>
        <w:t>：</w:t>
      </w:r>
    </w:p>
    <w:p w14:paraId="40E50E45">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11.1.1符合参加政府采购活动应当具备的一般条件的承诺函；</w:t>
      </w:r>
    </w:p>
    <w:p w14:paraId="2E6142A3">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w:t>
      </w:r>
      <w:r>
        <w:rPr>
          <w:rFonts w:ascii="宋体" w:hAnsi="宋体" w:cs="宋体"/>
          <w:color w:val="auto"/>
          <w:sz w:val="24"/>
          <w:highlight w:val="none"/>
          <w14:ligatures w14:val="none"/>
        </w:rPr>
        <w:t>1.1.2</w:t>
      </w:r>
      <w:r>
        <w:rPr>
          <w:rFonts w:hint="eastAsia" w:ascii="宋体" w:hAnsi="宋体" w:cs="宋体"/>
          <w:snapToGrid w:val="0"/>
          <w:color w:val="auto"/>
          <w:kern w:val="28"/>
          <w:sz w:val="24"/>
          <w:szCs w:val="20"/>
          <w:highlight w:val="none"/>
          <w14:ligatures w14:val="none"/>
        </w:rPr>
        <w:t>联合协议（如果有)；</w:t>
      </w:r>
    </w:p>
    <w:p w14:paraId="64462B53">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11.1.</w:t>
      </w:r>
      <w:r>
        <w:rPr>
          <w:rFonts w:ascii="宋体" w:hAnsi="宋体" w:cs="宋体"/>
          <w:color w:val="auto"/>
          <w:sz w:val="24"/>
          <w:highlight w:val="none"/>
          <w14:ligatures w14:val="none"/>
        </w:rPr>
        <w:t>3</w:t>
      </w:r>
      <w:r>
        <w:rPr>
          <w:rFonts w:hint="eastAsia" w:ascii="宋体" w:hAnsi="宋体" w:cs="宋体"/>
          <w:color w:val="auto"/>
          <w:sz w:val="24"/>
          <w:highlight w:val="none"/>
          <w14:ligatures w14:val="none"/>
        </w:rPr>
        <w:t>落实政府采购政策需满足的资格要求</w:t>
      </w:r>
      <w:r>
        <w:rPr>
          <w:rFonts w:hint="eastAsia" w:ascii="宋体" w:hAnsi="宋体" w:cs="宋体"/>
          <w:snapToGrid w:val="0"/>
          <w:color w:val="auto"/>
          <w:kern w:val="28"/>
          <w:sz w:val="24"/>
          <w:szCs w:val="20"/>
          <w:highlight w:val="none"/>
          <w14:ligatures w14:val="none"/>
        </w:rPr>
        <w:t>（如果有)</w:t>
      </w:r>
      <w:r>
        <w:rPr>
          <w:rFonts w:hint="eastAsia" w:ascii="宋体" w:hAnsi="宋体" w:cs="宋体"/>
          <w:color w:val="auto"/>
          <w:sz w:val="24"/>
          <w:highlight w:val="none"/>
          <w14:ligatures w14:val="none"/>
        </w:rPr>
        <w:t>；</w:t>
      </w:r>
    </w:p>
    <w:p w14:paraId="72F8ED42">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11.1.</w:t>
      </w:r>
      <w:r>
        <w:rPr>
          <w:rFonts w:ascii="宋体" w:hAnsi="宋体" w:cs="宋体"/>
          <w:color w:val="auto"/>
          <w:sz w:val="24"/>
          <w:highlight w:val="none"/>
          <w14:ligatures w14:val="none"/>
        </w:rPr>
        <w:t>4</w:t>
      </w:r>
      <w:r>
        <w:rPr>
          <w:rFonts w:hint="eastAsia" w:ascii="宋体" w:hAnsi="宋体" w:cs="宋体"/>
          <w:color w:val="auto"/>
          <w:sz w:val="24"/>
          <w:highlight w:val="none"/>
          <w14:ligatures w14:val="none"/>
        </w:rPr>
        <w:t>本项目的特定资格要求</w:t>
      </w:r>
      <w:r>
        <w:rPr>
          <w:rFonts w:hint="eastAsia" w:ascii="宋体" w:hAnsi="宋体" w:cs="宋体"/>
          <w:snapToGrid w:val="0"/>
          <w:color w:val="auto"/>
          <w:kern w:val="28"/>
          <w:sz w:val="24"/>
          <w:szCs w:val="20"/>
          <w:highlight w:val="none"/>
          <w14:ligatures w14:val="none"/>
        </w:rPr>
        <w:t>（如果有)</w:t>
      </w:r>
      <w:r>
        <w:rPr>
          <w:rFonts w:hint="eastAsia" w:ascii="宋体" w:hAnsi="宋体" w:cs="宋体"/>
          <w:color w:val="auto"/>
          <w:sz w:val="24"/>
          <w:highlight w:val="none"/>
          <w14:ligatures w14:val="none"/>
        </w:rPr>
        <w:t>。</w:t>
      </w:r>
    </w:p>
    <w:p w14:paraId="52B30293">
      <w:pPr>
        <w:snapToGrid w:val="0"/>
        <w:spacing w:line="360" w:lineRule="auto"/>
        <w:ind w:firstLine="480" w:firstLineChars="200"/>
        <w:rPr>
          <w:rFonts w:hint="eastAsia" w:ascii="宋体" w:hAnsi="宋体" w:cs="宋体"/>
          <w:color w:val="auto"/>
          <w:sz w:val="24"/>
          <w:highlight w:val="none"/>
          <w:lang w:val="zh-CN"/>
          <w14:ligatures w14:val="none"/>
        </w:rPr>
      </w:pPr>
      <w:r>
        <w:rPr>
          <w:rFonts w:hint="eastAsia" w:ascii="宋体" w:hAnsi="宋体" w:cs="宋体"/>
          <w:color w:val="auto"/>
          <w:sz w:val="24"/>
          <w:highlight w:val="none"/>
          <w:lang w:val="zh-CN"/>
          <w14:ligatures w14:val="none"/>
        </w:rPr>
        <w:t>11.</w:t>
      </w:r>
      <w:r>
        <w:rPr>
          <w:rFonts w:hint="eastAsia" w:ascii="宋体" w:hAnsi="宋体" w:cs="宋体"/>
          <w:color w:val="auto"/>
          <w:sz w:val="24"/>
          <w:highlight w:val="none"/>
          <w14:ligatures w14:val="none"/>
        </w:rPr>
        <w:t>2</w:t>
      </w:r>
      <w:r>
        <w:rPr>
          <w:rFonts w:hint="eastAsia" w:ascii="宋体" w:hAnsi="宋体" w:cs="宋体"/>
          <w:color w:val="auto"/>
          <w:sz w:val="24"/>
          <w:highlight w:val="none"/>
          <w:lang w:val="zh-CN"/>
          <w14:ligatures w14:val="none"/>
        </w:rPr>
        <w:t xml:space="preserve">  </w:t>
      </w:r>
      <w:r>
        <w:rPr>
          <w:rFonts w:hint="eastAsia" w:ascii="宋体" w:hAnsi="宋体" w:cs="宋体"/>
          <w:color w:val="auto"/>
          <w:sz w:val="24"/>
          <w:highlight w:val="none"/>
          <w14:ligatures w14:val="none"/>
        </w:rPr>
        <w:t>商务技术</w:t>
      </w:r>
      <w:r>
        <w:rPr>
          <w:rFonts w:hint="eastAsia" w:ascii="宋体" w:hAnsi="宋体" w:cs="宋体"/>
          <w:color w:val="auto"/>
          <w:sz w:val="24"/>
          <w:highlight w:val="none"/>
          <w:lang w:val="zh-CN"/>
          <w14:ligatures w14:val="none"/>
        </w:rPr>
        <w:t>文件：</w:t>
      </w:r>
    </w:p>
    <w:p w14:paraId="38769626">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11.2.1投标函；</w:t>
      </w:r>
      <w:r>
        <w:rPr>
          <w:rFonts w:hint="eastAsia" w:ascii="宋体" w:hAnsi="宋体" w:cs="宋体"/>
          <w:color w:val="auto"/>
          <w:sz w:val="24"/>
          <w:highlight w:val="none"/>
          <w:lang w:val="zh-CN"/>
          <w14:ligatures w14:val="none"/>
        </w:rPr>
        <w:t xml:space="preserve"> </w:t>
      </w:r>
    </w:p>
    <w:p w14:paraId="386AF3FD">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11.2.2授权委托书或法定代表人（单位负责人、自然人本人）身份证明；</w:t>
      </w:r>
    </w:p>
    <w:p w14:paraId="7A1F15FC">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11.2.</w:t>
      </w:r>
      <w:r>
        <w:rPr>
          <w:rFonts w:ascii="宋体" w:hAnsi="宋体" w:cs="宋体"/>
          <w:color w:val="auto"/>
          <w:sz w:val="24"/>
          <w:highlight w:val="none"/>
          <w14:ligatures w14:val="none"/>
        </w:rPr>
        <w:t>3</w:t>
      </w:r>
      <w:r>
        <w:rPr>
          <w:rFonts w:hint="eastAsia" w:ascii="宋体" w:hAnsi="宋体" w:cs="宋体"/>
          <w:color w:val="auto"/>
          <w:sz w:val="24"/>
          <w:highlight w:val="none"/>
          <w14:ligatures w14:val="none"/>
        </w:rPr>
        <w:t>分包意向协议</w:t>
      </w:r>
      <w:r>
        <w:rPr>
          <w:rFonts w:hint="eastAsia" w:ascii="宋体" w:hAnsi="宋体" w:cs="宋体"/>
          <w:snapToGrid w:val="0"/>
          <w:color w:val="auto"/>
          <w:kern w:val="28"/>
          <w:sz w:val="24"/>
          <w:szCs w:val="20"/>
          <w:highlight w:val="none"/>
          <w14:ligatures w14:val="none"/>
        </w:rPr>
        <w:t>（如果有)</w:t>
      </w:r>
      <w:r>
        <w:rPr>
          <w:rFonts w:hint="eastAsia" w:ascii="宋体" w:hAnsi="宋体" w:cs="宋体"/>
          <w:color w:val="auto"/>
          <w:sz w:val="24"/>
          <w:highlight w:val="none"/>
          <w14:ligatures w14:val="none"/>
        </w:rPr>
        <w:t>；</w:t>
      </w:r>
    </w:p>
    <w:p w14:paraId="159B6607">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11.2.</w:t>
      </w:r>
      <w:r>
        <w:rPr>
          <w:rFonts w:ascii="宋体" w:hAnsi="宋体" w:cs="宋体"/>
          <w:color w:val="auto"/>
          <w:sz w:val="24"/>
          <w:highlight w:val="none"/>
          <w14:ligatures w14:val="none"/>
        </w:rPr>
        <w:t>4</w:t>
      </w:r>
      <w:r>
        <w:rPr>
          <w:rFonts w:hint="eastAsia" w:ascii="宋体" w:hAnsi="宋体" w:cs="宋体"/>
          <w:color w:val="auto"/>
          <w:sz w:val="24"/>
          <w:highlight w:val="none"/>
          <w14:ligatures w14:val="none"/>
        </w:rPr>
        <w:t>符合性审查资料；</w:t>
      </w:r>
    </w:p>
    <w:p w14:paraId="05A5C93A">
      <w:pPr>
        <w:snapToGrid w:val="0"/>
        <w:spacing w:line="360" w:lineRule="auto"/>
        <w:ind w:left="420" w:leftChars="200"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11.2.</w:t>
      </w:r>
      <w:r>
        <w:rPr>
          <w:rFonts w:ascii="宋体" w:hAnsi="宋体" w:cs="宋体"/>
          <w:color w:val="auto"/>
          <w:sz w:val="24"/>
          <w:highlight w:val="none"/>
          <w14:ligatures w14:val="none"/>
        </w:rPr>
        <w:t>5</w:t>
      </w:r>
      <w:r>
        <w:rPr>
          <w:rFonts w:hint="eastAsia" w:ascii="宋体" w:hAnsi="宋体" w:cs="宋体"/>
          <w:color w:val="auto"/>
          <w:sz w:val="24"/>
          <w:highlight w:val="none"/>
          <w14:ligatures w14:val="none"/>
        </w:rPr>
        <w:t>评标标准相应的商务技术资料；</w:t>
      </w:r>
    </w:p>
    <w:p w14:paraId="44256FC4">
      <w:pPr>
        <w:snapToGrid w:val="0"/>
        <w:spacing w:line="360" w:lineRule="auto"/>
        <w:ind w:left="420" w:leftChars="200"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11.2.</w:t>
      </w:r>
      <w:r>
        <w:rPr>
          <w:rFonts w:ascii="宋体" w:hAnsi="宋体" w:cs="宋体"/>
          <w:color w:val="auto"/>
          <w:sz w:val="24"/>
          <w:highlight w:val="none"/>
          <w14:ligatures w14:val="none"/>
        </w:rPr>
        <w:t>6</w:t>
      </w:r>
      <w:r>
        <w:rPr>
          <w:rFonts w:hint="eastAsia" w:ascii="宋体" w:hAnsi="宋体" w:cs="宋体"/>
          <w:color w:val="auto"/>
          <w:sz w:val="24"/>
          <w:highlight w:val="none"/>
          <w14:ligatures w14:val="none"/>
        </w:rPr>
        <w:t>投标标的清单；</w:t>
      </w:r>
    </w:p>
    <w:p w14:paraId="6B3D86CB">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11.2.</w:t>
      </w:r>
      <w:r>
        <w:rPr>
          <w:rFonts w:ascii="宋体" w:hAnsi="宋体" w:cs="宋体"/>
          <w:color w:val="auto"/>
          <w:sz w:val="24"/>
          <w:highlight w:val="none"/>
          <w14:ligatures w14:val="none"/>
        </w:rPr>
        <w:t>7</w:t>
      </w:r>
      <w:r>
        <w:rPr>
          <w:rFonts w:hint="eastAsia" w:ascii="宋体" w:hAnsi="宋体" w:cs="宋体"/>
          <w:color w:val="auto"/>
          <w:sz w:val="24"/>
          <w:highlight w:val="none"/>
          <w14:ligatures w14:val="none"/>
        </w:rPr>
        <w:t>商务技术偏离表；</w:t>
      </w:r>
    </w:p>
    <w:p w14:paraId="32691CB9">
      <w:pPr>
        <w:snapToGrid w:val="0"/>
        <w:spacing w:line="360" w:lineRule="auto"/>
        <w:ind w:firstLine="960" w:firstLineChars="400"/>
        <w:rPr>
          <w:rFonts w:hint="eastAsia" w:ascii="宋体" w:hAnsi="宋体" w:cs="宋体"/>
          <w:color w:val="auto"/>
          <w:sz w:val="24"/>
          <w:highlight w:val="none"/>
          <w:lang w:val="zh-CN"/>
          <w14:ligatures w14:val="none"/>
        </w:rPr>
      </w:pPr>
      <w:r>
        <w:rPr>
          <w:rFonts w:hint="eastAsia" w:ascii="宋体" w:hAnsi="宋体" w:cs="宋体"/>
          <w:color w:val="auto"/>
          <w:sz w:val="24"/>
          <w:highlight w:val="none"/>
          <w:lang w:val="zh-CN"/>
          <w14:ligatures w14:val="none"/>
        </w:rPr>
        <w:t>11.</w:t>
      </w:r>
      <w:r>
        <w:rPr>
          <w:rFonts w:hint="eastAsia" w:ascii="宋体" w:hAnsi="宋体" w:cs="宋体"/>
          <w:color w:val="auto"/>
          <w:sz w:val="24"/>
          <w:highlight w:val="none"/>
          <w14:ligatures w14:val="none"/>
        </w:rPr>
        <w:t>2</w:t>
      </w:r>
      <w:r>
        <w:rPr>
          <w:rFonts w:hint="eastAsia" w:ascii="宋体" w:hAnsi="宋体" w:cs="宋体"/>
          <w:color w:val="auto"/>
          <w:sz w:val="24"/>
          <w:highlight w:val="none"/>
          <w:lang w:val="zh-CN"/>
          <w14:ligatures w14:val="none"/>
        </w:rPr>
        <w:t>.</w:t>
      </w:r>
      <w:r>
        <w:rPr>
          <w:rFonts w:ascii="宋体" w:hAnsi="宋体" w:cs="宋体"/>
          <w:color w:val="auto"/>
          <w:sz w:val="24"/>
          <w:highlight w:val="none"/>
          <w14:ligatures w14:val="none"/>
        </w:rPr>
        <w:t>8</w:t>
      </w:r>
      <w:r>
        <w:rPr>
          <w:rFonts w:hint="eastAsia" w:ascii="宋体" w:hAnsi="宋体" w:cs="宋体"/>
          <w:color w:val="auto"/>
          <w:sz w:val="24"/>
          <w:highlight w:val="none"/>
          <w:lang w:val="zh-CN"/>
          <w14:ligatures w14:val="none"/>
        </w:rPr>
        <w:t>政府采购供应商廉洁自律承诺书；</w:t>
      </w:r>
    </w:p>
    <w:p w14:paraId="057FAC2B">
      <w:pPr>
        <w:snapToGrid w:val="0"/>
        <w:spacing w:line="360" w:lineRule="auto"/>
        <w:ind w:firstLine="480" w:firstLineChars="200"/>
        <w:rPr>
          <w:rFonts w:hint="eastAsia" w:ascii="宋体" w:hAnsi="宋体" w:cs="宋体"/>
          <w:color w:val="auto"/>
          <w:sz w:val="24"/>
          <w:highlight w:val="none"/>
          <w:u w:val="single"/>
          <w:lang w:val="zh-CN"/>
          <w14:ligatures w14:val="none"/>
        </w:rPr>
      </w:pPr>
      <w:r>
        <w:rPr>
          <w:rFonts w:hint="eastAsia" w:ascii="宋体" w:hAnsi="宋体" w:cs="宋体"/>
          <w:color w:val="auto"/>
          <w:kern w:val="0"/>
          <w:sz w:val="24"/>
          <w:highlight w:val="none"/>
          <w:lang w:val="zh-CN"/>
          <w14:ligatures w14:val="none"/>
        </w:rPr>
        <w:t>11.</w:t>
      </w:r>
      <w:r>
        <w:rPr>
          <w:rFonts w:hint="eastAsia" w:ascii="宋体" w:hAnsi="宋体" w:cs="宋体"/>
          <w:color w:val="auto"/>
          <w:kern w:val="0"/>
          <w:sz w:val="24"/>
          <w:highlight w:val="none"/>
          <w14:ligatures w14:val="none"/>
        </w:rPr>
        <w:t>3</w:t>
      </w:r>
      <w:r>
        <w:rPr>
          <w:rFonts w:hint="eastAsia" w:ascii="宋体" w:hAnsi="宋体" w:cs="宋体"/>
          <w:b/>
          <w:color w:val="auto"/>
          <w:sz w:val="24"/>
          <w:highlight w:val="none"/>
          <w14:ligatures w14:val="none"/>
        </w:rPr>
        <w:t>报价文件：</w:t>
      </w:r>
      <w:r>
        <w:rPr>
          <w:rFonts w:hint="eastAsia" w:ascii="宋体" w:hAnsi="宋体" w:cs="宋体"/>
          <w:color w:val="auto"/>
          <w:sz w:val="24"/>
          <w:highlight w:val="none"/>
          <w14:ligatures w14:val="none"/>
        </w:rPr>
        <w:t xml:space="preserve"> </w:t>
      </w:r>
    </w:p>
    <w:p w14:paraId="0DFCA1A0">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11.3.1开标一览表（报价表）；</w:t>
      </w:r>
    </w:p>
    <w:p w14:paraId="2FD12CDA">
      <w:pPr>
        <w:snapToGrid w:val="0"/>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11.3.2中小企业声明函。</w:t>
      </w:r>
    </w:p>
    <w:p w14:paraId="06B263BE">
      <w:pPr>
        <w:spacing w:line="360" w:lineRule="auto"/>
        <w:ind w:firstLine="960" w:firstLineChars="4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11.3.</w:t>
      </w:r>
      <w:r>
        <w:rPr>
          <w:rFonts w:ascii="宋体" w:hAnsi="宋体" w:cs="宋体"/>
          <w:color w:val="auto"/>
          <w:sz w:val="24"/>
          <w:highlight w:val="none"/>
          <w14:ligatures w14:val="none"/>
        </w:rPr>
        <w:t>3</w:t>
      </w:r>
      <w:r>
        <w:rPr>
          <w:rFonts w:hint="eastAsia" w:ascii="宋体" w:hAnsi="宋体" w:cs="宋体"/>
          <w:color w:val="auto"/>
          <w:sz w:val="24"/>
          <w:highlight w:val="none"/>
          <w14:ligatures w14:val="none"/>
        </w:rPr>
        <w:t>报价说明（如有）。供应商报价低于项目预算50%的，应当在报价文件中详细阐述不影响产品质量或者诚信履约的具体原因。</w:t>
      </w:r>
    </w:p>
    <w:p w14:paraId="04A91A83">
      <w:pPr>
        <w:spacing w:line="360" w:lineRule="auto"/>
        <w:ind w:firstLine="723" w:firstLineChars="300"/>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投标文件含有采购人不能接受的附加条件的，投标无效；</w:t>
      </w:r>
    </w:p>
    <w:p w14:paraId="666AC6B0">
      <w:pPr>
        <w:spacing w:line="360" w:lineRule="auto"/>
        <w:ind w:firstLine="723" w:firstLineChars="300"/>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投标人提供虚假材料投标的，投标无效。</w:t>
      </w:r>
    </w:p>
    <w:p w14:paraId="2955497F">
      <w:pPr>
        <w:spacing w:line="360" w:lineRule="auto"/>
        <w:ind w:firstLine="723" w:firstLineChars="300"/>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投标人应对投标文件中材料的真实性、合法性负责。</w:t>
      </w:r>
    </w:p>
    <w:p w14:paraId="47F154C5">
      <w:pPr>
        <w:snapToGrid w:val="0"/>
        <w:spacing w:before="120" w:line="360" w:lineRule="auto"/>
        <w:ind w:firstLine="482"/>
        <w:outlineLvl w:val="0"/>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12</w:t>
      </w:r>
      <w:r>
        <w:rPr>
          <w:rFonts w:hint="eastAsia" w:ascii="宋体" w:hAnsi="宋体" w:cs="宋体"/>
          <w:b/>
          <w:color w:val="auto"/>
          <w:kern w:val="0"/>
          <w:sz w:val="24"/>
          <w:highlight w:val="none"/>
          <w:lang w:val="zh-CN"/>
          <w14:ligatures w14:val="none"/>
        </w:rPr>
        <w:t xml:space="preserve">. </w:t>
      </w:r>
      <w:r>
        <w:rPr>
          <w:rFonts w:hint="eastAsia" w:ascii="宋体" w:hAnsi="宋体" w:cs="宋体"/>
          <w:b/>
          <w:color w:val="auto"/>
          <w:sz w:val="24"/>
          <w:highlight w:val="none"/>
          <w14:ligatures w14:val="none"/>
        </w:rPr>
        <w:t>投标文件的编制</w:t>
      </w:r>
    </w:p>
    <w:p w14:paraId="104DD5EC">
      <w:pPr>
        <w:spacing w:line="360" w:lineRule="auto"/>
        <w:ind w:firstLine="480" w:firstLineChars="200"/>
        <w:rPr>
          <w:rFonts w:hint="eastAsia" w:ascii="宋体" w:hAnsi="宋体" w:cs="宋体"/>
          <w:b/>
          <w:color w:val="auto"/>
          <w:sz w:val="24"/>
          <w:highlight w:val="none"/>
          <w14:ligatures w14:val="none"/>
        </w:rPr>
      </w:pPr>
      <w:r>
        <w:rPr>
          <w:rFonts w:hint="eastAsia" w:ascii="宋体" w:hAnsi="宋体" w:cs="宋体"/>
          <w:color w:val="auto"/>
          <w:kern w:val="0"/>
          <w:sz w:val="24"/>
          <w:highlight w:val="none"/>
          <w:lang w:val="zh-CN"/>
          <w14:ligatures w14: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51475BC">
      <w:pPr>
        <w:spacing w:line="360" w:lineRule="auto"/>
        <w:ind w:firstLine="480" w:firstLineChars="200"/>
        <w:rPr>
          <w:rFonts w:hint="eastAsia" w:ascii="宋体" w:hAnsi="宋体" w:cs="宋体"/>
          <w:color w:val="auto"/>
          <w:kern w:val="0"/>
          <w:sz w:val="24"/>
          <w:highlight w:val="none"/>
          <w:lang w:val="zh-CN"/>
          <w14:ligatures w14:val="none"/>
        </w:rPr>
      </w:pPr>
      <w:r>
        <w:rPr>
          <w:rFonts w:hint="eastAsia" w:ascii="宋体" w:hAnsi="宋体" w:cs="宋体"/>
          <w:color w:val="auto"/>
          <w:kern w:val="0"/>
          <w:sz w:val="24"/>
          <w:highlight w:val="none"/>
          <w:lang w:val="zh-CN"/>
          <w14:ligatures w14:val="none"/>
        </w:rPr>
        <w:t>12.2投标人进行电子投标应安装客户端软件—“政采云电子交易客户端”，并按照招标文件和电子交易平台的要求编制并加密投标文件。投标人未按规定加密的投标文件，电子交易平台将拒收并提示。</w:t>
      </w:r>
    </w:p>
    <w:p w14:paraId="4CF56D36">
      <w:pPr>
        <w:spacing w:line="360" w:lineRule="auto"/>
        <w:ind w:firstLine="480" w:firstLineChars="200"/>
        <w:rPr>
          <w:rFonts w:hint="eastAsia" w:ascii="宋体" w:hAnsi="宋体" w:cs="宋体"/>
          <w:color w:val="auto"/>
          <w:kern w:val="0"/>
          <w:sz w:val="24"/>
          <w:highlight w:val="none"/>
          <w:lang w:val="zh-CN"/>
          <w14:ligatures w14:val="none"/>
        </w:rPr>
      </w:pPr>
      <w:r>
        <w:rPr>
          <w:rFonts w:hint="eastAsia" w:ascii="宋体" w:hAnsi="宋体" w:cs="宋体"/>
          <w:color w:val="auto"/>
          <w:kern w:val="0"/>
          <w:sz w:val="24"/>
          <w:highlight w:val="none"/>
          <w:lang w:val="zh-CN"/>
          <w14:ligatures w14:val="none"/>
        </w:rPr>
        <w:t>12.3使用“政采云电子交易客户端”需要提前申领CA数字证书，申领流程请自行前往“浙江政府采购网-下载专区-电子交易客户端-CA驱动和申领流程”进行查阅。</w:t>
      </w:r>
    </w:p>
    <w:p w14:paraId="7E6B8821">
      <w:pPr>
        <w:snapToGrid w:val="0"/>
        <w:spacing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13.投标文件的签署、盖章</w:t>
      </w:r>
    </w:p>
    <w:p w14:paraId="7E52602E">
      <w:pPr>
        <w:snapToGrid w:val="0"/>
        <w:spacing w:before="120" w:line="360" w:lineRule="auto"/>
        <w:ind w:firstLine="480" w:firstLineChars="200"/>
        <w:rPr>
          <w:rFonts w:hint="eastAsia" w:ascii="宋体" w:hAnsi="宋体" w:cs="宋体"/>
          <w:b/>
          <w:color w:val="auto"/>
          <w:sz w:val="24"/>
          <w:szCs w:val="20"/>
          <w:highlight w:val="none"/>
          <w14:ligatures w14:val="none"/>
        </w:rPr>
      </w:pPr>
      <w:r>
        <w:rPr>
          <w:rFonts w:hint="eastAsia" w:ascii="宋体" w:hAnsi="宋体" w:cs="宋体"/>
          <w:color w:val="auto"/>
          <w:sz w:val="24"/>
          <w:highlight w:val="none"/>
          <w14:ligatures w14:val="none"/>
        </w:rPr>
        <w:t>13.1投标文件按照招标文件第六部分格式要</w:t>
      </w:r>
      <w:r>
        <w:rPr>
          <w:rFonts w:hint="eastAsia" w:ascii="宋体" w:hAnsi="宋体" w:cs="宋体"/>
          <w:color w:val="auto"/>
          <w:sz w:val="24"/>
          <w:szCs w:val="20"/>
          <w:highlight w:val="none"/>
          <w14:ligatures w14:val="none"/>
        </w:rPr>
        <w:t>求进行签署、盖章。</w:t>
      </w:r>
      <w:r>
        <w:rPr>
          <w:rFonts w:hint="eastAsia" w:ascii="宋体" w:hAnsi="宋体" w:cs="宋体"/>
          <w:b/>
          <w:color w:val="auto"/>
          <w:sz w:val="24"/>
          <w:szCs w:val="20"/>
          <w:highlight w:val="none"/>
          <w14:ligatures w14:val="none"/>
        </w:rPr>
        <w:t>▲投标人的投标文件未按照招标文件要求签署、盖章的，其投标无效</w:t>
      </w:r>
      <w:r>
        <w:rPr>
          <w:rFonts w:hint="eastAsia" w:ascii="宋体" w:hAnsi="宋体" w:cs="宋体"/>
          <w:color w:val="auto"/>
          <w:sz w:val="24"/>
          <w:highlight w:val="none"/>
          <w14:ligatures w14:val="none"/>
        </w:rPr>
        <w:t>。</w:t>
      </w:r>
    </w:p>
    <w:p w14:paraId="3940D134">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13.2为确保网上操作合法、有效和安全，投标人应当在投标截止时间前完成在“政府采购云平台”的身份认证，确保在电子投标过程中能够对相关数据电文进行加密和使用电子签名。</w:t>
      </w:r>
    </w:p>
    <w:p w14:paraId="06A6818D">
      <w:pPr>
        <w:snapToGrid w:val="0"/>
        <w:spacing w:before="120"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szCs w:val="20"/>
          <w:highlight w:val="none"/>
          <w14:ligatures w14:val="none"/>
        </w:rPr>
        <w:t>13.3招标文件对投标文件签署、盖章的要求适用于电子签名。</w:t>
      </w:r>
    </w:p>
    <w:p w14:paraId="3CC4A08A">
      <w:pPr>
        <w:spacing w:before="120"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14. 投标文件的提交、补充、修改、撤回</w:t>
      </w:r>
    </w:p>
    <w:p w14:paraId="5E4FAF50">
      <w:pPr>
        <w:spacing w:before="120"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058075">
      <w:pPr>
        <w:spacing w:before="120"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14.2电子交易平台收到投标文件，将妥善保存并即时向供应商发出确认回执通知。在投标截止时间前，除供应商补充、修改或者撤回投标文件外，任何单位和个人不得解密或提取投标文件。</w:t>
      </w:r>
    </w:p>
    <w:p w14:paraId="181DCDAA">
      <w:pPr>
        <w:spacing w:before="120"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14.3采购人、采购代理机构可以视情况延长投标文件提交的截止时间。在上述情况下，采购代理机构与投标人以前在投标截止期方面的全部权利、责任和义务，将适用于延长至新的投标截止期。</w:t>
      </w:r>
    </w:p>
    <w:p w14:paraId="4A67BF56">
      <w:pPr>
        <w:spacing w:line="360" w:lineRule="auto"/>
        <w:ind w:firstLine="482"/>
        <w:rPr>
          <w:rFonts w:hint="eastAsia" w:ascii="宋体" w:hAnsi="宋体" w:cs="宋体"/>
          <w:b/>
          <w:snapToGrid w:val="0"/>
          <w:color w:val="auto"/>
          <w:sz w:val="24"/>
          <w:highlight w:val="none"/>
          <w14:ligatures w14:val="none"/>
        </w:rPr>
      </w:pPr>
      <w:r>
        <w:rPr>
          <w:rFonts w:hint="eastAsia" w:ascii="宋体" w:hAnsi="宋体" w:cs="宋体"/>
          <w:b/>
          <w:snapToGrid w:val="0"/>
          <w:color w:val="auto"/>
          <w:sz w:val="24"/>
          <w:highlight w:val="none"/>
          <w14:ligatures w14:val="none"/>
        </w:rPr>
        <w:t>15.备份投标文件</w:t>
      </w:r>
    </w:p>
    <w:p w14:paraId="09241226">
      <w:pPr>
        <w:spacing w:line="360" w:lineRule="auto"/>
        <w:ind w:firstLine="360" w:firstLineChars="150"/>
        <w:rPr>
          <w:rFonts w:hint="eastAsia" w:ascii="宋体" w:hAnsi="宋体" w:cs="宋体"/>
          <w:b/>
          <w:snapToGrid w:val="0"/>
          <w:color w:val="auto"/>
          <w:sz w:val="24"/>
          <w:highlight w:val="none"/>
          <w14:ligatures w14:val="none"/>
        </w:rPr>
      </w:pPr>
      <w:r>
        <w:rPr>
          <w:rFonts w:hint="eastAsia" w:ascii="宋体" w:hAnsi="宋体" w:cs="宋体"/>
          <w:snapToGrid w:val="0"/>
          <w:color w:val="auto"/>
          <w:sz w:val="24"/>
          <w:highlight w:val="none"/>
          <w14:ligatures w14:val="none"/>
        </w:rPr>
        <w:t xml:space="preserve"> 15.1投标人在电子交易平台传输递交投标文件后，还可以在投标截止时间前直接提交或者以邮政快递方式递交备份投标文件1份，</w:t>
      </w:r>
      <w:r>
        <w:rPr>
          <w:rFonts w:hint="eastAsia" w:ascii="宋体" w:hAnsi="宋体" w:cs="宋体"/>
          <w:b/>
          <w:snapToGrid w:val="0"/>
          <w:color w:val="auto"/>
          <w:sz w:val="24"/>
          <w:highlight w:val="none"/>
          <w14:ligatures w14:val="none"/>
        </w:rPr>
        <w:t>但采购人、采购代理机构不强制或变相强制投标人提交备份投标文件。</w:t>
      </w:r>
    </w:p>
    <w:p w14:paraId="47D8EF5B">
      <w:pPr>
        <w:spacing w:line="360" w:lineRule="auto"/>
        <w:ind w:firstLine="480" w:firstLineChars="200"/>
        <w:rPr>
          <w:rFonts w:hint="eastAsia" w:ascii="宋体" w:hAnsi="宋体" w:cs="宋体"/>
          <w:b/>
          <w:snapToGrid w:val="0"/>
          <w:color w:val="auto"/>
          <w:sz w:val="24"/>
          <w:highlight w:val="none"/>
          <w14:ligatures w14:val="none"/>
        </w:rPr>
      </w:pPr>
      <w:r>
        <w:rPr>
          <w:rFonts w:hint="eastAsia" w:ascii="宋体" w:hAnsi="宋体" w:cs="宋体"/>
          <w:snapToGrid w:val="0"/>
          <w:color w:val="auto"/>
          <w:sz w:val="24"/>
          <w:highlight w:val="none"/>
          <w14:ligatures w14:val="none"/>
        </w:rPr>
        <w:t>15.2备份投标文件须在“政采云投标客户端”制作生成，并储存在</w:t>
      </w:r>
      <w:r>
        <w:rPr>
          <w:rFonts w:hint="eastAsia" w:ascii="宋体" w:hAnsi="宋体" w:cs="宋体"/>
          <w:snapToGrid w:val="0"/>
          <w:color w:val="auto"/>
          <w:sz w:val="24"/>
          <w:szCs w:val="21"/>
          <w:highlight w:val="none"/>
          <w14:ligatures w14:val="none"/>
        </w:rPr>
        <w:t>DVD光盘等存储介质</w:t>
      </w:r>
      <w:r>
        <w:rPr>
          <w:rFonts w:hint="eastAsia" w:ascii="宋体" w:hAnsi="宋体" w:cs="宋体"/>
          <w:snapToGrid w:val="0"/>
          <w:color w:val="auto"/>
          <w:sz w:val="24"/>
          <w:highlight w:val="none"/>
          <w14:ligatures w14: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snapToGrid w:val="0"/>
          <w:color w:val="auto"/>
          <w:sz w:val="24"/>
          <w:szCs w:val="21"/>
          <w:highlight w:val="none"/>
          <w14:ligatures w14:val="none"/>
        </w:rPr>
        <w:t>不符合上述制作、</w:t>
      </w:r>
      <w:r>
        <w:rPr>
          <w:rFonts w:hint="eastAsia" w:ascii="宋体" w:hAnsi="宋体" w:cs="宋体"/>
          <w:b/>
          <w:snapToGrid w:val="0"/>
          <w:color w:val="auto"/>
          <w:sz w:val="24"/>
          <w:highlight w:val="none"/>
          <w14:ligatures w14:val="none"/>
        </w:rPr>
        <w:t>存储、密封规定的备份投标文件将被视为无效或者被拒绝接收。</w:t>
      </w:r>
    </w:p>
    <w:p w14:paraId="68634EB2">
      <w:pPr>
        <w:spacing w:line="360" w:lineRule="auto"/>
        <w:ind w:firstLine="480" w:firstLineChars="200"/>
        <w:rPr>
          <w:rFonts w:hint="eastAsia" w:ascii="宋体" w:hAnsi="宋体" w:cs="宋体"/>
          <w:snapToGrid w:val="0"/>
          <w:color w:val="auto"/>
          <w:sz w:val="24"/>
          <w:highlight w:val="none"/>
          <w14:ligatures w14:val="none"/>
        </w:rPr>
      </w:pPr>
      <w:r>
        <w:rPr>
          <w:rFonts w:hint="eastAsia" w:ascii="宋体" w:hAnsi="宋体" w:cs="宋体"/>
          <w:snapToGrid w:val="0"/>
          <w:color w:val="auto"/>
          <w:sz w:val="24"/>
          <w:highlight w:val="none"/>
          <w14:ligatures w14:val="none"/>
        </w:rPr>
        <w:t>15.3直接提交备份投标文件的，投标人应于投标截止时间前在招标公告中载明的开标地点将备份投标文件提交给采购代理机构，采购代理机构将拒绝接受逾期送达的备份投标文件。</w:t>
      </w:r>
    </w:p>
    <w:p w14:paraId="44CEFE4C">
      <w:pPr>
        <w:spacing w:line="360" w:lineRule="auto"/>
        <w:ind w:firstLine="480" w:firstLineChars="200"/>
        <w:rPr>
          <w:rFonts w:hint="eastAsia" w:ascii="宋体" w:hAnsi="宋体" w:cs="宋体"/>
          <w:snapToGrid w:val="0"/>
          <w:color w:val="auto"/>
          <w:sz w:val="24"/>
          <w:highlight w:val="none"/>
          <w14:ligatures w14:val="none"/>
        </w:rPr>
      </w:pPr>
      <w:r>
        <w:rPr>
          <w:rFonts w:hint="eastAsia" w:ascii="宋体" w:hAnsi="宋体" w:cs="宋体"/>
          <w:snapToGrid w:val="0"/>
          <w:color w:val="auto"/>
          <w:sz w:val="24"/>
          <w:highlight w:val="none"/>
          <w14:ligatures w14:val="none"/>
        </w:rPr>
        <w:t>15.4以邮政快递方式递交备份投标文件的，投标人应先将备份投标文件按要求密封和标记，再进行邮政快递包装后邮寄。备份投标文件须在投标截止时间之前送达</w:t>
      </w:r>
      <w:r>
        <w:rPr>
          <w:rFonts w:hint="eastAsia" w:ascii="宋体" w:hAnsi="宋体" w:cs="宋体"/>
          <w:color w:val="auto"/>
          <w:sz w:val="24"/>
          <w:highlight w:val="none"/>
          <w14:ligatures w14:val="none"/>
        </w:rPr>
        <w:t>招标文件第二部分投标人须知前附表规定的备份投标文件送达地点；</w:t>
      </w:r>
      <w:r>
        <w:rPr>
          <w:rFonts w:hint="eastAsia" w:ascii="宋体" w:hAnsi="宋体" w:cs="宋体"/>
          <w:snapToGrid w:val="0"/>
          <w:color w:val="auto"/>
          <w:sz w:val="24"/>
          <w:highlight w:val="none"/>
          <w14:ligatures w14:val="none"/>
        </w:rPr>
        <w:t>送达时间以签收人签收时间为准。采购代理机构将拒绝接受逾期送达的备份投标文件。邮寄过程中，电子备份投标文件发生泄露、遗失、损坏或延期送达等情况的，由投标人自行负责。</w:t>
      </w:r>
    </w:p>
    <w:p w14:paraId="53FE7835">
      <w:pPr>
        <w:spacing w:line="360" w:lineRule="auto"/>
        <w:ind w:firstLine="479" w:firstLineChars="199"/>
        <w:rPr>
          <w:rFonts w:hint="eastAsia" w:ascii="宋体" w:hAnsi="宋体" w:cs="宋体"/>
          <w:b/>
          <w:snapToGrid w:val="0"/>
          <w:color w:val="auto"/>
          <w:sz w:val="24"/>
          <w:highlight w:val="none"/>
          <w14:ligatures w14:val="none"/>
        </w:rPr>
      </w:pPr>
      <w:r>
        <w:rPr>
          <w:rFonts w:hint="eastAsia" w:ascii="宋体" w:hAnsi="宋体" w:cs="宋体"/>
          <w:b/>
          <w:snapToGrid w:val="0"/>
          <w:color w:val="auto"/>
          <w:sz w:val="24"/>
          <w:highlight w:val="none"/>
          <w14:ligatures w14:val="none"/>
        </w:rPr>
        <w:t>15.5投标人仅提交备份投标文件，未在电子交易平台传输递交投标文件的，投标无效。</w:t>
      </w:r>
    </w:p>
    <w:p w14:paraId="645677D9">
      <w:pPr>
        <w:spacing w:before="120"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16.投标文件的无效处理</w:t>
      </w:r>
    </w:p>
    <w:p w14:paraId="64409D91">
      <w:pPr>
        <w:spacing w:line="360" w:lineRule="auto"/>
        <w:ind w:firstLine="360" w:firstLineChars="150"/>
        <w:rPr>
          <w:rFonts w:hint="eastAsia" w:ascii="宋体" w:hAnsi="宋体" w:cs="宋体"/>
          <w:color w:val="auto"/>
          <w:sz w:val="24"/>
          <w:szCs w:val="21"/>
          <w:highlight w:val="none"/>
          <w14:ligatures w14:val="none"/>
        </w:rPr>
      </w:pPr>
      <w:r>
        <w:rPr>
          <w:rFonts w:hint="eastAsia" w:ascii="宋体" w:hAnsi="宋体" w:cs="宋体"/>
          <w:color w:val="auto"/>
          <w:sz w:val="24"/>
          <w:szCs w:val="21"/>
          <w:highlight w:val="none"/>
          <w14:ligatures w14:val="none"/>
        </w:rPr>
        <w:t>有招标文件第四部分</w:t>
      </w:r>
      <w:r>
        <w:rPr>
          <w:rFonts w:ascii="宋体" w:hAnsi="宋体" w:cs="宋体"/>
          <w:color w:val="auto"/>
          <w:sz w:val="24"/>
          <w:szCs w:val="21"/>
          <w:highlight w:val="none"/>
          <w14:ligatures w14:val="none"/>
        </w:rPr>
        <w:t>4.2规定</w:t>
      </w:r>
      <w:r>
        <w:rPr>
          <w:rFonts w:hint="eastAsia" w:ascii="宋体" w:hAnsi="宋体" w:cs="宋体"/>
          <w:color w:val="auto"/>
          <w:sz w:val="24"/>
          <w:szCs w:val="21"/>
          <w:highlight w:val="none"/>
          <w14:ligatures w14:val="none"/>
        </w:rPr>
        <w:t>的情形之一的，投标无效：</w:t>
      </w:r>
    </w:p>
    <w:p w14:paraId="1DE9A66F">
      <w:pPr>
        <w:spacing w:before="120"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17.投标有效期</w:t>
      </w:r>
    </w:p>
    <w:p w14:paraId="27A2B33D">
      <w:pPr>
        <w:spacing w:line="360" w:lineRule="auto"/>
        <w:ind w:firstLine="480" w:firstLineChars="200"/>
        <w:rPr>
          <w:rFonts w:hint="eastAsia" w:ascii="宋体" w:hAnsi="宋体" w:cs="宋体"/>
          <w:b/>
          <w:color w:val="auto"/>
          <w:sz w:val="24"/>
          <w:szCs w:val="21"/>
          <w:highlight w:val="none"/>
          <w14:ligatures w14:val="none"/>
        </w:rPr>
      </w:pPr>
      <w:r>
        <w:rPr>
          <w:rFonts w:hint="eastAsia" w:ascii="宋体" w:hAnsi="宋体" w:cs="宋体"/>
          <w:color w:val="auto"/>
          <w:sz w:val="24"/>
          <w:szCs w:val="20"/>
          <w:highlight w:val="none"/>
          <w14:ligatures w14:val="none"/>
        </w:rPr>
        <w:t>17.1投标有效期为从提交投标文件的截止之日起90天。▲</w:t>
      </w:r>
      <w:r>
        <w:rPr>
          <w:rFonts w:hint="eastAsia" w:ascii="宋体" w:hAnsi="宋体" w:cs="宋体"/>
          <w:b/>
          <w:color w:val="auto"/>
          <w:sz w:val="24"/>
          <w:szCs w:val="20"/>
          <w:highlight w:val="none"/>
          <w14:ligatures w14:val="none"/>
        </w:rPr>
        <w:t>投标人的投标文件中承</w:t>
      </w:r>
      <w:r>
        <w:rPr>
          <w:rFonts w:hint="eastAsia" w:ascii="宋体" w:hAnsi="宋体" w:cs="宋体"/>
          <w:b/>
          <w:color w:val="auto"/>
          <w:sz w:val="24"/>
          <w:szCs w:val="21"/>
          <w:highlight w:val="none"/>
          <w14:ligatures w14:val="none"/>
        </w:rPr>
        <w:t>诺的投标有效期少于招标文件中载明的投标有效期的，投标无效。</w:t>
      </w:r>
    </w:p>
    <w:p w14:paraId="27C2E681">
      <w:pPr>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17.2投标文件合格投递后，自投标截止日期起，在投标有效期内有效。</w:t>
      </w:r>
    </w:p>
    <w:p w14:paraId="7B11B74E">
      <w:pPr>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1B2205F">
      <w:pPr>
        <w:spacing w:before="120" w:line="360" w:lineRule="auto"/>
        <w:ind w:firstLine="643" w:firstLineChars="200"/>
        <w:rPr>
          <w:rFonts w:hint="eastAsia" w:ascii="宋体" w:hAnsi="宋体" w:cs="宋体"/>
          <w:b/>
          <w:color w:val="auto"/>
          <w:sz w:val="32"/>
          <w:szCs w:val="20"/>
          <w:highlight w:val="none"/>
          <w14:ligatures w14:val="none"/>
        </w:rPr>
      </w:pPr>
    </w:p>
    <w:p w14:paraId="5990D239">
      <w:pPr>
        <w:spacing w:before="120" w:line="360" w:lineRule="auto"/>
        <w:ind w:firstLine="1928" w:firstLineChars="600"/>
        <w:rPr>
          <w:rFonts w:hint="eastAsia" w:ascii="宋体" w:hAnsi="宋体" w:cs="宋体"/>
          <w:b/>
          <w:color w:val="auto"/>
          <w:sz w:val="32"/>
          <w:szCs w:val="20"/>
          <w:highlight w:val="none"/>
          <w14:ligatures w14:val="none"/>
        </w:rPr>
      </w:pPr>
      <w:r>
        <w:rPr>
          <w:rFonts w:hint="eastAsia" w:ascii="宋体" w:hAnsi="宋体" w:cs="宋体"/>
          <w:b/>
          <w:color w:val="auto"/>
          <w:sz w:val="32"/>
          <w:szCs w:val="20"/>
          <w:highlight w:val="none"/>
          <w14:ligatures w14:val="none"/>
        </w:rPr>
        <w:t>四、开标、资格审查与信用信息查询</w:t>
      </w:r>
    </w:p>
    <w:p w14:paraId="23DDBC56">
      <w:pPr>
        <w:autoSpaceDE w:val="0"/>
        <w:autoSpaceDN w:val="0"/>
        <w:spacing w:line="360" w:lineRule="auto"/>
        <w:ind w:firstLine="241" w:firstLineChars="100"/>
        <w:contextualSpacing/>
        <w:rPr>
          <w:rFonts w:hint="eastAsia" w:ascii="宋体" w:hAnsi="宋体" w:cs="宋体"/>
          <w:color w:val="auto"/>
          <w:kern w:val="0"/>
          <w:sz w:val="24"/>
          <w:szCs w:val="20"/>
          <w:highlight w:val="none"/>
          <w14:ligatures w14:val="none"/>
        </w:rPr>
      </w:pPr>
      <w:r>
        <w:rPr>
          <w:rFonts w:hint="eastAsia" w:ascii="宋体" w:hAnsi="宋体" w:cs="宋体"/>
          <w:b/>
          <w:color w:val="auto"/>
          <w:kern w:val="0"/>
          <w:sz w:val="24"/>
          <w:highlight w:val="none"/>
          <w14:ligatures w14:val="none"/>
        </w:rPr>
        <w:t>18.开标</w:t>
      </w:r>
      <w:r>
        <w:rPr>
          <w:rFonts w:hint="eastAsia" w:ascii="宋体" w:hAnsi="宋体" w:cs="宋体"/>
          <w:color w:val="auto"/>
          <w:kern w:val="0"/>
          <w:sz w:val="24"/>
          <w:szCs w:val="20"/>
          <w:highlight w:val="none"/>
          <w14:ligatures w14:val="none"/>
        </w:rPr>
        <w:t xml:space="preserve"> </w:t>
      </w:r>
    </w:p>
    <w:p w14:paraId="0C8EEABD">
      <w:pPr>
        <w:autoSpaceDE w:val="0"/>
        <w:autoSpaceDN w:val="0"/>
        <w:spacing w:line="360" w:lineRule="auto"/>
        <w:ind w:firstLine="480" w:firstLineChars="200"/>
        <w:contextualSpacing/>
        <w:rPr>
          <w:rFonts w:hint="eastAsia" w:ascii="宋体" w:hAnsi="宋体" w:cs="宋体"/>
          <w:color w:val="auto"/>
          <w:kern w:val="0"/>
          <w:sz w:val="24"/>
          <w:szCs w:val="20"/>
          <w:highlight w:val="none"/>
          <w14:ligatures w14:val="none"/>
        </w:rPr>
      </w:pPr>
      <w:r>
        <w:rPr>
          <w:rFonts w:hint="eastAsia" w:ascii="宋体" w:hAnsi="宋体" w:cs="宋体"/>
          <w:color w:val="auto"/>
          <w:kern w:val="0"/>
          <w:sz w:val="24"/>
          <w:szCs w:val="20"/>
          <w:highlight w:val="none"/>
          <w14:ligatures w14:val="none"/>
        </w:rPr>
        <w:t>18.1采购代理机构按照招标文件规定的时间通过电子交易平台组织开标，所有投标人均应当准时在线参加。投标人不足3家的，不得开标。</w:t>
      </w:r>
    </w:p>
    <w:p w14:paraId="61D010AD">
      <w:pPr>
        <w:autoSpaceDE w:val="0"/>
        <w:autoSpaceDN w:val="0"/>
        <w:spacing w:line="360" w:lineRule="auto"/>
        <w:ind w:firstLine="240" w:firstLineChars="100"/>
        <w:contextualSpacing/>
        <w:rPr>
          <w:rFonts w:hint="eastAsia" w:ascii="宋体" w:hAnsi="宋体" w:cs="宋体"/>
          <w:color w:val="auto"/>
          <w:kern w:val="0"/>
          <w:sz w:val="24"/>
          <w:szCs w:val="20"/>
          <w:highlight w:val="none"/>
          <w14:ligatures w14:val="none"/>
        </w:rPr>
      </w:pPr>
      <w:r>
        <w:rPr>
          <w:rFonts w:hint="eastAsia" w:ascii="宋体" w:hAnsi="宋体" w:cs="宋体"/>
          <w:color w:val="auto"/>
          <w:kern w:val="0"/>
          <w:sz w:val="24"/>
          <w:szCs w:val="20"/>
          <w:highlight w:val="none"/>
          <w14:ligatures w14:val="none"/>
        </w:rPr>
        <w:t>　18.2开标时，电子交易平台按开标时间自动提取所有投标文件。采购代理机构依托电子交易平台发起开始解密指令，投标人按照平台提示和招标文件的规定在半小时内完成在线解密。</w:t>
      </w:r>
    </w:p>
    <w:p w14:paraId="061CA9A6">
      <w:pPr>
        <w:autoSpaceDE w:val="0"/>
        <w:autoSpaceDN w:val="0"/>
        <w:spacing w:line="360" w:lineRule="auto"/>
        <w:ind w:firstLine="240" w:firstLineChars="100"/>
        <w:contextualSpacing/>
        <w:rPr>
          <w:rFonts w:hint="eastAsia" w:ascii="宋体" w:hAnsi="宋体" w:cs="宋体"/>
          <w:b/>
          <w:color w:val="auto"/>
          <w:kern w:val="0"/>
          <w:sz w:val="24"/>
          <w:szCs w:val="20"/>
          <w:highlight w:val="none"/>
          <w14:ligatures w14:val="none"/>
        </w:rPr>
      </w:pPr>
      <w:r>
        <w:rPr>
          <w:rFonts w:hint="eastAsia" w:ascii="宋体" w:hAnsi="宋体" w:cs="宋体"/>
          <w:color w:val="auto"/>
          <w:kern w:val="0"/>
          <w:sz w:val="24"/>
          <w:szCs w:val="20"/>
          <w:highlight w:val="none"/>
          <w14:ligatures w14:val="none"/>
        </w:rPr>
        <w:t>　18.3</w:t>
      </w:r>
      <w:r>
        <w:rPr>
          <w:rFonts w:hint="eastAsia" w:ascii="宋体" w:hAnsi="宋体" w:cs="宋体"/>
          <w:b/>
          <w:color w:val="auto"/>
          <w:kern w:val="0"/>
          <w:sz w:val="24"/>
          <w:szCs w:val="20"/>
          <w:highlight w:val="none"/>
          <w14:ligatures w14:val="none"/>
        </w:rPr>
        <w:t>投标文件未按时解密，投标人提供了备份投标文件的，以备份投标文件作为依据，否则视为投标文件撤回。投标文件已按时解密的，备份投标文件自动失效。</w:t>
      </w:r>
    </w:p>
    <w:p w14:paraId="14A4EEE5">
      <w:pPr>
        <w:widowControl/>
        <w:spacing w:before="120" w:beforeAutospacing="1" w:after="120" w:line="360" w:lineRule="auto"/>
        <w:ind w:firstLine="482"/>
        <w:jc w:val="left"/>
        <w:rPr>
          <w:rFonts w:hint="eastAsia" w:ascii="宋体" w:hAnsi="宋体" w:cs="宋体"/>
          <w:b/>
          <w:color w:val="auto"/>
          <w:sz w:val="24"/>
          <w:szCs w:val="20"/>
          <w:highlight w:val="none"/>
          <w14:ligatures w14:val="none"/>
        </w:rPr>
      </w:pPr>
      <w:r>
        <w:rPr>
          <w:rFonts w:hint="eastAsia" w:ascii="宋体" w:hAnsi="宋体" w:cs="宋体"/>
          <w:b/>
          <w:color w:val="auto"/>
          <w:sz w:val="24"/>
          <w:szCs w:val="20"/>
          <w:highlight w:val="none"/>
          <w14:ligatures w14:val="none"/>
        </w:rPr>
        <w:t>　19、资格审查</w:t>
      </w:r>
    </w:p>
    <w:p w14:paraId="166D7367">
      <w:pPr>
        <w:snapToGrid w:val="0"/>
        <w:spacing w:line="360" w:lineRule="auto"/>
        <w:ind w:firstLine="480" w:firstLineChars="200"/>
        <w:rPr>
          <w:rFonts w:hint="eastAsia" w:ascii="宋体" w:hAnsi="宋体" w:cs="宋体"/>
          <w:color w:val="auto"/>
          <w:sz w:val="24"/>
          <w:highlight w:val="none"/>
          <w14:ligatures w14:val="none"/>
        </w:rPr>
      </w:pPr>
      <w:r>
        <w:rPr>
          <w:rFonts w:hint="eastAsia" w:ascii="宋体" w:hAnsi="宋体" w:cs="宋体"/>
          <w:color w:val="auto"/>
          <w:kern w:val="0"/>
          <w:sz w:val="24"/>
          <w:highlight w:val="none"/>
          <w14:ligatures w14:val="none"/>
        </w:rPr>
        <w:t>19.1</w:t>
      </w:r>
      <w:r>
        <w:rPr>
          <w:rFonts w:hint="eastAsia" w:ascii="宋体" w:hAnsi="宋体" w:cs="宋体"/>
          <w:color w:val="auto"/>
          <w:sz w:val="24"/>
          <w:highlight w:val="none"/>
          <w14:ligatures w14:val="none"/>
        </w:rPr>
        <w:t>采购人或采购代理机构依据法律法规和招标文件的规定，对投标人的资格进行审查。</w:t>
      </w:r>
    </w:p>
    <w:p w14:paraId="7FF0F055">
      <w:pPr>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kern w:val="0"/>
          <w:sz w:val="24"/>
          <w:highlight w:val="none"/>
          <w14:ligatures w14:val="none"/>
        </w:rPr>
        <w:t>19.2投标人未按照招标文件要求提供与</w:t>
      </w:r>
      <w:r>
        <w:rPr>
          <w:rFonts w:hint="eastAsia" w:ascii="宋体" w:hAnsi="宋体" w:cs="宋体"/>
          <w:color w:val="auto"/>
          <w:sz w:val="24"/>
          <w:szCs w:val="20"/>
          <w:highlight w:val="none"/>
          <w14:ligatures w14:val="none"/>
        </w:rPr>
        <w:t>资格条件相应的</w:t>
      </w:r>
      <w:r>
        <w:rPr>
          <w:rFonts w:hint="eastAsia" w:ascii="宋体" w:hAnsi="宋体" w:cs="宋体"/>
          <w:color w:val="auto"/>
          <w:kern w:val="0"/>
          <w:sz w:val="24"/>
          <w:highlight w:val="none"/>
          <w14:ligatures w14:val="none"/>
        </w:rPr>
        <w:t>有效资格证明材料的，视为</w:t>
      </w:r>
      <w:r>
        <w:rPr>
          <w:rFonts w:hint="eastAsia" w:ascii="宋体" w:hAnsi="宋体" w:cs="宋体"/>
          <w:color w:val="auto"/>
          <w:sz w:val="24"/>
          <w:szCs w:val="20"/>
          <w:highlight w:val="none"/>
          <w14:ligatures w14:val="none"/>
        </w:rPr>
        <w:t>投标人不具备招标文件中规定的资格要求，其投标无效。</w:t>
      </w:r>
    </w:p>
    <w:p w14:paraId="5940FCBD">
      <w:pPr>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kern w:val="0"/>
          <w:sz w:val="24"/>
          <w:highlight w:val="none"/>
          <w14:ligatures w14:val="none"/>
        </w:rPr>
        <w:t>19.</w:t>
      </w:r>
      <w:r>
        <w:rPr>
          <w:rFonts w:hint="eastAsia" w:ascii="宋体" w:hAnsi="宋体" w:cs="宋体"/>
          <w:color w:val="auto"/>
          <w:sz w:val="24"/>
          <w:szCs w:val="20"/>
          <w:highlight w:val="none"/>
          <w14:ligatures w14:val="none"/>
        </w:rPr>
        <w:t>3对未通过资格审查的投标人，采购人或采购代理机构告知其未通过的原因。</w:t>
      </w:r>
    </w:p>
    <w:p w14:paraId="2D2CD546">
      <w:pPr>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kern w:val="0"/>
          <w:sz w:val="24"/>
          <w:highlight w:val="none"/>
          <w14:ligatures w14:val="none"/>
        </w:rPr>
        <w:t>19.</w:t>
      </w:r>
      <w:r>
        <w:rPr>
          <w:rFonts w:hint="eastAsia" w:ascii="宋体" w:hAnsi="宋体" w:cs="宋体"/>
          <w:color w:val="auto"/>
          <w:sz w:val="24"/>
          <w:szCs w:val="20"/>
          <w:highlight w:val="none"/>
          <w14:ligatures w14:val="none"/>
        </w:rPr>
        <w:t>4合格投标人不足3家的，不再评标。</w:t>
      </w:r>
    </w:p>
    <w:p w14:paraId="2BFEA683">
      <w:pPr>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346BF63">
      <w:pPr>
        <w:spacing w:before="120"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20、信用信息查询</w:t>
      </w:r>
    </w:p>
    <w:p w14:paraId="2C2923F7">
      <w:pPr>
        <w:spacing w:before="120" w:line="360" w:lineRule="auto"/>
        <w:ind w:firstLine="480"/>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20.1信用信息查询渠道及截止时间：采购代理机构将在资格审查时通过“信用中国”网站(www.creditchina.gov.cn)、中国政府采购网(www.ccgp.gov.cn)渠道查询投标人的信用记录。</w:t>
      </w:r>
    </w:p>
    <w:p w14:paraId="41557CE4">
      <w:pPr>
        <w:spacing w:before="120" w:line="360" w:lineRule="auto"/>
        <w:ind w:firstLine="480"/>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20.2信用信息查询记录和证据留存的具体方式：现场查询的投标人的信用记录、查询结果经确认后将与采购文件一起存档。</w:t>
      </w:r>
    </w:p>
    <w:p w14:paraId="07A51F95">
      <w:pPr>
        <w:spacing w:before="120" w:line="360" w:lineRule="auto"/>
        <w:ind w:firstLine="480"/>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20.3信用信息的使用规则：经查询列入失信被执行人名单、重大税收违法案件当事人名单、政府采购严重违法失信行为记录名单的投标人将被拒绝参与政府采购活动。</w:t>
      </w:r>
    </w:p>
    <w:p w14:paraId="64B9480E">
      <w:pPr>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kern w:val="0"/>
          <w:sz w:val="24"/>
          <w:highlight w:val="none"/>
          <w14:ligatures w14: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4"/>
          <w:szCs w:val="20"/>
          <w:highlight w:val="none"/>
          <w14:ligatures w14:val="none"/>
        </w:rPr>
        <w:t>。</w:t>
      </w:r>
    </w:p>
    <w:p w14:paraId="330E3261">
      <w:pPr>
        <w:spacing w:before="120" w:line="360" w:lineRule="auto"/>
        <w:ind w:firstLine="480"/>
        <w:rPr>
          <w:rFonts w:hint="eastAsia" w:ascii="宋体" w:hAnsi="宋体" w:cs="宋体"/>
          <w:color w:val="auto"/>
          <w:kern w:val="0"/>
          <w:sz w:val="24"/>
          <w:highlight w:val="none"/>
          <w14:ligatures w14:val="none"/>
        </w:rPr>
      </w:pPr>
    </w:p>
    <w:p w14:paraId="42AF7F4A">
      <w:pPr>
        <w:snapToGrid w:val="0"/>
        <w:spacing w:line="360" w:lineRule="auto"/>
        <w:ind w:firstLine="723"/>
        <w:jc w:val="center"/>
        <w:outlineLvl w:val="0"/>
        <w:rPr>
          <w:rFonts w:hint="eastAsia" w:ascii="宋体" w:hAnsi="宋体" w:cs="宋体"/>
          <w:b/>
          <w:color w:val="auto"/>
          <w:sz w:val="36"/>
          <w:szCs w:val="36"/>
          <w:highlight w:val="none"/>
          <w14:ligatures w14:val="none"/>
        </w:rPr>
      </w:pPr>
      <w:r>
        <w:rPr>
          <w:rFonts w:hint="eastAsia" w:ascii="宋体" w:hAnsi="宋体" w:cs="宋体"/>
          <w:b/>
          <w:color w:val="auto"/>
          <w:sz w:val="36"/>
          <w:szCs w:val="36"/>
          <w:highlight w:val="none"/>
          <w14:ligatures w14:val="none"/>
        </w:rPr>
        <w:t>五、评标</w:t>
      </w:r>
    </w:p>
    <w:p w14:paraId="61B321BB">
      <w:pPr>
        <w:spacing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21.</w:t>
      </w:r>
      <w:r>
        <w:rPr>
          <w:rFonts w:hint="eastAsia" w:ascii="宋体" w:hAnsi="宋体" w:cs="宋体"/>
          <w:color w:val="auto"/>
          <w:highlight w:val="none"/>
          <w14:ligatures w14:val="none"/>
        </w:rPr>
        <w:t xml:space="preserve"> </w:t>
      </w:r>
      <w:r>
        <w:rPr>
          <w:rFonts w:hint="eastAsia" w:ascii="宋体" w:hAnsi="宋体" w:cs="宋体"/>
          <w:color w:val="auto"/>
          <w:sz w:val="24"/>
          <w:highlight w:val="none"/>
          <w14:ligatures w14: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14:ligatures w14:val="none"/>
        </w:rPr>
        <w:t>详见招标文件第四部分评标办法。</w:t>
      </w:r>
    </w:p>
    <w:p w14:paraId="3021F9B2">
      <w:pPr>
        <w:spacing w:line="360" w:lineRule="auto"/>
        <w:ind w:firstLine="482"/>
        <w:rPr>
          <w:rFonts w:hint="eastAsia" w:ascii="宋体" w:hAnsi="宋体" w:cs="宋体"/>
          <w:b/>
          <w:color w:val="auto"/>
          <w:sz w:val="24"/>
          <w:highlight w:val="none"/>
          <w14:ligatures w14:val="none"/>
        </w:rPr>
      </w:pPr>
    </w:p>
    <w:p w14:paraId="2274F7AF">
      <w:pPr>
        <w:snapToGrid w:val="0"/>
        <w:spacing w:line="360" w:lineRule="auto"/>
        <w:ind w:firstLine="723"/>
        <w:jc w:val="center"/>
        <w:outlineLvl w:val="0"/>
        <w:rPr>
          <w:rFonts w:hint="eastAsia" w:ascii="宋体" w:hAnsi="宋体" w:cs="宋体"/>
          <w:b/>
          <w:color w:val="auto"/>
          <w:sz w:val="36"/>
          <w:szCs w:val="36"/>
          <w:highlight w:val="none"/>
          <w14:ligatures w14:val="none"/>
        </w:rPr>
      </w:pPr>
      <w:r>
        <w:rPr>
          <w:rFonts w:hint="eastAsia" w:ascii="宋体" w:hAnsi="宋体" w:cs="宋体"/>
          <w:b/>
          <w:color w:val="auto"/>
          <w:sz w:val="36"/>
          <w:szCs w:val="36"/>
          <w:highlight w:val="none"/>
          <w14:ligatures w14:val="none"/>
        </w:rPr>
        <w:t>六、定 标</w:t>
      </w:r>
    </w:p>
    <w:p w14:paraId="7C4EBC21">
      <w:pPr>
        <w:spacing w:line="360" w:lineRule="auto"/>
        <w:ind w:left="479" w:hanging="479" w:hangingChars="199"/>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22. 确定中标供应商</w:t>
      </w:r>
    </w:p>
    <w:p w14:paraId="739429BB">
      <w:pPr>
        <w:snapToGrid w:val="0"/>
        <w:spacing w:before="120" w:line="360" w:lineRule="auto"/>
        <w:ind w:firstLine="480" w:firstLineChars="200"/>
        <w:rPr>
          <w:rFonts w:hint="eastAsia" w:ascii="宋体" w:hAnsi="宋体" w:cs="宋体"/>
          <w:b/>
          <w:color w:val="auto"/>
          <w:sz w:val="24"/>
          <w:highlight w:val="none"/>
          <w14:ligatures w14:val="none"/>
        </w:rPr>
      </w:pPr>
      <w:r>
        <w:rPr>
          <w:rFonts w:hint="eastAsia" w:ascii="宋体" w:hAnsi="宋体" w:cs="宋体"/>
          <w:color w:val="auto"/>
          <w:sz w:val="24"/>
          <w:highlight w:val="none"/>
          <w14:ligatures w14: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611F2EE">
      <w:pPr>
        <w:snapToGrid w:val="0"/>
        <w:spacing w:before="120"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23. 中标通知与中标结果公告</w:t>
      </w:r>
    </w:p>
    <w:p w14:paraId="49A16203">
      <w:pPr>
        <w:widowControl/>
        <w:shd w:val="clear" w:color="auto" w:fill="FFFFFF"/>
        <w:spacing w:line="360" w:lineRule="auto"/>
        <w:ind w:firstLine="480"/>
        <w:jc w:val="left"/>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23.1自中标人确定之日起2个工作日内，采购代理机构通过电子交易平台向中标人发出中标通知书，同时编制发布采购结果公告。采购代理机构也可以以纸质形式进行中标通知。</w:t>
      </w:r>
    </w:p>
    <w:p w14:paraId="4F39E6DA">
      <w:pPr>
        <w:widowControl/>
        <w:shd w:val="clear" w:color="auto" w:fill="FFFFFF"/>
        <w:spacing w:line="360" w:lineRule="auto"/>
        <w:ind w:firstLine="480"/>
        <w:jc w:val="left"/>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宋体" w:hAnsi="宋体" w:cs="宋体"/>
          <w:color w:val="auto"/>
          <w:sz w:val="24"/>
          <w:highlight w:val="none"/>
          <w14:ligatures w14:val="none"/>
        </w:rPr>
        <w:t>资格审查情况、评审专家抽取规则、符合性审查情况、</w:t>
      </w:r>
      <w:bookmarkEnd w:id="16"/>
      <w:r>
        <w:rPr>
          <w:rFonts w:hint="eastAsia" w:ascii="宋体" w:hAnsi="宋体" w:cs="宋体"/>
          <w:color w:val="auto"/>
          <w:sz w:val="24"/>
          <w:highlight w:val="none"/>
          <w14:ligatures w14:val="none"/>
        </w:rPr>
        <w:t>未中标情况说明、中标公告期限以及评审专家名单、评分汇总及明细。</w:t>
      </w:r>
    </w:p>
    <w:p w14:paraId="7B5A2A42">
      <w:pPr>
        <w:widowControl/>
        <w:shd w:val="clear" w:color="auto" w:fill="FFFFFF"/>
        <w:spacing w:line="360" w:lineRule="auto"/>
        <w:ind w:firstLine="480"/>
        <w:jc w:val="left"/>
        <w:rPr>
          <w:rFonts w:hint="eastAsia" w:ascii="宋体" w:hAnsi="宋体" w:cs="宋体"/>
          <w:color w:val="auto"/>
          <w:sz w:val="24"/>
          <w:highlight w:val="none"/>
          <w14:ligatures w14:val="none"/>
        </w:rPr>
      </w:pPr>
      <w:r>
        <w:rPr>
          <w:rFonts w:hint="eastAsia" w:ascii="宋体" w:hAnsi="宋体" w:cs="宋体"/>
          <w:color w:val="auto"/>
          <w:sz w:val="24"/>
          <w:highlight w:val="none"/>
          <w14:ligatures w14:val="none"/>
        </w:rPr>
        <w:t>23.3公告期限为1个工作日。</w:t>
      </w:r>
    </w:p>
    <w:p w14:paraId="4D1429DA">
      <w:pPr>
        <w:snapToGrid w:val="0"/>
        <w:spacing w:before="120" w:line="360" w:lineRule="auto"/>
        <w:ind w:firstLine="482"/>
        <w:rPr>
          <w:rFonts w:hint="eastAsia" w:ascii="宋体" w:hAnsi="宋体" w:cs="宋体"/>
          <w:b/>
          <w:color w:val="auto"/>
          <w:sz w:val="32"/>
          <w:szCs w:val="20"/>
          <w:highlight w:val="none"/>
          <w14:ligatures w14:val="none"/>
        </w:rPr>
      </w:pPr>
      <w:r>
        <w:rPr>
          <w:rFonts w:hint="eastAsia" w:ascii="宋体" w:hAnsi="宋体" w:cs="宋体"/>
          <w:b/>
          <w:color w:val="auto"/>
          <w:sz w:val="24"/>
          <w:highlight w:val="none"/>
          <w14:ligatures w14:val="none"/>
        </w:rPr>
        <w:t>23.4.由于中标、成交供应商原因导致重新采购的，应当承担支付代理费和专家评审费等费用在内的赔偿责任。</w:t>
      </w:r>
    </w:p>
    <w:p w14:paraId="19965E0C">
      <w:pPr>
        <w:snapToGrid w:val="0"/>
        <w:spacing w:line="360" w:lineRule="auto"/>
        <w:ind w:left="120" w:leftChars="57" w:firstLine="482" w:firstLineChars="150"/>
        <w:jc w:val="center"/>
        <w:rPr>
          <w:rFonts w:hint="eastAsia" w:ascii="宋体" w:hAnsi="宋体" w:cs="宋体"/>
          <w:b/>
          <w:color w:val="auto"/>
          <w:sz w:val="32"/>
          <w:highlight w:val="none"/>
          <w14:ligatures w14:val="none"/>
        </w:rPr>
      </w:pPr>
      <w:r>
        <w:rPr>
          <w:rFonts w:hint="eastAsia" w:ascii="宋体" w:hAnsi="宋体" w:cs="宋体"/>
          <w:b/>
          <w:color w:val="auto"/>
          <w:sz w:val="32"/>
          <w:highlight w:val="none"/>
          <w14:ligatures w14:val="none"/>
        </w:rPr>
        <w:t>七、合同授予</w:t>
      </w:r>
    </w:p>
    <w:p w14:paraId="38A2C1A2">
      <w:pPr>
        <w:spacing w:line="360" w:lineRule="auto"/>
        <w:ind w:firstLine="482" w:firstLineChars="200"/>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 xml:space="preserve">24. </w:t>
      </w:r>
      <w:r>
        <w:rPr>
          <w:rFonts w:hint="eastAsia" w:ascii="宋体" w:hAnsi="宋体" w:cs="宋体"/>
          <w:color w:val="auto"/>
          <w:sz w:val="24"/>
          <w:highlight w:val="none"/>
          <w14:ligatures w14:val="none"/>
        </w:rPr>
        <w:t>合同主要条款详见第五部分拟签订的合同文本。</w:t>
      </w:r>
    </w:p>
    <w:p w14:paraId="56EB446F">
      <w:pPr>
        <w:snapToGrid w:val="0"/>
        <w:spacing w:before="120"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25. 合同的签订</w:t>
      </w:r>
    </w:p>
    <w:p w14:paraId="1AAD3556">
      <w:pPr>
        <w:widowControl/>
        <w:shd w:val="clear" w:color="auto" w:fill="FFFFFF"/>
        <w:spacing w:line="360" w:lineRule="auto"/>
        <w:ind w:firstLine="480"/>
        <w:jc w:val="left"/>
        <w:rPr>
          <w:rFonts w:hint="eastAsia" w:ascii="宋体" w:hAnsi="宋体" w:cs="宋体"/>
          <w:color w:val="auto"/>
          <w:kern w:val="0"/>
          <w:sz w:val="24"/>
          <w:highlight w:val="none"/>
          <w14:ligatures w14:val="none"/>
        </w:rPr>
      </w:pPr>
      <w:r>
        <w:rPr>
          <w:rFonts w:hint="eastAsia" w:ascii="宋体" w:hAnsi="宋体" w:cs="宋体"/>
          <w:color w:val="auto"/>
          <w:sz w:val="24"/>
          <w:highlight w:val="none"/>
          <w14:ligatures w14:val="none"/>
        </w:rPr>
        <w:t>25.1</w:t>
      </w:r>
      <w:r>
        <w:rPr>
          <w:rFonts w:hint="eastAsia" w:ascii="宋体" w:hAnsi="宋体" w:cs="宋体"/>
          <w:color w:val="auto"/>
          <w:kern w:val="0"/>
          <w:sz w:val="24"/>
          <w:highlight w:val="none"/>
          <w14:ligatures w14: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1E3E403">
      <w:pPr>
        <w:snapToGrid w:val="0"/>
        <w:spacing w:before="120" w:line="360" w:lineRule="auto"/>
        <w:ind w:firstLine="480" w:firstLineChars="200"/>
        <w:rPr>
          <w:rFonts w:hint="eastAsia" w:ascii="宋体" w:hAnsi="宋体" w:cs="宋体"/>
          <w:color w:val="auto"/>
          <w:kern w:val="0"/>
          <w:sz w:val="24"/>
          <w:szCs w:val="20"/>
          <w:highlight w:val="none"/>
          <w14:ligatures w14:val="none"/>
        </w:rPr>
      </w:pPr>
      <w:r>
        <w:rPr>
          <w:rFonts w:hint="eastAsia" w:ascii="宋体" w:hAnsi="宋体" w:cs="宋体"/>
          <w:color w:val="auto"/>
          <w:kern w:val="0"/>
          <w:sz w:val="24"/>
          <w:szCs w:val="20"/>
          <w:highlight w:val="none"/>
          <w:lang w:val="zh-CN"/>
          <w14:ligatures w14:val="none"/>
        </w:rPr>
        <w:t>25.2中标人按规定的日期、时间、地点，由法定代表人或其授权代表与采购人代表签订合同。如中标人为联合体的，由联合体成员各方法定代表人或其授权代表与采购人代表签订合同。</w:t>
      </w:r>
    </w:p>
    <w:p w14:paraId="1EAEEA4F">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25.3如签订合同并生效后，供应商无故拒绝或延期，除按照合同条款处理外，列入不良行为记录一次，并给予通报。</w:t>
      </w:r>
    </w:p>
    <w:p w14:paraId="375F9A6A">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25.4中标供应商拒绝与采购人签订合同的，采购人可以按照评审报告推荐的中标或者成交候选人名单排序，确定下一候选人为中标供应商，也可以重新开展政府采购活动。</w:t>
      </w:r>
    </w:p>
    <w:p w14:paraId="69B3AA73">
      <w:pPr>
        <w:snapToGrid w:val="0"/>
        <w:spacing w:before="120" w:after="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25.5采购合同由采购人与中标供应商根据招标文件、投标文件等内容通过政府采购电子交易平台在线签订，自动备案。</w:t>
      </w:r>
    </w:p>
    <w:p w14:paraId="2C9EE4BB">
      <w:pPr>
        <w:snapToGrid w:val="0"/>
        <w:spacing w:before="120"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26. 履约保证金</w:t>
      </w:r>
    </w:p>
    <w:p w14:paraId="66B9A370">
      <w:pPr>
        <w:tabs>
          <w:tab w:val="left" w:pos="0"/>
        </w:tabs>
        <w:spacing w:line="360" w:lineRule="auto"/>
        <w:ind w:firstLine="480"/>
        <w:rPr>
          <w:rFonts w:hint="eastAsia" w:ascii="宋体" w:hAnsi="宋体" w:cs="宋体"/>
          <w:color w:val="auto"/>
          <w:sz w:val="24"/>
          <w:highlight w:val="none"/>
          <w14:ligatures w14:val="none"/>
        </w:rPr>
      </w:pPr>
      <w:r>
        <w:rPr>
          <w:rFonts w:hint="eastAsia" w:ascii="宋体" w:hAnsi="宋体" w:cs="宋体"/>
          <w:color w:val="auto"/>
          <w:kern w:val="0"/>
          <w:sz w:val="24"/>
          <w:highlight w:val="none"/>
          <w14:ligatures w14: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14:ligatures w14:val="none"/>
        </w:rPr>
        <w:t>。履约保证金的数额不得超过政府采购合同金额的</w:t>
      </w:r>
      <w:r>
        <w:rPr>
          <w:rFonts w:ascii="宋体" w:hAnsi="宋体" w:cs="宋体"/>
          <w:color w:val="auto"/>
          <w:sz w:val="24"/>
          <w:highlight w:val="none"/>
          <w14:ligatures w14:val="none"/>
        </w:rPr>
        <w:t>1</w:t>
      </w:r>
      <w:r>
        <w:rPr>
          <w:rFonts w:hint="eastAsia" w:ascii="宋体" w:hAnsi="宋体" w:cs="宋体"/>
          <w:color w:val="auto"/>
          <w:sz w:val="24"/>
          <w:highlight w:val="none"/>
          <w14:ligatures w14: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14:ligatures w14:val="none"/>
        </w:rPr>
        <w:t>延迟退还的，应当按照合同约定和法律规定承担相应的赔偿责任</w:t>
      </w:r>
      <w:r>
        <w:rPr>
          <w:rFonts w:hint="eastAsia" w:ascii="宋体" w:hAnsi="宋体" w:cs="宋体"/>
          <w:color w:val="auto"/>
          <w:sz w:val="24"/>
          <w:highlight w:val="none"/>
          <w14:ligatures w14:val="none"/>
        </w:rPr>
        <w:t>。</w:t>
      </w:r>
    </w:p>
    <w:p w14:paraId="7ABFE0CB">
      <w:pPr>
        <w:tabs>
          <w:tab w:val="left" w:pos="0"/>
        </w:tabs>
        <w:spacing w:line="360" w:lineRule="auto"/>
        <w:ind w:firstLine="480"/>
        <w:rPr>
          <w:rFonts w:hint="eastAsia" w:ascii="宋体" w:hAnsi="宋体" w:cs="宋体"/>
          <w:color w:val="auto"/>
          <w:kern w:val="0"/>
          <w:sz w:val="24"/>
          <w:highlight w:val="none"/>
          <w:lang w:val="zh-CN"/>
          <w14:ligatures w14:val="none"/>
        </w:rPr>
      </w:pPr>
      <w:r>
        <w:rPr>
          <w:rFonts w:hint="eastAsia" w:ascii="宋体" w:hAnsi="宋体" w:cs="宋体"/>
          <w:color w:val="auto"/>
          <w:kern w:val="0"/>
          <w:sz w:val="24"/>
          <w:highlight w:val="none"/>
          <w:lang w:val="zh-CN"/>
          <w14:ligatures w14:val="none"/>
        </w:rPr>
        <w:t>供应商</w:t>
      </w:r>
      <w:r>
        <w:rPr>
          <w:rFonts w:hint="eastAsia" w:ascii="宋体" w:hAnsi="宋体" w:cs="宋体"/>
          <w:color w:val="auto"/>
          <w:kern w:val="0"/>
          <w:sz w:val="24"/>
          <w:highlight w:val="none"/>
          <w14:ligatures w14:val="none"/>
        </w:rPr>
        <w:t>可</w:t>
      </w:r>
      <w:r>
        <w:rPr>
          <w:rFonts w:hint="eastAsia" w:ascii="宋体" w:hAnsi="宋体" w:cs="宋体"/>
          <w:color w:val="auto"/>
          <w:kern w:val="0"/>
          <w:sz w:val="24"/>
          <w:highlight w:val="none"/>
          <w:lang w:val="zh-CN"/>
          <w14:ligatures w14: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E1FB52C">
      <w:pPr>
        <w:snapToGrid w:val="0"/>
        <w:spacing w:before="120" w:line="360" w:lineRule="auto"/>
        <w:ind w:firstLine="482"/>
        <w:rPr>
          <w:rFonts w:hint="eastAsia" w:ascii="宋体" w:hAnsi="宋体" w:cs="宋体"/>
          <w:b/>
          <w:color w:val="auto"/>
          <w:sz w:val="24"/>
          <w:highlight w:val="none"/>
          <w:lang w:val="zh-CN"/>
          <w14:ligatures w14:val="none"/>
        </w:rPr>
      </w:pPr>
      <w:r>
        <w:rPr>
          <w:rFonts w:hint="eastAsia" w:ascii="宋体" w:hAnsi="宋体" w:cs="宋体"/>
          <w:b/>
          <w:color w:val="auto"/>
          <w:sz w:val="24"/>
          <w:highlight w:val="none"/>
          <w14:ligatures w14:val="none"/>
        </w:rPr>
        <w:t>27.预付款</w:t>
      </w:r>
    </w:p>
    <w:p w14:paraId="11762258">
      <w:pPr>
        <w:adjustRightInd/>
        <w:spacing w:line="360" w:lineRule="auto"/>
        <w:ind w:firstLine="480" w:firstLineChars="200"/>
        <w:rPr>
          <w:rFonts w:hint="eastAsia" w:ascii="宋体" w:hAnsi="宋体"/>
          <w:color w:val="auto"/>
          <w:sz w:val="24"/>
          <w:highlight w:val="none"/>
          <w14:ligatures w14:val="none"/>
        </w:rPr>
      </w:pPr>
      <w:r>
        <w:rPr>
          <w:rFonts w:hint="eastAsia" w:ascii="宋体" w:hAnsi="宋体"/>
          <w:color w:val="auto"/>
          <w:sz w:val="24"/>
          <w:highlight w:val="none"/>
          <w14:ligatures w14:val="none"/>
        </w:rPr>
        <w:t>采购单位应当在政府采购合同中约定预付款，对中小企业合同预付款比例原则上不低于合同金额的</w:t>
      </w:r>
      <w:r>
        <w:rPr>
          <w:rFonts w:ascii="宋体" w:hAnsi="宋体"/>
          <w:color w:val="auto"/>
          <w:sz w:val="24"/>
          <w:highlight w:val="none"/>
          <w14:ligatures w14:val="none"/>
        </w:rPr>
        <w:t>40％</w:t>
      </w:r>
      <w:r>
        <w:rPr>
          <w:rFonts w:hint="eastAsia" w:ascii="宋体" w:hAnsi="宋体"/>
          <w:color w:val="auto"/>
          <w:sz w:val="24"/>
          <w:highlight w:val="none"/>
          <w14:ligatures w14:val="none"/>
        </w:rPr>
        <w:t>，不高于合同金额的</w:t>
      </w:r>
      <w:r>
        <w:rPr>
          <w:rFonts w:ascii="宋体" w:hAnsi="宋体"/>
          <w:color w:val="auto"/>
          <w:sz w:val="24"/>
          <w:highlight w:val="none"/>
          <w14:ligatures w14:val="none"/>
        </w:rPr>
        <w:t>70%；项目分年安排预算的，每年预付款比例</w:t>
      </w:r>
      <w:r>
        <w:rPr>
          <w:rFonts w:hint="eastAsia" w:ascii="宋体" w:hAnsi="宋体"/>
          <w:color w:val="auto"/>
          <w:sz w:val="24"/>
          <w:highlight w:val="none"/>
          <w14:ligatures w14:val="none"/>
        </w:rPr>
        <w:t>不低于</w:t>
      </w:r>
      <w:r>
        <w:rPr>
          <w:rFonts w:ascii="宋体" w:hAnsi="宋体"/>
          <w:color w:val="auto"/>
          <w:sz w:val="24"/>
          <w:highlight w:val="none"/>
          <w14:ligatures w14:val="none"/>
        </w:rPr>
        <w:t>项目年度计划支付资金额的40％</w:t>
      </w:r>
      <w:r>
        <w:rPr>
          <w:rFonts w:hint="eastAsia" w:ascii="宋体" w:hAnsi="宋体"/>
          <w:color w:val="auto"/>
          <w:sz w:val="24"/>
          <w:highlight w:val="none"/>
          <w14:ligatures w14:val="none"/>
        </w:rPr>
        <w:t>，不高于合同金额的</w:t>
      </w:r>
      <w:r>
        <w:rPr>
          <w:rFonts w:ascii="宋体" w:hAnsi="宋体"/>
          <w:color w:val="auto"/>
          <w:sz w:val="24"/>
          <w:highlight w:val="none"/>
          <w14:ligatures w14:val="none"/>
        </w:rPr>
        <w:t>70%；采购项目实施以人工投入为主的，</w:t>
      </w:r>
      <w:r>
        <w:rPr>
          <w:rFonts w:hint="eastAsia" w:ascii="宋体" w:hAnsi="宋体"/>
          <w:color w:val="auto"/>
          <w:sz w:val="24"/>
          <w:highlight w:val="none"/>
          <w14:ligatures w14:val="none"/>
        </w:rPr>
        <w:t>可适当降低预付款比例，但不得低于</w:t>
      </w:r>
      <w:r>
        <w:rPr>
          <w:rFonts w:ascii="宋体" w:hAnsi="宋体"/>
          <w:color w:val="auto"/>
          <w:sz w:val="24"/>
          <w:highlight w:val="none"/>
          <w14:ligatures w14: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14:ligatures w14:val="none"/>
        </w:rPr>
        <w:t>供应商</w:t>
      </w:r>
      <w:r>
        <w:rPr>
          <w:rFonts w:ascii="宋体" w:hAnsi="宋体"/>
          <w:color w:val="auto"/>
          <w:sz w:val="24"/>
          <w:highlight w:val="none"/>
          <w14:ligatures w14:val="none"/>
        </w:rPr>
        <w:t>明确表示无需预付款或者主动要求降低预付款比例的，</w:t>
      </w:r>
      <w:r>
        <w:rPr>
          <w:rFonts w:hint="eastAsia" w:ascii="宋体" w:hAnsi="宋体"/>
          <w:color w:val="auto"/>
          <w:sz w:val="24"/>
          <w:highlight w:val="none"/>
          <w14:ligatures w14:val="none"/>
        </w:rPr>
        <w:t>采购单位</w:t>
      </w:r>
      <w:r>
        <w:rPr>
          <w:rFonts w:ascii="宋体" w:hAnsi="宋体"/>
          <w:color w:val="auto"/>
          <w:sz w:val="24"/>
          <w:highlight w:val="none"/>
          <w14:ligatures w14:val="none"/>
        </w:rPr>
        <w:t>可不适用前述规定。</w:t>
      </w:r>
      <w:r>
        <w:rPr>
          <w:rFonts w:hint="eastAsia" w:ascii="宋体" w:hAnsi="宋体"/>
          <w:color w:val="auto"/>
          <w:sz w:val="24"/>
          <w:highlight w:val="none"/>
          <w14:ligatures w14:val="none"/>
        </w:rPr>
        <w:t>采购单位</w:t>
      </w:r>
      <w:r>
        <w:rPr>
          <w:rFonts w:ascii="宋体" w:hAnsi="宋体"/>
          <w:color w:val="auto"/>
          <w:sz w:val="24"/>
          <w:highlight w:val="none"/>
          <w14:ligatures w14:val="none"/>
        </w:rPr>
        <w:t>根据项目特点、供应商诚信等因素，可以要求</w:t>
      </w:r>
      <w:r>
        <w:rPr>
          <w:rFonts w:hint="eastAsia" w:ascii="宋体" w:hAnsi="宋体"/>
          <w:color w:val="auto"/>
          <w:sz w:val="24"/>
          <w:highlight w:val="none"/>
          <w14:ligatures w14:val="none"/>
        </w:rPr>
        <w:t>供应商</w:t>
      </w:r>
      <w:r>
        <w:rPr>
          <w:rFonts w:ascii="宋体" w:hAnsi="宋体"/>
          <w:color w:val="auto"/>
          <w:sz w:val="24"/>
          <w:highlight w:val="none"/>
          <w14:ligatures w14: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14:ligatures w14: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14:ligatures w14:val="none"/>
        </w:rPr>
        <w:t xml:space="preserve"> - </w:t>
      </w:r>
      <w:r>
        <w:rPr>
          <w:rFonts w:hint="eastAsia" w:ascii="宋体" w:hAnsi="宋体"/>
          <w:color w:val="auto"/>
          <w:sz w:val="24"/>
          <w:highlight w:val="none"/>
          <w14:ligatures w14:val="none"/>
        </w:rPr>
        <w:t>【保函保险服务】出具预付款保函，具体步骤：选择产品—填写供应商信息—选择中标项目—确认信息—等待保险</w:t>
      </w:r>
      <w:r>
        <w:rPr>
          <w:rFonts w:ascii="宋体" w:hAnsi="宋体"/>
          <w:color w:val="auto"/>
          <w:sz w:val="24"/>
          <w:highlight w:val="none"/>
          <w14:ligatures w14:val="none"/>
        </w:rPr>
        <w:t>/保函受理—确认保单—支付保费—成功出单。政</w:t>
      </w:r>
      <w:r>
        <w:rPr>
          <w:rFonts w:hint="eastAsia" w:ascii="宋体" w:hAnsi="宋体"/>
          <w:color w:val="auto"/>
          <w:sz w:val="24"/>
          <w:highlight w:val="none"/>
          <w14:ligatures w14:val="none"/>
        </w:rPr>
        <w:t>采云金融专线95763</w:t>
      </w:r>
      <w:r>
        <w:rPr>
          <w:rFonts w:ascii="宋体" w:hAnsi="宋体"/>
          <w:color w:val="auto"/>
          <w:sz w:val="24"/>
          <w:highlight w:val="none"/>
          <w14:ligatures w14:val="none"/>
        </w:rPr>
        <w:t>。</w:t>
      </w:r>
    </w:p>
    <w:p w14:paraId="7C1036C6">
      <w:pPr>
        <w:adjustRightInd/>
        <w:spacing w:line="360" w:lineRule="auto"/>
        <w:ind w:firstLine="480" w:firstLineChars="200"/>
        <w:rPr>
          <w:rFonts w:hint="eastAsia" w:ascii="宋体" w:hAnsi="宋体"/>
          <w:color w:val="auto"/>
          <w:sz w:val="24"/>
          <w:highlight w:val="none"/>
          <w14:ligatures w14:val="none"/>
        </w:rPr>
      </w:pPr>
    </w:p>
    <w:p w14:paraId="15123B99">
      <w:pPr>
        <w:snapToGrid w:val="0"/>
        <w:spacing w:line="360" w:lineRule="auto"/>
        <w:ind w:firstLine="3357" w:firstLineChars="1045"/>
        <w:rPr>
          <w:rFonts w:hint="eastAsia" w:ascii="宋体" w:hAnsi="宋体" w:cs="宋体"/>
          <w:b/>
          <w:color w:val="auto"/>
          <w:sz w:val="24"/>
          <w:highlight w:val="none"/>
          <w14:ligatures w14:val="none"/>
        </w:rPr>
      </w:pPr>
      <w:r>
        <w:rPr>
          <w:rFonts w:hint="eastAsia" w:ascii="宋体" w:hAnsi="宋体" w:cs="宋体"/>
          <w:b/>
          <w:color w:val="auto"/>
          <w:sz w:val="32"/>
          <w:highlight w:val="none"/>
          <w14:ligatures w14:val="none"/>
        </w:rPr>
        <w:t>八、电子交易活动的中止</w:t>
      </w:r>
    </w:p>
    <w:p w14:paraId="7785252F">
      <w:pPr>
        <w:snapToGrid w:val="0"/>
        <w:spacing w:before="120" w:line="360" w:lineRule="auto"/>
        <w:ind w:firstLine="482"/>
        <w:rPr>
          <w:rFonts w:hint="eastAsia" w:ascii="宋体" w:hAnsi="宋体" w:cs="宋体"/>
          <w:color w:val="auto"/>
          <w:sz w:val="24"/>
          <w:szCs w:val="20"/>
          <w:highlight w:val="none"/>
          <w14:ligatures w14:val="none"/>
        </w:rPr>
      </w:pPr>
      <w:r>
        <w:rPr>
          <w:rFonts w:ascii="宋体" w:hAnsi="宋体" w:cs="宋体"/>
          <w:b/>
          <w:bCs/>
          <w:color w:val="auto"/>
          <w:sz w:val="24"/>
          <w:szCs w:val="20"/>
          <w:highlight w:val="none"/>
          <w14:ligatures w14:val="none"/>
        </w:rPr>
        <w:t>2</w:t>
      </w:r>
      <w:r>
        <w:rPr>
          <w:rFonts w:ascii="宋体" w:hAnsi="宋体" w:cs="宋体"/>
          <w:b/>
          <w:bCs/>
          <w:color w:val="auto"/>
          <w:sz w:val="24"/>
          <w:highlight w:val="none"/>
          <w14:ligatures w14:val="none"/>
        </w:rPr>
        <w:t>8</w:t>
      </w:r>
      <w:r>
        <w:rPr>
          <w:rFonts w:hint="eastAsia" w:ascii="宋体" w:hAnsi="宋体" w:cs="宋体"/>
          <w:b/>
          <w:color w:val="auto"/>
          <w:sz w:val="24"/>
          <w:highlight w:val="none"/>
          <w14:ligatures w14:val="none"/>
        </w:rPr>
        <w:t>. 电子交易活动的中止。</w:t>
      </w:r>
      <w:r>
        <w:rPr>
          <w:rFonts w:hint="eastAsia" w:ascii="宋体" w:hAnsi="宋体" w:cs="宋体"/>
          <w:color w:val="auto"/>
          <w:sz w:val="24"/>
          <w:szCs w:val="20"/>
          <w:highlight w:val="none"/>
          <w14:ligatures w14:val="none"/>
        </w:rPr>
        <w:t>采购过程中出现以下情形，导致电子交易平台无法正常运行，或者无法保证电子交易的公平、公正和安全时，采购代理机构可中止电子交易活动：</w:t>
      </w:r>
    </w:p>
    <w:p w14:paraId="49F07CA7">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 xml:space="preserve">28.1电子交易平台发生故障而无法登录访问的； </w:t>
      </w:r>
    </w:p>
    <w:p w14:paraId="29EAE0D2">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28.2电子交易平台应用或数据库出现错误，不能进行正常操作的；</w:t>
      </w:r>
    </w:p>
    <w:p w14:paraId="32BF9D13">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28.3电子交易平台发现严重安全漏洞，有潜在泄密危险的；</w:t>
      </w:r>
    </w:p>
    <w:p w14:paraId="7BF9B1FF">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 xml:space="preserve">28.4病毒发作导致不能进行正常操作的； </w:t>
      </w:r>
    </w:p>
    <w:p w14:paraId="352E8A82">
      <w:pPr>
        <w:snapToGrid w:val="0"/>
        <w:spacing w:before="120" w:line="360" w:lineRule="auto"/>
        <w:ind w:firstLine="480" w:firstLineChars="20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28.5其他无法保证电子交易的公平、公正和安全的情况。</w:t>
      </w:r>
    </w:p>
    <w:p w14:paraId="55847544">
      <w:pPr>
        <w:snapToGrid w:val="0"/>
        <w:spacing w:before="120" w:line="360" w:lineRule="auto"/>
        <w:ind w:firstLine="480"/>
        <w:rPr>
          <w:rFonts w:hint="eastAsia" w:ascii="宋体" w:hAnsi="宋体" w:cs="宋体"/>
          <w:color w:val="auto"/>
          <w:sz w:val="24"/>
          <w:szCs w:val="20"/>
          <w:highlight w:val="none"/>
          <w14:ligatures w14:val="none"/>
        </w:rPr>
      </w:pPr>
      <w:r>
        <w:rPr>
          <w:rFonts w:hint="eastAsia" w:ascii="宋体" w:hAnsi="宋体" w:cs="宋体"/>
          <w:color w:val="auto"/>
          <w:sz w:val="24"/>
          <w:szCs w:val="20"/>
          <w:highlight w:val="none"/>
          <w14:ligatures w14:val="none"/>
        </w:rPr>
        <w:t>29.出现以上情形，不影响采购公平、公正性的，采购组织机构可以待上述情形消除后继续组织电子交易活动，也可以决定某些环节以纸质形式进行；影响或可能影响采购公平、公正性的，应当重新采购。</w:t>
      </w:r>
    </w:p>
    <w:p w14:paraId="55939BF3">
      <w:pPr>
        <w:tabs>
          <w:tab w:val="left" w:pos="0"/>
        </w:tabs>
        <w:spacing w:line="360" w:lineRule="auto"/>
        <w:ind w:firstLine="480"/>
        <w:rPr>
          <w:rFonts w:hint="eastAsia" w:ascii="宋体" w:hAnsi="宋体" w:cs="宋体"/>
          <w:color w:val="auto"/>
          <w:sz w:val="24"/>
          <w:highlight w:val="none"/>
          <w14:ligatures w14:val="none"/>
        </w:rPr>
      </w:pPr>
    </w:p>
    <w:p w14:paraId="1AD2A8D9">
      <w:pPr>
        <w:snapToGrid w:val="0"/>
        <w:spacing w:line="360" w:lineRule="auto"/>
        <w:ind w:left="120" w:leftChars="57" w:firstLine="482" w:firstLineChars="150"/>
        <w:jc w:val="center"/>
        <w:rPr>
          <w:rFonts w:hint="eastAsia" w:ascii="宋体" w:hAnsi="宋体" w:cs="宋体"/>
          <w:b/>
          <w:color w:val="auto"/>
          <w:sz w:val="32"/>
          <w:highlight w:val="none"/>
          <w14:ligatures w14:val="none"/>
        </w:rPr>
      </w:pPr>
      <w:r>
        <w:rPr>
          <w:rFonts w:hint="eastAsia" w:ascii="宋体" w:hAnsi="宋体" w:cs="宋体"/>
          <w:b/>
          <w:color w:val="auto"/>
          <w:sz w:val="32"/>
          <w:highlight w:val="none"/>
          <w14:ligatures w14:val="none"/>
        </w:rPr>
        <w:t>九、验收</w:t>
      </w:r>
    </w:p>
    <w:p w14:paraId="1EA45211">
      <w:pPr>
        <w:spacing w:line="360" w:lineRule="auto"/>
        <w:ind w:firstLine="482"/>
        <w:rPr>
          <w:rFonts w:hint="eastAsia" w:ascii="宋体" w:hAnsi="宋体" w:cs="宋体"/>
          <w:b/>
          <w:color w:val="auto"/>
          <w:sz w:val="24"/>
          <w:highlight w:val="none"/>
          <w14:ligatures w14:val="none"/>
        </w:rPr>
      </w:pPr>
      <w:r>
        <w:rPr>
          <w:rFonts w:hint="eastAsia" w:ascii="宋体" w:hAnsi="宋体" w:cs="宋体"/>
          <w:b/>
          <w:color w:val="auto"/>
          <w:sz w:val="24"/>
          <w:highlight w:val="none"/>
          <w14:ligatures w14:val="none"/>
        </w:rPr>
        <w:t>30.验收</w:t>
      </w:r>
    </w:p>
    <w:p w14:paraId="20ED29B9">
      <w:pPr>
        <w:tabs>
          <w:tab w:val="left" w:pos="0"/>
        </w:tabs>
        <w:spacing w:line="360" w:lineRule="auto"/>
        <w:ind w:firstLine="480"/>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6665FD">
      <w:pPr>
        <w:tabs>
          <w:tab w:val="left" w:pos="0"/>
        </w:tabs>
        <w:spacing w:line="360" w:lineRule="auto"/>
        <w:ind w:firstLine="480"/>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30.2采购人可以邀请参加本项目的其他投标人或者第三方机构参与验收。参与验收的投标人或者第三方机构的意见作为验收书的参考资料一并存档。</w:t>
      </w:r>
    </w:p>
    <w:p w14:paraId="04637534">
      <w:pPr>
        <w:tabs>
          <w:tab w:val="left" w:pos="0"/>
        </w:tabs>
        <w:spacing w:line="360" w:lineRule="auto"/>
        <w:ind w:firstLine="480"/>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93FAA5">
      <w:pPr>
        <w:tabs>
          <w:tab w:val="left" w:pos="0"/>
        </w:tabs>
        <w:spacing w:line="360" w:lineRule="auto"/>
        <w:ind w:firstLine="480"/>
        <w:rPr>
          <w:rFonts w:hint="eastAsia" w:ascii="宋体" w:hAnsi="宋体" w:cs="宋体"/>
          <w:color w:val="auto"/>
          <w:kern w:val="0"/>
          <w:sz w:val="24"/>
          <w:highlight w:val="none"/>
          <w14:ligatures w14:val="none"/>
        </w:rPr>
      </w:pPr>
      <w:r>
        <w:rPr>
          <w:rFonts w:hint="eastAsia" w:ascii="宋体" w:hAnsi="宋体" w:cs="宋体"/>
          <w:color w:val="auto"/>
          <w:kern w:val="0"/>
          <w:sz w:val="24"/>
          <w:highlight w:val="none"/>
          <w14:ligatures w14: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6A92CF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14:ligatures w14: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5"/>
    <w:p w14:paraId="79D53CD8">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68073093"/>
      <w:bookmarkEnd w:id="17"/>
      <w:bookmarkStart w:id="18" w:name="_Hlt75236101"/>
      <w:bookmarkEnd w:id="18"/>
      <w:bookmarkStart w:id="19" w:name="_Hlt74729768"/>
      <w:bookmarkEnd w:id="19"/>
      <w:bookmarkStart w:id="20" w:name="_Hlt74707468"/>
      <w:bookmarkEnd w:id="20"/>
      <w:bookmarkStart w:id="21" w:name="_Hlt75236011"/>
      <w:bookmarkEnd w:id="21"/>
      <w:bookmarkStart w:id="22" w:name="_Hlt68072990"/>
      <w:bookmarkEnd w:id="22"/>
      <w:bookmarkStart w:id="23" w:name="_Hlt75236290"/>
      <w:bookmarkEnd w:id="23"/>
      <w:bookmarkStart w:id="24" w:name="_Hlt68057669"/>
      <w:bookmarkEnd w:id="24"/>
      <w:bookmarkStart w:id="25" w:name="_Hlt74730295"/>
      <w:bookmarkEnd w:id="25"/>
      <w:bookmarkStart w:id="26" w:name="_Hlt74714665"/>
      <w:bookmarkEnd w:id="26"/>
      <w:bookmarkStart w:id="27" w:name="_Hlt68072998"/>
      <w:bookmarkEnd w:id="27"/>
      <w:bookmarkStart w:id="28" w:name="_Hlt68403820"/>
      <w:bookmarkEnd w:id="28"/>
    </w:p>
    <w:bookmarkEnd w:id="13"/>
    <w:bookmarkEnd w:id="14"/>
    <w:p w14:paraId="128942F1">
      <w:pPr>
        <w:spacing w:line="360" w:lineRule="auto"/>
        <w:jc w:val="center"/>
        <w:outlineLvl w:val="0"/>
        <w:rPr>
          <w:rFonts w:hint="eastAsia" w:ascii="宋体" w:hAnsi="宋体" w:eastAsia="宋体" w:cs="宋体"/>
          <w:b/>
          <w:color w:val="auto"/>
          <w:sz w:val="36"/>
          <w:szCs w:val="36"/>
          <w:highlight w:val="none"/>
        </w:rPr>
      </w:pPr>
      <w:bookmarkStart w:id="29" w:name="第四部分"/>
      <w:r>
        <w:rPr>
          <w:rFonts w:hint="eastAsia" w:ascii="宋体" w:hAnsi="宋体" w:eastAsia="宋体" w:cs="宋体"/>
          <w:b/>
          <w:color w:val="auto"/>
          <w:sz w:val="36"/>
          <w:szCs w:val="36"/>
          <w:highlight w:val="none"/>
        </w:rPr>
        <w:t>第三部分   采购需求</w:t>
      </w:r>
    </w:p>
    <w:p w14:paraId="2A97B0D3">
      <w:pPr>
        <w:spacing w:line="500" w:lineRule="exact"/>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一、项目概况</w:t>
      </w:r>
    </w:p>
    <w:p w14:paraId="015DF48D">
      <w:pPr>
        <w:spacing w:line="360" w:lineRule="auto"/>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标项</w:t>
      </w:r>
      <w:r>
        <w:rPr>
          <w:rFonts w:hint="eastAsia" w:ascii="宋体" w:hAnsi="宋体" w:eastAsia="宋体" w:cs="宋体"/>
          <w:color w:val="000000"/>
          <w:sz w:val="24"/>
          <w:szCs w:val="24"/>
          <w:highlight w:val="none"/>
        </w:rPr>
        <w:t>名称：</w:t>
      </w:r>
      <w:r>
        <w:rPr>
          <w:rFonts w:hint="eastAsia" w:ascii="宋体" w:hAnsi="宋体" w:eastAsia="宋体" w:cs="宋体"/>
          <w:color w:val="000000"/>
          <w:sz w:val="24"/>
          <w:szCs w:val="24"/>
          <w:highlight w:val="none"/>
          <w:lang w:eastAsia="zh-CN"/>
        </w:rPr>
        <w:t>前进街道四工段横河等河道水质提升服务</w:t>
      </w:r>
    </w:p>
    <w:p w14:paraId="3A842EBB">
      <w:pPr>
        <w:pStyle w:val="258"/>
        <w:spacing w:line="360" w:lineRule="auto"/>
        <w:ind w:firstLine="482" w:firstLineChars="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2、项目地点：杭州市钱塘区前进街道</w:t>
      </w:r>
    </w:p>
    <w:p w14:paraId="42A04D3D">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、本项目服务范围包括：</w:t>
      </w:r>
      <w:r>
        <w:rPr>
          <w:rFonts w:hint="eastAsia" w:ascii="宋体" w:hAnsi="宋体" w:cs="宋体"/>
          <w:color w:val="000000"/>
          <w:sz w:val="24"/>
          <w:szCs w:val="24"/>
          <w:highlight w:val="none"/>
          <w:lang w:val="en-US" w:eastAsia="zh-CN"/>
        </w:rPr>
        <w:t>前进</w:t>
      </w:r>
      <w:r>
        <w:rPr>
          <w:rFonts w:hint="eastAsia" w:ascii="宋体" w:hAnsi="宋体" w:eastAsia="宋体" w:cs="宋体"/>
          <w:color w:val="000000"/>
          <w:sz w:val="24"/>
          <w:szCs w:val="24"/>
          <w:highlight w:val="none"/>
        </w:rPr>
        <w:t>街道范围内主要河道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四工段横河前进段</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三工段横河（前进段）</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抢险河（前进段）</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围垦沿塘河</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0.7 万亩沿塘河</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1 万亩中心横河</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八二直河</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八工段直河</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九工段直河</w:t>
      </w:r>
      <w:r>
        <w:rPr>
          <w:rFonts w:hint="eastAsia" w:ascii="宋体" w:hAnsi="宋体" w:cs="宋体"/>
          <w:color w:val="000000"/>
          <w:sz w:val="24"/>
          <w:szCs w:val="24"/>
          <w:highlight w:val="none"/>
          <w:lang w:eastAsia="zh-CN"/>
        </w:rPr>
        <w:t>、前峰横直河。</w:t>
      </w:r>
    </w:p>
    <w:p w14:paraId="341D1E40">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本项目主要服务内容包含确保</w:t>
      </w:r>
      <w:r>
        <w:rPr>
          <w:rFonts w:hint="eastAsia" w:ascii="宋体" w:hAnsi="宋体" w:cs="宋体"/>
          <w:color w:val="000000"/>
          <w:sz w:val="24"/>
          <w:szCs w:val="24"/>
          <w:highlight w:val="none"/>
          <w:lang w:eastAsia="zh-CN"/>
        </w:rPr>
        <w:t>现有</w:t>
      </w:r>
      <w:r>
        <w:rPr>
          <w:rFonts w:hint="eastAsia" w:ascii="宋体" w:hAnsi="宋体" w:cs="宋体"/>
          <w:color w:val="000000"/>
          <w:sz w:val="24"/>
          <w:szCs w:val="24"/>
          <w:highlight w:val="none"/>
          <w:lang w:val="en-US" w:eastAsia="zh-CN"/>
        </w:rPr>
        <w:t>10条河道</w:t>
      </w:r>
      <w:r>
        <w:rPr>
          <w:rFonts w:hint="eastAsia" w:ascii="宋体" w:hAnsi="宋体" w:eastAsia="宋体" w:cs="宋体"/>
          <w:color w:val="000000"/>
          <w:sz w:val="24"/>
          <w:szCs w:val="24"/>
          <w:highlight w:val="none"/>
        </w:rPr>
        <w:t>水环境设施设备正常运行，</w:t>
      </w:r>
      <w:r>
        <w:rPr>
          <w:rFonts w:hint="eastAsia" w:ascii="宋体" w:hAnsi="宋体" w:cs="宋体"/>
          <w:color w:val="000000"/>
          <w:sz w:val="24"/>
          <w:szCs w:val="24"/>
          <w:highlight w:val="none"/>
          <w:lang w:eastAsia="zh-CN"/>
        </w:rPr>
        <w:t>确保</w:t>
      </w:r>
      <w:r>
        <w:rPr>
          <w:rFonts w:hint="eastAsia" w:ascii="宋体" w:hAnsi="宋体" w:eastAsia="宋体" w:cs="宋体"/>
          <w:color w:val="000000"/>
          <w:sz w:val="24"/>
          <w:szCs w:val="24"/>
          <w:highlight w:val="none"/>
        </w:rPr>
        <w:t>水质检测合格等</w:t>
      </w:r>
      <w:r>
        <w:rPr>
          <w:rFonts w:hint="eastAsia" w:ascii="宋体" w:hAnsi="宋体" w:cs="宋体"/>
          <w:color w:val="000000"/>
          <w:sz w:val="24"/>
          <w:szCs w:val="24"/>
          <w:highlight w:val="none"/>
          <w:lang w:eastAsia="zh-CN"/>
        </w:rPr>
        <w:t>。</w:t>
      </w:r>
    </w:p>
    <w:p w14:paraId="454C60D9">
      <w:pPr>
        <w:pStyle w:val="33"/>
        <w:spacing w:line="360" w:lineRule="auto"/>
        <w:outlineLvl w:val="0"/>
        <w:rPr>
          <w:rFonts w:hint="eastAsia" w:hAnsi="宋体" w:cs="宋体"/>
          <w:color w:val="000000"/>
          <w:sz w:val="24"/>
          <w:szCs w:val="24"/>
          <w:highlight w:val="none"/>
          <w:lang w:eastAsia="zh-CN"/>
        </w:rPr>
      </w:pPr>
      <w:r>
        <w:rPr>
          <w:rFonts w:hint="eastAsia" w:hAnsi="宋体" w:cs="宋体"/>
          <w:b/>
          <w:bCs/>
          <w:color w:val="000000"/>
          <w:sz w:val="24"/>
          <w:szCs w:val="24"/>
          <w:highlight w:val="none"/>
          <w:lang w:eastAsia="zh-CN"/>
        </w:rPr>
        <w:t>二、河道总体概况和运维内容。</w:t>
      </w:r>
    </w:p>
    <w:p w14:paraId="50A8FE31">
      <w:pPr>
        <w:pStyle w:val="891"/>
        <w:spacing w:line="360" w:lineRule="auto"/>
        <w:ind w:left="0" w:leftChars="0" w:firstLine="0" w:firstLineChars="0"/>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河道概况</w:t>
      </w:r>
    </w:p>
    <w:tbl>
      <w:tblPr>
        <w:tblStyle w:val="6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981"/>
        <w:gridCol w:w="1888"/>
        <w:gridCol w:w="1788"/>
        <w:gridCol w:w="1436"/>
        <w:gridCol w:w="1518"/>
      </w:tblGrid>
      <w:tr w14:paraId="0641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center"/>
          </w:tcPr>
          <w:p w14:paraId="16CCFEAD">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序号</w:t>
            </w:r>
          </w:p>
        </w:tc>
        <w:tc>
          <w:tcPr>
            <w:tcW w:w="1035" w:type="pct"/>
            <w:noWrap w:val="0"/>
            <w:vAlign w:val="center"/>
          </w:tcPr>
          <w:p w14:paraId="6FF6E669">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河道名称</w:t>
            </w:r>
          </w:p>
        </w:tc>
        <w:tc>
          <w:tcPr>
            <w:tcW w:w="986" w:type="pct"/>
            <w:noWrap w:val="0"/>
            <w:vAlign w:val="center"/>
          </w:tcPr>
          <w:p w14:paraId="58191651">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起点</w:t>
            </w:r>
          </w:p>
        </w:tc>
        <w:tc>
          <w:tcPr>
            <w:tcW w:w="934" w:type="pct"/>
            <w:noWrap w:val="0"/>
            <w:vAlign w:val="center"/>
          </w:tcPr>
          <w:p w14:paraId="07314BCF">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终点</w:t>
            </w:r>
          </w:p>
        </w:tc>
        <w:tc>
          <w:tcPr>
            <w:tcW w:w="750" w:type="pct"/>
            <w:noWrap w:val="0"/>
            <w:vAlign w:val="center"/>
          </w:tcPr>
          <w:p w14:paraId="55AAB2B7">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河长约（m）</w:t>
            </w:r>
          </w:p>
        </w:tc>
        <w:tc>
          <w:tcPr>
            <w:tcW w:w="793" w:type="pct"/>
            <w:noWrap w:val="0"/>
            <w:vAlign w:val="center"/>
          </w:tcPr>
          <w:p w14:paraId="66998299">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河宽约（m）</w:t>
            </w:r>
          </w:p>
        </w:tc>
      </w:tr>
      <w:tr w14:paraId="35DF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center"/>
          </w:tcPr>
          <w:p w14:paraId="7D0625EE">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1035" w:type="pct"/>
            <w:noWrap w:val="0"/>
            <w:vAlign w:val="center"/>
          </w:tcPr>
          <w:p w14:paraId="301AA00F">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四工段横河</w:t>
            </w:r>
          </w:p>
          <w:p w14:paraId="46012457">
            <w:pPr>
              <w:keepNext w:val="0"/>
              <w:keepLines w:val="0"/>
              <w:widowControl/>
              <w:suppressLineNumbers w:val="0"/>
              <w:spacing w:line="360" w:lineRule="auto"/>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4"/>
                <w:szCs w:val="24"/>
                <w:lang w:val="en-US" w:eastAsia="zh-CN" w:bidi="ar"/>
              </w:rPr>
              <w:t>（前进段）</w:t>
            </w:r>
          </w:p>
        </w:tc>
        <w:tc>
          <w:tcPr>
            <w:tcW w:w="986" w:type="pct"/>
            <w:noWrap w:val="0"/>
            <w:vAlign w:val="center"/>
          </w:tcPr>
          <w:p w14:paraId="56EA608C">
            <w:pPr>
              <w:keepNext w:val="0"/>
              <w:keepLines w:val="0"/>
              <w:widowControl/>
              <w:suppressLineNumbers w:val="0"/>
              <w:spacing w:line="360" w:lineRule="auto"/>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4"/>
                <w:szCs w:val="24"/>
                <w:lang w:val="en-US" w:eastAsia="zh-CN" w:bidi="ar"/>
              </w:rPr>
              <w:t>七工段直河</w:t>
            </w:r>
          </w:p>
        </w:tc>
        <w:tc>
          <w:tcPr>
            <w:tcW w:w="934" w:type="pct"/>
            <w:noWrap w:val="0"/>
            <w:vAlign w:val="center"/>
          </w:tcPr>
          <w:p w14:paraId="1C34542D">
            <w:pPr>
              <w:keepNext w:val="0"/>
              <w:keepLines w:val="0"/>
              <w:widowControl/>
              <w:suppressLineNumbers w:val="0"/>
              <w:spacing w:line="360" w:lineRule="auto"/>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kern w:val="0"/>
                <w:sz w:val="24"/>
                <w:szCs w:val="24"/>
                <w:lang w:val="en-US" w:eastAsia="zh-CN" w:bidi="ar"/>
              </w:rPr>
              <w:t>九工段直河</w:t>
            </w:r>
          </w:p>
        </w:tc>
        <w:tc>
          <w:tcPr>
            <w:tcW w:w="750" w:type="pct"/>
            <w:noWrap w:val="0"/>
            <w:vAlign w:val="center"/>
          </w:tcPr>
          <w:p w14:paraId="63049DDC">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5300</w:t>
            </w:r>
          </w:p>
        </w:tc>
        <w:tc>
          <w:tcPr>
            <w:tcW w:w="793" w:type="pct"/>
            <w:noWrap w:val="0"/>
            <w:vAlign w:val="center"/>
          </w:tcPr>
          <w:p w14:paraId="23C87942">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40</w:t>
            </w:r>
          </w:p>
        </w:tc>
      </w:tr>
      <w:tr w14:paraId="68D5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center"/>
          </w:tcPr>
          <w:p w14:paraId="28078B4B">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1035" w:type="pct"/>
            <w:noWrap w:val="0"/>
            <w:vAlign w:val="center"/>
          </w:tcPr>
          <w:p w14:paraId="5FA051EF">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三工段横河</w:t>
            </w:r>
          </w:p>
          <w:p w14:paraId="1E1E528C">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（前进段）</w:t>
            </w:r>
          </w:p>
        </w:tc>
        <w:tc>
          <w:tcPr>
            <w:tcW w:w="986" w:type="pct"/>
            <w:noWrap w:val="0"/>
            <w:vAlign w:val="center"/>
          </w:tcPr>
          <w:p w14:paraId="44EB66E2">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七工段直河</w:t>
            </w:r>
          </w:p>
        </w:tc>
        <w:tc>
          <w:tcPr>
            <w:tcW w:w="934" w:type="pct"/>
            <w:noWrap w:val="0"/>
            <w:vAlign w:val="center"/>
          </w:tcPr>
          <w:p w14:paraId="52FFFFA6">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九工段直河</w:t>
            </w:r>
          </w:p>
        </w:tc>
        <w:tc>
          <w:tcPr>
            <w:tcW w:w="750" w:type="pct"/>
            <w:noWrap w:val="0"/>
            <w:vAlign w:val="center"/>
          </w:tcPr>
          <w:p w14:paraId="5360C04C">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5300</w:t>
            </w:r>
          </w:p>
        </w:tc>
        <w:tc>
          <w:tcPr>
            <w:tcW w:w="793" w:type="pct"/>
            <w:noWrap w:val="0"/>
            <w:vAlign w:val="center"/>
          </w:tcPr>
          <w:p w14:paraId="531C711D">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40-44</w:t>
            </w:r>
          </w:p>
        </w:tc>
      </w:tr>
      <w:tr w14:paraId="7016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center"/>
          </w:tcPr>
          <w:p w14:paraId="5EDC94C1">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p>
        </w:tc>
        <w:tc>
          <w:tcPr>
            <w:tcW w:w="1035" w:type="pct"/>
            <w:noWrap w:val="0"/>
            <w:vAlign w:val="center"/>
          </w:tcPr>
          <w:p w14:paraId="6B617258">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抢险河（前进段）</w:t>
            </w:r>
          </w:p>
        </w:tc>
        <w:tc>
          <w:tcPr>
            <w:tcW w:w="986" w:type="pct"/>
            <w:noWrap w:val="0"/>
            <w:vAlign w:val="center"/>
          </w:tcPr>
          <w:p w14:paraId="16954C82">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外七工段</w:t>
            </w:r>
          </w:p>
        </w:tc>
        <w:tc>
          <w:tcPr>
            <w:tcW w:w="934" w:type="pct"/>
            <w:noWrap w:val="0"/>
            <w:vAlign w:val="center"/>
          </w:tcPr>
          <w:p w14:paraId="744B2A79">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外九工段桥</w:t>
            </w:r>
          </w:p>
        </w:tc>
        <w:tc>
          <w:tcPr>
            <w:tcW w:w="750" w:type="pct"/>
            <w:noWrap w:val="0"/>
            <w:vAlign w:val="center"/>
          </w:tcPr>
          <w:p w14:paraId="434DAAEE">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6500</w:t>
            </w:r>
          </w:p>
        </w:tc>
        <w:tc>
          <w:tcPr>
            <w:tcW w:w="793" w:type="pct"/>
            <w:noWrap w:val="0"/>
            <w:vAlign w:val="center"/>
          </w:tcPr>
          <w:p w14:paraId="1DCD0BB0">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41-58</w:t>
            </w:r>
          </w:p>
        </w:tc>
      </w:tr>
      <w:tr w14:paraId="5410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center"/>
          </w:tcPr>
          <w:p w14:paraId="08C777EE">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p>
        </w:tc>
        <w:tc>
          <w:tcPr>
            <w:tcW w:w="1035" w:type="pct"/>
            <w:noWrap w:val="0"/>
            <w:vAlign w:val="center"/>
          </w:tcPr>
          <w:p w14:paraId="511464C7">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围垦沿塘河</w:t>
            </w:r>
          </w:p>
        </w:tc>
        <w:tc>
          <w:tcPr>
            <w:tcW w:w="986" w:type="pct"/>
            <w:noWrap w:val="0"/>
            <w:vAlign w:val="center"/>
          </w:tcPr>
          <w:p w14:paraId="4264A312">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七工段直河</w:t>
            </w:r>
          </w:p>
        </w:tc>
        <w:tc>
          <w:tcPr>
            <w:tcW w:w="934" w:type="pct"/>
            <w:noWrap w:val="0"/>
            <w:vAlign w:val="center"/>
          </w:tcPr>
          <w:p w14:paraId="36C366EF">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九工段直河</w:t>
            </w:r>
          </w:p>
        </w:tc>
        <w:tc>
          <w:tcPr>
            <w:tcW w:w="750" w:type="pct"/>
            <w:noWrap w:val="0"/>
            <w:vAlign w:val="center"/>
          </w:tcPr>
          <w:p w14:paraId="33B5D6DB">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5300</w:t>
            </w:r>
          </w:p>
        </w:tc>
        <w:tc>
          <w:tcPr>
            <w:tcW w:w="793" w:type="pct"/>
            <w:noWrap w:val="0"/>
            <w:vAlign w:val="center"/>
          </w:tcPr>
          <w:p w14:paraId="7A0FAA34">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41</w:t>
            </w:r>
          </w:p>
        </w:tc>
      </w:tr>
      <w:tr w14:paraId="45C5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center"/>
          </w:tcPr>
          <w:p w14:paraId="4A49F074">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1035" w:type="pct"/>
            <w:noWrap w:val="0"/>
            <w:vAlign w:val="center"/>
          </w:tcPr>
          <w:p w14:paraId="603B3459">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0.7 万亩沿塘河</w:t>
            </w:r>
          </w:p>
        </w:tc>
        <w:tc>
          <w:tcPr>
            <w:tcW w:w="986" w:type="pct"/>
            <w:noWrap w:val="0"/>
            <w:vAlign w:val="center"/>
          </w:tcPr>
          <w:p w14:paraId="4611E9EC">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八一闸</w:t>
            </w:r>
          </w:p>
        </w:tc>
        <w:tc>
          <w:tcPr>
            <w:tcW w:w="934" w:type="pct"/>
            <w:noWrap w:val="0"/>
            <w:vAlign w:val="center"/>
          </w:tcPr>
          <w:p w14:paraId="4A8C0F6C">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九工段直河</w:t>
            </w:r>
          </w:p>
        </w:tc>
        <w:tc>
          <w:tcPr>
            <w:tcW w:w="750" w:type="pct"/>
            <w:noWrap w:val="0"/>
            <w:vAlign w:val="center"/>
          </w:tcPr>
          <w:p w14:paraId="23ABD068">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3300</w:t>
            </w:r>
          </w:p>
        </w:tc>
        <w:tc>
          <w:tcPr>
            <w:tcW w:w="793" w:type="pct"/>
            <w:noWrap w:val="0"/>
            <w:vAlign w:val="center"/>
          </w:tcPr>
          <w:p w14:paraId="0DD834E2">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16-40</w:t>
            </w:r>
          </w:p>
        </w:tc>
      </w:tr>
      <w:tr w14:paraId="0E0A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center"/>
          </w:tcPr>
          <w:p w14:paraId="72D9BAC5">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w:t>
            </w:r>
          </w:p>
        </w:tc>
        <w:tc>
          <w:tcPr>
            <w:tcW w:w="1035" w:type="pct"/>
            <w:noWrap w:val="0"/>
            <w:vAlign w:val="center"/>
          </w:tcPr>
          <w:p w14:paraId="2E7CC8E0">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 万亩中心横河</w:t>
            </w:r>
          </w:p>
        </w:tc>
        <w:tc>
          <w:tcPr>
            <w:tcW w:w="986" w:type="pct"/>
            <w:noWrap w:val="0"/>
            <w:vAlign w:val="center"/>
          </w:tcPr>
          <w:p w14:paraId="278B909E">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抢险河</w:t>
            </w:r>
          </w:p>
        </w:tc>
        <w:tc>
          <w:tcPr>
            <w:tcW w:w="934" w:type="pct"/>
            <w:noWrap w:val="0"/>
            <w:vAlign w:val="center"/>
          </w:tcPr>
          <w:p w14:paraId="536E39CE">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十工段直河</w:t>
            </w:r>
          </w:p>
        </w:tc>
        <w:tc>
          <w:tcPr>
            <w:tcW w:w="750" w:type="pct"/>
            <w:noWrap w:val="0"/>
            <w:vAlign w:val="center"/>
          </w:tcPr>
          <w:p w14:paraId="133B10DE">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2300</w:t>
            </w:r>
          </w:p>
        </w:tc>
        <w:tc>
          <w:tcPr>
            <w:tcW w:w="793" w:type="pct"/>
            <w:noWrap w:val="0"/>
            <w:vAlign w:val="center"/>
          </w:tcPr>
          <w:p w14:paraId="66254046">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15-30</w:t>
            </w:r>
          </w:p>
        </w:tc>
      </w:tr>
      <w:tr w14:paraId="7732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center"/>
          </w:tcPr>
          <w:p w14:paraId="11DE8D43">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1035" w:type="pct"/>
            <w:noWrap w:val="0"/>
            <w:vAlign w:val="center"/>
          </w:tcPr>
          <w:p w14:paraId="1C4E3E01">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八二直河</w:t>
            </w:r>
          </w:p>
        </w:tc>
        <w:tc>
          <w:tcPr>
            <w:tcW w:w="986" w:type="pct"/>
            <w:noWrap w:val="0"/>
            <w:vAlign w:val="center"/>
          </w:tcPr>
          <w:p w14:paraId="486141BA">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八二闸</w:t>
            </w:r>
          </w:p>
        </w:tc>
        <w:tc>
          <w:tcPr>
            <w:tcW w:w="934" w:type="pct"/>
            <w:noWrap w:val="0"/>
            <w:vAlign w:val="center"/>
          </w:tcPr>
          <w:p w14:paraId="1BEC1DD7">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抢险河</w:t>
            </w:r>
          </w:p>
        </w:tc>
        <w:tc>
          <w:tcPr>
            <w:tcW w:w="750" w:type="pct"/>
            <w:noWrap w:val="0"/>
            <w:vAlign w:val="center"/>
          </w:tcPr>
          <w:p w14:paraId="3193F266">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1400</w:t>
            </w:r>
          </w:p>
        </w:tc>
        <w:tc>
          <w:tcPr>
            <w:tcW w:w="793" w:type="pct"/>
            <w:noWrap w:val="0"/>
            <w:vAlign w:val="center"/>
          </w:tcPr>
          <w:p w14:paraId="3196B0F6">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18-50</w:t>
            </w:r>
          </w:p>
        </w:tc>
      </w:tr>
      <w:tr w14:paraId="132A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center"/>
          </w:tcPr>
          <w:p w14:paraId="3545D24E">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8</w:t>
            </w:r>
          </w:p>
        </w:tc>
        <w:tc>
          <w:tcPr>
            <w:tcW w:w="1035" w:type="pct"/>
            <w:noWrap w:val="0"/>
            <w:vAlign w:val="center"/>
          </w:tcPr>
          <w:p w14:paraId="018DC212">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八工段直河</w:t>
            </w:r>
          </w:p>
        </w:tc>
        <w:tc>
          <w:tcPr>
            <w:tcW w:w="986" w:type="pct"/>
            <w:noWrap w:val="0"/>
            <w:vAlign w:val="center"/>
          </w:tcPr>
          <w:p w14:paraId="58FA8DD3">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三工段横河</w:t>
            </w:r>
          </w:p>
        </w:tc>
        <w:tc>
          <w:tcPr>
            <w:tcW w:w="934" w:type="pct"/>
            <w:noWrap w:val="0"/>
            <w:vAlign w:val="center"/>
          </w:tcPr>
          <w:p w14:paraId="750D382F">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外八工段</w:t>
            </w:r>
          </w:p>
        </w:tc>
        <w:tc>
          <w:tcPr>
            <w:tcW w:w="750" w:type="pct"/>
            <w:noWrap w:val="0"/>
            <w:vAlign w:val="center"/>
          </w:tcPr>
          <w:p w14:paraId="29696B0B">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6600</w:t>
            </w:r>
          </w:p>
        </w:tc>
        <w:tc>
          <w:tcPr>
            <w:tcW w:w="793" w:type="pct"/>
            <w:noWrap w:val="0"/>
            <w:vAlign w:val="center"/>
          </w:tcPr>
          <w:p w14:paraId="326346D7">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40</w:t>
            </w:r>
          </w:p>
        </w:tc>
      </w:tr>
      <w:tr w14:paraId="1F63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center"/>
          </w:tcPr>
          <w:p w14:paraId="639C2926">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9</w:t>
            </w:r>
          </w:p>
        </w:tc>
        <w:tc>
          <w:tcPr>
            <w:tcW w:w="1035" w:type="pct"/>
            <w:noWrap w:val="0"/>
            <w:vAlign w:val="center"/>
          </w:tcPr>
          <w:p w14:paraId="59AA8444">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九工段直河</w:t>
            </w:r>
          </w:p>
        </w:tc>
        <w:tc>
          <w:tcPr>
            <w:tcW w:w="986" w:type="pct"/>
            <w:noWrap w:val="0"/>
            <w:vAlign w:val="center"/>
          </w:tcPr>
          <w:p w14:paraId="66469C30">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二号闸横河</w:t>
            </w:r>
          </w:p>
        </w:tc>
        <w:tc>
          <w:tcPr>
            <w:tcW w:w="934" w:type="pct"/>
            <w:noWrap w:val="0"/>
            <w:vAlign w:val="center"/>
          </w:tcPr>
          <w:p w14:paraId="66849602">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内九工段闸</w:t>
            </w:r>
          </w:p>
        </w:tc>
        <w:tc>
          <w:tcPr>
            <w:tcW w:w="750" w:type="pct"/>
            <w:noWrap w:val="0"/>
            <w:vAlign w:val="center"/>
          </w:tcPr>
          <w:p w14:paraId="68FEAEE8">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8100</w:t>
            </w:r>
          </w:p>
        </w:tc>
        <w:tc>
          <w:tcPr>
            <w:tcW w:w="793" w:type="pct"/>
            <w:noWrap w:val="0"/>
            <w:vAlign w:val="center"/>
          </w:tcPr>
          <w:p w14:paraId="245AA540">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30-40</w:t>
            </w:r>
          </w:p>
        </w:tc>
      </w:tr>
      <w:tr w14:paraId="5E75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center"/>
          </w:tcPr>
          <w:p w14:paraId="7A59A58E">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10</w:t>
            </w:r>
          </w:p>
        </w:tc>
        <w:tc>
          <w:tcPr>
            <w:tcW w:w="1035" w:type="pct"/>
            <w:noWrap w:val="0"/>
            <w:vAlign w:val="center"/>
          </w:tcPr>
          <w:p w14:paraId="41A34F44">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z w:val="24"/>
                <w:szCs w:val="24"/>
                <w:highlight w:val="none"/>
                <w:lang w:eastAsia="zh-CN"/>
              </w:rPr>
              <w:t>前峰横直河</w:t>
            </w:r>
          </w:p>
        </w:tc>
        <w:tc>
          <w:tcPr>
            <w:tcW w:w="986" w:type="pct"/>
            <w:noWrap w:val="0"/>
            <w:vAlign w:val="center"/>
          </w:tcPr>
          <w:p w14:paraId="3441A438">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sz w:val="24"/>
                <w:szCs w:val="24"/>
                <w:highlight w:val="none"/>
                <w:lang w:eastAsia="zh-CN"/>
              </w:rPr>
              <w:t>前峰村东界</w:t>
            </w:r>
          </w:p>
        </w:tc>
        <w:tc>
          <w:tcPr>
            <w:tcW w:w="934" w:type="pct"/>
            <w:noWrap w:val="0"/>
            <w:vAlign w:val="center"/>
          </w:tcPr>
          <w:p w14:paraId="332B0CEC">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sz w:val="24"/>
                <w:szCs w:val="24"/>
                <w:highlight w:val="none"/>
                <w:lang w:eastAsia="zh-CN"/>
              </w:rPr>
              <w:t>前峰村西界</w:t>
            </w:r>
          </w:p>
        </w:tc>
        <w:tc>
          <w:tcPr>
            <w:tcW w:w="750" w:type="pct"/>
            <w:noWrap w:val="0"/>
            <w:vAlign w:val="center"/>
          </w:tcPr>
          <w:p w14:paraId="5B646FB4">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2000</w:t>
            </w:r>
          </w:p>
        </w:tc>
        <w:tc>
          <w:tcPr>
            <w:tcW w:w="793" w:type="pct"/>
            <w:noWrap w:val="0"/>
            <w:vAlign w:val="center"/>
          </w:tcPr>
          <w:p w14:paraId="09FE97C0">
            <w:pPr>
              <w:pStyle w:val="891"/>
              <w:spacing w:line="360" w:lineRule="auto"/>
              <w:ind w:left="0" w:leftChars="0" w:firstLine="0" w:firstLine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15-16</w:t>
            </w:r>
          </w:p>
        </w:tc>
      </w:tr>
    </w:tbl>
    <w:p w14:paraId="684EDB84">
      <w:pPr>
        <w:snapToGrid w:val="0"/>
        <w:spacing w:line="360" w:lineRule="auto"/>
        <w:ind w:firstLine="480"/>
        <w:rPr>
          <w:rFonts w:hint="eastAsia" w:ascii="宋体" w:hAnsi="宋体" w:cs="宋体"/>
          <w:sz w:val="24"/>
          <w:highlight w:val="none"/>
          <w:lang w:eastAsia="zh-CN"/>
        </w:rPr>
      </w:pPr>
    </w:p>
    <w:p w14:paraId="09F098C1">
      <w:pPr>
        <w:snapToGrid w:val="0"/>
        <w:spacing w:line="360" w:lineRule="auto"/>
        <w:ind w:firstLine="480"/>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运维内容：</w:t>
      </w:r>
    </w:p>
    <w:tbl>
      <w:tblPr>
        <w:tblStyle w:val="6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62"/>
        <w:gridCol w:w="784"/>
        <w:gridCol w:w="1350"/>
        <w:gridCol w:w="5655"/>
        <w:gridCol w:w="485"/>
        <w:gridCol w:w="636"/>
      </w:tblGrid>
      <w:tr w14:paraId="33262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345" w:type="pct"/>
            <w:tcBorders>
              <w:tl2br w:val="nil"/>
              <w:tr2bl w:val="nil"/>
            </w:tcBorders>
            <w:noWrap w:val="0"/>
            <w:vAlign w:val="center"/>
          </w:tcPr>
          <w:p w14:paraId="3678127C">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河道名称</w:t>
            </w:r>
          </w:p>
        </w:tc>
        <w:tc>
          <w:tcPr>
            <w:tcW w:w="409" w:type="pct"/>
            <w:tcBorders>
              <w:tl2br w:val="nil"/>
              <w:tr2bl w:val="nil"/>
            </w:tcBorders>
            <w:noWrap w:val="0"/>
            <w:vAlign w:val="center"/>
          </w:tcPr>
          <w:p w14:paraId="6ACB4E12">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序号</w:t>
            </w:r>
          </w:p>
        </w:tc>
        <w:tc>
          <w:tcPr>
            <w:tcW w:w="705" w:type="pct"/>
            <w:tcBorders>
              <w:tl2br w:val="nil"/>
              <w:tr2bl w:val="nil"/>
            </w:tcBorders>
            <w:noWrap/>
            <w:vAlign w:val="center"/>
          </w:tcPr>
          <w:p w14:paraId="2560B064">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项目</w:t>
            </w:r>
          </w:p>
        </w:tc>
        <w:tc>
          <w:tcPr>
            <w:tcW w:w="2953" w:type="pct"/>
            <w:tcBorders>
              <w:tl2br w:val="nil"/>
              <w:tr2bl w:val="nil"/>
            </w:tcBorders>
            <w:noWrap/>
            <w:vAlign w:val="center"/>
          </w:tcPr>
          <w:p w14:paraId="410A64BD">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设备/材料</w:t>
            </w:r>
          </w:p>
        </w:tc>
        <w:tc>
          <w:tcPr>
            <w:tcW w:w="253" w:type="pct"/>
            <w:tcBorders>
              <w:tl2br w:val="nil"/>
              <w:tr2bl w:val="nil"/>
            </w:tcBorders>
            <w:noWrap w:val="0"/>
            <w:vAlign w:val="center"/>
          </w:tcPr>
          <w:p w14:paraId="62FBCB11">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单位</w:t>
            </w:r>
          </w:p>
        </w:tc>
        <w:tc>
          <w:tcPr>
            <w:tcW w:w="332" w:type="pct"/>
            <w:tcBorders>
              <w:tl2br w:val="nil"/>
              <w:tr2bl w:val="nil"/>
            </w:tcBorders>
            <w:noWrap/>
            <w:vAlign w:val="center"/>
          </w:tcPr>
          <w:p w14:paraId="0EA64E9E">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数量</w:t>
            </w:r>
          </w:p>
        </w:tc>
      </w:tr>
      <w:tr w14:paraId="20F80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9" w:hRule="atLeast"/>
        </w:trPr>
        <w:tc>
          <w:tcPr>
            <w:tcW w:w="345" w:type="pct"/>
            <w:vMerge w:val="restart"/>
            <w:tcBorders>
              <w:tl2br w:val="nil"/>
              <w:tr2bl w:val="nil"/>
            </w:tcBorders>
            <w:noWrap w:val="0"/>
            <w:vAlign w:val="center"/>
          </w:tcPr>
          <w:p w14:paraId="011A8D26">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四工段横河</w:t>
            </w:r>
          </w:p>
        </w:tc>
        <w:tc>
          <w:tcPr>
            <w:tcW w:w="409" w:type="pct"/>
            <w:tcBorders>
              <w:tl2br w:val="nil"/>
              <w:tr2bl w:val="nil"/>
            </w:tcBorders>
            <w:noWrap/>
            <w:vAlign w:val="center"/>
          </w:tcPr>
          <w:p w14:paraId="425BDE9B">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1</w:t>
            </w:r>
          </w:p>
        </w:tc>
        <w:tc>
          <w:tcPr>
            <w:tcW w:w="705" w:type="pct"/>
            <w:tcBorders>
              <w:tl2br w:val="nil"/>
              <w:tr2bl w:val="nil"/>
            </w:tcBorders>
            <w:noWrap/>
            <w:vAlign w:val="center"/>
          </w:tcPr>
          <w:p w14:paraId="15760F06">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纳米曝气装置</w:t>
            </w:r>
          </w:p>
        </w:tc>
        <w:tc>
          <w:tcPr>
            <w:tcW w:w="2953" w:type="pct"/>
            <w:tcBorders>
              <w:tl2br w:val="nil"/>
              <w:tr2bl w:val="nil"/>
            </w:tcBorders>
            <w:noWrap w:val="0"/>
            <w:vAlign w:val="center"/>
          </w:tcPr>
          <w:p w14:paraId="16EBFD5F">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包</w:t>
            </w:r>
            <w:r>
              <w:rPr>
                <w:rFonts w:hint="eastAsia" w:ascii="宋体" w:hAnsi="宋体" w:eastAsia="宋体" w:cs="宋体"/>
                <w:highlight w:val="none"/>
                <w:lang w:val="en-US" w:eastAsia="zh-CN"/>
              </w:rPr>
              <w:t>含3.7k\v风机、</w:t>
            </w:r>
            <w:r>
              <w:rPr>
                <w:rFonts w:hint="eastAsia" w:ascii="宋体" w:hAnsi="宋体" w:eastAsia="宋体" w:cs="宋体"/>
                <w:lang w:val="en-US" w:eastAsia="zh-CN"/>
              </w:rPr>
              <w:t>纳米曝气盘、曝气管道</w:t>
            </w:r>
          </w:p>
        </w:tc>
        <w:tc>
          <w:tcPr>
            <w:tcW w:w="253" w:type="pct"/>
            <w:tcBorders>
              <w:tl2br w:val="nil"/>
              <w:tr2bl w:val="nil"/>
            </w:tcBorders>
            <w:noWrap/>
            <w:vAlign w:val="center"/>
          </w:tcPr>
          <w:p w14:paraId="65B29AD8">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套</w:t>
            </w:r>
          </w:p>
        </w:tc>
        <w:tc>
          <w:tcPr>
            <w:tcW w:w="332" w:type="pct"/>
            <w:tcBorders>
              <w:tl2br w:val="nil"/>
              <w:tr2bl w:val="nil"/>
            </w:tcBorders>
            <w:noWrap/>
            <w:vAlign w:val="center"/>
          </w:tcPr>
          <w:p w14:paraId="0736A285">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6</w:t>
            </w:r>
          </w:p>
        </w:tc>
      </w:tr>
      <w:tr w14:paraId="5FF1F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345" w:type="pct"/>
            <w:vMerge w:val="continue"/>
            <w:tcBorders>
              <w:tl2br w:val="nil"/>
              <w:tr2bl w:val="nil"/>
            </w:tcBorders>
            <w:noWrap w:val="0"/>
            <w:vAlign w:val="center"/>
          </w:tcPr>
          <w:p w14:paraId="00D748BA">
            <w:pPr>
              <w:pStyle w:val="965"/>
              <w:bidi w:val="0"/>
              <w:spacing w:line="360" w:lineRule="auto"/>
              <w:jc w:val="center"/>
              <w:rPr>
                <w:rFonts w:hint="eastAsia" w:ascii="宋体" w:hAnsi="宋体" w:eastAsia="宋体" w:cs="宋体"/>
              </w:rPr>
            </w:pPr>
          </w:p>
        </w:tc>
        <w:tc>
          <w:tcPr>
            <w:tcW w:w="409" w:type="pct"/>
            <w:tcBorders>
              <w:tl2br w:val="nil"/>
              <w:tr2bl w:val="nil"/>
            </w:tcBorders>
            <w:noWrap/>
            <w:vAlign w:val="center"/>
          </w:tcPr>
          <w:p w14:paraId="4C74FD0C">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2</w:t>
            </w:r>
          </w:p>
        </w:tc>
        <w:tc>
          <w:tcPr>
            <w:tcW w:w="705" w:type="pct"/>
            <w:tcBorders>
              <w:tl2br w:val="nil"/>
              <w:tr2bl w:val="nil"/>
            </w:tcBorders>
            <w:noWrap/>
            <w:vAlign w:val="center"/>
          </w:tcPr>
          <w:p w14:paraId="77758FC7">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喷泉曝气装置</w:t>
            </w:r>
          </w:p>
        </w:tc>
        <w:tc>
          <w:tcPr>
            <w:tcW w:w="2953" w:type="pct"/>
            <w:tcBorders>
              <w:tl2br w:val="nil"/>
              <w:tr2bl w:val="nil"/>
            </w:tcBorders>
            <w:noWrap/>
            <w:vAlign w:val="center"/>
          </w:tcPr>
          <w:p w14:paraId="0CC0C5BE">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增氧泵1.5kw,固定装置（包括电缆、电箱等相关配套设备）</w:t>
            </w:r>
          </w:p>
        </w:tc>
        <w:tc>
          <w:tcPr>
            <w:tcW w:w="253" w:type="pct"/>
            <w:tcBorders>
              <w:tl2br w:val="nil"/>
              <w:tr2bl w:val="nil"/>
            </w:tcBorders>
            <w:noWrap/>
            <w:vAlign w:val="center"/>
          </w:tcPr>
          <w:p w14:paraId="3D8C923A">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套</w:t>
            </w:r>
          </w:p>
        </w:tc>
        <w:tc>
          <w:tcPr>
            <w:tcW w:w="332" w:type="pct"/>
            <w:tcBorders>
              <w:tl2br w:val="nil"/>
              <w:tr2bl w:val="nil"/>
            </w:tcBorders>
            <w:noWrap/>
            <w:vAlign w:val="center"/>
          </w:tcPr>
          <w:p w14:paraId="511C852D">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12</w:t>
            </w:r>
          </w:p>
        </w:tc>
      </w:tr>
      <w:tr w14:paraId="28501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345" w:type="pct"/>
            <w:vMerge w:val="continue"/>
            <w:tcBorders>
              <w:tl2br w:val="nil"/>
              <w:tr2bl w:val="nil"/>
            </w:tcBorders>
            <w:noWrap w:val="0"/>
            <w:vAlign w:val="center"/>
          </w:tcPr>
          <w:p w14:paraId="3E3B0234">
            <w:pPr>
              <w:pStyle w:val="965"/>
              <w:bidi w:val="0"/>
              <w:spacing w:line="360" w:lineRule="auto"/>
              <w:jc w:val="center"/>
              <w:rPr>
                <w:rFonts w:hint="eastAsia" w:ascii="宋体" w:hAnsi="宋体" w:eastAsia="宋体" w:cs="宋体"/>
              </w:rPr>
            </w:pPr>
          </w:p>
        </w:tc>
        <w:tc>
          <w:tcPr>
            <w:tcW w:w="409" w:type="pct"/>
            <w:tcBorders>
              <w:tl2br w:val="nil"/>
              <w:tr2bl w:val="nil"/>
            </w:tcBorders>
            <w:noWrap/>
            <w:vAlign w:val="center"/>
          </w:tcPr>
          <w:p w14:paraId="555B408B">
            <w:pPr>
              <w:pStyle w:val="965"/>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705" w:type="pct"/>
            <w:tcBorders>
              <w:tl2br w:val="nil"/>
              <w:tr2bl w:val="nil"/>
            </w:tcBorders>
            <w:shd w:val="clear" w:color="auto" w:fill="auto"/>
            <w:noWrap/>
            <w:vAlign w:val="center"/>
          </w:tcPr>
          <w:p w14:paraId="34CBAFB1">
            <w:pPr>
              <w:pStyle w:val="965"/>
              <w:bidi w:val="0"/>
              <w:spacing w:line="360" w:lineRule="auto"/>
              <w:ind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水生植物修复系统</w:t>
            </w:r>
          </w:p>
        </w:tc>
        <w:tc>
          <w:tcPr>
            <w:tcW w:w="2953" w:type="pct"/>
            <w:tcBorders>
              <w:tl2br w:val="nil"/>
              <w:tr2bl w:val="nil"/>
            </w:tcBorders>
            <w:shd w:val="clear" w:color="auto" w:fill="auto"/>
            <w:noWrap/>
            <w:vAlign w:val="center"/>
          </w:tcPr>
          <w:p w14:paraId="5428B71E">
            <w:pPr>
              <w:pStyle w:val="965"/>
              <w:bidi w:val="0"/>
              <w:spacing w:line="360" w:lineRule="auto"/>
              <w:ind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浮岛浮床，种植狐尾藻、美人蕉等</w:t>
            </w:r>
          </w:p>
        </w:tc>
        <w:tc>
          <w:tcPr>
            <w:tcW w:w="253" w:type="pct"/>
            <w:tcBorders>
              <w:tl2br w:val="nil"/>
              <w:tr2bl w:val="nil"/>
            </w:tcBorders>
            <w:noWrap/>
            <w:vAlign w:val="center"/>
          </w:tcPr>
          <w:p w14:paraId="7712CB42">
            <w:pPr>
              <w:pStyle w:val="965"/>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m2</w:t>
            </w:r>
          </w:p>
        </w:tc>
        <w:tc>
          <w:tcPr>
            <w:tcW w:w="332" w:type="pct"/>
            <w:tcBorders>
              <w:tl2br w:val="nil"/>
              <w:tr2bl w:val="nil"/>
            </w:tcBorders>
            <w:noWrap/>
            <w:vAlign w:val="center"/>
          </w:tcPr>
          <w:p w14:paraId="0659603D">
            <w:pPr>
              <w:pStyle w:val="965"/>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1700</w:t>
            </w:r>
          </w:p>
        </w:tc>
      </w:tr>
      <w:tr w14:paraId="45615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345" w:type="pct"/>
            <w:vMerge w:val="restart"/>
            <w:tcBorders>
              <w:tl2br w:val="nil"/>
              <w:tr2bl w:val="nil"/>
            </w:tcBorders>
            <w:noWrap w:val="0"/>
            <w:vAlign w:val="center"/>
          </w:tcPr>
          <w:p w14:paraId="131AFFDD">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三工段横河</w:t>
            </w:r>
          </w:p>
        </w:tc>
        <w:tc>
          <w:tcPr>
            <w:tcW w:w="409" w:type="pct"/>
            <w:tcBorders>
              <w:tl2br w:val="nil"/>
              <w:tr2bl w:val="nil"/>
            </w:tcBorders>
            <w:noWrap/>
            <w:vAlign w:val="center"/>
          </w:tcPr>
          <w:p w14:paraId="704A4606">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1</w:t>
            </w:r>
          </w:p>
        </w:tc>
        <w:tc>
          <w:tcPr>
            <w:tcW w:w="705" w:type="pct"/>
            <w:tcBorders>
              <w:tl2br w:val="nil"/>
              <w:tr2bl w:val="nil"/>
            </w:tcBorders>
            <w:noWrap/>
            <w:vAlign w:val="center"/>
          </w:tcPr>
          <w:p w14:paraId="1DDDDDBD">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喷泉曝气装置</w:t>
            </w:r>
          </w:p>
        </w:tc>
        <w:tc>
          <w:tcPr>
            <w:tcW w:w="2953" w:type="pct"/>
            <w:tcBorders>
              <w:tl2br w:val="nil"/>
              <w:tr2bl w:val="nil"/>
            </w:tcBorders>
            <w:noWrap/>
            <w:vAlign w:val="center"/>
          </w:tcPr>
          <w:p w14:paraId="5C5B884B">
            <w:pPr>
              <w:pStyle w:val="965"/>
              <w:bidi w:val="0"/>
              <w:spacing w:line="360" w:lineRule="auto"/>
              <w:jc w:val="center"/>
              <w:rPr>
                <w:rFonts w:hint="eastAsia" w:ascii="宋体" w:hAnsi="宋体" w:eastAsia="宋体" w:cs="宋体"/>
                <w:lang w:val="en-US"/>
              </w:rPr>
            </w:pPr>
            <w:r>
              <w:rPr>
                <w:rFonts w:hint="eastAsia" w:ascii="宋体" w:hAnsi="宋体" w:eastAsia="宋体" w:cs="宋体"/>
                <w:lang w:val="en-US" w:eastAsia="zh-CN"/>
              </w:rPr>
              <w:t>增氧泵1.5kw,固定装置（包括电缆、电箱等相关配套设备）</w:t>
            </w:r>
          </w:p>
        </w:tc>
        <w:tc>
          <w:tcPr>
            <w:tcW w:w="253" w:type="pct"/>
            <w:tcBorders>
              <w:tl2br w:val="nil"/>
              <w:tr2bl w:val="nil"/>
            </w:tcBorders>
            <w:noWrap/>
            <w:vAlign w:val="center"/>
          </w:tcPr>
          <w:p w14:paraId="4087C08D">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套</w:t>
            </w:r>
          </w:p>
        </w:tc>
        <w:tc>
          <w:tcPr>
            <w:tcW w:w="332" w:type="pct"/>
            <w:tcBorders>
              <w:tl2br w:val="nil"/>
              <w:tr2bl w:val="nil"/>
            </w:tcBorders>
            <w:noWrap/>
            <w:vAlign w:val="center"/>
          </w:tcPr>
          <w:p w14:paraId="09EE607B">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4</w:t>
            </w:r>
          </w:p>
        </w:tc>
      </w:tr>
      <w:tr w14:paraId="27969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345" w:type="pct"/>
            <w:vMerge w:val="continue"/>
            <w:tcBorders>
              <w:tl2br w:val="nil"/>
              <w:tr2bl w:val="nil"/>
            </w:tcBorders>
            <w:noWrap w:val="0"/>
            <w:vAlign w:val="center"/>
          </w:tcPr>
          <w:p w14:paraId="0A4D134B">
            <w:pPr>
              <w:pStyle w:val="965"/>
              <w:bidi w:val="0"/>
              <w:spacing w:line="360" w:lineRule="auto"/>
              <w:jc w:val="center"/>
              <w:rPr>
                <w:rFonts w:hint="eastAsia" w:ascii="宋体" w:hAnsi="宋体" w:eastAsia="宋体" w:cs="宋体"/>
              </w:rPr>
            </w:pPr>
          </w:p>
        </w:tc>
        <w:tc>
          <w:tcPr>
            <w:tcW w:w="409" w:type="pct"/>
            <w:tcBorders>
              <w:tl2br w:val="nil"/>
              <w:tr2bl w:val="nil"/>
            </w:tcBorders>
            <w:noWrap/>
            <w:vAlign w:val="center"/>
          </w:tcPr>
          <w:p w14:paraId="2A5F0A0A">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2</w:t>
            </w:r>
          </w:p>
        </w:tc>
        <w:tc>
          <w:tcPr>
            <w:tcW w:w="705" w:type="pct"/>
            <w:tcBorders>
              <w:tl2br w:val="nil"/>
              <w:tr2bl w:val="nil"/>
            </w:tcBorders>
            <w:noWrap w:val="0"/>
            <w:vAlign w:val="center"/>
          </w:tcPr>
          <w:p w14:paraId="0068AD5E">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水生植物修复系统</w:t>
            </w:r>
          </w:p>
        </w:tc>
        <w:tc>
          <w:tcPr>
            <w:tcW w:w="2953" w:type="pct"/>
            <w:tcBorders>
              <w:tl2br w:val="nil"/>
              <w:tr2bl w:val="nil"/>
            </w:tcBorders>
            <w:noWrap w:val="0"/>
            <w:vAlign w:val="center"/>
          </w:tcPr>
          <w:p w14:paraId="4E139F37">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浮岛浮床，种植狐尾藻、美人蕉等</w:t>
            </w:r>
          </w:p>
        </w:tc>
        <w:tc>
          <w:tcPr>
            <w:tcW w:w="253" w:type="pct"/>
            <w:tcBorders>
              <w:tl2br w:val="nil"/>
              <w:tr2bl w:val="nil"/>
            </w:tcBorders>
            <w:noWrap/>
            <w:vAlign w:val="center"/>
          </w:tcPr>
          <w:p w14:paraId="3D853F58">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m2</w:t>
            </w:r>
          </w:p>
        </w:tc>
        <w:tc>
          <w:tcPr>
            <w:tcW w:w="332" w:type="pct"/>
            <w:tcBorders>
              <w:tl2br w:val="nil"/>
              <w:tr2bl w:val="nil"/>
            </w:tcBorders>
            <w:noWrap/>
            <w:vAlign w:val="center"/>
          </w:tcPr>
          <w:p w14:paraId="312C7BCF">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270</w:t>
            </w:r>
          </w:p>
        </w:tc>
      </w:tr>
      <w:tr w14:paraId="302B9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345" w:type="pct"/>
            <w:vMerge w:val="restart"/>
            <w:tcBorders>
              <w:tl2br w:val="nil"/>
              <w:tr2bl w:val="nil"/>
            </w:tcBorders>
            <w:noWrap w:val="0"/>
            <w:vAlign w:val="center"/>
          </w:tcPr>
          <w:p w14:paraId="0D13162E">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抢险河</w:t>
            </w:r>
          </w:p>
        </w:tc>
        <w:tc>
          <w:tcPr>
            <w:tcW w:w="409" w:type="pct"/>
            <w:tcBorders>
              <w:tl2br w:val="nil"/>
              <w:tr2bl w:val="nil"/>
            </w:tcBorders>
            <w:noWrap/>
            <w:vAlign w:val="center"/>
          </w:tcPr>
          <w:p w14:paraId="30314A89">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1</w:t>
            </w:r>
          </w:p>
        </w:tc>
        <w:tc>
          <w:tcPr>
            <w:tcW w:w="705" w:type="pct"/>
            <w:tcBorders>
              <w:tl2br w:val="nil"/>
              <w:tr2bl w:val="nil"/>
            </w:tcBorders>
            <w:noWrap/>
            <w:vAlign w:val="center"/>
          </w:tcPr>
          <w:p w14:paraId="74C9FAA0">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喷泉曝气装置</w:t>
            </w:r>
          </w:p>
        </w:tc>
        <w:tc>
          <w:tcPr>
            <w:tcW w:w="2953" w:type="pct"/>
            <w:tcBorders>
              <w:tl2br w:val="nil"/>
              <w:tr2bl w:val="nil"/>
            </w:tcBorders>
            <w:noWrap/>
            <w:vAlign w:val="center"/>
          </w:tcPr>
          <w:p w14:paraId="27206134">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増氧泵1.5k\v、固定装置（包括电缆、电箱等相关配套设备）</w:t>
            </w:r>
          </w:p>
        </w:tc>
        <w:tc>
          <w:tcPr>
            <w:tcW w:w="253" w:type="pct"/>
            <w:tcBorders>
              <w:tl2br w:val="nil"/>
              <w:tr2bl w:val="nil"/>
            </w:tcBorders>
            <w:noWrap/>
            <w:vAlign w:val="center"/>
          </w:tcPr>
          <w:p w14:paraId="098CBAF6">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套</w:t>
            </w:r>
          </w:p>
        </w:tc>
        <w:tc>
          <w:tcPr>
            <w:tcW w:w="332" w:type="pct"/>
            <w:tcBorders>
              <w:tl2br w:val="nil"/>
              <w:tr2bl w:val="nil"/>
            </w:tcBorders>
            <w:noWrap/>
            <w:vAlign w:val="center"/>
          </w:tcPr>
          <w:p w14:paraId="6524DDF4">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4</w:t>
            </w:r>
          </w:p>
        </w:tc>
      </w:tr>
      <w:tr w14:paraId="6C152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345" w:type="pct"/>
            <w:vMerge w:val="continue"/>
            <w:tcBorders>
              <w:tl2br w:val="nil"/>
              <w:tr2bl w:val="nil"/>
            </w:tcBorders>
            <w:noWrap w:val="0"/>
            <w:vAlign w:val="center"/>
          </w:tcPr>
          <w:p w14:paraId="38BB63E0">
            <w:pPr>
              <w:pStyle w:val="965"/>
              <w:bidi w:val="0"/>
              <w:spacing w:line="360" w:lineRule="auto"/>
              <w:jc w:val="center"/>
              <w:rPr>
                <w:rFonts w:hint="eastAsia" w:ascii="宋体" w:hAnsi="宋体" w:eastAsia="宋体" w:cs="宋体"/>
              </w:rPr>
            </w:pPr>
          </w:p>
        </w:tc>
        <w:tc>
          <w:tcPr>
            <w:tcW w:w="409" w:type="pct"/>
            <w:tcBorders>
              <w:tl2br w:val="nil"/>
              <w:tr2bl w:val="nil"/>
            </w:tcBorders>
            <w:noWrap/>
            <w:vAlign w:val="center"/>
          </w:tcPr>
          <w:p w14:paraId="6D85B6C2">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2</w:t>
            </w:r>
          </w:p>
        </w:tc>
        <w:tc>
          <w:tcPr>
            <w:tcW w:w="705" w:type="pct"/>
            <w:tcBorders>
              <w:tl2br w:val="nil"/>
              <w:tr2bl w:val="nil"/>
            </w:tcBorders>
            <w:noWrap w:val="0"/>
            <w:vAlign w:val="center"/>
          </w:tcPr>
          <w:p w14:paraId="7192B013">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水生植物修复系统</w:t>
            </w:r>
          </w:p>
        </w:tc>
        <w:tc>
          <w:tcPr>
            <w:tcW w:w="2953" w:type="pct"/>
            <w:tcBorders>
              <w:tl2br w:val="nil"/>
              <w:tr2bl w:val="nil"/>
            </w:tcBorders>
            <w:noWrap w:val="0"/>
            <w:vAlign w:val="center"/>
          </w:tcPr>
          <w:p w14:paraId="7D00E37C">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浮岛浮床，种植狐尾藻、美人蕉等</w:t>
            </w:r>
          </w:p>
        </w:tc>
        <w:tc>
          <w:tcPr>
            <w:tcW w:w="253" w:type="pct"/>
            <w:tcBorders>
              <w:tl2br w:val="nil"/>
              <w:tr2bl w:val="nil"/>
            </w:tcBorders>
            <w:noWrap/>
            <w:vAlign w:val="center"/>
          </w:tcPr>
          <w:p w14:paraId="0296FD31">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m2</w:t>
            </w:r>
          </w:p>
        </w:tc>
        <w:tc>
          <w:tcPr>
            <w:tcW w:w="332" w:type="pct"/>
            <w:tcBorders>
              <w:tl2br w:val="nil"/>
              <w:tr2bl w:val="nil"/>
            </w:tcBorders>
            <w:noWrap/>
            <w:vAlign w:val="center"/>
          </w:tcPr>
          <w:p w14:paraId="409B51D6">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270</w:t>
            </w:r>
          </w:p>
        </w:tc>
      </w:tr>
      <w:tr w14:paraId="4DD9B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4" w:hRule="atLeast"/>
        </w:trPr>
        <w:tc>
          <w:tcPr>
            <w:tcW w:w="345" w:type="pct"/>
            <w:vMerge w:val="restart"/>
            <w:tcBorders>
              <w:tl2br w:val="nil"/>
              <w:tr2bl w:val="nil"/>
            </w:tcBorders>
            <w:noWrap w:val="0"/>
            <w:vAlign w:val="center"/>
          </w:tcPr>
          <w:p w14:paraId="3C3A8FFD">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围星沿塘河</w:t>
            </w:r>
          </w:p>
        </w:tc>
        <w:tc>
          <w:tcPr>
            <w:tcW w:w="409" w:type="pct"/>
            <w:tcBorders>
              <w:tl2br w:val="nil"/>
              <w:tr2bl w:val="nil"/>
            </w:tcBorders>
            <w:noWrap/>
            <w:vAlign w:val="center"/>
          </w:tcPr>
          <w:p w14:paraId="09562881">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1</w:t>
            </w:r>
          </w:p>
        </w:tc>
        <w:tc>
          <w:tcPr>
            <w:tcW w:w="705" w:type="pct"/>
            <w:tcBorders>
              <w:tl2br w:val="nil"/>
              <w:tr2bl w:val="nil"/>
            </w:tcBorders>
            <w:noWrap/>
            <w:vAlign w:val="center"/>
          </w:tcPr>
          <w:p w14:paraId="5870256C">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喷泉曝气装置</w:t>
            </w:r>
          </w:p>
        </w:tc>
        <w:tc>
          <w:tcPr>
            <w:tcW w:w="2953" w:type="pct"/>
            <w:tcBorders>
              <w:tl2br w:val="nil"/>
              <w:tr2bl w:val="nil"/>
            </w:tcBorders>
            <w:noWrap/>
            <w:vAlign w:val="center"/>
          </w:tcPr>
          <w:p w14:paraId="5F4563DC">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增氧泵1.5kw,固定装置（包括电缆、电箱等相关配套设备）</w:t>
            </w:r>
          </w:p>
        </w:tc>
        <w:tc>
          <w:tcPr>
            <w:tcW w:w="253" w:type="pct"/>
            <w:tcBorders>
              <w:tl2br w:val="nil"/>
              <w:tr2bl w:val="nil"/>
            </w:tcBorders>
            <w:noWrap/>
            <w:vAlign w:val="center"/>
          </w:tcPr>
          <w:p w14:paraId="0EE1A439">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套</w:t>
            </w:r>
          </w:p>
        </w:tc>
        <w:tc>
          <w:tcPr>
            <w:tcW w:w="332" w:type="pct"/>
            <w:tcBorders>
              <w:tl2br w:val="nil"/>
              <w:tr2bl w:val="nil"/>
            </w:tcBorders>
            <w:noWrap/>
            <w:vAlign w:val="center"/>
          </w:tcPr>
          <w:p w14:paraId="5F87F0FB">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4</w:t>
            </w:r>
          </w:p>
        </w:tc>
      </w:tr>
      <w:tr w14:paraId="3F7BF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345" w:type="pct"/>
            <w:vMerge w:val="continue"/>
            <w:tcBorders>
              <w:tl2br w:val="nil"/>
              <w:tr2bl w:val="nil"/>
            </w:tcBorders>
            <w:noWrap w:val="0"/>
            <w:vAlign w:val="center"/>
          </w:tcPr>
          <w:p w14:paraId="4182B051">
            <w:pPr>
              <w:pStyle w:val="965"/>
              <w:bidi w:val="0"/>
              <w:spacing w:line="360" w:lineRule="auto"/>
              <w:jc w:val="center"/>
              <w:rPr>
                <w:rFonts w:hint="eastAsia" w:ascii="宋体" w:hAnsi="宋体" w:eastAsia="宋体" w:cs="宋体"/>
              </w:rPr>
            </w:pPr>
          </w:p>
        </w:tc>
        <w:tc>
          <w:tcPr>
            <w:tcW w:w="409" w:type="pct"/>
            <w:tcBorders>
              <w:tl2br w:val="nil"/>
              <w:tr2bl w:val="nil"/>
            </w:tcBorders>
            <w:noWrap/>
            <w:vAlign w:val="center"/>
          </w:tcPr>
          <w:p w14:paraId="7A8B85E7">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2</w:t>
            </w:r>
          </w:p>
        </w:tc>
        <w:tc>
          <w:tcPr>
            <w:tcW w:w="705" w:type="pct"/>
            <w:tcBorders>
              <w:tl2br w:val="nil"/>
              <w:tr2bl w:val="nil"/>
            </w:tcBorders>
            <w:noWrap w:val="0"/>
            <w:vAlign w:val="center"/>
          </w:tcPr>
          <w:p w14:paraId="0FBB6A60">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水生植物修复系统</w:t>
            </w:r>
          </w:p>
        </w:tc>
        <w:tc>
          <w:tcPr>
            <w:tcW w:w="2953" w:type="pct"/>
            <w:tcBorders>
              <w:tl2br w:val="nil"/>
              <w:tr2bl w:val="nil"/>
            </w:tcBorders>
            <w:noWrap w:val="0"/>
            <w:vAlign w:val="center"/>
          </w:tcPr>
          <w:p w14:paraId="79B0878B">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浮岛浮床，种植狐尾藻、美人蕉等</w:t>
            </w:r>
          </w:p>
        </w:tc>
        <w:tc>
          <w:tcPr>
            <w:tcW w:w="253" w:type="pct"/>
            <w:tcBorders>
              <w:tl2br w:val="nil"/>
              <w:tr2bl w:val="nil"/>
            </w:tcBorders>
            <w:noWrap/>
            <w:vAlign w:val="center"/>
          </w:tcPr>
          <w:p w14:paraId="63D0C363">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m2</w:t>
            </w:r>
          </w:p>
        </w:tc>
        <w:tc>
          <w:tcPr>
            <w:tcW w:w="332" w:type="pct"/>
            <w:tcBorders>
              <w:tl2br w:val="nil"/>
              <w:tr2bl w:val="nil"/>
            </w:tcBorders>
            <w:noWrap/>
            <w:vAlign w:val="center"/>
          </w:tcPr>
          <w:p w14:paraId="2660A010">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270</w:t>
            </w:r>
          </w:p>
        </w:tc>
      </w:tr>
      <w:tr w14:paraId="52C99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345" w:type="pct"/>
            <w:vMerge w:val="restart"/>
            <w:tcBorders>
              <w:tl2br w:val="nil"/>
              <w:tr2bl w:val="nil"/>
            </w:tcBorders>
            <w:noWrap w:val="0"/>
            <w:vAlign w:val="center"/>
          </w:tcPr>
          <w:p w14:paraId="40B6DC0E">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0.7万亩沿塘河</w:t>
            </w:r>
          </w:p>
        </w:tc>
        <w:tc>
          <w:tcPr>
            <w:tcW w:w="409" w:type="pct"/>
            <w:tcBorders>
              <w:tl2br w:val="nil"/>
              <w:tr2bl w:val="nil"/>
            </w:tcBorders>
            <w:noWrap/>
            <w:vAlign w:val="center"/>
          </w:tcPr>
          <w:p w14:paraId="412C9980">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1</w:t>
            </w:r>
          </w:p>
        </w:tc>
        <w:tc>
          <w:tcPr>
            <w:tcW w:w="705" w:type="pct"/>
            <w:tcBorders>
              <w:tl2br w:val="nil"/>
              <w:tr2bl w:val="nil"/>
            </w:tcBorders>
            <w:noWrap/>
            <w:vAlign w:val="center"/>
          </w:tcPr>
          <w:p w14:paraId="563E5EB2">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喷泉曝气装置</w:t>
            </w:r>
          </w:p>
        </w:tc>
        <w:tc>
          <w:tcPr>
            <w:tcW w:w="2953" w:type="pct"/>
            <w:tcBorders>
              <w:tl2br w:val="nil"/>
              <w:tr2bl w:val="nil"/>
            </w:tcBorders>
            <w:noWrap/>
            <w:vAlign w:val="center"/>
          </w:tcPr>
          <w:p w14:paraId="436B198C">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增氧泵1.5kw,固定装置（包括电缆、电箱等相关配套设备）</w:t>
            </w:r>
          </w:p>
        </w:tc>
        <w:tc>
          <w:tcPr>
            <w:tcW w:w="253" w:type="pct"/>
            <w:tcBorders>
              <w:tl2br w:val="nil"/>
              <w:tr2bl w:val="nil"/>
            </w:tcBorders>
            <w:noWrap/>
            <w:vAlign w:val="center"/>
          </w:tcPr>
          <w:p w14:paraId="6E9592D7">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套</w:t>
            </w:r>
          </w:p>
        </w:tc>
        <w:tc>
          <w:tcPr>
            <w:tcW w:w="332" w:type="pct"/>
            <w:tcBorders>
              <w:tl2br w:val="nil"/>
              <w:tr2bl w:val="nil"/>
            </w:tcBorders>
            <w:noWrap/>
            <w:vAlign w:val="center"/>
          </w:tcPr>
          <w:p w14:paraId="4C9E5330">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3</w:t>
            </w:r>
          </w:p>
        </w:tc>
      </w:tr>
      <w:tr w14:paraId="5EA87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345" w:type="pct"/>
            <w:vMerge w:val="continue"/>
            <w:tcBorders>
              <w:tl2br w:val="nil"/>
              <w:tr2bl w:val="nil"/>
            </w:tcBorders>
            <w:noWrap w:val="0"/>
            <w:vAlign w:val="center"/>
          </w:tcPr>
          <w:p w14:paraId="7F4BDAEA">
            <w:pPr>
              <w:pStyle w:val="965"/>
              <w:bidi w:val="0"/>
              <w:spacing w:line="360" w:lineRule="auto"/>
              <w:jc w:val="center"/>
              <w:rPr>
                <w:rFonts w:hint="eastAsia" w:ascii="宋体" w:hAnsi="宋体" w:eastAsia="宋体" w:cs="宋体"/>
              </w:rPr>
            </w:pPr>
          </w:p>
        </w:tc>
        <w:tc>
          <w:tcPr>
            <w:tcW w:w="409" w:type="pct"/>
            <w:tcBorders>
              <w:tl2br w:val="nil"/>
              <w:tr2bl w:val="nil"/>
            </w:tcBorders>
            <w:noWrap/>
            <w:vAlign w:val="center"/>
          </w:tcPr>
          <w:p w14:paraId="71FD787D">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2</w:t>
            </w:r>
          </w:p>
        </w:tc>
        <w:tc>
          <w:tcPr>
            <w:tcW w:w="705" w:type="pct"/>
            <w:tcBorders>
              <w:tl2br w:val="nil"/>
              <w:tr2bl w:val="nil"/>
            </w:tcBorders>
            <w:noWrap w:val="0"/>
            <w:vAlign w:val="center"/>
          </w:tcPr>
          <w:p w14:paraId="638BE828">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水生植物修复系统</w:t>
            </w:r>
          </w:p>
        </w:tc>
        <w:tc>
          <w:tcPr>
            <w:tcW w:w="2953" w:type="pct"/>
            <w:tcBorders>
              <w:tl2br w:val="nil"/>
              <w:tr2bl w:val="nil"/>
            </w:tcBorders>
            <w:noWrap w:val="0"/>
            <w:vAlign w:val="center"/>
          </w:tcPr>
          <w:p w14:paraId="593E8267">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浮岛浮床，种植狐尾藻、美人蕉等</w:t>
            </w:r>
          </w:p>
        </w:tc>
        <w:tc>
          <w:tcPr>
            <w:tcW w:w="253" w:type="pct"/>
            <w:tcBorders>
              <w:tl2br w:val="nil"/>
              <w:tr2bl w:val="nil"/>
            </w:tcBorders>
            <w:noWrap/>
            <w:vAlign w:val="center"/>
          </w:tcPr>
          <w:p w14:paraId="7D37B50D">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m2</w:t>
            </w:r>
          </w:p>
        </w:tc>
        <w:tc>
          <w:tcPr>
            <w:tcW w:w="332" w:type="pct"/>
            <w:tcBorders>
              <w:tl2br w:val="nil"/>
              <w:tr2bl w:val="nil"/>
            </w:tcBorders>
            <w:noWrap/>
            <w:vAlign w:val="center"/>
          </w:tcPr>
          <w:p w14:paraId="00A98DB0">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180</w:t>
            </w:r>
          </w:p>
        </w:tc>
      </w:tr>
      <w:tr w14:paraId="7F91C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345" w:type="pct"/>
            <w:vMerge w:val="restart"/>
            <w:tcBorders>
              <w:tl2br w:val="nil"/>
              <w:tr2bl w:val="nil"/>
            </w:tcBorders>
            <w:noWrap w:val="0"/>
            <w:vAlign w:val="center"/>
          </w:tcPr>
          <w:p w14:paraId="5AC11681">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1万亩中心横河</w:t>
            </w:r>
          </w:p>
        </w:tc>
        <w:tc>
          <w:tcPr>
            <w:tcW w:w="409" w:type="pct"/>
            <w:tcBorders>
              <w:tl2br w:val="nil"/>
              <w:tr2bl w:val="nil"/>
            </w:tcBorders>
            <w:noWrap/>
            <w:vAlign w:val="center"/>
          </w:tcPr>
          <w:p w14:paraId="55378854">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1</w:t>
            </w:r>
          </w:p>
        </w:tc>
        <w:tc>
          <w:tcPr>
            <w:tcW w:w="705" w:type="pct"/>
            <w:tcBorders>
              <w:tl2br w:val="nil"/>
              <w:tr2bl w:val="nil"/>
            </w:tcBorders>
            <w:noWrap/>
            <w:vAlign w:val="center"/>
          </w:tcPr>
          <w:p w14:paraId="690632B3">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喷泉曝气装置</w:t>
            </w:r>
          </w:p>
        </w:tc>
        <w:tc>
          <w:tcPr>
            <w:tcW w:w="2953" w:type="pct"/>
            <w:tcBorders>
              <w:tl2br w:val="nil"/>
              <w:tr2bl w:val="nil"/>
            </w:tcBorders>
            <w:noWrap/>
            <w:vAlign w:val="center"/>
          </w:tcPr>
          <w:p w14:paraId="26E1D32A">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增氧泵1.5kw,固定装置（包括电缆、电箱等相关配套设备）</w:t>
            </w:r>
          </w:p>
        </w:tc>
        <w:tc>
          <w:tcPr>
            <w:tcW w:w="253" w:type="pct"/>
            <w:tcBorders>
              <w:tl2br w:val="nil"/>
              <w:tr2bl w:val="nil"/>
            </w:tcBorders>
            <w:noWrap/>
            <w:vAlign w:val="center"/>
          </w:tcPr>
          <w:p w14:paraId="39DF054C">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套</w:t>
            </w:r>
          </w:p>
        </w:tc>
        <w:tc>
          <w:tcPr>
            <w:tcW w:w="332" w:type="pct"/>
            <w:tcBorders>
              <w:tl2br w:val="nil"/>
              <w:tr2bl w:val="nil"/>
            </w:tcBorders>
            <w:noWrap/>
            <w:vAlign w:val="center"/>
          </w:tcPr>
          <w:p w14:paraId="052FEC3F">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4</w:t>
            </w:r>
          </w:p>
        </w:tc>
      </w:tr>
      <w:tr w14:paraId="617A7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345" w:type="pct"/>
            <w:vMerge w:val="continue"/>
            <w:tcBorders>
              <w:tl2br w:val="nil"/>
              <w:tr2bl w:val="nil"/>
            </w:tcBorders>
            <w:noWrap w:val="0"/>
            <w:vAlign w:val="center"/>
          </w:tcPr>
          <w:p w14:paraId="18D4A074">
            <w:pPr>
              <w:pStyle w:val="965"/>
              <w:bidi w:val="0"/>
              <w:spacing w:line="360" w:lineRule="auto"/>
              <w:jc w:val="center"/>
              <w:rPr>
                <w:rFonts w:hint="eastAsia" w:ascii="宋体" w:hAnsi="宋体" w:eastAsia="宋体" w:cs="宋体"/>
              </w:rPr>
            </w:pPr>
          </w:p>
        </w:tc>
        <w:tc>
          <w:tcPr>
            <w:tcW w:w="409" w:type="pct"/>
            <w:tcBorders>
              <w:tl2br w:val="nil"/>
              <w:tr2bl w:val="nil"/>
            </w:tcBorders>
            <w:noWrap/>
            <w:vAlign w:val="center"/>
          </w:tcPr>
          <w:p w14:paraId="77685C15">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2</w:t>
            </w:r>
          </w:p>
        </w:tc>
        <w:tc>
          <w:tcPr>
            <w:tcW w:w="705" w:type="pct"/>
            <w:tcBorders>
              <w:tl2br w:val="nil"/>
              <w:tr2bl w:val="nil"/>
            </w:tcBorders>
            <w:noWrap w:val="0"/>
            <w:vAlign w:val="center"/>
          </w:tcPr>
          <w:p w14:paraId="211E8AA2">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水生植物修复系统</w:t>
            </w:r>
          </w:p>
        </w:tc>
        <w:tc>
          <w:tcPr>
            <w:tcW w:w="2953" w:type="pct"/>
            <w:tcBorders>
              <w:tl2br w:val="nil"/>
              <w:tr2bl w:val="nil"/>
            </w:tcBorders>
            <w:noWrap w:val="0"/>
            <w:vAlign w:val="center"/>
          </w:tcPr>
          <w:p w14:paraId="74385693">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浮岛浮床，种植狐尾藻、美人蕉等</w:t>
            </w:r>
          </w:p>
        </w:tc>
        <w:tc>
          <w:tcPr>
            <w:tcW w:w="253" w:type="pct"/>
            <w:tcBorders>
              <w:tl2br w:val="nil"/>
              <w:tr2bl w:val="nil"/>
            </w:tcBorders>
            <w:noWrap/>
            <w:vAlign w:val="center"/>
          </w:tcPr>
          <w:p w14:paraId="04FC917C">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m2</w:t>
            </w:r>
          </w:p>
        </w:tc>
        <w:tc>
          <w:tcPr>
            <w:tcW w:w="332" w:type="pct"/>
            <w:tcBorders>
              <w:tl2br w:val="nil"/>
              <w:tr2bl w:val="nil"/>
            </w:tcBorders>
            <w:noWrap/>
            <w:vAlign w:val="center"/>
          </w:tcPr>
          <w:p w14:paraId="0D20AD97">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180</w:t>
            </w:r>
          </w:p>
        </w:tc>
      </w:tr>
      <w:tr w14:paraId="15637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345" w:type="pct"/>
            <w:vMerge w:val="restart"/>
            <w:tcBorders>
              <w:tl2br w:val="nil"/>
              <w:tr2bl w:val="nil"/>
            </w:tcBorders>
            <w:noWrap w:val="0"/>
            <w:vAlign w:val="center"/>
          </w:tcPr>
          <w:p w14:paraId="664E23A1">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八二直河</w:t>
            </w:r>
          </w:p>
        </w:tc>
        <w:tc>
          <w:tcPr>
            <w:tcW w:w="409" w:type="pct"/>
            <w:tcBorders>
              <w:tl2br w:val="nil"/>
              <w:tr2bl w:val="nil"/>
            </w:tcBorders>
            <w:noWrap/>
            <w:vAlign w:val="center"/>
          </w:tcPr>
          <w:p w14:paraId="0E2E9EB3">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1</w:t>
            </w:r>
          </w:p>
        </w:tc>
        <w:tc>
          <w:tcPr>
            <w:tcW w:w="705" w:type="pct"/>
            <w:tcBorders>
              <w:tl2br w:val="nil"/>
              <w:tr2bl w:val="nil"/>
            </w:tcBorders>
            <w:noWrap/>
            <w:vAlign w:val="center"/>
          </w:tcPr>
          <w:p w14:paraId="1747D78D">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喷泉曝气装置</w:t>
            </w:r>
          </w:p>
        </w:tc>
        <w:tc>
          <w:tcPr>
            <w:tcW w:w="2953" w:type="pct"/>
            <w:tcBorders>
              <w:tl2br w:val="nil"/>
              <w:tr2bl w:val="nil"/>
            </w:tcBorders>
            <w:noWrap/>
            <w:vAlign w:val="center"/>
          </w:tcPr>
          <w:p w14:paraId="7E1D40D9">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増氧泵1.5k\v、固定装置（包括电缆、电箱等相关配套设备）</w:t>
            </w:r>
          </w:p>
        </w:tc>
        <w:tc>
          <w:tcPr>
            <w:tcW w:w="253" w:type="pct"/>
            <w:tcBorders>
              <w:tl2br w:val="nil"/>
              <w:tr2bl w:val="nil"/>
            </w:tcBorders>
            <w:noWrap/>
            <w:vAlign w:val="center"/>
          </w:tcPr>
          <w:p w14:paraId="4A4F0F93">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套</w:t>
            </w:r>
          </w:p>
        </w:tc>
        <w:tc>
          <w:tcPr>
            <w:tcW w:w="332" w:type="pct"/>
            <w:tcBorders>
              <w:tl2br w:val="nil"/>
              <w:tr2bl w:val="nil"/>
            </w:tcBorders>
            <w:noWrap/>
            <w:vAlign w:val="center"/>
          </w:tcPr>
          <w:p w14:paraId="6CDB5A20">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3</w:t>
            </w:r>
          </w:p>
        </w:tc>
      </w:tr>
      <w:tr w14:paraId="429A7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345" w:type="pct"/>
            <w:vMerge w:val="continue"/>
            <w:tcBorders>
              <w:tl2br w:val="nil"/>
              <w:tr2bl w:val="nil"/>
            </w:tcBorders>
            <w:noWrap w:val="0"/>
            <w:vAlign w:val="center"/>
          </w:tcPr>
          <w:p w14:paraId="52E02DB6">
            <w:pPr>
              <w:pStyle w:val="965"/>
              <w:bidi w:val="0"/>
              <w:spacing w:line="360" w:lineRule="auto"/>
              <w:jc w:val="center"/>
              <w:rPr>
                <w:rFonts w:hint="eastAsia" w:ascii="宋体" w:hAnsi="宋体" w:eastAsia="宋体" w:cs="宋体"/>
              </w:rPr>
            </w:pPr>
          </w:p>
        </w:tc>
        <w:tc>
          <w:tcPr>
            <w:tcW w:w="409" w:type="pct"/>
            <w:tcBorders>
              <w:tl2br w:val="nil"/>
              <w:tr2bl w:val="nil"/>
            </w:tcBorders>
            <w:noWrap/>
            <w:vAlign w:val="center"/>
          </w:tcPr>
          <w:p w14:paraId="7FE35225">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2</w:t>
            </w:r>
          </w:p>
        </w:tc>
        <w:tc>
          <w:tcPr>
            <w:tcW w:w="705" w:type="pct"/>
            <w:tcBorders>
              <w:tl2br w:val="nil"/>
              <w:tr2bl w:val="nil"/>
            </w:tcBorders>
            <w:noWrap w:val="0"/>
            <w:vAlign w:val="center"/>
          </w:tcPr>
          <w:p w14:paraId="569367BB">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水生植物修复系统</w:t>
            </w:r>
          </w:p>
        </w:tc>
        <w:tc>
          <w:tcPr>
            <w:tcW w:w="2953" w:type="pct"/>
            <w:tcBorders>
              <w:tl2br w:val="nil"/>
              <w:tr2bl w:val="nil"/>
            </w:tcBorders>
            <w:noWrap w:val="0"/>
            <w:vAlign w:val="center"/>
          </w:tcPr>
          <w:p w14:paraId="1E45F310">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浮岛浮床，种植狐尾藻、美人蕉等</w:t>
            </w:r>
          </w:p>
        </w:tc>
        <w:tc>
          <w:tcPr>
            <w:tcW w:w="253" w:type="pct"/>
            <w:tcBorders>
              <w:tl2br w:val="nil"/>
              <w:tr2bl w:val="nil"/>
            </w:tcBorders>
            <w:noWrap/>
            <w:vAlign w:val="center"/>
          </w:tcPr>
          <w:p w14:paraId="0208F4B6">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m2</w:t>
            </w:r>
          </w:p>
        </w:tc>
        <w:tc>
          <w:tcPr>
            <w:tcW w:w="332" w:type="pct"/>
            <w:tcBorders>
              <w:tl2br w:val="nil"/>
              <w:tr2bl w:val="nil"/>
            </w:tcBorders>
            <w:noWrap/>
            <w:vAlign w:val="center"/>
          </w:tcPr>
          <w:p w14:paraId="4B708C42">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180</w:t>
            </w:r>
          </w:p>
        </w:tc>
      </w:tr>
      <w:tr w14:paraId="1CD93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345" w:type="pct"/>
            <w:vMerge w:val="restart"/>
            <w:tcBorders>
              <w:tl2br w:val="nil"/>
              <w:tr2bl w:val="nil"/>
            </w:tcBorders>
            <w:noWrap w:val="0"/>
            <w:vAlign w:val="center"/>
          </w:tcPr>
          <w:p w14:paraId="67FEE7FE">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八工段直河</w:t>
            </w:r>
          </w:p>
        </w:tc>
        <w:tc>
          <w:tcPr>
            <w:tcW w:w="409" w:type="pct"/>
            <w:tcBorders>
              <w:tl2br w:val="nil"/>
              <w:tr2bl w:val="nil"/>
            </w:tcBorders>
            <w:noWrap/>
            <w:vAlign w:val="center"/>
          </w:tcPr>
          <w:p w14:paraId="3AEB0419">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1</w:t>
            </w:r>
          </w:p>
        </w:tc>
        <w:tc>
          <w:tcPr>
            <w:tcW w:w="705" w:type="pct"/>
            <w:tcBorders>
              <w:tl2br w:val="nil"/>
              <w:tr2bl w:val="nil"/>
            </w:tcBorders>
            <w:noWrap/>
            <w:vAlign w:val="center"/>
          </w:tcPr>
          <w:p w14:paraId="1B87D964">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喷泉曝气装置</w:t>
            </w:r>
          </w:p>
        </w:tc>
        <w:tc>
          <w:tcPr>
            <w:tcW w:w="2953" w:type="pct"/>
            <w:tcBorders>
              <w:tl2br w:val="nil"/>
              <w:tr2bl w:val="nil"/>
            </w:tcBorders>
            <w:noWrap/>
            <w:vAlign w:val="center"/>
          </w:tcPr>
          <w:p w14:paraId="629688A0">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增氧泵1.5kw,固定装置（包括电缆、电箱等相关配套设备）</w:t>
            </w:r>
          </w:p>
        </w:tc>
        <w:tc>
          <w:tcPr>
            <w:tcW w:w="253" w:type="pct"/>
            <w:tcBorders>
              <w:tl2br w:val="nil"/>
              <w:tr2bl w:val="nil"/>
            </w:tcBorders>
            <w:noWrap/>
            <w:vAlign w:val="center"/>
          </w:tcPr>
          <w:p w14:paraId="2284EB2F">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套</w:t>
            </w:r>
          </w:p>
        </w:tc>
        <w:tc>
          <w:tcPr>
            <w:tcW w:w="332" w:type="pct"/>
            <w:tcBorders>
              <w:tl2br w:val="nil"/>
              <w:tr2bl w:val="nil"/>
            </w:tcBorders>
            <w:noWrap/>
            <w:vAlign w:val="center"/>
          </w:tcPr>
          <w:p w14:paraId="4CBC0DF1">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4</w:t>
            </w:r>
          </w:p>
        </w:tc>
      </w:tr>
      <w:tr w14:paraId="5E06B1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345" w:type="pct"/>
            <w:vMerge w:val="continue"/>
            <w:tcBorders>
              <w:tl2br w:val="nil"/>
              <w:tr2bl w:val="nil"/>
            </w:tcBorders>
            <w:noWrap w:val="0"/>
            <w:vAlign w:val="center"/>
          </w:tcPr>
          <w:p w14:paraId="7B9F690B">
            <w:pPr>
              <w:pStyle w:val="965"/>
              <w:bidi w:val="0"/>
              <w:spacing w:line="360" w:lineRule="auto"/>
              <w:jc w:val="center"/>
              <w:rPr>
                <w:rFonts w:hint="eastAsia" w:ascii="宋体" w:hAnsi="宋体" w:eastAsia="宋体" w:cs="宋体"/>
              </w:rPr>
            </w:pPr>
          </w:p>
        </w:tc>
        <w:tc>
          <w:tcPr>
            <w:tcW w:w="409" w:type="pct"/>
            <w:tcBorders>
              <w:tl2br w:val="nil"/>
              <w:tr2bl w:val="nil"/>
            </w:tcBorders>
            <w:noWrap/>
            <w:vAlign w:val="center"/>
          </w:tcPr>
          <w:p w14:paraId="49F2F93A">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2</w:t>
            </w:r>
          </w:p>
        </w:tc>
        <w:tc>
          <w:tcPr>
            <w:tcW w:w="705" w:type="pct"/>
            <w:tcBorders>
              <w:tl2br w:val="nil"/>
              <w:tr2bl w:val="nil"/>
            </w:tcBorders>
            <w:noWrap w:val="0"/>
            <w:vAlign w:val="center"/>
          </w:tcPr>
          <w:p w14:paraId="03BCCC54">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水生植物修复系统</w:t>
            </w:r>
          </w:p>
        </w:tc>
        <w:tc>
          <w:tcPr>
            <w:tcW w:w="2953" w:type="pct"/>
            <w:tcBorders>
              <w:tl2br w:val="nil"/>
              <w:tr2bl w:val="nil"/>
            </w:tcBorders>
            <w:noWrap w:val="0"/>
            <w:vAlign w:val="center"/>
          </w:tcPr>
          <w:p w14:paraId="1589E585">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浮岛浮床，种植狐尾藻、美人蕉等</w:t>
            </w:r>
          </w:p>
        </w:tc>
        <w:tc>
          <w:tcPr>
            <w:tcW w:w="253" w:type="pct"/>
            <w:tcBorders>
              <w:tl2br w:val="nil"/>
              <w:tr2bl w:val="nil"/>
            </w:tcBorders>
            <w:noWrap/>
            <w:vAlign w:val="center"/>
          </w:tcPr>
          <w:p w14:paraId="0BDC9436">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m2</w:t>
            </w:r>
          </w:p>
        </w:tc>
        <w:tc>
          <w:tcPr>
            <w:tcW w:w="332" w:type="pct"/>
            <w:tcBorders>
              <w:tl2br w:val="nil"/>
              <w:tr2bl w:val="nil"/>
            </w:tcBorders>
            <w:noWrap/>
            <w:vAlign w:val="center"/>
          </w:tcPr>
          <w:p w14:paraId="23177BED">
            <w:pPr>
              <w:pStyle w:val="965"/>
              <w:bidi w:val="0"/>
              <w:spacing w:line="360" w:lineRule="auto"/>
              <w:jc w:val="center"/>
              <w:rPr>
                <w:rFonts w:hint="eastAsia" w:ascii="宋体" w:hAnsi="宋体" w:eastAsia="宋体" w:cs="宋体"/>
              </w:rPr>
            </w:pPr>
            <w:r>
              <w:rPr>
                <w:rFonts w:hint="eastAsia" w:ascii="宋体" w:hAnsi="宋体" w:eastAsia="宋体" w:cs="宋体"/>
                <w:lang w:val="en-US" w:eastAsia="zh-CN"/>
              </w:rPr>
              <w:t>180</w:t>
            </w:r>
          </w:p>
        </w:tc>
      </w:tr>
      <w:tr w14:paraId="51B7D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345" w:type="pct"/>
            <w:vMerge w:val="restart"/>
            <w:tcBorders>
              <w:tl2br w:val="nil"/>
              <w:tr2bl w:val="nil"/>
            </w:tcBorders>
            <w:noWrap w:val="0"/>
            <w:vAlign w:val="center"/>
          </w:tcPr>
          <w:p w14:paraId="270EBBC9">
            <w:pPr>
              <w:pStyle w:val="965"/>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九工段直河</w:t>
            </w:r>
          </w:p>
        </w:tc>
        <w:tc>
          <w:tcPr>
            <w:tcW w:w="409" w:type="pct"/>
            <w:tcBorders>
              <w:tl2br w:val="nil"/>
              <w:tr2bl w:val="nil"/>
            </w:tcBorders>
            <w:noWrap/>
            <w:vAlign w:val="center"/>
          </w:tcPr>
          <w:p w14:paraId="78DD9188">
            <w:pPr>
              <w:pStyle w:val="965"/>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705" w:type="pct"/>
            <w:tcBorders>
              <w:tl2br w:val="nil"/>
              <w:tr2bl w:val="nil"/>
            </w:tcBorders>
            <w:noWrap/>
            <w:vAlign w:val="center"/>
          </w:tcPr>
          <w:p w14:paraId="484D3E3A">
            <w:pPr>
              <w:pStyle w:val="965"/>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喷泉曝气装置</w:t>
            </w:r>
          </w:p>
        </w:tc>
        <w:tc>
          <w:tcPr>
            <w:tcW w:w="2953" w:type="pct"/>
            <w:tcBorders>
              <w:tl2br w:val="nil"/>
              <w:tr2bl w:val="nil"/>
            </w:tcBorders>
            <w:noWrap/>
            <w:vAlign w:val="center"/>
          </w:tcPr>
          <w:p w14:paraId="7918DF7F">
            <w:pPr>
              <w:pStyle w:val="965"/>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増氧泵1.5k\v、固定装置（包括电缆、电箱等相关配套设备）</w:t>
            </w:r>
          </w:p>
        </w:tc>
        <w:tc>
          <w:tcPr>
            <w:tcW w:w="253" w:type="pct"/>
            <w:tcBorders>
              <w:tl2br w:val="nil"/>
              <w:tr2bl w:val="nil"/>
            </w:tcBorders>
            <w:noWrap/>
            <w:vAlign w:val="center"/>
          </w:tcPr>
          <w:p w14:paraId="05E6F1ED">
            <w:pPr>
              <w:pStyle w:val="965"/>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套</w:t>
            </w:r>
          </w:p>
        </w:tc>
        <w:tc>
          <w:tcPr>
            <w:tcW w:w="332" w:type="pct"/>
            <w:tcBorders>
              <w:tl2br w:val="nil"/>
              <w:tr2bl w:val="nil"/>
            </w:tcBorders>
            <w:noWrap/>
            <w:vAlign w:val="center"/>
          </w:tcPr>
          <w:p w14:paraId="1C8EA9CE">
            <w:pPr>
              <w:pStyle w:val="965"/>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p>
        </w:tc>
      </w:tr>
      <w:tr w14:paraId="5E565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5" w:hRule="atLeast"/>
        </w:trPr>
        <w:tc>
          <w:tcPr>
            <w:tcW w:w="345" w:type="pct"/>
            <w:vMerge w:val="continue"/>
            <w:tcBorders>
              <w:tl2br w:val="nil"/>
              <w:tr2bl w:val="nil"/>
            </w:tcBorders>
            <w:noWrap w:val="0"/>
            <w:vAlign w:val="center"/>
          </w:tcPr>
          <w:p w14:paraId="37CAFB50">
            <w:pPr>
              <w:pStyle w:val="965"/>
              <w:bidi w:val="0"/>
              <w:spacing w:line="360" w:lineRule="auto"/>
              <w:jc w:val="center"/>
              <w:rPr>
                <w:rFonts w:hint="eastAsia" w:ascii="宋体" w:hAnsi="宋体" w:eastAsia="宋体" w:cs="宋体"/>
                <w:color w:val="auto"/>
                <w:highlight w:val="none"/>
              </w:rPr>
            </w:pPr>
          </w:p>
        </w:tc>
        <w:tc>
          <w:tcPr>
            <w:tcW w:w="409" w:type="pct"/>
            <w:tcBorders>
              <w:tl2br w:val="nil"/>
              <w:tr2bl w:val="nil"/>
            </w:tcBorders>
            <w:noWrap/>
            <w:vAlign w:val="center"/>
          </w:tcPr>
          <w:p w14:paraId="735FE427">
            <w:pPr>
              <w:pStyle w:val="965"/>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705" w:type="pct"/>
            <w:tcBorders>
              <w:tl2br w:val="nil"/>
              <w:tr2bl w:val="nil"/>
            </w:tcBorders>
            <w:noWrap w:val="0"/>
            <w:vAlign w:val="center"/>
          </w:tcPr>
          <w:p w14:paraId="22C9EDA4">
            <w:pPr>
              <w:pStyle w:val="965"/>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水生植物修复系统</w:t>
            </w:r>
          </w:p>
        </w:tc>
        <w:tc>
          <w:tcPr>
            <w:tcW w:w="2953" w:type="pct"/>
            <w:tcBorders>
              <w:tl2br w:val="nil"/>
              <w:tr2bl w:val="nil"/>
            </w:tcBorders>
            <w:noWrap w:val="0"/>
            <w:vAlign w:val="center"/>
          </w:tcPr>
          <w:p w14:paraId="3491BD58">
            <w:pPr>
              <w:pStyle w:val="965"/>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浮岛浮床，种植狐尾藻、美人蕉等</w:t>
            </w:r>
          </w:p>
        </w:tc>
        <w:tc>
          <w:tcPr>
            <w:tcW w:w="253" w:type="pct"/>
            <w:tcBorders>
              <w:tl2br w:val="nil"/>
              <w:tr2bl w:val="nil"/>
            </w:tcBorders>
            <w:noWrap/>
            <w:vAlign w:val="center"/>
          </w:tcPr>
          <w:p w14:paraId="39FFAE52">
            <w:pPr>
              <w:pStyle w:val="965"/>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m2</w:t>
            </w:r>
          </w:p>
        </w:tc>
        <w:tc>
          <w:tcPr>
            <w:tcW w:w="332" w:type="pct"/>
            <w:tcBorders>
              <w:tl2br w:val="nil"/>
              <w:tr2bl w:val="nil"/>
            </w:tcBorders>
            <w:noWrap/>
            <w:vAlign w:val="center"/>
          </w:tcPr>
          <w:p w14:paraId="2BD75A19">
            <w:pPr>
              <w:pStyle w:val="965"/>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180</w:t>
            </w:r>
          </w:p>
        </w:tc>
      </w:tr>
      <w:tr w14:paraId="34F60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345" w:type="pct"/>
            <w:vMerge w:val="restart"/>
            <w:tcBorders>
              <w:tl2br w:val="nil"/>
              <w:tr2bl w:val="nil"/>
            </w:tcBorders>
            <w:noWrap w:val="0"/>
            <w:vAlign w:val="center"/>
          </w:tcPr>
          <w:p w14:paraId="67FBBFA3">
            <w:pPr>
              <w:pStyle w:val="965"/>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前峰横直河</w:t>
            </w:r>
          </w:p>
        </w:tc>
        <w:tc>
          <w:tcPr>
            <w:tcW w:w="409" w:type="pct"/>
            <w:tcBorders>
              <w:tl2br w:val="nil"/>
              <w:tr2bl w:val="nil"/>
            </w:tcBorders>
            <w:noWrap/>
            <w:vAlign w:val="center"/>
          </w:tcPr>
          <w:p w14:paraId="5E228B08">
            <w:pPr>
              <w:pStyle w:val="965"/>
              <w:bidi w:val="0"/>
              <w:spacing w:line="36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705" w:type="pct"/>
            <w:tcBorders>
              <w:tl2br w:val="nil"/>
              <w:tr2bl w:val="nil"/>
            </w:tcBorders>
            <w:noWrap/>
            <w:vAlign w:val="center"/>
          </w:tcPr>
          <w:p w14:paraId="4CDBE0D5">
            <w:pPr>
              <w:pStyle w:val="965"/>
              <w:bidi w:val="0"/>
              <w:spacing w:line="36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喷泉曝气装置</w:t>
            </w:r>
          </w:p>
        </w:tc>
        <w:tc>
          <w:tcPr>
            <w:tcW w:w="2953" w:type="pct"/>
            <w:tcBorders>
              <w:tl2br w:val="nil"/>
              <w:tr2bl w:val="nil"/>
            </w:tcBorders>
            <w:noWrap/>
            <w:vAlign w:val="center"/>
          </w:tcPr>
          <w:p w14:paraId="6FEA1BA9">
            <w:pPr>
              <w:pStyle w:val="965"/>
              <w:bidi w:val="0"/>
              <w:spacing w:line="36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原有2套増氧泵1.5k\v、固定装置（包括电缆、电箱等相关配套设备）运维、新增2套増氧泵1.5k\v、固定装置（包括电缆、电箱等相关配套设备）配备安装及运维</w:t>
            </w:r>
          </w:p>
        </w:tc>
        <w:tc>
          <w:tcPr>
            <w:tcW w:w="253" w:type="pct"/>
            <w:tcBorders>
              <w:tl2br w:val="nil"/>
              <w:tr2bl w:val="nil"/>
            </w:tcBorders>
            <w:noWrap/>
            <w:vAlign w:val="center"/>
          </w:tcPr>
          <w:p w14:paraId="18D1F273">
            <w:pPr>
              <w:pStyle w:val="965"/>
              <w:bidi w:val="0"/>
              <w:spacing w:line="36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套</w:t>
            </w:r>
          </w:p>
        </w:tc>
        <w:tc>
          <w:tcPr>
            <w:tcW w:w="332" w:type="pct"/>
            <w:tcBorders>
              <w:tl2br w:val="nil"/>
              <w:tr2bl w:val="nil"/>
            </w:tcBorders>
            <w:noWrap/>
            <w:vAlign w:val="center"/>
          </w:tcPr>
          <w:p w14:paraId="1A157AC1">
            <w:pPr>
              <w:pStyle w:val="965"/>
              <w:bidi w:val="0"/>
              <w:spacing w:line="36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r>
      <w:tr w14:paraId="3C2B1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345" w:type="pct"/>
            <w:vMerge w:val="continue"/>
            <w:tcBorders>
              <w:tl2br w:val="nil"/>
              <w:tr2bl w:val="nil"/>
            </w:tcBorders>
            <w:noWrap w:val="0"/>
            <w:vAlign w:val="center"/>
          </w:tcPr>
          <w:p w14:paraId="026234D8">
            <w:pPr>
              <w:pStyle w:val="965"/>
              <w:bidi w:val="0"/>
              <w:spacing w:line="360" w:lineRule="auto"/>
              <w:jc w:val="center"/>
              <w:rPr>
                <w:rFonts w:hint="eastAsia" w:ascii="宋体" w:hAnsi="宋体" w:eastAsia="宋体" w:cs="宋体"/>
                <w:color w:val="auto"/>
                <w:highlight w:val="none"/>
              </w:rPr>
            </w:pPr>
          </w:p>
        </w:tc>
        <w:tc>
          <w:tcPr>
            <w:tcW w:w="409" w:type="pct"/>
            <w:tcBorders>
              <w:tl2br w:val="nil"/>
              <w:tr2bl w:val="nil"/>
            </w:tcBorders>
            <w:noWrap/>
            <w:vAlign w:val="center"/>
          </w:tcPr>
          <w:p w14:paraId="00372BDE">
            <w:pPr>
              <w:pStyle w:val="965"/>
              <w:bidi w:val="0"/>
              <w:spacing w:line="36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705" w:type="pct"/>
            <w:tcBorders>
              <w:tl2br w:val="nil"/>
              <w:tr2bl w:val="nil"/>
            </w:tcBorders>
            <w:noWrap/>
            <w:vAlign w:val="center"/>
          </w:tcPr>
          <w:p w14:paraId="01F2135F">
            <w:pPr>
              <w:pStyle w:val="965"/>
              <w:bidi w:val="0"/>
              <w:spacing w:line="36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原有水生植物修复系统</w:t>
            </w:r>
          </w:p>
        </w:tc>
        <w:tc>
          <w:tcPr>
            <w:tcW w:w="2953" w:type="pct"/>
            <w:tcBorders>
              <w:tl2br w:val="nil"/>
              <w:tr2bl w:val="nil"/>
            </w:tcBorders>
            <w:noWrap/>
            <w:vAlign w:val="center"/>
          </w:tcPr>
          <w:p w14:paraId="4A68E313">
            <w:pPr>
              <w:pStyle w:val="965"/>
              <w:bidi w:val="0"/>
              <w:spacing w:line="36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浮岛浮床，种植狐尾藻、美人蕉等</w:t>
            </w:r>
          </w:p>
        </w:tc>
        <w:tc>
          <w:tcPr>
            <w:tcW w:w="253" w:type="pct"/>
            <w:tcBorders>
              <w:tl2br w:val="nil"/>
              <w:tr2bl w:val="nil"/>
            </w:tcBorders>
            <w:noWrap/>
            <w:vAlign w:val="center"/>
          </w:tcPr>
          <w:p w14:paraId="33CAAAFC">
            <w:pPr>
              <w:pStyle w:val="965"/>
              <w:bidi w:val="0"/>
              <w:spacing w:line="36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m2</w:t>
            </w:r>
          </w:p>
        </w:tc>
        <w:tc>
          <w:tcPr>
            <w:tcW w:w="332" w:type="pct"/>
            <w:tcBorders>
              <w:tl2br w:val="nil"/>
              <w:tr2bl w:val="nil"/>
            </w:tcBorders>
            <w:noWrap/>
            <w:vAlign w:val="center"/>
          </w:tcPr>
          <w:p w14:paraId="32EE7531">
            <w:pPr>
              <w:pStyle w:val="965"/>
              <w:bidi w:val="0"/>
              <w:spacing w:line="36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290</w:t>
            </w:r>
          </w:p>
        </w:tc>
      </w:tr>
      <w:tr w14:paraId="5C4BE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345" w:type="pct"/>
            <w:vMerge w:val="continue"/>
            <w:tcBorders>
              <w:tl2br w:val="nil"/>
              <w:tr2bl w:val="nil"/>
            </w:tcBorders>
            <w:noWrap w:val="0"/>
            <w:vAlign w:val="center"/>
          </w:tcPr>
          <w:p w14:paraId="6D32CFBE">
            <w:pPr>
              <w:pStyle w:val="965"/>
              <w:bidi w:val="0"/>
              <w:spacing w:line="360" w:lineRule="auto"/>
              <w:jc w:val="center"/>
              <w:rPr>
                <w:rFonts w:hint="eastAsia" w:ascii="宋体" w:hAnsi="宋体" w:eastAsia="宋体" w:cs="宋体"/>
                <w:color w:val="auto"/>
                <w:highlight w:val="none"/>
              </w:rPr>
            </w:pPr>
          </w:p>
        </w:tc>
        <w:tc>
          <w:tcPr>
            <w:tcW w:w="409" w:type="pct"/>
            <w:tcBorders>
              <w:tl2br w:val="nil"/>
              <w:tr2bl w:val="nil"/>
            </w:tcBorders>
            <w:noWrap/>
            <w:vAlign w:val="center"/>
          </w:tcPr>
          <w:p w14:paraId="50CBAA4F">
            <w:pPr>
              <w:pStyle w:val="965"/>
              <w:bidi w:val="0"/>
              <w:spacing w:line="36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705" w:type="pct"/>
            <w:tcBorders>
              <w:tl2br w:val="nil"/>
              <w:tr2bl w:val="nil"/>
            </w:tcBorders>
            <w:noWrap/>
            <w:vAlign w:val="center"/>
          </w:tcPr>
          <w:p w14:paraId="7D36F031">
            <w:pPr>
              <w:pStyle w:val="965"/>
              <w:bidi w:val="0"/>
              <w:spacing w:line="36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新增水生植物修复系统</w:t>
            </w:r>
          </w:p>
        </w:tc>
        <w:tc>
          <w:tcPr>
            <w:tcW w:w="2953" w:type="pct"/>
            <w:tcBorders>
              <w:tl2br w:val="nil"/>
              <w:tr2bl w:val="nil"/>
            </w:tcBorders>
            <w:noWrap/>
            <w:vAlign w:val="center"/>
          </w:tcPr>
          <w:p w14:paraId="0ACB6594">
            <w:pPr>
              <w:pStyle w:val="965"/>
              <w:bidi w:val="0"/>
              <w:spacing w:line="36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浮岛浮床，种植狐尾藻、美人蕉等</w:t>
            </w:r>
          </w:p>
        </w:tc>
        <w:tc>
          <w:tcPr>
            <w:tcW w:w="253" w:type="pct"/>
            <w:tcBorders>
              <w:tl2br w:val="nil"/>
              <w:tr2bl w:val="nil"/>
            </w:tcBorders>
            <w:noWrap/>
            <w:vAlign w:val="center"/>
          </w:tcPr>
          <w:p w14:paraId="77ADE0A0">
            <w:pPr>
              <w:pStyle w:val="965"/>
              <w:bidi w:val="0"/>
              <w:spacing w:line="36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m2</w:t>
            </w:r>
          </w:p>
        </w:tc>
        <w:tc>
          <w:tcPr>
            <w:tcW w:w="332" w:type="pct"/>
            <w:tcBorders>
              <w:tl2br w:val="nil"/>
              <w:tr2bl w:val="nil"/>
            </w:tcBorders>
            <w:noWrap/>
            <w:vAlign w:val="center"/>
          </w:tcPr>
          <w:p w14:paraId="7A8CC592">
            <w:pPr>
              <w:pStyle w:val="965"/>
              <w:bidi w:val="0"/>
              <w:spacing w:line="36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240</w:t>
            </w:r>
          </w:p>
        </w:tc>
      </w:tr>
    </w:tbl>
    <w:p w14:paraId="29BFD5DD">
      <w:pPr>
        <w:snapToGrid w:val="0"/>
        <w:spacing w:line="360" w:lineRule="auto"/>
        <w:ind w:firstLine="480"/>
        <w:rPr>
          <w:rFonts w:hint="eastAsia" w:ascii="宋体" w:hAnsi="宋体" w:eastAsia="宋体" w:cs="宋体"/>
          <w:sz w:val="24"/>
          <w:highlight w:val="none"/>
        </w:rPr>
      </w:pPr>
    </w:p>
    <w:p w14:paraId="78E9729B">
      <w:pPr>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水体现状情况（包括水质情况）以现场实际</w:t>
      </w:r>
      <w:r>
        <w:rPr>
          <w:rFonts w:hint="eastAsia" w:ascii="宋体" w:hAnsi="宋体" w:cs="宋体"/>
          <w:sz w:val="24"/>
          <w:highlight w:val="none"/>
          <w:lang w:eastAsia="zh-CN"/>
        </w:rPr>
        <w:t>运维</w:t>
      </w:r>
      <w:r>
        <w:rPr>
          <w:rFonts w:hint="eastAsia" w:ascii="宋体" w:hAnsi="宋体" w:eastAsia="宋体" w:cs="宋体"/>
          <w:sz w:val="24"/>
          <w:highlight w:val="none"/>
        </w:rPr>
        <w:t>为准，</w:t>
      </w:r>
      <w:r>
        <w:rPr>
          <w:rFonts w:hint="eastAsia" w:ascii="宋体" w:hAnsi="宋体" w:cs="宋体"/>
          <w:sz w:val="24"/>
          <w:highlight w:val="none"/>
          <w:lang w:eastAsia="zh-CN"/>
        </w:rPr>
        <w:t>工程量仅供参考，</w:t>
      </w:r>
      <w:r>
        <w:rPr>
          <w:rFonts w:hint="eastAsia" w:ascii="宋体" w:hAnsi="宋体" w:eastAsia="宋体" w:cs="宋体"/>
          <w:sz w:val="24"/>
          <w:highlight w:val="none"/>
        </w:rPr>
        <w:t>投标人可自行取样监测并作为制订治理方案的依据，但</w:t>
      </w:r>
      <w:r>
        <w:rPr>
          <w:rFonts w:hint="eastAsia" w:ascii="宋体" w:hAnsi="宋体" w:eastAsia="宋体" w:cs="宋体"/>
          <w:sz w:val="24"/>
          <w:highlight w:val="none"/>
          <w:lang w:val="en-US" w:eastAsia="zh-CN"/>
        </w:rPr>
        <w:t>不得</w:t>
      </w:r>
      <w:r>
        <w:rPr>
          <w:rFonts w:hint="eastAsia" w:ascii="宋体" w:hAnsi="宋体" w:eastAsia="宋体" w:cs="宋体"/>
          <w:sz w:val="24"/>
          <w:highlight w:val="none"/>
        </w:rPr>
        <w:t>影响招标人水质</w:t>
      </w:r>
      <w:r>
        <w:rPr>
          <w:rFonts w:hint="eastAsia" w:ascii="宋体" w:hAnsi="宋体" w:cs="宋体"/>
          <w:sz w:val="24"/>
          <w:highlight w:val="none"/>
          <w:lang w:val="en-US" w:eastAsia="zh-CN"/>
        </w:rPr>
        <w:t>保障</w:t>
      </w:r>
      <w:r>
        <w:rPr>
          <w:rFonts w:hint="eastAsia" w:ascii="宋体" w:hAnsi="宋体" w:eastAsia="宋体" w:cs="宋体"/>
          <w:sz w:val="24"/>
          <w:highlight w:val="none"/>
        </w:rPr>
        <w:t xml:space="preserve">目标。 </w:t>
      </w:r>
    </w:p>
    <w:p w14:paraId="00EDF38D">
      <w:pPr>
        <w:snapToGrid w:val="0"/>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请投标人认真踏勘现场情况，投标人可自行取样检测水体现状水质情况，需要进一步了解现场周边情况的可自行组织调查，当前现场存在的各种因素均包含在本项目实施风险范围内。</w:t>
      </w:r>
      <w:r>
        <w:rPr>
          <w:rFonts w:hint="eastAsia" w:ascii="宋体" w:hAnsi="宋体" w:cs="宋体"/>
          <w:sz w:val="24"/>
          <w:highlight w:val="none"/>
          <w:lang w:eastAsia="zh-CN"/>
        </w:rPr>
        <w:t>投标人自行考虑相关风险。</w:t>
      </w:r>
    </w:p>
    <w:p w14:paraId="05143A59">
      <w:pPr>
        <w:rPr>
          <w:rFonts w:hint="eastAsia" w:ascii="宋体" w:hAnsi="宋体" w:eastAsia="宋体" w:cs="宋体"/>
          <w:color w:val="000000"/>
          <w:highlight w:val="none"/>
          <w:lang w:val="en-US" w:eastAsia="zh-CN"/>
        </w:rPr>
      </w:pPr>
    </w:p>
    <w:p w14:paraId="0C8A395B">
      <w:pPr>
        <w:pStyle w:val="33"/>
        <w:spacing w:line="360" w:lineRule="auto"/>
        <w:outlineLvl w:val="0"/>
        <w:rPr>
          <w:rFonts w:hint="eastAsia" w:ascii="宋体" w:hAnsi="宋体" w:eastAsia="宋体" w:cs="宋体"/>
          <w:color w:val="000000"/>
          <w:sz w:val="24"/>
          <w:szCs w:val="24"/>
          <w:highlight w:val="none"/>
        </w:rPr>
      </w:pPr>
      <w:r>
        <w:rPr>
          <w:rFonts w:hint="eastAsia" w:hAnsi="宋体" w:cs="宋体"/>
          <w:color w:val="000000"/>
          <w:sz w:val="24"/>
          <w:szCs w:val="24"/>
          <w:highlight w:val="none"/>
          <w:lang w:eastAsia="zh-CN"/>
        </w:rPr>
        <w:t>三</w:t>
      </w:r>
      <w:r>
        <w:rPr>
          <w:rFonts w:hint="eastAsia" w:ascii="宋体" w:hAnsi="宋体" w:eastAsia="宋体" w:cs="宋体"/>
          <w:color w:val="000000"/>
          <w:sz w:val="24"/>
          <w:szCs w:val="24"/>
          <w:highlight w:val="none"/>
        </w:rPr>
        <w:t>、</w:t>
      </w:r>
      <w:r>
        <w:rPr>
          <w:rFonts w:hint="eastAsia" w:ascii="宋体" w:hAnsi="宋体" w:eastAsia="宋体" w:cs="宋体"/>
          <w:b/>
          <w:color w:val="000000"/>
          <w:sz w:val="24"/>
          <w:szCs w:val="24"/>
          <w:highlight w:val="none"/>
        </w:rPr>
        <w:t>服务目标、任务和原则</w:t>
      </w:r>
    </w:p>
    <w:p w14:paraId="7B7BF2D6">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1、服务</w:t>
      </w:r>
      <w:r>
        <w:rPr>
          <w:rFonts w:hint="eastAsia" w:ascii="宋体" w:hAnsi="宋体" w:eastAsia="宋体" w:cs="宋体"/>
          <w:b/>
          <w:bCs/>
          <w:color w:val="auto"/>
          <w:sz w:val="24"/>
          <w:highlight w:val="none"/>
          <w:lang w:val="en-US" w:eastAsia="zh-CN"/>
        </w:rPr>
        <w:t>期</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合同签订且生效起1年</w:t>
      </w:r>
      <w:r>
        <w:rPr>
          <w:rFonts w:hint="eastAsia" w:ascii="宋体" w:hAnsi="宋体" w:eastAsia="宋体" w:cs="宋体"/>
          <w:b/>
          <w:bCs/>
          <w:color w:val="auto"/>
          <w:sz w:val="24"/>
          <w:highlight w:val="none"/>
          <w:lang w:val="en-US" w:eastAsia="zh-CN"/>
        </w:rPr>
        <w:t>。</w:t>
      </w:r>
    </w:p>
    <w:p w14:paraId="7FE36E88">
      <w:pPr>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2、本项目验收方式：</w:t>
      </w:r>
    </w:p>
    <w:p w14:paraId="0DFB58BD">
      <w:pPr>
        <w:widowControl/>
        <w:adjustRightInd/>
        <w:spacing w:line="360" w:lineRule="auto"/>
        <w:ind w:firstLine="480" w:firstLineChars="200"/>
        <w:jc w:val="left"/>
        <w:textAlignment w:val="baseline"/>
        <w:rPr>
          <w:rFonts w:hint="eastAsia" w:ascii="宋体" w:hAnsi="宋体" w:eastAsia="宋体" w:cs="宋体"/>
          <w:color w:val="auto"/>
          <w:kern w:val="0"/>
          <w:sz w:val="24"/>
          <w:szCs w:val="20"/>
          <w:highlight w:val="none"/>
          <w:u w:color="000000"/>
          <w:lang w:val="zh-CN" w:eastAsia="zh-CN"/>
        </w:rPr>
      </w:pPr>
      <w:r>
        <w:rPr>
          <w:rFonts w:hint="eastAsia" w:ascii="宋体" w:hAnsi="宋体" w:cs="宋体"/>
          <w:color w:val="auto"/>
          <w:kern w:val="0"/>
          <w:sz w:val="24"/>
          <w:szCs w:val="20"/>
          <w:highlight w:val="none"/>
          <w:u w:color="000000"/>
          <w:lang w:val="en-US" w:eastAsia="zh-CN"/>
        </w:rPr>
        <w:t>2.</w:t>
      </w:r>
      <w:r>
        <w:rPr>
          <w:rFonts w:hint="eastAsia" w:ascii="宋体" w:hAnsi="宋体" w:eastAsia="宋体" w:cs="宋体"/>
          <w:color w:val="auto"/>
          <w:kern w:val="0"/>
          <w:sz w:val="24"/>
          <w:szCs w:val="20"/>
          <w:highlight w:val="none"/>
          <w:u w:color="000000"/>
          <w:lang w:val="en-US" w:eastAsia="zh-CN"/>
        </w:rPr>
        <w:t>1、</w:t>
      </w:r>
      <w:r>
        <w:rPr>
          <w:rFonts w:hint="eastAsia" w:ascii="宋体" w:hAnsi="宋体" w:eastAsia="宋体" w:cs="宋体"/>
          <w:color w:val="auto"/>
          <w:kern w:val="0"/>
          <w:sz w:val="24"/>
          <w:szCs w:val="20"/>
          <w:highlight w:val="none"/>
          <w:u w:color="000000"/>
          <w:lang w:val="zh-CN" w:eastAsia="zh-CN"/>
        </w:rPr>
        <w:t>本项目</w:t>
      </w:r>
      <w:r>
        <w:rPr>
          <w:rFonts w:hint="eastAsia" w:ascii="宋体" w:hAnsi="宋体" w:eastAsia="宋体" w:cs="宋体"/>
          <w:color w:val="auto"/>
          <w:kern w:val="0"/>
          <w:sz w:val="24"/>
          <w:szCs w:val="20"/>
          <w:highlight w:val="none"/>
          <w:u w:color="000000"/>
          <w:lang w:val="en-US" w:eastAsia="zh-CN"/>
        </w:rPr>
        <w:t>组织</w:t>
      </w:r>
      <w:r>
        <w:rPr>
          <w:rFonts w:hint="eastAsia" w:ascii="宋体" w:hAnsi="宋体" w:eastAsia="宋体" w:cs="宋体"/>
          <w:color w:val="auto"/>
          <w:kern w:val="0"/>
          <w:sz w:val="24"/>
          <w:szCs w:val="20"/>
          <w:highlight w:val="none"/>
          <w:u w:color="000000"/>
          <w:lang w:val="zh-CN" w:eastAsia="zh-CN"/>
        </w:rPr>
        <w:t>履约验收，验收合格的情况作为项目支付的依据。</w:t>
      </w:r>
    </w:p>
    <w:p w14:paraId="78682732">
      <w:pPr>
        <w:widowControl/>
        <w:adjustRightInd/>
        <w:spacing w:line="360" w:lineRule="auto"/>
        <w:ind w:firstLine="480" w:firstLineChars="200"/>
        <w:jc w:val="left"/>
        <w:textAlignment w:val="baseline"/>
        <w:rPr>
          <w:rFonts w:hint="eastAsia" w:ascii="宋体" w:hAnsi="宋体" w:eastAsia="宋体" w:cs="宋体"/>
          <w:color w:val="auto"/>
          <w:kern w:val="0"/>
          <w:sz w:val="24"/>
          <w:szCs w:val="20"/>
          <w:highlight w:val="none"/>
          <w:u w:color="000000"/>
          <w:lang w:val="zh-CN" w:eastAsia="zh-CN"/>
        </w:rPr>
      </w:pPr>
      <w:r>
        <w:rPr>
          <w:rFonts w:hint="eastAsia" w:ascii="宋体" w:hAnsi="宋体" w:eastAsia="宋体" w:cs="宋体"/>
          <w:color w:val="auto"/>
          <w:kern w:val="0"/>
          <w:sz w:val="24"/>
          <w:szCs w:val="20"/>
          <w:highlight w:val="none"/>
          <w:u w:color="000000"/>
          <w:lang w:val="zh-CN" w:eastAsia="zh-CN"/>
        </w:rPr>
        <w:t>验收依据：①采购文件确定的技术指标或者服务要求；②投标文件承诺、询标回复；③服务合同、甲方制定的考核标准。未进行相应约定的，应当符合国家强制性规定、政策要求、安全标准、行业或企业有关标准等。</w:t>
      </w:r>
    </w:p>
    <w:p w14:paraId="0A112A52">
      <w:pPr>
        <w:widowControl/>
        <w:adjustRightInd/>
        <w:spacing w:line="360" w:lineRule="auto"/>
        <w:ind w:firstLine="480" w:firstLineChars="200"/>
        <w:jc w:val="left"/>
        <w:textAlignment w:val="baseline"/>
        <w:rPr>
          <w:rFonts w:hint="eastAsia" w:ascii="宋体" w:hAnsi="宋体" w:eastAsia="宋体" w:cs="宋体"/>
          <w:color w:val="auto"/>
          <w:kern w:val="0"/>
          <w:sz w:val="24"/>
          <w:szCs w:val="20"/>
          <w:highlight w:val="none"/>
          <w:u w:color="000000"/>
          <w:lang w:val="zh-CN"/>
        </w:rPr>
      </w:pPr>
      <w:r>
        <w:rPr>
          <w:rFonts w:hint="eastAsia" w:ascii="宋体" w:hAnsi="宋体" w:cs="宋体"/>
          <w:color w:val="auto"/>
          <w:kern w:val="0"/>
          <w:sz w:val="24"/>
          <w:szCs w:val="20"/>
          <w:highlight w:val="none"/>
          <w:u w:color="000000"/>
          <w:lang w:val="en-US" w:eastAsia="zh-CN"/>
        </w:rPr>
        <w:t>2.</w:t>
      </w:r>
      <w:r>
        <w:rPr>
          <w:rFonts w:hint="eastAsia" w:ascii="宋体" w:hAnsi="宋体" w:eastAsia="宋体" w:cs="宋体"/>
          <w:color w:val="auto"/>
          <w:kern w:val="0"/>
          <w:sz w:val="24"/>
          <w:szCs w:val="20"/>
          <w:highlight w:val="none"/>
          <w:u w:color="000000"/>
          <w:lang w:val="en-US" w:eastAsia="zh-CN"/>
        </w:rPr>
        <w:t>2、本项目的验收标准：采购人订单及中标人交付清单；中标人服务内容及总结</w:t>
      </w:r>
      <w:r>
        <w:rPr>
          <w:rFonts w:hint="eastAsia" w:ascii="宋体" w:hAnsi="宋体" w:eastAsia="宋体" w:cs="宋体"/>
          <w:color w:val="auto"/>
          <w:kern w:val="0"/>
          <w:sz w:val="24"/>
          <w:szCs w:val="20"/>
          <w:highlight w:val="none"/>
          <w:u w:color="000000"/>
          <w:lang w:val="zh-CN" w:eastAsia="zh-CN"/>
        </w:rPr>
        <w:t>（</w:t>
      </w:r>
      <w:r>
        <w:rPr>
          <w:rFonts w:hint="eastAsia" w:ascii="宋体" w:hAnsi="宋体" w:eastAsia="宋体" w:cs="宋体"/>
          <w:color w:val="auto"/>
          <w:kern w:val="0"/>
          <w:sz w:val="24"/>
          <w:szCs w:val="20"/>
          <w:highlight w:val="none"/>
          <w:u w:color="000000"/>
          <w:lang w:val="en-US" w:eastAsia="zh-CN"/>
        </w:rPr>
        <w:t>中标人应</w:t>
      </w:r>
      <w:r>
        <w:rPr>
          <w:rFonts w:hint="eastAsia" w:ascii="宋体" w:hAnsi="宋体" w:eastAsia="宋体" w:cs="宋体"/>
          <w:color w:val="auto"/>
          <w:kern w:val="0"/>
          <w:sz w:val="24"/>
          <w:szCs w:val="20"/>
          <w:highlight w:val="none"/>
          <w:u w:color="000000"/>
          <w:lang w:val="zh-CN" w:eastAsia="zh-CN"/>
        </w:rPr>
        <w:t>提交的</w:t>
      </w:r>
      <w:r>
        <w:rPr>
          <w:rFonts w:hint="eastAsia" w:ascii="宋体" w:hAnsi="宋体" w:eastAsia="宋体" w:cs="宋体"/>
          <w:color w:val="auto"/>
          <w:kern w:val="0"/>
          <w:sz w:val="24"/>
          <w:szCs w:val="20"/>
          <w:highlight w:val="none"/>
          <w:u w:color="000000"/>
          <w:lang w:val="en-US" w:eastAsia="zh-CN"/>
        </w:rPr>
        <w:t>服务过程</w:t>
      </w:r>
      <w:r>
        <w:rPr>
          <w:rFonts w:hint="eastAsia" w:ascii="宋体" w:hAnsi="宋体" w:eastAsia="宋体" w:cs="宋体"/>
          <w:color w:val="auto"/>
          <w:kern w:val="0"/>
          <w:sz w:val="24"/>
          <w:szCs w:val="20"/>
          <w:highlight w:val="none"/>
          <w:u w:color="000000"/>
          <w:lang w:val="zh-CN" w:eastAsia="zh-CN"/>
        </w:rPr>
        <w:t>照片、总结等资料）。</w:t>
      </w:r>
      <w:r>
        <w:rPr>
          <w:rFonts w:hint="eastAsia" w:ascii="宋体" w:hAnsi="宋体" w:eastAsia="宋体" w:cs="宋体"/>
          <w:color w:val="auto"/>
          <w:kern w:val="0"/>
          <w:sz w:val="24"/>
          <w:szCs w:val="20"/>
          <w:highlight w:val="none"/>
          <w:u w:color="000000"/>
          <w:lang w:val="en-US" w:eastAsia="zh-CN"/>
        </w:rPr>
        <w:t>要求台账记录清晰完整、</w:t>
      </w:r>
      <w:r>
        <w:rPr>
          <w:rFonts w:hint="eastAsia" w:ascii="宋体" w:hAnsi="宋体" w:eastAsia="宋体" w:cs="宋体"/>
          <w:color w:val="auto"/>
          <w:kern w:val="0"/>
          <w:sz w:val="24"/>
          <w:szCs w:val="20"/>
          <w:highlight w:val="none"/>
          <w:u w:color="000000"/>
          <w:lang w:val="zh-CN" w:eastAsia="zh-CN"/>
        </w:rPr>
        <w:t>质量反馈表良好、材料完备。</w:t>
      </w:r>
    </w:p>
    <w:p w14:paraId="7DDF1EF1">
      <w:pPr>
        <w:snapToGrid w:val="0"/>
        <w:spacing w:line="360" w:lineRule="auto"/>
        <w:ind w:firstLine="480"/>
        <w:rPr>
          <w:rFonts w:hint="eastAsia" w:ascii="宋体" w:hAnsi="宋体" w:eastAsia="宋体" w:cs="宋体"/>
          <w:sz w:val="24"/>
          <w:highlight w:val="none"/>
        </w:rPr>
      </w:pPr>
      <w:r>
        <w:rPr>
          <w:rFonts w:hint="eastAsia" w:ascii="宋体" w:hAnsi="宋体" w:eastAsia="宋体" w:cs="宋体"/>
          <w:b/>
          <w:bCs/>
          <w:sz w:val="24"/>
          <w:highlight w:val="none"/>
        </w:rPr>
        <w:t>3、服务目标要求：</w:t>
      </w:r>
    </w:p>
    <w:p w14:paraId="44D04E75">
      <w:pPr>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cs="宋体"/>
          <w:sz w:val="24"/>
          <w:highlight w:val="none"/>
          <w:lang w:val="en-US" w:eastAsia="zh-CN"/>
        </w:rPr>
        <w:t>1</w:t>
      </w:r>
      <w:r>
        <w:rPr>
          <w:rFonts w:hint="eastAsia" w:ascii="宋体" w:hAnsi="宋体" w:eastAsia="宋体" w:cs="宋体"/>
          <w:sz w:val="24"/>
          <w:highlight w:val="none"/>
        </w:rPr>
        <w:t>承担行洪排涝任务的河道在排涝行洪期间或其他不可抗力因素导致的水质超标，投标单位不承担相关责任。但因行洪排涝等因素造成投标方治理设施损坏，投标单位应负责修复。</w:t>
      </w:r>
    </w:p>
    <w:p w14:paraId="3E6D0592">
      <w:pPr>
        <w:snapToGrid w:val="0"/>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水质保障指标要求：</w:t>
      </w:r>
    </w:p>
    <w:p w14:paraId="4218EAD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eastAsia="zh-CN"/>
        </w:rPr>
        <w:t>表</w:t>
      </w:r>
      <w:r>
        <w:rPr>
          <w:rFonts w:hint="eastAsia" w:ascii="宋体" w:hAnsi="宋体" w:eastAsia="宋体" w:cs="宋体"/>
          <w:b w:val="0"/>
          <w:bCs w:val="0"/>
          <w:color w:val="auto"/>
          <w:sz w:val="24"/>
          <w:szCs w:val="24"/>
          <w:highlight w:val="none"/>
          <w:lang w:val="en-US" w:eastAsia="zh-CN"/>
        </w:rPr>
        <w:t xml:space="preserve">1 </w:t>
      </w:r>
      <w:r>
        <w:rPr>
          <w:rFonts w:hint="eastAsia" w:ascii="宋体" w:hAnsi="宋体" w:eastAsia="宋体" w:cs="宋体"/>
          <w:b w:val="0"/>
          <w:bCs w:val="0"/>
          <w:color w:val="auto"/>
          <w:sz w:val="24"/>
          <w:szCs w:val="24"/>
          <w:highlight w:val="none"/>
          <w:lang w:eastAsia="zh-CN"/>
        </w:rPr>
        <w:t>《地表水环境质量标准》（GB3838-2002）</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单位：</w:t>
      </w:r>
      <w:r>
        <w:rPr>
          <w:rFonts w:hint="eastAsia" w:ascii="宋体" w:hAnsi="宋体" w:eastAsia="宋体" w:cs="宋体"/>
          <w:b w:val="0"/>
          <w:bCs w:val="0"/>
          <w:color w:val="auto"/>
          <w:sz w:val="24"/>
          <w:szCs w:val="24"/>
          <w:highlight w:val="none"/>
          <w:lang w:val="en-US" w:eastAsia="zh-CN"/>
        </w:rPr>
        <w:t>mg/L</w:t>
      </w:r>
    </w:p>
    <w:tbl>
      <w:tblPr>
        <w:tblStyle w:val="64"/>
        <w:tblW w:w="82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1397"/>
        <w:gridCol w:w="746"/>
        <w:gridCol w:w="1125"/>
        <w:gridCol w:w="964"/>
        <w:gridCol w:w="1014"/>
        <w:gridCol w:w="1261"/>
      </w:tblGrid>
      <w:tr w14:paraId="40059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750" w:type="dxa"/>
            <w:tcBorders>
              <w:tl2br w:val="nil"/>
              <w:tr2bl w:val="nil"/>
            </w:tcBorders>
            <w:noWrap w:val="0"/>
            <w:vAlign w:val="center"/>
          </w:tcPr>
          <w:p w14:paraId="4B1DF9A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auto"/>
                <w:spacing w:val="0"/>
                <w:kern w:val="21"/>
                <w:sz w:val="24"/>
                <w:szCs w:val="24"/>
                <w:highlight w:val="none"/>
                <w:lang w:val="en-US" w:eastAsia="zh-CN"/>
              </w:rPr>
            </w:pPr>
            <w:r>
              <w:rPr>
                <w:rFonts w:hint="eastAsia" w:ascii="宋体" w:hAnsi="宋体" w:eastAsia="宋体" w:cs="宋体"/>
                <w:b/>
                <w:color w:val="auto"/>
                <w:spacing w:val="0"/>
                <w:kern w:val="21"/>
                <w:sz w:val="24"/>
                <w:szCs w:val="24"/>
                <w:highlight w:val="none"/>
                <w:lang w:val="en-US" w:eastAsia="zh-CN"/>
              </w:rPr>
              <w:t>参数</w:t>
            </w:r>
          </w:p>
        </w:tc>
        <w:tc>
          <w:tcPr>
            <w:tcW w:w="1397" w:type="dxa"/>
            <w:tcBorders>
              <w:tl2br w:val="nil"/>
              <w:tr2bl w:val="nil"/>
            </w:tcBorders>
            <w:noWrap w:val="0"/>
            <w:vAlign w:val="center"/>
          </w:tcPr>
          <w:p w14:paraId="654C78E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auto"/>
                <w:spacing w:val="0"/>
                <w:kern w:val="21"/>
                <w:sz w:val="24"/>
                <w:szCs w:val="24"/>
                <w:highlight w:val="none"/>
                <w:lang w:val="en-US" w:eastAsia="zh-CN"/>
              </w:rPr>
            </w:pPr>
            <w:r>
              <w:rPr>
                <w:rFonts w:hint="eastAsia" w:ascii="宋体" w:hAnsi="宋体" w:eastAsia="宋体" w:cs="宋体"/>
                <w:b/>
                <w:color w:val="auto"/>
                <w:spacing w:val="0"/>
                <w:kern w:val="21"/>
                <w:sz w:val="24"/>
                <w:szCs w:val="24"/>
                <w:highlight w:val="none"/>
                <w:lang w:val="en-US" w:eastAsia="zh-CN"/>
              </w:rPr>
              <w:t>pH值</w:t>
            </w:r>
          </w:p>
          <w:p w14:paraId="5A65529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auto"/>
                <w:spacing w:val="0"/>
                <w:kern w:val="21"/>
                <w:sz w:val="24"/>
                <w:szCs w:val="24"/>
                <w:highlight w:val="none"/>
                <w:lang w:val="en-US" w:eastAsia="zh-CN"/>
              </w:rPr>
            </w:pPr>
            <w:r>
              <w:rPr>
                <w:rFonts w:hint="eastAsia" w:ascii="宋体" w:hAnsi="宋体" w:eastAsia="宋体" w:cs="宋体"/>
                <w:b/>
                <w:color w:val="auto"/>
                <w:spacing w:val="0"/>
                <w:kern w:val="21"/>
                <w:sz w:val="24"/>
                <w:szCs w:val="24"/>
                <w:highlight w:val="none"/>
                <w:lang w:val="en-US" w:eastAsia="zh-CN"/>
              </w:rPr>
              <w:t>（无量纲）</w:t>
            </w:r>
          </w:p>
        </w:tc>
        <w:tc>
          <w:tcPr>
            <w:tcW w:w="746" w:type="dxa"/>
            <w:tcBorders>
              <w:tl2br w:val="nil"/>
              <w:tr2bl w:val="nil"/>
            </w:tcBorders>
            <w:noWrap w:val="0"/>
            <w:vAlign w:val="center"/>
          </w:tcPr>
          <w:p w14:paraId="54EC916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auto"/>
                <w:spacing w:val="0"/>
                <w:kern w:val="21"/>
                <w:sz w:val="24"/>
                <w:szCs w:val="24"/>
                <w:highlight w:val="none"/>
                <w:lang w:val="en-US" w:eastAsia="zh-CN"/>
              </w:rPr>
            </w:pPr>
            <w:r>
              <w:rPr>
                <w:rFonts w:hint="eastAsia" w:ascii="宋体" w:hAnsi="宋体" w:eastAsia="宋体" w:cs="宋体"/>
                <w:b/>
                <w:color w:val="auto"/>
                <w:spacing w:val="0"/>
                <w:kern w:val="21"/>
                <w:sz w:val="24"/>
                <w:szCs w:val="24"/>
                <w:highlight w:val="none"/>
                <w:lang w:val="en-US" w:eastAsia="zh-CN"/>
              </w:rPr>
              <w:t>溶解氧</w:t>
            </w:r>
          </w:p>
        </w:tc>
        <w:tc>
          <w:tcPr>
            <w:tcW w:w="1125" w:type="dxa"/>
            <w:tcBorders>
              <w:tl2br w:val="nil"/>
              <w:tr2bl w:val="nil"/>
            </w:tcBorders>
            <w:noWrap w:val="0"/>
            <w:vAlign w:val="center"/>
          </w:tcPr>
          <w:p w14:paraId="332BD45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auto"/>
                <w:spacing w:val="0"/>
                <w:kern w:val="21"/>
                <w:sz w:val="24"/>
                <w:szCs w:val="24"/>
                <w:highlight w:val="none"/>
                <w:lang w:val="en-US" w:eastAsia="zh-CN"/>
              </w:rPr>
            </w:pPr>
            <w:r>
              <w:rPr>
                <w:rFonts w:hint="eastAsia" w:ascii="宋体" w:hAnsi="宋体" w:eastAsia="宋体" w:cs="宋体"/>
                <w:b/>
                <w:color w:val="auto"/>
                <w:spacing w:val="0"/>
                <w:kern w:val="21"/>
                <w:sz w:val="24"/>
                <w:szCs w:val="24"/>
                <w:highlight w:val="none"/>
                <w:lang w:val="en-US" w:eastAsia="zh-CN"/>
              </w:rPr>
              <w:t>高锰酸</w:t>
            </w:r>
          </w:p>
          <w:p w14:paraId="533FFA3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auto"/>
                <w:spacing w:val="0"/>
                <w:kern w:val="21"/>
                <w:sz w:val="24"/>
                <w:szCs w:val="24"/>
                <w:highlight w:val="none"/>
                <w:lang w:val="en-US" w:eastAsia="zh-CN"/>
              </w:rPr>
            </w:pPr>
            <w:r>
              <w:rPr>
                <w:rFonts w:hint="eastAsia" w:ascii="宋体" w:hAnsi="宋体" w:eastAsia="宋体" w:cs="宋体"/>
                <w:b/>
                <w:color w:val="auto"/>
                <w:spacing w:val="0"/>
                <w:kern w:val="21"/>
                <w:sz w:val="24"/>
                <w:szCs w:val="24"/>
                <w:highlight w:val="none"/>
                <w:lang w:val="en-US" w:eastAsia="zh-CN"/>
              </w:rPr>
              <w:t>盐指数</w:t>
            </w:r>
          </w:p>
        </w:tc>
        <w:tc>
          <w:tcPr>
            <w:tcW w:w="964" w:type="dxa"/>
            <w:tcBorders>
              <w:tl2br w:val="nil"/>
              <w:tr2bl w:val="nil"/>
            </w:tcBorders>
            <w:noWrap w:val="0"/>
            <w:vAlign w:val="center"/>
          </w:tcPr>
          <w:p w14:paraId="4B74F6E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auto"/>
                <w:spacing w:val="0"/>
                <w:kern w:val="21"/>
                <w:sz w:val="24"/>
                <w:szCs w:val="24"/>
                <w:highlight w:val="none"/>
                <w:lang w:val="en-US" w:eastAsia="zh-CN"/>
              </w:rPr>
            </w:pPr>
            <w:r>
              <w:rPr>
                <w:rFonts w:hint="eastAsia" w:ascii="宋体" w:hAnsi="宋体" w:eastAsia="宋体" w:cs="宋体"/>
                <w:b/>
                <w:color w:val="auto"/>
                <w:spacing w:val="0"/>
                <w:kern w:val="21"/>
                <w:sz w:val="24"/>
                <w:szCs w:val="24"/>
                <w:highlight w:val="none"/>
                <w:lang w:val="en-US" w:eastAsia="zh-CN"/>
              </w:rPr>
              <w:t>化学</w:t>
            </w:r>
          </w:p>
          <w:p w14:paraId="02403E7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auto"/>
                <w:spacing w:val="0"/>
                <w:kern w:val="21"/>
                <w:sz w:val="24"/>
                <w:szCs w:val="24"/>
                <w:highlight w:val="none"/>
                <w:lang w:val="en-US" w:eastAsia="zh-CN"/>
              </w:rPr>
            </w:pPr>
            <w:r>
              <w:rPr>
                <w:rFonts w:hint="eastAsia" w:ascii="宋体" w:hAnsi="宋体" w:eastAsia="宋体" w:cs="宋体"/>
                <w:b/>
                <w:color w:val="auto"/>
                <w:spacing w:val="0"/>
                <w:kern w:val="21"/>
                <w:sz w:val="24"/>
                <w:szCs w:val="24"/>
                <w:highlight w:val="none"/>
                <w:lang w:val="en-US" w:eastAsia="zh-CN"/>
              </w:rPr>
              <w:t>需氧量</w:t>
            </w:r>
          </w:p>
        </w:tc>
        <w:tc>
          <w:tcPr>
            <w:tcW w:w="1014" w:type="dxa"/>
            <w:tcBorders>
              <w:tl2br w:val="nil"/>
              <w:tr2bl w:val="nil"/>
            </w:tcBorders>
            <w:noWrap w:val="0"/>
            <w:vAlign w:val="center"/>
          </w:tcPr>
          <w:p w14:paraId="28540BF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auto"/>
                <w:spacing w:val="0"/>
                <w:kern w:val="21"/>
                <w:sz w:val="24"/>
                <w:szCs w:val="24"/>
                <w:highlight w:val="none"/>
                <w:lang w:val="en-US" w:eastAsia="zh-CN"/>
              </w:rPr>
            </w:pPr>
            <w:r>
              <w:rPr>
                <w:rFonts w:hint="eastAsia" w:ascii="宋体" w:hAnsi="宋体" w:eastAsia="宋体" w:cs="宋体"/>
                <w:b/>
                <w:color w:val="auto"/>
                <w:spacing w:val="0"/>
                <w:kern w:val="21"/>
                <w:sz w:val="24"/>
                <w:szCs w:val="24"/>
                <w:highlight w:val="none"/>
                <w:lang w:val="en-US" w:eastAsia="zh-CN"/>
              </w:rPr>
              <w:t>氨氮</w:t>
            </w:r>
          </w:p>
        </w:tc>
        <w:tc>
          <w:tcPr>
            <w:tcW w:w="1261" w:type="dxa"/>
            <w:tcBorders>
              <w:tl2br w:val="nil"/>
              <w:tr2bl w:val="nil"/>
            </w:tcBorders>
            <w:noWrap w:val="0"/>
            <w:vAlign w:val="center"/>
          </w:tcPr>
          <w:p w14:paraId="6126C1F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auto"/>
                <w:spacing w:val="0"/>
                <w:kern w:val="21"/>
                <w:sz w:val="24"/>
                <w:szCs w:val="24"/>
                <w:highlight w:val="none"/>
                <w:lang w:val="en-US" w:eastAsia="zh-CN"/>
              </w:rPr>
            </w:pPr>
            <w:r>
              <w:rPr>
                <w:rFonts w:hint="eastAsia" w:ascii="宋体" w:hAnsi="宋体" w:eastAsia="宋体" w:cs="宋体"/>
                <w:b/>
                <w:color w:val="auto"/>
                <w:spacing w:val="0"/>
                <w:kern w:val="21"/>
                <w:sz w:val="24"/>
                <w:szCs w:val="24"/>
                <w:highlight w:val="none"/>
                <w:lang w:val="en-US" w:eastAsia="zh-CN"/>
              </w:rPr>
              <w:t>总磷</w:t>
            </w:r>
          </w:p>
        </w:tc>
      </w:tr>
      <w:tr w14:paraId="65EC8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50" w:type="dxa"/>
            <w:tcBorders>
              <w:tl2br w:val="nil"/>
              <w:tr2bl w:val="nil"/>
            </w:tcBorders>
            <w:noWrap w:val="0"/>
            <w:vAlign w:val="center"/>
          </w:tcPr>
          <w:p w14:paraId="67B1B996">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Ⅲ类水质标准</w:t>
            </w:r>
          </w:p>
        </w:tc>
        <w:tc>
          <w:tcPr>
            <w:tcW w:w="1397" w:type="dxa"/>
            <w:tcBorders>
              <w:tl2br w:val="nil"/>
              <w:tr2bl w:val="nil"/>
            </w:tcBorders>
            <w:noWrap w:val="0"/>
            <w:vAlign w:val="center"/>
          </w:tcPr>
          <w:p w14:paraId="7BB50512">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 w:val="0"/>
                <w:bCs w:val="0"/>
                <w:color w:val="auto"/>
                <w:kern w:val="0"/>
                <w:sz w:val="24"/>
                <w:szCs w:val="24"/>
                <w:highlight w:val="none"/>
                <w:vertAlign w:val="baseline"/>
                <w:lang w:val="en-US" w:eastAsia="zh-CN"/>
              </w:rPr>
              <w:t>9</w:t>
            </w:r>
          </w:p>
        </w:tc>
        <w:tc>
          <w:tcPr>
            <w:tcW w:w="746" w:type="dxa"/>
            <w:tcBorders>
              <w:tl2br w:val="nil"/>
              <w:tr2bl w:val="nil"/>
            </w:tcBorders>
            <w:noWrap w:val="0"/>
            <w:vAlign w:val="center"/>
          </w:tcPr>
          <w:p w14:paraId="32748B9F">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≥5</w:t>
            </w:r>
          </w:p>
        </w:tc>
        <w:tc>
          <w:tcPr>
            <w:tcW w:w="1125" w:type="dxa"/>
            <w:tcBorders>
              <w:tl2br w:val="nil"/>
              <w:tr2bl w:val="nil"/>
            </w:tcBorders>
            <w:noWrap w:val="0"/>
            <w:vAlign w:val="center"/>
          </w:tcPr>
          <w:p w14:paraId="4105603F">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≤6</w:t>
            </w:r>
          </w:p>
        </w:tc>
        <w:tc>
          <w:tcPr>
            <w:tcW w:w="964" w:type="dxa"/>
            <w:tcBorders>
              <w:tl2br w:val="nil"/>
              <w:tr2bl w:val="nil"/>
            </w:tcBorders>
            <w:noWrap w:val="0"/>
            <w:vAlign w:val="center"/>
          </w:tcPr>
          <w:p w14:paraId="72AE7B0C">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≤20</w:t>
            </w:r>
          </w:p>
        </w:tc>
        <w:tc>
          <w:tcPr>
            <w:tcW w:w="1014" w:type="dxa"/>
            <w:tcBorders>
              <w:tl2br w:val="nil"/>
              <w:tr2bl w:val="nil"/>
            </w:tcBorders>
            <w:noWrap w:val="0"/>
            <w:vAlign w:val="center"/>
          </w:tcPr>
          <w:p w14:paraId="6BC277B6">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≤1.0</w:t>
            </w:r>
          </w:p>
        </w:tc>
        <w:tc>
          <w:tcPr>
            <w:tcW w:w="1261" w:type="dxa"/>
            <w:tcBorders>
              <w:tl2br w:val="nil"/>
              <w:tr2bl w:val="nil"/>
            </w:tcBorders>
            <w:noWrap w:val="0"/>
            <w:vAlign w:val="center"/>
          </w:tcPr>
          <w:p w14:paraId="517C6983">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≤0.2</w:t>
            </w:r>
          </w:p>
        </w:tc>
      </w:tr>
      <w:tr w14:paraId="7614B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50" w:type="dxa"/>
            <w:tcBorders>
              <w:tl2br w:val="nil"/>
              <w:tr2bl w:val="nil"/>
            </w:tcBorders>
            <w:noWrap w:val="0"/>
            <w:vAlign w:val="center"/>
          </w:tcPr>
          <w:p w14:paraId="3AF9776A">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Ⅳ类水质标准</w:t>
            </w:r>
          </w:p>
        </w:tc>
        <w:tc>
          <w:tcPr>
            <w:tcW w:w="1397" w:type="dxa"/>
            <w:tcBorders>
              <w:tl2br w:val="nil"/>
              <w:tr2bl w:val="nil"/>
            </w:tcBorders>
            <w:noWrap w:val="0"/>
            <w:vAlign w:val="center"/>
          </w:tcPr>
          <w:p w14:paraId="6470521B">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 w:val="0"/>
                <w:bCs w:val="0"/>
                <w:color w:val="auto"/>
                <w:kern w:val="0"/>
                <w:sz w:val="24"/>
                <w:szCs w:val="24"/>
                <w:highlight w:val="none"/>
                <w:vertAlign w:val="baseline"/>
                <w:lang w:val="en-US" w:eastAsia="zh-CN"/>
              </w:rPr>
              <w:t>9</w:t>
            </w:r>
          </w:p>
        </w:tc>
        <w:tc>
          <w:tcPr>
            <w:tcW w:w="746" w:type="dxa"/>
            <w:tcBorders>
              <w:tl2br w:val="nil"/>
              <w:tr2bl w:val="nil"/>
            </w:tcBorders>
            <w:noWrap w:val="0"/>
            <w:vAlign w:val="center"/>
          </w:tcPr>
          <w:p w14:paraId="5DA3749D">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≥3</w:t>
            </w:r>
          </w:p>
        </w:tc>
        <w:tc>
          <w:tcPr>
            <w:tcW w:w="1125" w:type="dxa"/>
            <w:tcBorders>
              <w:tl2br w:val="nil"/>
              <w:tr2bl w:val="nil"/>
            </w:tcBorders>
            <w:noWrap w:val="0"/>
            <w:vAlign w:val="center"/>
          </w:tcPr>
          <w:p w14:paraId="273752DB">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≤10</w:t>
            </w:r>
          </w:p>
        </w:tc>
        <w:tc>
          <w:tcPr>
            <w:tcW w:w="964" w:type="dxa"/>
            <w:tcBorders>
              <w:tl2br w:val="nil"/>
              <w:tr2bl w:val="nil"/>
            </w:tcBorders>
            <w:noWrap w:val="0"/>
            <w:vAlign w:val="center"/>
          </w:tcPr>
          <w:p w14:paraId="444FCE18">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≤30</w:t>
            </w:r>
          </w:p>
        </w:tc>
        <w:tc>
          <w:tcPr>
            <w:tcW w:w="1014" w:type="dxa"/>
            <w:tcBorders>
              <w:tl2br w:val="nil"/>
              <w:tr2bl w:val="nil"/>
            </w:tcBorders>
            <w:noWrap w:val="0"/>
            <w:vAlign w:val="center"/>
          </w:tcPr>
          <w:p w14:paraId="133B5A1B">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≤1.5</w:t>
            </w:r>
          </w:p>
        </w:tc>
        <w:tc>
          <w:tcPr>
            <w:tcW w:w="1261" w:type="dxa"/>
            <w:tcBorders>
              <w:tl2br w:val="nil"/>
              <w:tr2bl w:val="nil"/>
            </w:tcBorders>
            <w:noWrap w:val="0"/>
            <w:vAlign w:val="center"/>
          </w:tcPr>
          <w:p w14:paraId="7BC792FA">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≤0.3</w:t>
            </w:r>
          </w:p>
        </w:tc>
      </w:tr>
      <w:tr w14:paraId="2E367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750" w:type="dxa"/>
            <w:tcBorders>
              <w:tl2br w:val="nil"/>
              <w:tr2bl w:val="nil"/>
            </w:tcBorders>
            <w:noWrap w:val="0"/>
            <w:vAlign w:val="center"/>
          </w:tcPr>
          <w:p w14:paraId="4F3CB63C">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Ⅴ类水质标准</w:t>
            </w:r>
          </w:p>
        </w:tc>
        <w:tc>
          <w:tcPr>
            <w:tcW w:w="1397" w:type="dxa"/>
            <w:tcBorders>
              <w:tl2br w:val="nil"/>
              <w:tr2bl w:val="nil"/>
            </w:tcBorders>
            <w:noWrap w:val="0"/>
            <w:vAlign w:val="center"/>
          </w:tcPr>
          <w:p w14:paraId="4F1D65DA">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 w:val="0"/>
                <w:bCs w:val="0"/>
                <w:color w:val="auto"/>
                <w:kern w:val="0"/>
                <w:sz w:val="24"/>
                <w:szCs w:val="24"/>
                <w:highlight w:val="none"/>
                <w:vertAlign w:val="baseline"/>
                <w:lang w:val="en-US" w:eastAsia="zh-CN"/>
              </w:rPr>
              <w:t>9</w:t>
            </w:r>
          </w:p>
        </w:tc>
        <w:tc>
          <w:tcPr>
            <w:tcW w:w="746" w:type="dxa"/>
            <w:tcBorders>
              <w:tl2br w:val="nil"/>
              <w:tr2bl w:val="nil"/>
            </w:tcBorders>
            <w:noWrap w:val="0"/>
            <w:vAlign w:val="center"/>
          </w:tcPr>
          <w:p w14:paraId="1DFB7A17">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≥2</w:t>
            </w:r>
          </w:p>
        </w:tc>
        <w:tc>
          <w:tcPr>
            <w:tcW w:w="1125" w:type="dxa"/>
            <w:tcBorders>
              <w:tl2br w:val="nil"/>
              <w:tr2bl w:val="nil"/>
            </w:tcBorders>
            <w:noWrap w:val="0"/>
            <w:vAlign w:val="center"/>
          </w:tcPr>
          <w:p w14:paraId="72BD06A7">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≤15</w:t>
            </w:r>
          </w:p>
        </w:tc>
        <w:tc>
          <w:tcPr>
            <w:tcW w:w="964" w:type="dxa"/>
            <w:tcBorders>
              <w:tl2br w:val="nil"/>
              <w:tr2bl w:val="nil"/>
            </w:tcBorders>
            <w:noWrap w:val="0"/>
            <w:vAlign w:val="center"/>
          </w:tcPr>
          <w:p w14:paraId="3880BF51">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≤40</w:t>
            </w:r>
          </w:p>
        </w:tc>
        <w:tc>
          <w:tcPr>
            <w:tcW w:w="1014" w:type="dxa"/>
            <w:tcBorders>
              <w:tl2br w:val="nil"/>
              <w:tr2bl w:val="nil"/>
            </w:tcBorders>
            <w:noWrap w:val="0"/>
            <w:vAlign w:val="center"/>
          </w:tcPr>
          <w:p w14:paraId="6FB0CF53">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≤2.0</w:t>
            </w:r>
          </w:p>
        </w:tc>
        <w:tc>
          <w:tcPr>
            <w:tcW w:w="1261" w:type="dxa"/>
            <w:tcBorders>
              <w:tl2br w:val="nil"/>
              <w:tr2bl w:val="nil"/>
            </w:tcBorders>
            <w:noWrap w:val="0"/>
            <w:vAlign w:val="center"/>
          </w:tcPr>
          <w:p w14:paraId="3EECE9B2">
            <w:pPr>
              <w:numPr>
                <w:ilvl w:val="0"/>
                <w:numId w:val="0"/>
              </w:numPr>
              <w:spacing w:line="360" w:lineRule="auto"/>
              <w:jc w:val="center"/>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≤0.4</w:t>
            </w:r>
          </w:p>
        </w:tc>
      </w:tr>
    </w:tbl>
    <w:p w14:paraId="1AABEAFB">
      <w:pPr>
        <w:snapToGrid w:val="0"/>
        <w:spacing w:line="360" w:lineRule="auto"/>
        <w:ind w:firstLine="480"/>
        <w:jc w:val="center"/>
        <w:rPr>
          <w:rFonts w:hint="eastAsia" w:ascii="宋体" w:hAnsi="宋体" w:eastAsia="宋体" w:cs="宋体"/>
          <w:b/>
          <w:bCs/>
          <w:sz w:val="24"/>
          <w:szCs w:val="24"/>
          <w:highlight w:val="none"/>
          <w:lang w:val="en-US" w:eastAsia="zh-CN"/>
        </w:rPr>
      </w:pPr>
    </w:p>
    <w:p w14:paraId="50ED8498">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水生植物养护的具体要求：</w:t>
      </w:r>
    </w:p>
    <w:p w14:paraId="3C67BA5E">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.1、水生植物养护工作:需要配备专职人员及船只，确保完成该区域内的养护工作。</w:t>
      </w:r>
    </w:p>
    <w:p w14:paraId="71A8B61C">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.2、原则上达到四季常绿、无杂草、无病虫危害、感观良好。若因病虫或自然灾害造成枯死的必须及时进行补种和恢复</w:t>
      </w:r>
      <w:r>
        <w:rPr>
          <w:rFonts w:hint="eastAsia" w:ascii="宋体" w:hAnsi="宋体" w:cs="宋体"/>
          <w:color w:val="auto"/>
          <w:sz w:val="24"/>
          <w:highlight w:val="none"/>
          <w:lang w:val="en-US" w:eastAsia="zh-CN"/>
        </w:rPr>
        <w:t>。</w:t>
      </w:r>
    </w:p>
    <w:p w14:paraId="08C693A8">
      <w:pPr>
        <w:snapToGrid w:val="0"/>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.3、水生植物浮框内白色污染物及革命草等杂草要第一时间清除到位</w:t>
      </w:r>
      <w:r>
        <w:rPr>
          <w:rFonts w:hint="eastAsia" w:ascii="宋体" w:hAnsi="宋体" w:cs="宋体"/>
          <w:color w:val="auto"/>
          <w:sz w:val="24"/>
          <w:highlight w:val="none"/>
          <w:lang w:val="en-US" w:eastAsia="zh-CN"/>
        </w:rPr>
        <w:t>。</w:t>
      </w:r>
    </w:p>
    <w:p w14:paraId="3231B6F0">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.4.维护好浮岛，浮框等相关设施。若设施因故造成的损坏，必须无条件及时修复</w:t>
      </w:r>
      <w:r>
        <w:rPr>
          <w:rFonts w:hint="eastAsia" w:ascii="宋体" w:hAnsi="宋体" w:cs="宋体"/>
          <w:color w:val="auto"/>
          <w:sz w:val="24"/>
          <w:highlight w:val="none"/>
          <w:lang w:val="en-US" w:eastAsia="zh-CN"/>
        </w:rPr>
        <w:t>。</w:t>
      </w:r>
    </w:p>
    <w:p w14:paraId="35C8E502">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人工增氧设备</w:t>
      </w:r>
    </w:p>
    <w:p w14:paraId="0CDFA2CE">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增氧设备要做到日常的保养与维护。增氧设备要确保甲方要求的设备运行时间。</w:t>
      </w:r>
    </w:p>
    <w:p w14:paraId="5065CD3B">
      <w:pPr>
        <w:snapToGrid w:val="0"/>
        <w:spacing w:line="360" w:lineRule="auto"/>
        <w:ind w:left="479" w:leftChars="228" w:firstLine="64" w:firstLineChars="27"/>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5蓝藻防范</w:t>
      </w:r>
    </w:p>
    <w:p w14:paraId="33955C6F">
      <w:pPr>
        <w:snapToGrid w:val="0"/>
        <w:spacing w:line="360" w:lineRule="auto"/>
        <w:ind w:left="479" w:leftChars="228" w:firstLine="64" w:firstLineChars="27"/>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通过曝气机、曝气船等物理方式，降低蓝藻水华发生面积，必要时采取生态调水等措施，保障水体流速和交换率，避免形成封闭水体，减缓水体中藻类聚集。</w:t>
      </w:r>
    </w:p>
    <w:p w14:paraId="64657D0D">
      <w:pPr>
        <w:snapToGrid w:val="0"/>
        <w:spacing w:line="360" w:lineRule="auto"/>
        <w:ind w:left="479" w:leftChars="228" w:firstLine="64" w:firstLineChars="27"/>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3.6</w:t>
      </w:r>
      <w:r>
        <w:rPr>
          <w:rFonts w:hint="eastAsia" w:ascii="宋体" w:hAnsi="宋体" w:eastAsia="宋体" w:cs="宋体"/>
          <w:color w:val="auto"/>
          <w:sz w:val="24"/>
          <w:highlight w:val="none"/>
          <w:lang w:val="en-US" w:eastAsia="zh-CN"/>
        </w:rPr>
        <w:t>抗灾应急</w:t>
      </w:r>
    </w:p>
    <w:p w14:paraId="36BD5E05">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河道管理单位和养护单位做好安全隐患、抢险救灾、突发事件等情况相应的应急处理预案。</w:t>
      </w:r>
    </w:p>
    <w:p w14:paraId="7D430FD0">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出现台风、防汛等:应及时对设施设备进行保护和加固措施，如无法做到有效保护的应及时组织人员对设施进行转移，直至台风过后，水位水流恢复正常后恢复至原位。</w:t>
      </w:r>
    </w:p>
    <w:p w14:paraId="7FD2CE67">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其他</w:t>
      </w:r>
    </w:p>
    <w:p w14:paraId="41D26BE1">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采购人将严格按上述要求，对中标人定期不定期的进行检查与考核。</w:t>
      </w:r>
    </w:p>
    <w:p w14:paraId="27A0BBB6">
      <w:pPr>
        <w:pStyle w:val="33"/>
        <w:spacing w:line="360" w:lineRule="auto"/>
        <w:ind w:firstLine="480" w:firstLineChars="200"/>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管理方式应文明、礼貌，对进入水生植物及相关设施损坏现象应及时予以制止，遇到严重的破坏绿化行为应及时上报甲方及执法部门。</w:t>
      </w:r>
    </w:p>
    <w:p w14:paraId="273478E5">
      <w:pPr>
        <w:pStyle w:val="33"/>
        <w:spacing w:line="360" w:lineRule="auto"/>
        <w:outlineLvl w:val="0"/>
        <w:rPr>
          <w:rFonts w:hint="eastAsia" w:ascii="宋体" w:hAnsi="宋体" w:eastAsia="宋体" w:cs="宋体"/>
          <w:b/>
          <w:color w:val="auto"/>
          <w:sz w:val="24"/>
          <w:szCs w:val="24"/>
          <w:highlight w:val="none"/>
        </w:rPr>
      </w:pPr>
      <w:r>
        <w:rPr>
          <w:rFonts w:hint="eastAsia" w:hAnsi="宋体" w:cs="宋体"/>
          <w:b/>
          <w:bCs/>
          <w:color w:val="auto"/>
          <w:sz w:val="24"/>
          <w:szCs w:val="24"/>
          <w:highlight w:val="none"/>
          <w:lang w:eastAsia="zh-CN"/>
        </w:rPr>
        <w:t>四</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其他要求（考核）</w:t>
      </w:r>
    </w:p>
    <w:p w14:paraId="00087287">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、付款条件：</w:t>
      </w:r>
    </w:p>
    <w:p w14:paraId="6D23D990">
      <w:pPr>
        <w:spacing w:line="360" w:lineRule="auto"/>
        <w:ind w:firstLine="48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.1合同签订后7个工作日内，中标单位</w:t>
      </w:r>
      <w:r>
        <w:rPr>
          <w:rFonts w:hint="eastAsia" w:ascii="宋体" w:hAnsi="宋体" w:eastAsia="宋体" w:cs="宋体"/>
          <w:b/>
          <w:bCs/>
          <w:color w:val="auto"/>
          <w:sz w:val="24"/>
          <w:highlight w:val="none"/>
          <w:lang w:val="en-US" w:eastAsia="zh-CN"/>
        </w:rPr>
        <w:t>须</w:t>
      </w:r>
      <w:r>
        <w:rPr>
          <w:rFonts w:hint="eastAsia" w:ascii="宋体" w:hAnsi="宋体" w:eastAsia="宋体" w:cs="宋体"/>
          <w:b/>
          <w:bCs/>
          <w:color w:val="auto"/>
          <w:sz w:val="24"/>
          <w:highlight w:val="none"/>
        </w:rPr>
        <w:t>支付</w:t>
      </w:r>
      <w:r>
        <w:rPr>
          <w:rFonts w:hint="eastAsia" w:ascii="宋体" w:hAnsi="宋体" w:cs="宋体"/>
          <w:b/>
          <w:bCs/>
          <w:color w:val="auto"/>
          <w:sz w:val="24"/>
          <w:highlight w:val="none"/>
          <w:lang w:eastAsia="zh-CN"/>
        </w:rPr>
        <w:t>合同金额</w:t>
      </w:r>
      <w:r>
        <w:rPr>
          <w:rFonts w:hint="eastAsia" w:ascii="宋体" w:hAnsi="宋体" w:cs="宋体"/>
          <w:b/>
          <w:bCs/>
          <w:color w:val="auto"/>
          <w:sz w:val="24"/>
          <w:highlight w:val="none"/>
          <w:lang w:val="en-US" w:eastAsia="zh-CN"/>
        </w:rPr>
        <w:t>1%的</w:t>
      </w:r>
      <w:r>
        <w:rPr>
          <w:rFonts w:hint="eastAsia" w:ascii="宋体" w:hAnsi="宋体" w:eastAsia="宋体" w:cs="宋体"/>
          <w:b/>
          <w:bCs/>
          <w:color w:val="auto"/>
          <w:sz w:val="24"/>
          <w:highlight w:val="none"/>
        </w:rPr>
        <w:t>履约保证金</w:t>
      </w:r>
      <w:r>
        <w:rPr>
          <w:rFonts w:hint="eastAsia" w:ascii="宋体" w:hAnsi="宋体" w:cs="宋体"/>
          <w:b/>
          <w:bCs/>
          <w:color w:val="auto"/>
          <w:sz w:val="24"/>
          <w:highlight w:val="none"/>
          <w:lang w:eastAsia="zh-CN"/>
        </w:rPr>
        <w:t>，</w:t>
      </w:r>
      <w:r>
        <w:rPr>
          <w:rFonts w:hint="eastAsia" w:ascii="宋体" w:hAnsi="宋体" w:cs="宋体"/>
          <w:color w:val="auto"/>
          <w:kern w:val="0"/>
          <w:sz w:val="24"/>
          <w:highlight w:val="none"/>
          <w14:ligatures w14:val="none"/>
        </w:rPr>
        <w:t>供应商应当以支票、汇票、本票或者金融机构、担保机构出具的保函等非现金形式提交</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合同生效且具备实施条件后7个工作日内，采购人向中标单位支付合同</w:t>
      </w:r>
      <w:r>
        <w:rPr>
          <w:rFonts w:hint="eastAsia" w:ascii="宋体" w:hAnsi="宋体" w:eastAsia="宋体" w:cs="宋体"/>
          <w:b/>
          <w:bCs/>
          <w:color w:val="auto"/>
          <w:sz w:val="24"/>
          <w:highlight w:val="none"/>
        </w:rPr>
        <w:t>金额的</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u w:val="none"/>
          <w:lang w:val="en-US" w:eastAsia="zh-CN"/>
        </w:rPr>
        <w:t>0%</w:t>
      </w:r>
      <w:r>
        <w:rPr>
          <w:rFonts w:hint="eastAsia" w:ascii="宋体" w:hAnsi="宋体" w:eastAsia="宋体" w:cs="宋体"/>
          <w:b/>
          <w:bCs/>
          <w:color w:val="auto"/>
          <w:sz w:val="24"/>
          <w:highlight w:val="none"/>
          <w:lang w:val="en-US" w:eastAsia="zh-CN"/>
        </w:rPr>
        <w:t>作为预付款</w:t>
      </w:r>
      <w:r>
        <w:rPr>
          <w:rFonts w:hint="eastAsia" w:ascii="宋体" w:hAnsi="宋体" w:cs="宋体"/>
          <w:b/>
          <w:bCs/>
          <w:color w:val="auto"/>
          <w:sz w:val="24"/>
          <w:highlight w:val="none"/>
          <w:lang w:val="en-US" w:eastAsia="zh-CN"/>
        </w:rPr>
        <w:t>（</w:t>
      </w:r>
      <w:r>
        <w:rPr>
          <w:rFonts w:hint="eastAsia" w:ascii="宋体" w:hAnsi="宋体" w:cs="宋体"/>
          <w:color w:val="auto"/>
          <w:kern w:val="0"/>
          <w:sz w:val="24"/>
          <w:highlight w:val="none"/>
          <w:lang w:eastAsia="zh-CN"/>
        </w:rPr>
        <w:t>中标人需提供相应的预付款保函后方可支付预付款</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rPr>
        <w:t>。</w:t>
      </w:r>
    </w:p>
    <w:p w14:paraId="575EB7F9">
      <w:pPr>
        <w:numPr>
          <w:ilvl w:val="0"/>
          <w:numId w:val="0"/>
        </w:numPr>
        <w:shd w:val="clear" w:color="auto" w:fill="auto"/>
        <w:spacing w:line="360" w:lineRule="auto"/>
        <w:ind w:firstLine="480" w:firstLineChars="200"/>
        <w:rPr>
          <w:rFonts w:hint="default"/>
          <w:color w:val="auto"/>
          <w:highlight w:val="none"/>
          <w:lang w:val="en-US" w:eastAsia="zh-CN"/>
        </w:rPr>
      </w:pPr>
      <w:r>
        <w:rPr>
          <w:rFonts w:hint="eastAsia" w:ascii="宋体" w:hAnsi="宋体" w:cs="宋体"/>
          <w:color w:val="auto"/>
          <w:kern w:val="0"/>
          <w:sz w:val="24"/>
          <w:highlight w:val="none"/>
          <w:lang w:eastAsia="zh-CN"/>
        </w:rPr>
        <w:t>预付款保函：需要缴纳，中标人必须在合同签订前内向采购人提供预付款相同金额的预付款保函（可在政采云平台购买），可以支票、汇票、本票或者金融机构、保险公司、担保机构出具的保函/保险（可在政采云平台购买，咨询热线4009039583）等非现金形式提交。履约保证金（或保函/保险）在项目验收结束后退还。（在签订合同时，中标人明确表示无需预付款或者主动要求降低预付款比例的，可不适用该规定）</w:t>
      </w:r>
    </w:p>
    <w:p w14:paraId="25B07C1E">
      <w:pPr>
        <w:numPr>
          <w:ilvl w:val="0"/>
          <w:numId w:val="0"/>
        </w:numPr>
        <w:adjustRightInd/>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.2</w:t>
      </w:r>
      <w:r>
        <w:rPr>
          <w:rFonts w:hint="eastAsia" w:ascii="宋体" w:hAnsi="宋体" w:cs="宋体"/>
          <w:b/>
          <w:bCs/>
          <w:color w:val="auto"/>
          <w:sz w:val="24"/>
          <w:highlight w:val="none"/>
          <w:lang w:eastAsia="zh-CN"/>
        </w:rPr>
        <w:t>合同实施后</w:t>
      </w:r>
      <w:r>
        <w:rPr>
          <w:rFonts w:hint="eastAsia" w:ascii="宋体" w:hAnsi="宋体" w:cs="宋体"/>
          <w:b/>
          <w:bCs/>
          <w:color w:val="auto"/>
          <w:sz w:val="24"/>
          <w:highlight w:val="none"/>
          <w:lang w:val="en-US" w:eastAsia="zh-CN"/>
        </w:rPr>
        <w:t>6个月，按考核成绩甲方</w:t>
      </w:r>
      <w:r>
        <w:rPr>
          <w:rFonts w:hint="eastAsia" w:ascii="宋体" w:hAnsi="宋体" w:eastAsia="宋体" w:cs="宋体"/>
          <w:b/>
          <w:bCs/>
          <w:color w:val="auto"/>
          <w:sz w:val="24"/>
          <w:highlight w:val="none"/>
          <w:lang w:val="en-US" w:eastAsia="zh-CN"/>
        </w:rPr>
        <w:t>向</w:t>
      </w:r>
      <w:r>
        <w:rPr>
          <w:rFonts w:hint="eastAsia" w:ascii="宋体" w:hAnsi="宋体" w:cs="宋体"/>
          <w:b/>
          <w:bCs/>
          <w:color w:val="auto"/>
          <w:sz w:val="24"/>
          <w:highlight w:val="none"/>
          <w:lang w:val="en-US" w:eastAsia="zh-CN"/>
        </w:rPr>
        <w:t>乙方</w:t>
      </w:r>
      <w:r>
        <w:rPr>
          <w:rFonts w:hint="eastAsia" w:ascii="宋体" w:hAnsi="宋体" w:eastAsia="宋体" w:cs="宋体"/>
          <w:b/>
          <w:bCs/>
          <w:color w:val="auto"/>
          <w:sz w:val="24"/>
          <w:highlight w:val="none"/>
          <w:lang w:val="en-US" w:eastAsia="zh-CN"/>
        </w:rPr>
        <w:t>支付</w:t>
      </w:r>
      <w:r>
        <w:rPr>
          <w:rFonts w:hint="eastAsia" w:ascii="宋体" w:hAnsi="宋体" w:cs="宋体"/>
          <w:b/>
          <w:bCs/>
          <w:color w:val="auto"/>
          <w:sz w:val="24"/>
          <w:highlight w:val="none"/>
          <w:lang w:val="en-US" w:eastAsia="zh-CN"/>
        </w:rPr>
        <w:t>半年运维费用（预付款扣回）</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eastAsia="zh-CN"/>
        </w:rPr>
        <w:t>项目完成且经验收合格并考核后支付尾款</w:t>
      </w:r>
      <w:r>
        <w:rPr>
          <w:rFonts w:hint="eastAsia" w:ascii="宋体" w:hAnsi="宋体" w:eastAsia="宋体" w:cs="宋体"/>
          <w:color w:val="auto"/>
          <w:sz w:val="24"/>
          <w:highlight w:val="none"/>
          <w:lang w:val="en-GB"/>
        </w:rPr>
        <w:t>。</w:t>
      </w:r>
    </w:p>
    <w:p w14:paraId="48B3368E">
      <w:pPr>
        <w:spacing w:line="420" w:lineRule="exact"/>
        <w:ind w:firstLine="480" w:firstLineChars="20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1.3在年度运维服务期内，甲方每月对乙方进行考核，乙方所得考核分按月进行统计。乙方各河道每月考核得分在90（不含）分以上的，则甲方全额支付乙方合同当月的各河道考核金额；乙方每月考核得分在90（含）分以下80分以上的，则甲方支付乙方合同当月90%的对应河道考核金额；乙方当月考核得分在80（含）分以下70分以上的，则甲方支付乙方合同当月70%的对应河道考核金额。乙方当月考核得分在70（含）分以下的，则甲方支付乙方合同当月50%的对应河道考核金额。乙方当月考核得分在60（含）分以下的，则甲方不支付乙方对应河道全部考核金额。每条河道全年运维费用按总运维费10%计算。</w:t>
      </w:r>
    </w:p>
    <w:p w14:paraId="7A50CA78">
      <w:pPr>
        <w:numPr>
          <w:ilvl w:val="0"/>
          <w:numId w:val="0"/>
        </w:num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售后服务保障：</w:t>
      </w:r>
    </w:p>
    <w:p w14:paraId="7BC03C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cs="宋体"/>
          <w:color w:val="auto"/>
          <w:sz w:val="24"/>
          <w:highlight w:val="none"/>
          <w:lang w:eastAsia="zh-CN"/>
        </w:rPr>
        <w:t>为本项目</w:t>
      </w:r>
      <w:r>
        <w:rPr>
          <w:rFonts w:hint="eastAsia" w:ascii="宋体" w:hAnsi="宋体" w:eastAsia="宋体" w:cs="宋体"/>
          <w:color w:val="auto"/>
          <w:sz w:val="24"/>
          <w:highlight w:val="none"/>
        </w:rPr>
        <w:t>配有较强的专业技术队伍，售后服务1小时响应，</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小时内到现场。</w:t>
      </w:r>
    </w:p>
    <w:p w14:paraId="625F8846">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水质保障考核要求</w:t>
      </w:r>
    </w:p>
    <w:p w14:paraId="068C49FC">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（1）水质要求：河道水质全年总体要求稳定在V类水以上。</w:t>
      </w:r>
      <w:r>
        <w:rPr>
          <w:rFonts w:hint="eastAsia" w:ascii="宋体" w:hAnsi="宋体" w:cs="宋体"/>
          <w:color w:val="auto"/>
          <w:sz w:val="24"/>
          <w:szCs w:val="24"/>
          <w:highlight w:val="none"/>
          <w:lang w:val="en-US" w:eastAsia="zh-CN"/>
        </w:rPr>
        <w:t>（根据上级要求或作相应调整，具体根据上级文件执行。）</w:t>
      </w:r>
    </w:p>
    <w:p w14:paraId="76CF51E3">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）河道水质每月必须到V类水及以上。如在</w:t>
      </w:r>
      <w:r>
        <w:rPr>
          <w:rFonts w:hint="eastAsia" w:ascii="宋体" w:hAnsi="宋体" w:cs="宋体"/>
          <w:color w:val="auto"/>
          <w:sz w:val="24"/>
          <w:szCs w:val="24"/>
          <w:highlight w:val="none"/>
          <w:lang w:val="en-US" w:eastAsia="zh-CN"/>
        </w:rPr>
        <w:t>环境监测站发布的</w:t>
      </w:r>
      <w:r>
        <w:rPr>
          <w:rFonts w:hint="eastAsia" w:ascii="宋体" w:hAnsi="宋体" w:eastAsia="宋体" w:cs="宋体"/>
          <w:color w:val="auto"/>
          <w:sz w:val="24"/>
          <w:szCs w:val="24"/>
          <w:highlight w:val="none"/>
          <w:lang w:val="en-US" w:eastAsia="zh-CN"/>
        </w:rPr>
        <w:t>水质报告</w:t>
      </w:r>
      <w:r>
        <w:rPr>
          <w:rFonts w:hint="eastAsia" w:ascii="宋体" w:hAnsi="宋体" w:cs="宋体"/>
          <w:color w:val="auto"/>
          <w:sz w:val="24"/>
          <w:szCs w:val="24"/>
          <w:highlight w:val="none"/>
          <w:lang w:val="en-US" w:eastAsia="zh-CN"/>
        </w:rPr>
        <w:t>或行业主管部门下发的交办单等中</w:t>
      </w:r>
      <w:r>
        <w:rPr>
          <w:rFonts w:hint="eastAsia" w:ascii="宋体" w:hAnsi="宋体" w:eastAsia="宋体" w:cs="宋体"/>
          <w:color w:val="auto"/>
          <w:sz w:val="24"/>
          <w:szCs w:val="24"/>
          <w:highlight w:val="none"/>
          <w:lang w:val="en-US" w:eastAsia="zh-CN"/>
        </w:rPr>
        <w:t>出现劣V类的情况，该河首次扣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万元，第二次扣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万元，第三次</w:t>
      </w:r>
      <w:r>
        <w:rPr>
          <w:rFonts w:hint="eastAsia" w:ascii="宋体" w:hAnsi="宋体" w:cs="宋体"/>
          <w:color w:val="auto"/>
          <w:sz w:val="24"/>
          <w:szCs w:val="24"/>
          <w:highlight w:val="none"/>
          <w:lang w:val="en-US" w:eastAsia="zh-CN"/>
        </w:rPr>
        <w:t>扣4</w:t>
      </w:r>
      <w:r>
        <w:rPr>
          <w:rFonts w:hint="eastAsia" w:ascii="宋体" w:hAnsi="宋体" w:eastAsia="宋体" w:cs="宋体"/>
          <w:color w:val="auto"/>
          <w:sz w:val="24"/>
          <w:szCs w:val="24"/>
          <w:highlight w:val="none"/>
          <w:lang w:val="en-US" w:eastAsia="zh-CN"/>
        </w:rPr>
        <w:t>万元，</w:t>
      </w:r>
      <w:r>
        <w:rPr>
          <w:rFonts w:hint="eastAsia" w:ascii="宋体" w:hAnsi="宋体" w:cs="宋体"/>
          <w:color w:val="auto"/>
          <w:sz w:val="24"/>
          <w:szCs w:val="24"/>
          <w:highlight w:val="none"/>
          <w:lang w:val="en-US" w:eastAsia="zh-CN"/>
        </w:rPr>
        <w:t>且甲方有权解除合同。</w:t>
      </w:r>
    </w:p>
    <w:p w14:paraId="29108CE0">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rPr>
          <w:rFonts w:hint="eastAsia" w:ascii="宋体" w:hAnsi="宋体" w:cs="宋体"/>
          <w:color w:val="auto"/>
          <w:sz w:val="24"/>
          <w:szCs w:val="24"/>
          <w:highlight w:val="none"/>
          <w:lang w:val="en-US" w:eastAsia="zh-CN"/>
        </w:rPr>
      </w:pPr>
      <w:r>
        <w:rPr>
          <w:rFonts w:hint="eastAsia" w:hAnsi="宋体" w:cs="宋体"/>
          <w:color w:val="auto"/>
          <w:sz w:val="24"/>
          <w:szCs w:val="24"/>
          <w:highlight w:val="none"/>
          <w:lang w:val="en-US" w:eastAsia="zh-CN"/>
        </w:rPr>
        <w:t>（3）如遇市级及以上检测，根据</w:t>
      </w:r>
      <w:r>
        <w:rPr>
          <w:rFonts w:hint="eastAsia" w:ascii="宋体" w:hAnsi="宋体" w:eastAsia="宋体" w:cs="宋体"/>
          <w:color w:val="auto"/>
          <w:sz w:val="24"/>
          <w:szCs w:val="24"/>
          <w:highlight w:val="none"/>
          <w:lang w:val="en-US" w:eastAsia="zh-CN"/>
        </w:rPr>
        <w:t>劣V</w:t>
      </w:r>
      <w:r>
        <w:rPr>
          <w:rFonts w:hint="eastAsia" w:hAnsi="宋体" w:cs="宋体"/>
          <w:color w:val="auto"/>
          <w:sz w:val="24"/>
          <w:szCs w:val="24"/>
          <w:highlight w:val="none"/>
          <w:lang w:val="en-US" w:eastAsia="zh-CN"/>
        </w:rPr>
        <w:t>类水质交办单涉及河道，每条首次</w:t>
      </w:r>
      <w:r>
        <w:rPr>
          <w:rFonts w:hint="eastAsia" w:ascii="宋体" w:hAnsi="宋体" w:eastAsia="宋体" w:cs="宋体"/>
          <w:color w:val="auto"/>
          <w:sz w:val="24"/>
          <w:szCs w:val="24"/>
          <w:highlight w:val="none"/>
          <w:lang w:val="en-US" w:eastAsia="zh-CN"/>
        </w:rPr>
        <w:t>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万元</w:t>
      </w:r>
      <w:r>
        <w:rPr>
          <w:rFonts w:hint="eastAsia" w:hAnsi="宋体" w:cs="宋体"/>
          <w:color w:val="auto"/>
          <w:sz w:val="24"/>
          <w:szCs w:val="24"/>
          <w:highlight w:val="none"/>
          <w:lang w:val="en-US" w:eastAsia="zh-CN"/>
        </w:rPr>
        <w:t>，第二次扣4万元，</w:t>
      </w:r>
      <w:r>
        <w:rPr>
          <w:rFonts w:hint="eastAsia" w:ascii="宋体" w:hAnsi="宋体" w:eastAsia="宋体" w:cs="宋体"/>
          <w:color w:val="auto"/>
          <w:sz w:val="24"/>
          <w:szCs w:val="24"/>
          <w:highlight w:val="none"/>
          <w:lang w:val="en-US" w:eastAsia="zh-CN"/>
        </w:rPr>
        <w:t>第三次</w:t>
      </w:r>
      <w:r>
        <w:rPr>
          <w:rFonts w:hint="eastAsia" w:ascii="宋体" w:hAnsi="宋体" w:cs="宋体"/>
          <w:color w:val="auto"/>
          <w:sz w:val="24"/>
          <w:szCs w:val="24"/>
          <w:highlight w:val="none"/>
          <w:lang w:val="en-US" w:eastAsia="zh-CN"/>
        </w:rPr>
        <w:t>扣8</w:t>
      </w:r>
      <w:r>
        <w:rPr>
          <w:rFonts w:hint="eastAsia" w:ascii="宋体" w:hAnsi="宋体" w:eastAsia="宋体" w:cs="宋体"/>
          <w:color w:val="auto"/>
          <w:sz w:val="24"/>
          <w:szCs w:val="24"/>
          <w:highlight w:val="none"/>
          <w:lang w:val="en-US" w:eastAsia="zh-CN"/>
        </w:rPr>
        <w:t>万元</w:t>
      </w:r>
      <w:r>
        <w:rPr>
          <w:rFonts w:hint="eastAsia"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且甲方有权解除合同。</w:t>
      </w:r>
    </w:p>
    <w:p w14:paraId="191A810C">
      <w:pPr>
        <w:pStyle w:val="61"/>
        <w:rPr>
          <w:rFonts w:hint="default"/>
          <w:color w:val="auto"/>
          <w:highlight w:val="none"/>
          <w:lang w:val="en-US" w:eastAsia="zh-CN"/>
        </w:rPr>
      </w:pPr>
    </w:p>
    <w:p w14:paraId="2DFA48D1">
      <w:pPr>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br w:type="page"/>
      </w:r>
    </w:p>
    <w:p w14:paraId="0C3F5A2B">
      <w:pPr>
        <w:spacing w:line="480" w:lineRule="auto"/>
        <w:jc w:val="both"/>
        <w:rPr>
          <w:rFonts w:hint="eastAsia" w:ascii="新宋体" w:hAnsi="新宋体" w:eastAsia="新宋体" w:cs="新宋体"/>
          <w:color w:val="auto"/>
          <w:sz w:val="24"/>
          <w:szCs w:val="24"/>
          <w:highlight w:val="none"/>
        </w:rPr>
      </w:pPr>
      <w:r>
        <w:rPr>
          <w:rFonts w:hint="eastAsia" w:ascii="宋体" w:hAnsi="宋体" w:cs="宋体"/>
          <w:b/>
          <w:bCs/>
          <w:kern w:val="0"/>
          <w:sz w:val="24"/>
          <w:szCs w:val="24"/>
          <w:highlight w:val="none"/>
          <w:lang w:val="en-US" w:eastAsia="zh-CN"/>
        </w:rPr>
        <w:t>附件</w:t>
      </w:r>
      <w:r>
        <w:rPr>
          <w:rFonts w:hint="eastAsia" w:ascii="新宋体" w:hAnsi="新宋体" w:eastAsia="新宋体" w:cs="新宋体"/>
          <w:color w:val="auto"/>
          <w:sz w:val="24"/>
          <w:szCs w:val="24"/>
          <w:highlight w:val="none"/>
          <w:lang w:val="en-US" w:eastAsia="zh-CN"/>
        </w:rPr>
        <w:t>：前进街道四工段横河等水环境治理服务项目</w:t>
      </w:r>
      <w:r>
        <w:rPr>
          <w:rFonts w:hint="eastAsia" w:ascii="新宋体" w:hAnsi="新宋体" w:eastAsia="新宋体" w:cs="新宋体"/>
          <w:color w:val="auto"/>
          <w:sz w:val="24"/>
          <w:szCs w:val="24"/>
          <w:highlight w:val="none"/>
        </w:rPr>
        <w:t xml:space="preserve">考核细则   </w:t>
      </w:r>
      <w:r>
        <w:rPr>
          <w:rFonts w:hint="eastAsia" w:ascii="新宋体" w:hAnsi="新宋体" w:eastAsia="新宋体" w:cs="新宋体"/>
          <w:color w:val="auto"/>
          <w:sz w:val="32"/>
          <w:szCs w:val="32"/>
          <w:highlight w:val="none"/>
        </w:rPr>
        <w:t xml:space="preserve"> </w:t>
      </w:r>
      <w:r>
        <w:rPr>
          <w:rFonts w:hint="eastAsia" w:ascii="新宋体" w:hAnsi="新宋体" w:eastAsia="新宋体" w:cs="新宋体"/>
          <w:color w:val="auto"/>
          <w:sz w:val="24"/>
          <w:szCs w:val="24"/>
          <w:highlight w:val="none"/>
        </w:rPr>
        <w:t xml:space="preserve">      </w:t>
      </w:r>
    </w:p>
    <w:p w14:paraId="030A397C">
      <w:pPr>
        <w:spacing w:line="480" w:lineRule="auto"/>
        <w:jc w:val="righ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考核月份：</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月</w:t>
      </w:r>
    </w:p>
    <w:tbl>
      <w:tblPr>
        <w:tblStyle w:val="63"/>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5676"/>
        <w:gridCol w:w="884"/>
        <w:gridCol w:w="816"/>
        <w:gridCol w:w="1084"/>
      </w:tblGrid>
      <w:tr w14:paraId="73DF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noWrap w:val="0"/>
            <w:vAlign w:val="top"/>
          </w:tcPr>
          <w:p w14:paraId="3A681CB8">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考核</w:t>
            </w:r>
          </w:p>
          <w:p w14:paraId="68F644AC">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因素</w:t>
            </w:r>
          </w:p>
        </w:tc>
        <w:tc>
          <w:tcPr>
            <w:tcW w:w="5676" w:type="dxa"/>
            <w:noWrap w:val="0"/>
            <w:vAlign w:val="center"/>
          </w:tcPr>
          <w:p w14:paraId="601F1696">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工作要求</w:t>
            </w:r>
          </w:p>
        </w:tc>
        <w:tc>
          <w:tcPr>
            <w:tcW w:w="884" w:type="dxa"/>
            <w:noWrap w:val="0"/>
            <w:vAlign w:val="top"/>
          </w:tcPr>
          <w:p w14:paraId="4BE5D286">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单项</w:t>
            </w:r>
          </w:p>
          <w:p w14:paraId="0136A746">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满分</w:t>
            </w:r>
          </w:p>
        </w:tc>
        <w:tc>
          <w:tcPr>
            <w:tcW w:w="816" w:type="dxa"/>
            <w:noWrap w:val="0"/>
            <w:vAlign w:val="top"/>
          </w:tcPr>
          <w:p w14:paraId="7AF1D0F1">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单项得分</w:t>
            </w:r>
          </w:p>
        </w:tc>
        <w:tc>
          <w:tcPr>
            <w:tcW w:w="1084" w:type="dxa"/>
            <w:noWrap w:val="0"/>
            <w:vAlign w:val="top"/>
          </w:tcPr>
          <w:p w14:paraId="63F71A3B">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因素</w:t>
            </w:r>
          </w:p>
          <w:p w14:paraId="33B9F1D5">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得分</w:t>
            </w:r>
          </w:p>
        </w:tc>
      </w:tr>
      <w:tr w14:paraId="350F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20" w:type="dxa"/>
            <w:vMerge w:val="restart"/>
            <w:noWrap w:val="0"/>
            <w:vAlign w:val="top"/>
          </w:tcPr>
          <w:p w14:paraId="4CA52EB1">
            <w:pPr>
              <w:spacing w:line="360" w:lineRule="auto"/>
              <w:jc w:val="center"/>
              <w:rPr>
                <w:rFonts w:hint="eastAsia" w:ascii="新宋体" w:hAnsi="新宋体" w:eastAsia="新宋体" w:cs="新宋体"/>
                <w:color w:val="auto"/>
                <w:sz w:val="24"/>
                <w:szCs w:val="24"/>
                <w:highlight w:val="none"/>
              </w:rPr>
            </w:pPr>
          </w:p>
          <w:p w14:paraId="0B58811C">
            <w:pPr>
              <w:spacing w:line="360" w:lineRule="auto"/>
              <w:jc w:val="center"/>
              <w:rPr>
                <w:rFonts w:hint="eastAsia" w:ascii="新宋体" w:hAnsi="新宋体" w:eastAsia="新宋体" w:cs="新宋体"/>
                <w:color w:val="auto"/>
                <w:sz w:val="24"/>
                <w:szCs w:val="24"/>
                <w:highlight w:val="none"/>
              </w:rPr>
            </w:pPr>
          </w:p>
          <w:p w14:paraId="775AB73F">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人员考勤</w:t>
            </w:r>
          </w:p>
        </w:tc>
        <w:tc>
          <w:tcPr>
            <w:tcW w:w="5676" w:type="dxa"/>
            <w:noWrap w:val="0"/>
            <w:vAlign w:val="top"/>
          </w:tcPr>
          <w:p w14:paraId="47EF5468">
            <w:pPr>
              <w:spacing w:line="360" w:lineRule="auto"/>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运维人员未佩戴工作证等有效 证件或未着运维公司统一制服 上岗的，每一人次扣2分</w:t>
            </w:r>
          </w:p>
        </w:tc>
        <w:tc>
          <w:tcPr>
            <w:tcW w:w="884" w:type="dxa"/>
            <w:noWrap w:val="0"/>
            <w:vAlign w:val="top"/>
          </w:tcPr>
          <w:p w14:paraId="7748A086">
            <w:pPr>
              <w:pStyle w:val="340"/>
              <w:spacing w:line="381" w:lineRule="auto"/>
            </w:pPr>
          </w:p>
          <w:p w14:paraId="6EE44BD8">
            <w:pPr>
              <w:spacing w:before="91" w:line="183" w:lineRule="auto"/>
              <w:ind w:left="276" w:leftChars="0"/>
              <w:rPr>
                <w:rFonts w:hint="eastAsia" w:ascii="新宋体" w:hAnsi="新宋体" w:eastAsia="新宋体" w:cs="新宋体"/>
                <w:color w:val="auto"/>
                <w:sz w:val="24"/>
                <w:szCs w:val="24"/>
                <w:highlight w:val="none"/>
                <w:lang w:eastAsia="zh-CN"/>
              </w:rPr>
            </w:pPr>
            <w:r>
              <w:rPr>
                <w:rFonts w:hint="eastAsia" w:ascii="宋体" w:hAnsi="宋体" w:cs="宋体"/>
                <w:sz w:val="28"/>
                <w:szCs w:val="28"/>
                <w:lang w:val="en-US" w:eastAsia="zh-CN"/>
              </w:rPr>
              <w:t>4</w:t>
            </w:r>
          </w:p>
        </w:tc>
        <w:tc>
          <w:tcPr>
            <w:tcW w:w="816" w:type="dxa"/>
            <w:noWrap w:val="0"/>
            <w:vAlign w:val="top"/>
          </w:tcPr>
          <w:p w14:paraId="7FE98D00">
            <w:pPr>
              <w:spacing w:line="360" w:lineRule="auto"/>
              <w:jc w:val="center"/>
              <w:rPr>
                <w:rFonts w:hint="eastAsia" w:ascii="新宋体" w:hAnsi="新宋体" w:eastAsia="新宋体" w:cs="新宋体"/>
                <w:color w:val="auto"/>
                <w:sz w:val="24"/>
                <w:szCs w:val="24"/>
                <w:highlight w:val="none"/>
              </w:rPr>
            </w:pPr>
          </w:p>
        </w:tc>
        <w:tc>
          <w:tcPr>
            <w:tcW w:w="1084" w:type="dxa"/>
            <w:vMerge w:val="restart"/>
            <w:noWrap w:val="0"/>
            <w:vAlign w:val="top"/>
          </w:tcPr>
          <w:p w14:paraId="40106AF0">
            <w:pPr>
              <w:spacing w:line="360" w:lineRule="auto"/>
              <w:rPr>
                <w:rFonts w:hint="eastAsia" w:ascii="新宋体" w:hAnsi="新宋体" w:eastAsia="新宋体" w:cs="新宋体"/>
                <w:color w:val="auto"/>
                <w:sz w:val="24"/>
                <w:szCs w:val="24"/>
                <w:highlight w:val="none"/>
              </w:rPr>
            </w:pPr>
          </w:p>
        </w:tc>
      </w:tr>
      <w:tr w14:paraId="38C7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20" w:type="dxa"/>
            <w:vMerge w:val="continue"/>
            <w:noWrap w:val="0"/>
            <w:vAlign w:val="top"/>
          </w:tcPr>
          <w:p w14:paraId="5280E783">
            <w:pPr>
              <w:spacing w:line="360" w:lineRule="auto"/>
              <w:jc w:val="center"/>
              <w:rPr>
                <w:rFonts w:hint="eastAsia" w:ascii="新宋体" w:hAnsi="新宋体" w:eastAsia="新宋体" w:cs="新宋体"/>
                <w:color w:val="auto"/>
                <w:sz w:val="24"/>
                <w:szCs w:val="24"/>
                <w:highlight w:val="none"/>
              </w:rPr>
            </w:pPr>
          </w:p>
        </w:tc>
        <w:tc>
          <w:tcPr>
            <w:tcW w:w="5676" w:type="dxa"/>
            <w:noWrap w:val="0"/>
            <w:vAlign w:val="top"/>
          </w:tcPr>
          <w:p w14:paraId="1EB9339B">
            <w:pPr>
              <w:spacing w:line="360" w:lineRule="auto"/>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运维人员未上岗或脱岗时间超 过两小时，每一人次扣2分</w:t>
            </w:r>
          </w:p>
        </w:tc>
        <w:tc>
          <w:tcPr>
            <w:tcW w:w="884" w:type="dxa"/>
            <w:noWrap w:val="0"/>
            <w:vAlign w:val="top"/>
          </w:tcPr>
          <w:p w14:paraId="1AD5EEA8">
            <w:pPr>
              <w:pStyle w:val="340"/>
              <w:spacing w:line="352" w:lineRule="auto"/>
            </w:pPr>
          </w:p>
          <w:p w14:paraId="55C5ADA9">
            <w:pPr>
              <w:spacing w:before="91" w:line="183" w:lineRule="auto"/>
              <w:ind w:left="276" w:leftChars="0"/>
              <w:rPr>
                <w:rFonts w:hint="eastAsia" w:ascii="新宋体" w:hAnsi="新宋体" w:eastAsia="新宋体" w:cs="新宋体"/>
                <w:color w:val="auto"/>
                <w:sz w:val="24"/>
                <w:szCs w:val="24"/>
                <w:highlight w:val="none"/>
                <w:lang w:eastAsia="zh-CN"/>
              </w:rPr>
            </w:pPr>
            <w:r>
              <w:rPr>
                <w:rFonts w:hint="eastAsia" w:ascii="宋体" w:hAnsi="宋体" w:cs="宋体"/>
                <w:sz w:val="28"/>
                <w:szCs w:val="28"/>
                <w:lang w:val="en-US" w:eastAsia="zh-CN"/>
              </w:rPr>
              <w:t>4</w:t>
            </w:r>
          </w:p>
        </w:tc>
        <w:tc>
          <w:tcPr>
            <w:tcW w:w="816" w:type="dxa"/>
            <w:noWrap w:val="0"/>
            <w:vAlign w:val="top"/>
          </w:tcPr>
          <w:p w14:paraId="47F36C2B">
            <w:pPr>
              <w:spacing w:line="360" w:lineRule="auto"/>
              <w:jc w:val="center"/>
              <w:rPr>
                <w:rFonts w:hint="eastAsia" w:ascii="新宋体" w:hAnsi="新宋体" w:eastAsia="新宋体" w:cs="新宋体"/>
                <w:color w:val="auto"/>
                <w:sz w:val="24"/>
                <w:szCs w:val="24"/>
                <w:highlight w:val="none"/>
              </w:rPr>
            </w:pPr>
          </w:p>
        </w:tc>
        <w:tc>
          <w:tcPr>
            <w:tcW w:w="1084" w:type="dxa"/>
            <w:vMerge w:val="continue"/>
            <w:noWrap w:val="0"/>
            <w:vAlign w:val="top"/>
          </w:tcPr>
          <w:p w14:paraId="64434E2F">
            <w:pPr>
              <w:spacing w:line="360" w:lineRule="auto"/>
              <w:rPr>
                <w:rFonts w:hint="eastAsia" w:ascii="新宋体" w:hAnsi="新宋体" w:eastAsia="新宋体" w:cs="新宋体"/>
                <w:color w:val="auto"/>
                <w:sz w:val="24"/>
                <w:szCs w:val="24"/>
                <w:highlight w:val="none"/>
              </w:rPr>
            </w:pPr>
          </w:p>
        </w:tc>
      </w:tr>
      <w:tr w14:paraId="5B76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0" w:type="dxa"/>
            <w:vMerge w:val="continue"/>
            <w:noWrap w:val="0"/>
            <w:vAlign w:val="top"/>
          </w:tcPr>
          <w:p w14:paraId="6D3D3CD7">
            <w:pPr>
              <w:spacing w:line="360" w:lineRule="auto"/>
              <w:jc w:val="center"/>
              <w:rPr>
                <w:rFonts w:hint="eastAsia" w:ascii="新宋体" w:hAnsi="新宋体" w:eastAsia="新宋体" w:cs="新宋体"/>
                <w:color w:val="auto"/>
                <w:sz w:val="24"/>
                <w:szCs w:val="24"/>
                <w:highlight w:val="none"/>
              </w:rPr>
            </w:pPr>
          </w:p>
        </w:tc>
        <w:tc>
          <w:tcPr>
            <w:tcW w:w="5676" w:type="dxa"/>
            <w:noWrap w:val="0"/>
            <w:vAlign w:val="top"/>
          </w:tcPr>
          <w:p w14:paraId="09700E60">
            <w:pPr>
              <w:spacing w:line="360" w:lineRule="auto"/>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运维人员电话无故关机、拨通 无应答半小时内未回复的，每 次扣3分</w:t>
            </w:r>
          </w:p>
        </w:tc>
        <w:tc>
          <w:tcPr>
            <w:tcW w:w="884" w:type="dxa"/>
            <w:noWrap w:val="0"/>
            <w:vAlign w:val="top"/>
          </w:tcPr>
          <w:p w14:paraId="21909BB2">
            <w:pPr>
              <w:pStyle w:val="340"/>
              <w:spacing w:line="393" w:lineRule="auto"/>
            </w:pPr>
          </w:p>
          <w:p w14:paraId="60C84D3C">
            <w:pPr>
              <w:spacing w:before="91" w:line="183" w:lineRule="auto"/>
              <w:ind w:left="276" w:leftChars="0"/>
              <w:rPr>
                <w:rFonts w:hint="eastAsia" w:ascii="新宋体" w:hAnsi="新宋体" w:eastAsia="新宋体" w:cs="新宋体"/>
                <w:color w:val="auto"/>
                <w:sz w:val="24"/>
                <w:szCs w:val="24"/>
                <w:highlight w:val="none"/>
                <w:lang w:eastAsia="zh-CN"/>
              </w:rPr>
            </w:pPr>
            <w:r>
              <w:rPr>
                <w:rFonts w:hint="eastAsia" w:ascii="宋体" w:hAnsi="宋体" w:cs="宋体"/>
                <w:sz w:val="28"/>
                <w:szCs w:val="28"/>
                <w:lang w:val="en-US" w:eastAsia="zh-CN"/>
              </w:rPr>
              <w:t>6</w:t>
            </w:r>
          </w:p>
        </w:tc>
        <w:tc>
          <w:tcPr>
            <w:tcW w:w="816" w:type="dxa"/>
            <w:noWrap w:val="0"/>
            <w:vAlign w:val="top"/>
          </w:tcPr>
          <w:p w14:paraId="29A18628">
            <w:pPr>
              <w:spacing w:line="360" w:lineRule="auto"/>
              <w:jc w:val="center"/>
              <w:rPr>
                <w:rFonts w:hint="eastAsia" w:ascii="新宋体" w:hAnsi="新宋体" w:eastAsia="新宋体" w:cs="新宋体"/>
                <w:color w:val="auto"/>
                <w:sz w:val="24"/>
                <w:szCs w:val="24"/>
                <w:highlight w:val="none"/>
              </w:rPr>
            </w:pPr>
          </w:p>
        </w:tc>
        <w:tc>
          <w:tcPr>
            <w:tcW w:w="1084" w:type="dxa"/>
            <w:vMerge w:val="continue"/>
            <w:noWrap w:val="0"/>
            <w:vAlign w:val="top"/>
          </w:tcPr>
          <w:p w14:paraId="51341593">
            <w:pPr>
              <w:spacing w:line="360" w:lineRule="auto"/>
              <w:rPr>
                <w:rFonts w:hint="eastAsia" w:ascii="新宋体" w:hAnsi="新宋体" w:eastAsia="新宋体" w:cs="新宋体"/>
                <w:color w:val="auto"/>
                <w:sz w:val="24"/>
                <w:szCs w:val="24"/>
                <w:highlight w:val="none"/>
              </w:rPr>
            </w:pPr>
          </w:p>
        </w:tc>
      </w:tr>
      <w:tr w14:paraId="74CB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20" w:type="dxa"/>
            <w:vMerge w:val="restart"/>
            <w:noWrap w:val="0"/>
            <w:vAlign w:val="top"/>
          </w:tcPr>
          <w:p w14:paraId="77C14172">
            <w:pPr>
              <w:spacing w:line="360" w:lineRule="auto"/>
              <w:jc w:val="center"/>
              <w:rPr>
                <w:rFonts w:hint="eastAsia" w:ascii="新宋体" w:hAnsi="新宋体" w:eastAsia="新宋体" w:cs="新宋体"/>
                <w:color w:val="auto"/>
                <w:sz w:val="24"/>
                <w:szCs w:val="24"/>
                <w:highlight w:val="none"/>
              </w:rPr>
            </w:pPr>
          </w:p>
          <w:p w14:paraId="3B46ED65">
            <w:pPr>
              <w:spacing w:line="360" w:lineRule="auto"/>
              <w:jc w:val="center"/>
              <w:rPr>
                <w:rFonts w:hint="eastAsia" w:ascii="新宋体" w:hAnsi="新宋体" w:eastAsia="新宋体" w:cs="新宋体"/>
                <w:color w:val="auto"/>
                <w:sz w:val="24"/>
                <w:szCs w:val="24"/>
                <w:highlight w:val="none"/>
              </w:rPr>
            </w:pPr>
          </w:p>
          <w:p w14:paraId="74F20759">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工作效率</w:t>
            </w:r>
          </w:p>
        </w:tc>
        <w:tc>
          <w:tcPr>
            <w:tcW w:w="5676" w:type="dxa"/>
            <w:noWrap w:val="0"/>
            <w:vAlign w:val="top"/>
          </w:tcPr>
          <w:p w14:paraId="4641AB78">
            <w:pPr>
              <w:spacing w:line="360" w:lineRule="auto"/>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运维人员接到需运维问题电话后，未按规定时间到达现场 且未向需运维方沟通的，每次扣3分</w:t>
            </w:r>
          </w:p>
        </w:tc>
        <w:tc>
          <w:tcPr>
            <w:tcW w:w="884" w:type="dxa"/>
            <w:noWrap w:val="0"/>
            <w:vAlign w:val="top"/>
          </w:tcPr>
          <w:p w14:paraId="265A88E2">
            <w:pPr>
              <w:pStyle w:val="340"/>
              <w:spacing w:line="286" w:lineRule="auto"/>
            </w:pPr>
          </w:p>
          <w:p w14:paraId="766E5FA2">
            <w:pPr>
              <w:pStyle w:val="340"/>
              <w:spacing w:line="287" w:lineRule="auto"/>
            </w:pPr>
          </w:p>
          <w:p w14:paraId="794F124B">
            <w:pPr>
              <w:spacing w:before="91" w:line="183" w:lineRule="auto"/>
              <w:ind w:left="276" w:leftChars="0"/>
              <w:rPr>
                <w:rFonts w:hint="eastAsia" w:ascii="新宋体" w:hAnsi="新宋体" w:eastAsia="新宋体" w:cs="新宋体"/>
                <w:color w:val="auto"/>
                <w:sz w:val="24"/>
                <w:szCs w:val="24"/>
                <w:highlight w:val="none"/>
                <w:lang w:eastAsia="zh-CN"/>
              </w:rPr>
            </w:pPr>
            <w:r>
              <w:rPr>
                <w:rFonts w:hint="eastAsia" w:ascii="宋体" w:hAnsi="宋体" w:cs="宋体"/>
                <w:sz w:val="28"/>
                <w:szCs w:val="28"/>
                <w:lang w:val="en-US" w:eastAsia="zh-CN"/>
              </w:rPr>
              <w:t>6</w:t>
            </w:r>
          </w:p>
        </w:tc>
        <w:tc>
          <w:tcPr>
            <w:tcW w:w="816" w:type="dxa"/>
            <w:noWrap w:val="0"/>
            <w:vAlign w:val="top"/>
          </w:tcPr>
          <w:p w14:paraId="6ED2DA29">
            <w:pPr>
              <w:spacing w:line="360" w:lineRule="auto"/>
              <w:jc w:val="center"/>
              <w:rPr>
                <w:rFonts w:hint="eastAsia" w:ascii="新宋体" w:hAnsi="新宋体" w:eastAsia="新宋体" w:cs="新宋体"/>
                <w:color w:val="auto"/>
                <w:sz w:val="24"/>
                <w:szCs w:val="24"/>
                <w:highlight w:val="none"/>
              </w:rPr>
            </w:pPr>
          </w:p>
        </w:tc>
        <w:tc>
          <w:tcPr>
            <w:tcW w:w="1084" w:type="dxa"/>
            <w:vMerge w:val="restart"/>
            <w:noWrap w:val="0"/>
            <w:vAlign w:val="top"/>
          </w:tcPr>
          <w:p w14:paraId="47A2940C">
            <w:pPr>
              <w:spacing w:line="360" w:lineRule="auto"/>
              <w:rPr>
                <w:rFonts w:hint="eastAsia" w:ascii="新宋体" w:hAnsi="新宋体" w:eastAsia="新宋体" w:cs="新宋体"/>
                <w:color w:val="auto"/>
                <w:sz w:val="24"/>
                <w:szCs w:val="24"/>
                <w:highlight w:val="none"/>
              </w:rPr>
            </w:pPr>
          </w:p>
        </w:tc>
      </w:tr>
      <w:tr w14:paraId="291D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vMerge w:val="continue"/>
            <w:noWrap w:val="0"/>
            <w:vAlign w:val="top"/>
          </w:tcPr>
          <w:p w14:paraId="61662EC2">
            <w:pPr>
              <w:spacing w:line="360" w:lineRule="auto"/>
              <w:jc w:val="center"/>
              <w:rPr>
                <w:rFonts w:hint="eastAsia" w:ascii="新宋体" w:hAnsi="新宋体" w:eastAsia="新宋体" w:cs="新宋体"/>
                <w:color w:val="auto"/>
                <w:sz w:val="24"/>
                <w:szCs w:val="24"/>
                <w:highlight w:val="none"/>
              </w:rPr>
            </w:pPr>
          </w:p>
        </w:tc>
        <w:tc>
          <w:tcPr>
            <w:tcW w:w="5676" w:type="dxa"/>
            <w:noWrap w:val="0"/>
            <w:vAlign w:val="top"/>
          </w:tcPr>
          <w:p w14:paraId="5C762E64">
            <w:pPr>
              <w:spacing w:line="360" w:lineRule="auto"/>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经核实，被有效投诉和上级</w:t>
            </w:r>
            <w:r>
              <w:rPr>
                <w:rFonts w:hint="eastAsia" w:ascii="新宋体" w:hAnsi="新宋体" w:eastAsia="新宋体" w:cs="新宋体"/>
                <w:color w:val="auto"/>
                <w:sz w:val="24"/>
                <w:szCs w:val="24"/>
                <w:highlight w:val="none"/>
                <w:lang w:eastAsia="zh-CN"/>
              </w:rPr>
              <w:t>督查督办</w:t>
            </w:r>
            <w:r>
              <w:rPr>
                <w:rFonts w:hint="eastAsia" w:ascii="新宋体" w:hAnsi="新宋体" w:eastAsia="新宋体" w:cs="新宋体"/>
                <w:color w:val="auto"/>
                <w:sz w:val="24"/>
                <w:szCs w:val="24"/>
                <w:highlight w:val="none"/>
              </w:rPr>
              <w:t>问题的，一个扣2分 (街道级)、3分(区级)、5分(市级)、10分(省级)</w:t>
            </w:r>
          </w:p>
        </w:tc>
        <w:tc>
          <w:tcPr>
            <w:tcW w:w="884" w:type="dxa"/>
            <w:noWrap w:val="0"/>
            <w:vAlign w:val="top"/>
          </w:tcPr>
          <w:p w14:paraId="27FC17BC">
            <w:pPr>
              <w:pStyle w:val="340"/>
              <w:spacing w:line="291" w:lineRule="auto"/>
            </w:pPr>
          </w:p>
          <w:p w14:paraId="554A94A0">
            <w:pPr>
              <w:pStyle w:val="340"/>
              <w:spacing w:line="291" w:lineRule="auto"/>
            </w:pPr>
          </w:p>
          <w:p w14:paraId="3706DD56">
            <w:pPr>
              <w:spacing w:before="91" w:line="184" w:lineRule="auto"/>
              <w:ind w:left="205" w:leftChars="0"/>
              <w:rPr>
                <w:rFonts w:hint="eastAsia" w:ascii="新宋体" w:hAnsi="新宋体" w:eastAsia="新宋体" w:cs="新宋体"/>
                <w:color w:val="auto"/>
                <w:sz w:val="24"/>
                <w:szCs w:val="24"/>
                <w:highlight w:val="none"/>
              </w:rPr>
            </w:pPr>
            <w:r>
              <w:rPr>
                <w:rFonts w:ascii="宋体" w:hAnsi="宋体" w:eastAsia="宋体" w:cs="宋体"/>
                <w:spacing w:val="-8"/>
                <w:sz w:val="28"/>
                <w:szCs w:val="28"/>
              </w:rPr>
              <w:t>10</w:t>
            </w:r>
          </w:p>
        </w:tc>
        <w:tc>
          <w:tcPr>
            <w:tcW w:w="816" w:type="dxa"/>
            <w:noWrap w:val="0"/>
            <w:vAlign w:val="top"/>
          </w:tcPr>
          <w:p w14:paraId="68EEE942">
            <w:pPr>
              <w:spacing w:line="360" w:lineRule="auto"/>
              <w:jc w:val="center"/>
              <w:rPr>
                <w:rFonts w:hint="eastAsia" w:ascii="新宋体" w:hAnsi="新宋体" w:eastAsia="新宋体" w:cs="新宋体"/>
                <w:color w:val="auto"/>
                <w:sz w:val="24"/>
                <w:szCs w:val="24"/>
                <w:highlight w:val="none"/>
              </w:rPr>
            </w:pPr>
          </w:p>
        </w:tc>
        <w:tc>
          <w:tcPr>
            <w:tcW w:w="1084" w:type="dxa"/>
            <w:vMerge w:val="continue"/>
            <w:noWrap w:val="0"/>
            <w:vAlign w:val="top"/>
          </w:tcPr>
          <w:p w14:paraId="6674D4AE">
            <w:pPr>
              <w:spacing w:line="360" w:lineRule="auto"/>
              <w:rPr>
                <w:rFonts w:hint="eastAsia" w:ascii="新宋体" w:hAnsi="新宋体" w:eastAsia="新宋体" w:cs="新宋体"/>
                <w:color w:val="auto"/>
                <w:sz w:val="24"/>
                <w:szCs w:val="24"/>
                <w:highlight w:val="none"/>
              </w:rPr>
            </w:pPr>
          </w:p>
        </w:tc>
      </w:tr>
      <w:tr w14:paraId="0647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20" w:type="dxa"/>
            <w:vMerge w:val="restart"/>
            <w:noWrap w:val="0"/>
            <w:vAlign w:val="top"/>
          </w:tcPr>
          <w:p w14:paraId="080BC1E5">
            <w:pPr>
              <w:spacing w:line="360" w:lineRule="auto"/>
              <w:jc w:val="center"/>
              <w:rPr>
                <w:rFonts w:hint="eastAsia" w:ascii="新宋体" w:hAnsi="新宋体" w:eastAsia="新宋体" w:cs="新宋体"/>
                <w:color w:val="auto"/>
                <w:sz w:val="24"/>
                <w:szCs w:val="24"/>
                <w:highlight w:val="none"/>
              </w:rPr>
            </w:pPr>
          </w:p>
          <w:p w14:paraId="76D2DE54">
            <w:pPr>
              <w:spacing w:line="360" w:lineRule="auto"/>
              <w:jc w:val="center"/>
              <w:rPr>
                <w:rFonts w:hint="eastAsia" w:ascii="新宋体" w:hAnsi="新宋体" w:eastAsia="新宋体" w:cs="新宋体"/>
                <w:color w:val="auto"/>
                <w:sz w:val="24"/>
                <w:szCs w:val="24"/>
                <w:highlight w:val="none"/>
              </w:rPr>
            </w:pPr>
          </w:p>
          <w:p w14:paraId="74779F61">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工作内容</w:t>
            </w:r>
          </w:p>
        </w:tc>
        <w:tc>
          <w:tcPr>
            <w:tcW w:w="5676" w:type="dxa"/>
            <w:noWrap w:val="0"/>
            <w:vAlign w:val="top"/>
          </w:tcPr>
          <w:p w14:paraId="59C7FC5F">
            <w:pPr>
              <w:spacing w:line="360" w:lineRule="auto"/>
              <w:jc w:val="left"/>
              <w:rPr>
                <w:rFonts w:hint="default" w:ascii="新宋体" w:hAnsi="新宋体" w:eastAsia="新宋体" w:cs="新宋体"/>
                <w:color w:val="auto"/>
                <w:sz w:val="24"/>
                <w:szCs w:val="24"/>
                <w:highlight w:val="none"/>
                <w:lang w:val="en-US"/>
              </w:rPr>
            </w:pPr>
            <w:r>
              <w:rPr>
                <w:rFonts w:hint="eastAsia" w:ascii="新宋体" w:hAnsi="新宋体" w:eastAsia="新宋体" w:cs="新宋体"/>
                <w:color w:val="auto"/>
                <w:sz w:val="24"/>
                <w:szCs w:val="24"/>
                <w:highlight w:val="none"/>
              </w:rPr>
              <w:t>浮床、水生植物</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曝气、喷泉装置等出现问题自收到甲方问题报告之后起七日内未整改或未整改到位的， 每处问题扣3分</w:t>
            </w:r>
          </w:p>
        </w:tc>
        <w:tc>
          <w:tcPr>
            <w:tcW w:w="884" w:type="dxa"/>
            <w:noWrap w:val="0"/>
            <w:vAlign w:val="top"/>
          </w:tcPr>
          <w:p w14:paraId="76D81324">
            <w:pPr>
              <w:pStyle w:val="340"/>
              <w:spacing w:line="288" w:lineRule="auto"/>
            </w:pPr>
          </w:p>
          <w:p w14:paraId="12D68875">
            <w:pPr>
              <w:spacing w:before="91" w:line="183" w:lineRule="auto"/>
              <w:ind w:left="205" w:leftChars="0"/>
              <w:rPr>
                <w:rFonts w:hint="eastAsia" w:ascii="新宋体" w:hAnsi="新宋体" w:eastAsia="新宋体" w:cs="新宋体"/>
                <w:color w:val="auto"/>
                <w:sz w:val="24"/>
                <w:szCs w:val="24"/>
                <w:highlight w:val="none"/>
              </w:rPr>
            </w:pPr>
            <w:r>
              <w:rPr>
                <w:rFonts w:ascii="宋体" w:hAnsi="宋体" w:eastAsia="宋体" w:cs="宋体"/>
                <w:spacing w:val="-4"/>
                <w:sz w:val="28"/>
                <w:szCs w:val="28"/>
              </w:rPr>
              <w:t>20</w:t>
            </w:r>
          </w:p>
        </w:tc>
        <w:tc>
          <w:tcPr>
            <w:tcW w:w="816" w:type="dxa"/>
            <w:noWrap w:val="0"/>
            <w:vAlign w:val="top"/>
          </w:tcPr>
          <w:p w14:paraId="4CC0F19C">
            <w:pPr>
              <w:spacing w:line="360" w:lineRule="auto"/>
              <w:rPr>
                <w:rFonts w:hint="eastAsia" w:ascii="新宋体" w:hAnsi="新宋体" w:eastAsia="新宋体" w:cs="新宋体"/>
                <w:color w:val="auto"/>
                <w:sz w:val="24"/>
                <w:szCs w:val="24"/>
                <w:highlight w:val="none"/>
              </w:rPr>
            </w:pPr>
          </w:p>
        </w:tc>
        <w:tc>
          <w:tcPr>
            <w:tcW w:w="1084" w:type="dxa"/>
            <w:vMerge w:val="restart"/>
            <w:noWrap w:val="0"/>
            <w:vAlign w:val="top"/>
          </w:tcPr>
          <w:p w14:paraId="73C12857">
            <w:pPr>
              <w:spacing w:line="360" w:lineRule="auto"/>
              <w:rPr>
                <w:rFonts w:hint="eastAsia" w:ascii="新宋体" w:hAnsi="新宋体" w:eastAsia="新宋体" w:cs="新宋体"/>
                <w:color w:val="auto"/>
                <w:sz w:val="24"/>
                <w:szCs w:val="24"/>
                <w:highlight w:val="none"/>
              </w:rPr>
            </w:pPr>
          </w:p>
        </w:tc>
      </w:tr>
      <w:tr w14:paraId="2ABC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vMerge w:val="continue"/>
            <w:noWrap w:val="0"/>
            <w:vAlign w:val="top"/>
          </w:tcPr>
          <w:p w14:paraId="6671604D">
            <w:pPr>
              <w:spacing w:line="360" w:lineRule="auto"/>
              <w:jc w:val="center"/>
              <w:rPr>
                <w:rFonts w:hint="eastAsia" w:ascii="新宋体" w:hAnsi="新宋体" w:eastAsia="新宋体" w:cs="新宋体"/>
                <w:color w:val="auto"/>
                <w:sz w:val="24"/>
                <w:szCs w:val="24"/>
                <w:highlight w:val="none"/>
              </w:rPr>
            </w:pPr>
          </w:p>
        </w:tc>
        <w:tc>
          <w:tcPr>
            <w:tcW w:w="5676" w:type="dxa"/>
            <w:noWrap w:val="0"/>
            <w:vAlign w:val="top"/>
          </w:tcPr>
          <w:p w14:paraId="2FC0067B">
            <w:pPr>
              <w:spacing w:line="360" w:lineRule="auto"/>
              <w:jc w:val="left"/>
              <w:rPr>
                <w:rFonts w:hint="eastAsia" w:ascii="新宋体" w:hAnsi="新宋体" w:eastAsia="新宋体" w:cs="新宋体"/>
                <w:color w:val="auto"/>
                <w:sz w:val="24"/>
                <w:szCs w:val="24"/>
                <w:highlight w:val="none"/>
              </w:rPr>
            </w:pPr>
            <w:r>
              <w:rPr>
                <w:rFonts w:hint="eastAsia" w:ascii="宋体" w:hAnsi="宋体" w:cs="宋体"/>
                <w:sz w:val="24"/>
                <w:szCs w:val="24"/>
                <w:lang w:eastAsia="zh-CN"/>
              </w:rPr>
              <w:t>河道内水体出现</w:t>
            </w:r>
            <w:r>
              <w:rPr>
                <w:rFonts w:hint="eastAsia" w:ascii="宋体" w:hAnsi="宋体" w:cs="宋体"/>
                <w:sz w:val="24"/>
                <w:highlight w:val="none"/>
                <w:lang w:val="en-US" w:eastAsia="zh-CN"/>
              </w:rPr>
              <w:t>蓝藻及其他影响水质的情况，及时采取应急措施，未及时处置或处置不到位的，发现1次扣5分，未处置的1次扣10分，上级下发整改单后未及时处置扣5分，未处置或处置不到位的每次扣30分。</w:t>
            </w:r>
          </w:p>
        </w:tc>
        <w:tc>
          <w:tcPr>
            <w:tcW w:w="884" w:type="dxa"/>
            <w:noWrap w:val="0"/>
            <w:vAlign w:val="top"/>
          </w:tcPr>
          <w:p w14:paraId="1E91C471">
            <w:pPr>
              <w:pStyle w:val="340"/>
              <w:spacing w:line="289" w:lineRule="auto"/>
            </w:pPr>
          </w:p>
          <w:p w14:paraId="1F336563">
            <w:pPr>
              <w:spacing w:before="91" w:line="183" w:lineRule="auto"/>
              <w:ind w:left="205" w:leftChars="0"/>
              <w:rPr>
                <w:rFonts w:hint="default" w:ascii="新宋体" w:hAnsi="新宋体" w:eastAsia="新宋体" w:cs="新宋体"/>
                <w:color w:val="auto"/>
                <w:sz w:val="24"/>
                <w:szCs w:val="24"/>
                <w:highlight w:val="none"/>
                <w:lang w:val="en-US" w:eastAsia="zh-CN"/>
              </w:rPr>
            </w:pPr>
            <w:r>
              <w:rPr>
                <w:rFonts w:hint="eastAsia" w:ascii="宋体" w:hAnsi="宋体" w:cs="宋体"/>
                <w:spacing w:val="-4"/>
                <w:sz w:val="28"/>
                <w:szCs w:val="28"/>
                <w:lang w:val="en-US" w:eastAsia="zh-CN"/>
              </w:rPr>
              <w:t>30</w:t>
            </w:r>
          </w:p>
        </w:tc>
        <w:tc>
          <w:tcPr>
            <w:tcW w:w="816" w:type="dxa"/>
            <w:noWrap w:val="0"/>
            <w:vAlign w:val="top"/>
          </w:tcPr>
          <w:p w14:paraId="1E4E0497">
            <w:pPr>
              <w:spacing w:line="360" w:lineRule="auto"/>
              <w:rPr>
                <w:rFonts w:hint="eastAsia" w:ascii="新宋体" w:hAnsi="新宋体" w:eastAsia="新宋体" w:cs="新宋体"/>
                <w:color w:val="auto"/>
                <w:sz w:val="24"/>
                <w:szCs w:val="24"/>
                <w:highlight w:val="none"/>
              </w:rPr>
            </w:pPr>
          </w:p>
        </w:tc>
        <w:tc>
          <w:tcPr>
            <w:tcW w:w="1084" w:type="dxa"/>
            <w:vMerge w:val="continue"/>
            <w:noWrap w:val="0"/>
            <w:vAlign w:val="top"/>
          </w:tcPr>
          <w:p w14:paraId="20D10FBB">
            <w:pPr>
              <w:spacing w:line="360" w:lineRule="auto"/>
              <w:rPr>
                <w:rFonts w:hint="eastAsia" w:ascii="新宋体" w:hAnsi="新宋体" w:eastAsia="新宋体" w:cs="新宋体"/>
                <w:color w:val="auto"/>
                <w:sz w:val="24"/>
                <w:szCs w:val="24"/>
                <w:highlight w:val="none"/>
              </w:rPr>
            </w:pPr>
          </w:p>
        </w:tc>
      </w:tr>
      <w:tr w14:paraId="20C2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vMerge w:val="continue"/>
            <w:noWrap w:val="0"/>
            <w:vAlign w:val="top"/>
          </w:tcPr>
          <w:p w14:paraId="45F9DA30">
            <w:pPr>
              <w:spacing w:line="360" w:lineRule="auto"/>
              <w:jc w:val="center"/>
              <w:rPr>
                <w:rFonts w:hint="eastAsia" w:ascii="新宋体" w:hAnsi="新宋体" w:eastAsia="新宋体" w:cs="新宋体"/>
                <w:color w:val="auto"/>
                <w:sz w:val="24"/>
                <w:szCs w:val="24"/>
                <w:highlight w:val="none"/>
              </w:rPr>
            </w:pPr>
          </w:p>
        </w:tc>
        <w:tc>
          <w:tcPr>
            <w:tcW w:w="5676" w:type="dxa"/>
            <w:noWrap w:val="0"/>
            <w:vAlign w:val="top"/>
          </w:tcPr>
          <w:p w14:paraId="1AD175F1">
            <w:pPr>
              <w:spacing w:line="360" w:lineRule="auto"/>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定期运维、巡查记录不完整、 缺失的，每次扣2分</w:t>
            </w:r>
          </w:p>
        </w:tc>
        <w:tc>
          <w:tcPr>
            <w:tcW w:w="884" w:type="dxa"/>
            <w:noWrap w:val="0"/>
            <w:vAlign w:val="top"/>
          </w:tcPr>
          <w:p w14:paraId="7910F71B">
            <w:pPr>
              <w:spacing w:before="91" w:line="184" w:lineRule="auto"/>
              <w:ind w:left="205" w:leftChars="0"/>
              <w:rPr>
                <w:rFonts w:hint="eastAsia" w:ascii="新宋体" w:hAnsi="新宋体" w:eastAsia="新宋体" w:cs="新宋体"/>
                <w:color w:val="auto"/>
                <w:sz w:val="24"/>
                <w:szCs w:val="24"/>
                <w:highlight w:val="none"/>
              </w:rPr>
            </w:pPr>
            <w:r>
              <w:rPr>
                <w:rFonts w:ascii="宋体" w:hAnsi="宋体" w:eastAsia="宋体" w:cs="宋体"/>
                <w:spacing w:val="-8"/>
                <w:sz w:val="28"/>
                <w:szCs w:val="28"/>
              </w:rPr>
              <w:t>10</w:t>
            </w:r>
          </w:p>
        </w:tc>
        <w:tc>
          <w:tcPr>
            <w:tcW w:w="816" w:type="dxa"/>
            <w:noWrap w:val="0"/>
            <w:vAlign w:val="top"/>
          </w:tcPr>
          <w:p w14:paraId="209D19D2">
            <w:pPr>
              <w:spacing w:line="360" w:lineRule="auto"/>
              <w:rPr>
                <w:rFonts w:hint="eastAsia" w:ascii="新宋体" w:hAnsi="新宋体" w:eastAsia="新宋体" w:cs="新宋体"/>
                <w:color w:val="auto"/>
                <w:sz w:val="24"/>
                <w:szCs w:val="24"/>
                <w:highlight w:val="none"/>
              </w:rPr>
            </w:pPr>
          </w:p>
        </w:tc>
        <w:tc>
          <w:tcPr>
            <w:tcW w:w="1084" w:type="dxa"/>
            <w:vMerge w:val="continue"/>
            <w:noWrap w:val="0"/>
            <w:vAlign w:val="top"/>
          </w:tcPr>
          <w:p w14:paraId="4FD002AB">
            <w:pPr>
              <w:spacing w:line="360" w:lineRule="auto"/>
              <w:rPr>
                <w:rFonts w:hint="eastAsia" w:ascii="新宋体" w:hAnsi="新宋体" w:eastAsia="新宋体" w:cs="新宋体"/>
                <w:color w:val="auto"/>
                <w:sz w:val="24"/>
                <w:szCs w:val="24"/>
                <w:highlight w:val="none"/>
              </w:rPr>
            </w:pPr>
          </w:p>
        </w:tc>
      </w:tr>
      <w:tr w14:paraId="70FD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noWrap w:val="0"/>
            <w:vAlign w:val="center"/>
          </w:tcPr>
          <w:p w14:paraId="764056B2">
            <w:pPr>
              <w:spacing w:line="360" w:lineRule="auto"/>
              <w:jc w:val="left"/>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工作内容</w:t>
            </w:r>
          </w:p>
        </w:tc>
        <w:tc>
          <w:tcPr>
            <w:tcW w:w="5676" w:type="dxa"/>
            <w:noWrap w:val="0"/>
            <w:vAlign w:val="center"/>
          </w:tcPr>
          <w:p w14:paraId="31D08624">
            <w:pPr>
              <w:spacing w:line="360" w:lineRule="auto"/>
              <w:jc w:val="left"/>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当月出现劣V类水质河道扣10分，以区级</w:t>
            </w:r>
            <w:r>
              <w:rPr>
                <w:rFonts w:hint="eastAsia" w:ascii="新宋体" w:hAnsi="新宋体" w:eastAsia="新宋体" w:cs="新宋体"/>
                <w:color w:val="auto"/>
                <w:sz w:val="24"/>
                <w:szCs w:val="24"/>
                <w:highlight w:val="none"/>
                <w:lang w:eastAsia="zh-CN"/>
              </w:rPr>
              <w:t>及以上行业</w:t>
            </w:r>
            <w:r>
              <w:rPr>
                <w:rFonts w:hint="eastAsia" w:ascii="新宋体" w:hAnsi="新宋体" w:eastAsia="新宋体" w:cs="新宋体"/>
                <w:color w:val="auto"/>
                <w:sz w:val="24"/>
                <w:szCs w:val="24"/>
                <w:highlight w:val="none"/>
              </w:rPr>
              <w:t>主管 部门委托单位检测为准</w:t>
            </w:r>
          </w:p>
        </w:tc>
        <w:tc>
          <w:tcPr>
            <w:tcW w:w="884" w:type="dxa"/>
            <w:noWrap w:val="0"/>
            <w:vAlign w:val="center"/>
          </w:tcPr>
          <w:p w14:paraId="37E7B26B">
            <w:pPr>
              <w:spacing w:before="91" w:line="184" w:lineRule="auto"/>
              <w:ind w:left="205" w:leftChars="0"/>
              <w:rPr>
                <w:rFonts w:hint="default" w:ascii="新宋体" w:hAnsi="新宋体" w:eastAsia="新宋体" w:cs="新宋体"/>
                <w:color w:val="auto"/>
                <w:sz w:val="24"/>
                <w:szCs w:val="24"/>
                <w:highlight w:val="none"/>
                <w:lang w:val="en-US" w:eastAsia="zh-CN"/>
              </w:rPr>
            </w:pPr>
            <w:r>
              <w:rPr>
                <w:rFonts w:hint="eastAsia" w:ascii="宋体" w:hAnsi="宋体" w:eastAsia="宋体" w:cs="宋体"/>
                <w:spacing w:val="-8"/>
                <w:sz w:val="28"/>
                <w:szCs w:val="28"/>
              </w:rPr>
              <w:t>10</w:t>
            </w:r>
          </w:p>
        </w:tc>
        <w:tc>
          <w:tcPr>
            <w:tcW w:w="816" w:type="dxa"/>
            <w:noWrap w:val="0"/>
            <w:vAlign w:val="top"/>
          </w:tcPr>
          <w:p w14:paraId="596F2B74">
            <w:pPr>
              <w:spacing w:line="360" w:lineRule="auto"/>
              <w:rPr>
                <w:rFonts w:hint="eastAsia" w:ascii="新宋体" w:hAnsi="新宋体" w:eastAsia="新宋体" w:cs="新宋体"/>
                <w:color w:val="auto"/>
                <w:sz w:val="24"/>
                <w:szCs w:val="24"/>
                <w:highlight w:val="none"/>
              </w:rPr>
            </w:pPr>
          </w:p>
        </w:tc>
        <w:tc>
          <w:tcPr>
            <w:tcW w:w="1084" w:type="dxa"/>
            <w:noWrap w:val="0"/>
            <w:vAlign w:val="top"/>
          </w:tcPr>
          <w:p w14:paraId="325E4ECE">
            <w:pPr>
              <w:spacing w:line="360" w:lineRule="auto"/>
              <w:rPr>
                <w:rFonts w:hint="eastAsia" w:ascii="新宋体" w:hAnsi="新宋体" w:eastAsia="新宋体" w:cs="新宋体"/>
                <w:color w:val="auto"/>
                <w:sz w:val="24"/>
                <w:szCs w:val="24"/>
                <w:highlight w:val="none"/>
              </w:rPr>
            </w:pPr>
          </w:p>
        </w:tc>
      </w:tr>
      <w:tr w14:paraId="4326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20" w:type="dxa"/>
            <w:noWrap w:val="0"/>
            <w:vAlign w:val="top"/>
          </w:tcPr>
          <w:p w14:paraId="06598F2E">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合计</w:t>
            </w:r>
          </w:p>
          <w:p w14:paraId="2B4C6165">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得分</w:t>
            </w:r>
          </w:p>
        </w:tc>
        <w:tc>
          <w:tcPr>
            <w:tcW w:w="5676" w:type="dxa"/>
            <w:noWrap w:val="0"/>
            <w:vAlign w:val="top"/>
          </w:tcPr>
          <w:p w14:paraId="559DBF96">
            <w:pPr>
              <w:spacing w:line="360" w:lineRule="auto"/>
              <w:rPr>
                <w:rFonts w:hint="eastAsia" w:ascii="新宋体" w:hAnsi="新宋体" w:eastAsia="新宋体" w:cs="新宋体"/>
                <w:color w:val="auto"/>
                <w:sz w:val="24"/>
                <w:szCs w:val="24"/>
                <w:highlight w:val="none"/>
              </w:rPr>
            </w:pPr>
          </w:p>
        </w:tc>
        <w:tc>
          <w:tcPr>
            <w:tcW w:w="884" w:type="dxa"/>
            <w:noWrap w:val="0"/>
            <w:vAlign w:val="center"/>
          </w:tcPr>
          <w:p w14:paraId="745A599A">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rPr>
              <w:t>分</w:t>
            </w:r>
          </w:p>
        </w:tc>
        <w:tc>
          <w:tcPr>
            <w:tcW w:w="816" w:type="dxa"/>
            <w:noWrap w:val="0"/>
            <w:vAlign w:val="top"/>
          </w:tcPr>
          <w:p w14:paraId="6B647299">
            <w:pPr>
              <w:spacing w:line="360" w:lineRule="auto"/>
              <w:rPr>
                <w:rFonts w:hint="eastAsia" w:ascii="新宋体" w:hAnsi="新宋体" w:eastAsia="新宋体" w:cs="新宋体"/>
                <w:color w:val="auto"/>
                <w:sz w:val="24"/>
                <w:szCs w:val="24"/>
                <w:highlight w:val="none"/>
              </w:rPr>
            </w:pPr>
          </w:p>
        </w:tc>
        <w:tc>
          <w:tcPr>
            <w:tcW w:w="1084" w:type="dxa"/>
            <w:noWrap w:val="0"/>
            <w:vAlign w:val="top"/>
          </w:tcPr>
          <w:p w14:paraId="21FE7705">
            <w:pPr>
              <w:spacing w:line="360" w:lineRule="auto"/>
              <w:rPr>
                <w:rFonts w:hint="eastAsia" w:ascii="新宋体" w:hAnsi="新宋体" w:eastAsia="新宋体" w:cs="新宋体"/>
                <w:color w:val="auto"/>
                <w:sz w:val="24"/>
                <w:szCs w:val="24"/>
                <w:highlight w:val="none"/>
              </w:rPr>
            </w:pPr>
          </w:p>
        </w:tc>
      </w:tr>
    </w:tbl>
    <w:p w14:paraId="432589E8">
      <w:pPr>
        <w:tabs>
          <w:tab w:val="left" w:pos="0"/>
        </w:tabs>
        <w:spacing w:line="360" w:lineRule="auto"/>
        <w:ind w:firstLine="480"/>
        <w:rPr>
          <w:rFonts w:hint="eastAsia" w:ascii="宋体" w:hAnsi="宋体" w:eastAsia="宋体" w:cs="宋体"/>
          <w:b/>
          <w:bCs/>
          <w:kern w:val="0"/>
          <w:sz w:val="24"/>
          <w:szCs w:val="24"/>
          <w:highlight w:val="none"/>
          <w:lang w:val="en-US" w:eastAsia="zh-CN"/>
        </w:rPr>
      </w:pPr>
    </w:p>
    <w:p w14:paraId="62C2CF02">
      <w:pPr>
        <w:tabs>
          <w:tab w:val="left" w:pos="0"/>
        </w:tabs>
        <w:spacing w:line="360" w:lineRule="auto"/>
        <w:ind w:firstLine="48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注：</w:t>
      </w:r>
    </w:p>
    <w:p w14:paraId="3ED8D299">
      <w:pPr>
        <w:pStyle w:val="23"/>
        <w:spacing w:line="360" w:lineRule="auto"/>
        <w:ind w:firstLine="482" w:firstLineChars="200"/>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1.招标文件中打▲内容为实质性要求，不允许有负偏离，否则将以涉及无效投标条款作无效投标。</w:t>
      </w:r>
    </w:p>
    <w:p w14:paraId="22EA6CE6">
      <w:pPr>
        <w:ind w:firstLine="480" w:firstLineChars="200"/>
        <w:rPr>
          <w:rFonts w:hint="eastAsia" w:ascii="宋体" w:hAnsi="宋体" w:eastAsia="宋体" w:cs="宋体"/>
          <w:color w:val="auto"/>
          <w:kern w:val="0"/>
          <w:sz w:val="24"/>
          <w:szCs w:val="20"/>
          <w:highlight w:val="none"/>
          <w:u w:color="000000"/>
        </w:rPr>
      </w:pPr>
    </w:p>
    <w:p w14:paraId="74480F72">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8174EE1">
      <w:pPr>
        <w:widowControl/>
        <w:tabs>
          <w:tab w:val="left" w:pos="0"/>
        </w:tabs>
        <w:adjustRightInd/>
        <w:spacing w:line="360" w:lineRule="auto"/>
        <w:ind w:firstLine="723" w:firstLineChars="200"/>
        <w:jc w:val="center"/>
        <w:textAlignment w:val="baseline"/>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0" w:name="_Toc184314481"/>
      <w:bookmarkEnd w:id="30"/>
      <w:bookmarkStart w:id="31" w:name="_Toc184313254"/>
      <w:bookmarkEnd w:id="31"/>
      <w:bookmarkStart w:id="32" w:name="_Toc184312098"/>
      <w:bookmarkEnd w:id="32"/>
      <w:bookmarkStart w:id="33" w:name="_Toc184312093"/>
      <w:bookmarkEnd w:id="33"/>
      <w:bookmarkStart w:id="34" w:name="_Toc184312126"/>
      <w:bookmarkEnd w:id="34"/>
      <w:bookmarkStart w:id="35" w:name="_Toc184314472"/>
      <w:bookmarkEnd w:id="35"/>
      <w:bookmarkStart w:id="36" w:name="_Toc184314477"/>
      <w:bookmarkEnd w:id="36"/>
      <w:bookmarkStart w:id="37" w:name="_Toc184312129"/>
      <w:bookmarkEnd w:id="37"/>
      <w:bookmarkStart w:id="38" w:name="_Toc184312068"/>
      <w:bookmarkEnd w:id="38"/>
      <w:bookmarkStart w:id="39" w:name="_Toc184308085"/>
      <w:bookmarkEnd w:id="39"/>
      <w:bookmarkStart w:id="40" w:name="_Toc184314454"/>
      <w:bookmarkEnd w:id="40"/>
      <w:bookmarkStart w:id="41" w:name="_Toc184308078"/>
      <w:bookmarkEnd w:id="41"/>
      <w:bookmarkStart w:id="42" w:name="_Toc184314439"/>
      <w:bookmarkEnd w:id="42"/>
      <w:bookmarkStart w:id="43" w:name="_Toc184313291"/>
      <w:bookmarkEnd w:id="43"/>
      <w:bookmarkStart w:id="44" w:name="_Toc184313290"/>
      <w:bookmarkEnd w:id="44"/>
      <w:bookmarkStart w:id="45" w:name="_Toc184312121"/>
      <w:bookmarkEnd w:id="45"/>
      <w:bookmarkStart w:id="46" w:name="_Toc184314444"/>
      <w:bookmarkEnd w:id="46"/>
      <w:bookmarkStart w:id="47" w:name="_Toc184308051"/>
      <w:bookmarkEnd w:id="47"/>
      <w:bookmarkStart w:id="48" w:name="_Toc184310331"/>
      <w:bookmarkEnd w:id="48"/>
      <w:bookmarkStart w:id="49" w:name="_Toc184312074"/>
      <w:bookmarkEnd w:id="49"/>
      <w:bookmarkStart w:id="50" w:name="_Toc184314425"/>
      <w:bookmarkEnd w:id="50"/>
      <w:bookmarkStart w:id="51" w:name="_Toc184312127"/>
      <w:bookmarkEnd w:id="51"/>
      <w:bookmarkStart w:id="52" w:name="_Toc184313293"/>
      <w:bookmarkEnd w:id="52"/>
      <w:bookmarkStart w:id="53" w:name="_Toc184308064"/>
      <w:bookmarkEnd w:id="53"/>
      <w:bookmarkStart w:id="54" w:name="_Toc184308084"/>
      <w:bookmarkEnd w:id="54"/>
      <w:bookmarkStart w:id="55" w:name="_Toc184310334"/>
      <w:bookmarkEnd w:id="55"/>
      <w:bookmarkStart w:id="56" w:name="_Toc184308044"/>
      <w:bookmarkEnd w:id="56"/>
      <w:bookmarkStart w:id="57" w:name="_Toc184312125"/>
      <w:bookmarkEnd w:id="57"/>
      <w:bookmarkStart w:id="58" w:name="_Toc184314440"/>
      <w:bookmarkEnd w:id="58"/>
      <w:bookmarkStart w:id="59" w:name="_Toc184310280"/>
      <w:bookmarkEnd w:id="59"/>
      <w:bookmarkStart w:id="60" w:name="_Toc184308036"/>
      <w:bookmarkEnd w:id="60"/>
      <w:bookmarkStart w:id="61" w:name="_Toc184313251"/>
      <w:bookmarkEnd w:id="61"/>
      <w:bookmarkStart w:id="62" w:name="_Toc184312075"/>
      <w:bookmarkEnd w:id="62"/>
      <w:bookmarkStart w:id="63" w:name="_Toc184308050"/>
      <w:bookmarkEnd w:id="63"/>
      <w:bookmarkStart w:id="64" w:name="_Toc184314411"/>
      <w:bookmarkEnd w:id="64"/>
      <w:bookmarkStart w:id="65" w:name="_Toc184312094"/>
      <w:bookmarkEnd w:id="65"/>
      <w:bookmarkStart w:id="66" w:name="_Toc184310294"/>
      <w:bookmarkEnd w:id="66"/>
      <w:bookmarkStart w:id="67" w:name="_Toc184312082"/>
      <w:bookmarkEnd w:id="67"/>
      <w:bookmarkStart w:id="68" w:name="_Toc184313240"/>
      <w:bookmarkEnd w:id="68"/>
      <w:bookmarkStart w:id="69" w:name="_Toc184314449"/>
      <w:bookmarkEnd w:id="69"/>
      <w:bookmarkStart w:id="70" w:name="_Toc184310303"/>
      <w:bookmarkEnd w:id="70"/>
      <w:bookmarkStart w:id="71" w:name="_Toc184310326"/>
      <w:bookmarkEnd w:id="71"/>
      <w:bookmarkStart w:id="72" w:name="_Toc184310309"/>
      <w:bookmarkEnd w:id="72"/>
      <w:bookmarkStart w:id="73" w:name="_Toc184314417"/>
      <w:bookmarkEnd w:id="73"/>
      <w:bookmarkStart w:id="74" w:name="_Toc184313300"/>
      <w:bookmarkEnd w:id="74"/>
      <w:bookmarkStart w:id="75" w:name="_Toc184308066"/>
      <w:bookmarkEnd w:id="75"/>
      <w:bookmarkStart w:id="76" w:name="_Toc184308049"/>
      <w:bookmarkEnd w:id="76"/>
      <w:bookmarkStart w:id="77" w:name="_Toc184308072"/>
      <w:bookmarkEnd w:id="77"/>
      <w:bookmarkStart w:id="78" w:name="_Toc184313274"/>
      <w:bookmarkEnd w:id="78"/>
      <w:bookmarkStart w:id="79" w:name="_Toc184308103"/>
      <w:bookmarkEnd w:id="79"/>
      <w:bookmarkStart w:id="80" w:name="_Toc184313294"/>
      <w:bookmarkEnd w:id="80"/>
      <w:bookmarkStart w:id="81" w:name="_Toc184314436"/>
      <w:bookmarkEnd w:id="81"/>
      <w:bookmarkStart w:id="82" w:name="_Toc184308040"/>
      <w:bookmarkEnd w:id="82"/>
      <w:bookmarkStart w:id="83" w:name="_Toc184312089"/>
      <w:bookmarkEnd w:id="83"/>
      <w:bookmarkStart w:id="84" w:name="_Toc184313267"/>
      <w:bookmarkEnd w:id="84"/>
      <w:bookmarkStart w:id="85" w:name="_Toc184314452"/>
      <w:bookmarkEnd w:id="85"/>
      <w:bookmarkStart w:id="86" w:name="_Toc184312114"/>
      <w:bookmarkEnd w:id="86"/>
      <w:bookmarkStart w:id="87" w:name="_Toc184312100"/>
      <w:bookmarkEnd w:id="87"/>
      <w:bookmarkStart w:id="88" w:name="_Toc184313263"/>
      <w:bookmarkEnd w:id="88"/>
      <w:bookmarkStart w:id="89" w:name="_Toc184314455"/>
      <w:bookmarkEnd w:id="89"/>
      <w:bookmarkStart w:id="90" w:name="_Toc184314415"/>
      <w:bookmarkEnd w:id="90"/>
      <w:bookmarkStart w:id="91" w:name="_Toc184313286"/>
      <w:bookmarkEnd w:id="91"/>
      <w:bookmarkStart w:id="92" w:name="_Toc184308053"/>
      <w:bookmarkEnd w:id="92"/>
      <w:bookmarkStart w:id="93" w:name="_Toc184310281"/>
      <w:bookmarkEnd w:id="93"/>
      <w:bookmarkStart w:id="94" w:name="_Toc184310300"/>
      <w:bookmarkEnd w:id="94"/>
      <w:bookmarkStart w:id="95" w:name="_Toc184310289"/>
      <w:bookmarkEnd w:id="95"/>
      <w:bookmarkStart w:id="96" w:name="_Toc184314451"/>
      <w:bookmarkEnd w:id="96"/>
      <w:bookmarkStart w:id="97" w:name="_Toc184310332"/>
      <w:bookmarkEnd w:id="97"/>
      <w:bookmarkStart w:id="98" w:name="_Toc184312092"/>
      <w:bookmarkEnd w:id="98"/>
      <w:bookmarkStart w:id="99" w:name="_Toc184312086"/>
      <w:bookmarkEnd w:id="99"/>
      <w:bookmarkStart w:id="100" w:name="_Toc184308082"/>
      <w:bookmarkEnd w:id="100"/>
      <w:bookmarkStart w:id="101" w:name="_Toc184308042"/>
      <w:bookmarkEnd w:id="101"/>
      <w:bookmarkStart w:id="102" w:name="_Toc184314422"/>
      <w:bookmarkEnd w:id="102"/>
      <w:bookmarkStart w:id="103" w:name="_Toc184314435"/>
      <w:bookmarkEnd w:id="103"/>
      <w:bookmarkStart w:id="104" w:name="_Toc184313275"/>
      <w:bookmarkEnd w:id="104"/>
      <w:bookmarkStart w:id="105" w:name="_Toc184308041"/>
      <w:bookmarkEnd w:id="105"/>
      <w:bookmarkStart w:id="106" w:name="_Toc184313303"/>
      <w:bookmarkEnd w:id="106"/>
      <w:bookmarkStart w:id="107" w:name="_Toc184312073"/>
      <w:bookmarkEnd w:id="107"/>
      <w:bookmarkStart w:id="108" w:name="_Toc184308052"/>
      <w:bookmarkEnd w:id="108"/>
      <w:bookmarkStart w:id="109" w:name="_Toc184313310"/>
      <w:bookmarkEnd w:id="109"/>
      <w:bookmarkStart w:id="110" w:name="_Toc184312108"/>
      <w:bookmarkEnd w:id="110"/>
      <w:bookmarkStart w:id="111" w:name="_Toc184312080"/>
      <w:bookmarkEnd w:id="111"/>
      <w:bookmarkStart w:id="112" w:name="_Toc184314456"/>
      <w:bookmarkEnd w:id="112"/>
      <w:bookmarkStart w:id="113" w:name="_Toc184310313"/>
      <w:bookmarkEnd w:id="113"/>
      <w:bookmarkStart w:id="114" w:name="_Toc184310301"/>
      <w:bookmarkEnd w:id="114"/>
      <w:bookmarkStart w:id="115" w:name="_Toc184310341"/>
      <w:bookmarkEnd w:id="115"/>
      <w:bookmarkStart w:id="116" w:name="_Toc184310337"/>
      <w:bookmarkEnd w:id="116"/>
      <w:bookmarkStart w:id="117" w:name="_Toc184310314"/>
      <w:bookmarkEnd w:id="117"/>
      <w:bookmarkStart w:id="118" w:name="_Toc184314460"/>
      <w:bookmarkEnd w:id="118"/>
      <w:bookmarkStart w:id="119" w:name="_Toc184308039"/>
      <w:bookmarkEnd w:id="119"/>
      <w:bookmarkStart w:id="120" w:name="_Toc184312111"/>
      <w:bookmarkEnd w:id="120"/>
      <w:bookmarkStart w:id="121" w:name="_Toc184308091"/>
      <w:bookmarkEnd w:id="121"/>
      <w:bookmarkStart w:id="122" w:name="_Toc184314431"/>
      <w:bookmarkEnd w:id="122"/>
      <w:bookmarkStart w:id="123" w:name="_Toc184310292"/>
      <w:bookmarkEnd w:id="123"/>
      <w:bookmarkStart w:id="124" w:name="_Toc184308107"/>
      <w:bookmarkEnd w:id="124"/>
      <w:bookmarkStart w:id="125" w:name="_Toc184312135"/>
      <w:bookmarkEnd w:id="125"/>
      <w:bookmarkStart w:id="126" w:name="_Toc184310310"/>
      <w:bookmarkEnd w:id="126"/>
      <w:bookmarkStart w:id="127" w:name="_Toc184308045"/>
      <w:bookmarkEnd w:id="127"/>
      <w:bookmarkStart w:id="128" w:name="_Toc184310333"/>
      <w:bookmarkEnd w:id="128"/>
      <w:bookmarkStart w:id="129" w:name="_Toc184310329"/>
      <w:bookmarkEnd w:id="129"/>
      <w:bookmarkStart w:id="130" w:name="_Toc184314443"/>
      <w:bookmarkEnd w:id="130"/>
      <w:bookmarkStart w:id="131" w:name="_Toc184308086"/>
      <w:bookmarkEnd w:id="131"/>
      <w:bookmarkStart w:id="132" w:name="_Toc184313297"/>
      <w:bookmarkEnd w:id="132"/>
      <w:bookmarkStart w:id="133" w:name="_Toc184313262"/>
      <w:bookmarkEnd w:id="133"/>
      <w:bookmarkStart w:id="134" w:name="_Toc184314458"/>
      <w:bookmarkEnd w:id="134"/>
      <w:bookmarkStart w:id="135" w:name="_Toc184308106"/>
      <w:bookmarkEnd w:id="135"/>
      <w:bookmarkStart w:id="136" w:name="_Toc184313302"/>
      <w:bookmarkEnd w:id="136"/>
      <w:bookmarkStart w:id="137" w:name="_Toc184313273"/>
      <w:bookmarkEnd w:id="137"/>
      <w:bookmarkStart w:id="138" w:name="_Toc184313307"/>
      <w:bookmarkEnd w:id="138"/>
      <w:bookmarkStart w:id="139" w:name="_Toc184314471"/>
      <w:bookmarkEnd w:id="139"/>
      <w:bookmarkStart w:id="140" w:name="_Toc184314429"/>
      <w:bookmarkEnd w:id="140"/>
      <w:bookmarkStart w:id="141" w:name="_Toc184308076"/>
      <w:bookmarkEnd w:id="141"/>
      <w:bookmarkStart w:id="142" w:name="_Toc184312122"/>
      <w:bookmarkEnd w:id="142"/>
      <w:bookmarkStart w:id="143" w:name="_Toc184313296"/>
      <w:bookmarkEnd w:id="143"/>
      <w:bookmarkStart w:id="144" w:name="_Toc184313287"/>
      <w:bookmarkEnd w:id="144"/>
      <w:bookmarkStart w:id="145" w:name="_Toc184308071"/>
      <w:bookmarkEnd w:id="145"/>
      <w:bookmarkStart w:id="146" w:name="_Toc184308069"/>
      <w:bookmarkEnd w:id="146"/>
      <w:bookmarkStart w:id="147" w:name="_Toc184310285"/>
      <w:bookmarkEnd w:id="147"/>
      <w:bookmarkStart w:id="148" w:name="_Toc184312104"/>
      <w:bookmarkEnd w:id="148"/>
      <w:bookmarkStart w:id="149" w:name="_Toc184314433"/>
      <w:bookmarkEnd w:id="149"/>
      <w:bookmarkStart w:id="150" w:name="_Toc184310274"/>
      <w:bookmarkEnd w:id="150"/>
      <w:bookmarkStart w:id="151" w:name="_Toc184308059"/>
      <w:bookmarkEnd w:id="151"/>
      <w:bookmarkStart w:id="152" w:name="_Toc184310282"/>
      <w:bookmarkEnd w:id="152"/>
      <w:bookmarkStart w:id="153" w:name="_Toc184308061"/>
      <w:bookmarkEnd w:id="153"/>
      <w:bookmarkStart w:id="154" w:name="_Toc184312137"/>
      <w:bookmarkEnd w:id="154"/>
      <w:bookmarkStart w:id="155" w:name="_Toc184308055"/>
      <w:bookmarkEnd w:id="155"/>
      <w:bookmarkStart w:id="156" w:name="_Toc184313299"/>
      <w:bookmarkEnd w:id="156"/>
      <w:bookmarkStart w:id="157" w:name="_Toc184312102"/>
      <w:bookmarkEnd w:id="157"/>
      <w:bookmarkStart w:id="158" w:name="_Toc184310291"/>
      <w:bookmarkEnd w:id="158"/>
      <w:bookmarkStart w:id="159" w:name="_Toc184313264"/>
      <w:bookmarkEnd w:id="159"/>
      <w:bookmarkStart w:id="160" w:name="_Toc184313271"/>
      <w:bookmarkEnd w:id="160"/>
      <w:bookmarkStart w:id="161" w:name="_Toc184310338"/>
      <w:bookmarkEnd w:id="161"/>
      <w:bookmarkStart w:id="162" w:name="_Toc184313283"/>
      <w:bookmarkEnd w:id="162"/>
      <w:bookmarkStart w:id="163" w:name="_Toc184308088"/>
      <w:bookmarkEnd w:id="163"/>
      <w:bookmarkStart w:id="164" w:name="_Toc184308047"/>
      <w:bookmarkEnd w:id="164"/>
      <w:bookmarkStart w:id="165" w:name="_Toc184312105"/>
      <w:bookmarkEnd w:id="165"/>
      <w:bookmarkStart w:id="166" w:name="_Toc184310307"/>
      <w:bookmarkEnd w:id="166"/>
      <w:bookmarkStart w:id="167" w:name="_Toc184314473"/>
      <w:bookmarkEnd w:id="167"/>
      <w:bookmarkStart w:id="168" w:name="_Toc184310272"/>
      <w:bookmarkEnd w:id="168"/>
      <w:bookmarkStart w:id="169" w:name="_Toc184314419"/>
      <w:bookmarkEnd w:id="169"/>
      <w:bookmarkStart w:id="170" w:name="_Toc184313289"/>
      <w:bookmarkEnd w:id="170"/>
      <w:bookmarkStart w:id="171" w:name="_Toc184310306"/>
      <w:bookmarkEnd w:id="171"/>
      <w:bookmarkStart w:id="172" w:name="_Toc184313279"/>
      <w:bookmarkEnd w:id="172"/>
      <w:bookmarkStart w:id="173" w:name="_Toc184312097"/>
      <w:bookmarkEnd w:id="173"/>
      <w:bookmarkStart w:id="174" w:name="_Toc184313247"/>
      <w:bookmarkEnd w:id="174"/>
      <w:bookmarkStart w:id="175" w:name="_Toc184310305"/>
      <w:bookmarkEnd w:id="175"/>
      <w:bookmarkStart w:id="176" w:name="_Toc184310336"/>
      <w:bookmarkEnd w:id="176"/>
      <w:bookmarkStart w:id="177" w:name="_Toc184310287"/>
      <w:bookmarkEnd w:id="177"/>
      <w:bookmarkStart w:id="178" w:name="_Toc184314421"/>
      <w:bookmarkEnd w:id="178"/>
      <w:bookmarkStart w:id="179" w:name="_Toc184314414"/>
      <w:bookmarkEnd w:id="179"/>
      <w:bookmarkStart w:id="180" w:name="_Toc184308094"/>
      <w:bookmarkEnd w:id="180"/>
      <w:bookmarkStart w:id="181" w:name="_Toc184308108"/>
      <w:bookmarkEnd w:id="181"/>
      <w:bookmarkStart w:id="182" w:name="_Toc184312079"/>
      <w:bookmarkEnd w:id="182"/>
      <w:bookmarkStart w:id="183" w:name="_Toc184308095"/>
      <w:bookmarkEnd w:id="183"/>
      <w:bookmarkStart w:id="184" w:name="_Toc184313255"/>
      <w:bookmarkEnd w:id="184"/>
      <w:bookmarkStart w:id="185" w:name="_Toc184313306"/>
      <w:bookmarkEnd w:id="185"/>
      <w:bookmarkStart w:id="186" w:name="_Toc184310311"/>
      <w:bookmarkEnd w:id="186"/>
      <w:bookmarkStart w:id="187" w:name="_Toc184314464"/>
      <w:bookmarkEnd w:id="187"/>
      <w:bookmarkStart w:id="188" w:name="_Toc184314480"/>
      <w:bookmarkEnd w:id="188"/>
      <w:bookmarkStart w:id="189" w:name="_Toc184308101"/>
      <w:bookmarkEnd w:id="189"/>
      <w:bookmarkStart w:id="190" w:name="_Toc184310293"/>
      <w:bookmarkEnd w:id="190"/>
      <w:bookmarkStart w:id="191" w:name="_Toc184308048"/>
      <w:bookmarkEnd w:id="191"/>
      <w:bookmarkStart w:id="192" w:name="_Toc184312120"/>
      <w:bookmarkEnd w:id="192"/>
      <w:bookmarkStart w:id="193" w:name="_Toc184310284"/>
      <w:bookmarkEnd w:id="193"/>
      <w:bookmarkStart w:id="194" w:name="_Toc184312138"/>
      <w:bookmarkEnd w:id="194"/>
      <w:bookmarkStart w:id="195" w:name="_Toc184313253"/>
      <w:bookmarkEnd w:id="195"/>
      <w:bookmarkStart w:id="196" w:name="_Toc184310304"/>
      <w:bookmarkEnd w:id="196"/>
      <w:bookmarkStart w:id="197" w:name="_Toc184308056"/>
      <w:bookmarkEnd w:id="197"/>
      <w:bookmarkStart w:id="198" w:name="_Toc184313258"/>
      <w:bookmarkEnd w:id="198"/>
      <w:bookmarkStart w:id="199" w:name="_Toc184314426"/>
      <w:bookmarkEnd w:id="199"/>
      <w:bookmarkStart w:id="200" w:name="_Toc184310277"/>
      <w:bookmarkEnd w:id="200"/>
      <w:bookmarkStart w:id="201" w:name="_Toc184310275"/>
      <w:bookmarkEnd w:id="201"/>
      <w:bookmarkStart w:id="202" w:name="_Toc184314475"/>
      <w:bookmarkEnd w:id="202"/>
      <w:bookmarkStart w:id="203" w:name="_Toc184308104"/>
      <w:bookmarkEnd w:id="203"/>
      <w:bookmarkStart w:id="204" w:name="_Toc184313260"/>
      <w:bookmarkEnd w:id="204"/>
      <w:bookmarkStart w:id="205" w:name="_Toc184312084"/>
      <w:bookmarkEnd w:id="205"/>
      <w:bookmarkStart w:id="206" w:name="_Toc184313269"/>
      <w:bookmarkEnd w:id="206"/>
      <w:bookmarkStart w:id="207" w:name="_Toc184308070"/>
      <w:bookmarkEnd w:id="207"/>
      <w:bookmarkStart w:id="208" w:name="_Toc184310295"/>
      <w:bookmarkEnd w:id="208"/>
      <w:bookmarkStart w:id="209" w:name="_Toc184308062"/>
      <w:bookmarkEnd w:id="209"/>
      <w:bookmarkStart w:id="210" w:name="_Toc184310343"/>
      <w:bookmarkEnd w:id="210"/>
      <w:bookmarkStart w:id="211" w:name="_Toc184312113"/>
      <w:bookmarkEnd w:id="211"/>
      <w:bookmarkStart w:id="212" w:name="_Toc184308097"/>
      <w:bookmarkEnd w:id="212"/>
      <w:bookmarkStart w:id="213" w:name="_Toc184313309"/>
      <w:bookmarkEnd w:id="213"/>
      <w:bookmarkStart w:id="214" w:name="_Toc184308102"/>
      <w:bookmarkEnd w:id="214"/>
      <w:bookmarkStart w:id="215" w:name="_Toc184313280"/>
      <w:bookmarkEnd w:id="215"/>
      <w:bookmarkStart w:id="216" w:name="_Toc184313238"/>
      <w:bookmarkEnd w:id="216"/>
      <w:bookmarkStart w:id="217" w:name="_Toc184314482"/>
      <w:bookmarkEnd w:id="217"/>
      <w:bookmarkStart w:id="218" w:name="_Toc184313281"/>
      <w:bookmarkEnd w:id="218"/>
      <w:bookmarkStart w:id="219" w:name="_Toc184308081"/>
      <w:bookmarkEnd w:id="219"/>
      <w:bookmarkStart w:id="220" w:name="_Toc184310315"/>
      <w:bookmarkEnd w:id="220"/>
      <w:bookmarkStart w:id="221" w:name="_Toc184308037"/>
      <w:bookmarkEnd w:id="221"/>
      <w:bookmarkStart w:id="222" w:name="_Toc184314466"/>
      <w:bookmarkEnd w:id="222"/>
      <w:bookmarkStart w:id="223" w:name="_Toc184312077"/>
      <w:bookmarkEnd w:id="223"/>
      <w:bookmarkStart w:id="224" w:name="_Toc184314467"/>
      <w:bookmarkEnd w:id="224"/>
      <w:bookmarkStart w:id="225" w:name="_Toc184313241"/>
      <w:bookmarkEnd w:id="225"/>
      <w:bookmarkStart w:id="226" w:name="_Toc184313257"/>
      <w:bookmarkEnd w:id="226"/>
      <w:bookmarkStart w:id="227" w:name="_Toc184314413"/>
      <w:bookmarkEnd w:id="227"/>
      <w:bookmarkStart w:id="228" w:name="_Toc184308065"/>
      <w:bookmarkEnd w:id="228"/>
      <w:bookmarkStart w:id="229" w:name="_Toc184312085"/>
      <w:bookmarkEnd w:id="229"/>
      <w:bookmarkStart w:id="230" w:name="_Toc184308092"/>
      <w:bookmarkEnd w:id="230"/>
      <w:bookmarkStart w:id="231" w:name="_Toc184314437"/>
      <w:bookmarkEnd w:id="231"/>
      <w:bookmarkStart w:id="232" w:name="_Toc184312096"/>
      <w:bookmarkEnd w:id="232"/>
      <w:bookmarkStart w:id="233" w:name="_Toc184310320"/>
      <w:bookmarkEnd w:id="233"/>
      <w:bookmarkStart w:id="234" w:name="_Toc184312083"/>
      <w:bookmarkEnd w:id="234"/>
      <w:bookmarkStart w:id="235" w:name="_Toc184310342"/>
      <w:bookmarkEnd w:id="235"/>
      <w:bookmarkStart w:id="236" w:name="_Toc184312133"/>
      <w:bookmarkEnd w:id="236"/>
      <w:bookmarkStart w:id="237" w:name="_Toc184312070"/>
      <w:bookmarkEnd w:id="237"/>
      <w:bookmarkStart w:id="238" w:name="_Toc184313272"/>
      <w:bookmarkEnd w:id="238"/>
      <w:bookmarkStart w:id="239" w:name="_Toc184314420"/>
      <w:bookmarkEnd w:id="239"/>
      <w:bookmarkStart w:id="240" w:name="_Toc184313248"/>
      <w:bookmarkEnd w:id="240"/>
      <w:bookmarkStart w:id="241" w:name="_Toc184312095"/>
      <w:bookmarkEnd w:id="241"/>
      <w:bookmarkStart w:id="242" w:name="_Toc184314441"/>
      <w:bookmarkEnd w:id="242"/>
      <w:bookmarkStart w:id="243" w:name="_Toc184312076"/>
      <w:bookmarkEnd w:id="243"/>
      <w:bookmarkStart w:id="244" w:name="_Toc184310316"/>
      <w:bookmarkEnd w:id="244"/>
      <w:bookmarkStart w:id="245" w:name="_Toc184313268"/>
      <w:bookmarkEnd w:id="245"/>
      <w:bookmarkStart w:id="246" w:name="_Toc184312115"/>
      <w:bookmarkEnd w:id="246"/>
      <w:bookmarkStart w:id="247" w:name="_Toc184314461"/>
      <w:bookmarkEnd w:id="247"/>
      <w:bookmarkStart w:id="248" w:name="_Toc184313276"/>
      <w:bookmarkEnd w:id="248"/>
      <w:bookmarkStart w:id="249" w:name="_Toc184310299"/>
      <w:bookmarkEnd w:id="249"/>
      <w:bookmarkStart w:id="250" w:name="_Toc184310319"/>
      <w:bookmarkEnd w:id="250"/>
      <w:bookmarkStart w:id="251" w:name="_Toc184314442"/>
      <w:bookmarkEnd w:id="251"/>
      <w:bookmarkStart w:id="252" w:name="_Toc184312099"/>
      <w:bookmarkEnd w:id="252"/>
      <w:bookmarkStart w:id="253" w:name="_Toc184314468"/>
      <w:bookmarkEnd w:id="253"/>
      <w:bookmarkStart w:id="254" w:name="_Toc184314459"/>
      <w:bookmarkEnd w:id="254"/>
      <w:bookmarkStart w:id="255" w:name="_Toc184310286"/>
      <w:bookmarkEnd w:id="255"/>
      <w:bookmarkStart w:id="256" w:name="_Toc184312123"/>
      <w:bookmarkEnd w:id="256"/>
      <w:bookmarkStart w:id="257" w:name="_Toc184314478"/>
      <w:bookmarkEnd w:id="257"/>
      <w:bookmarkStart w:id="258" w:name="_Toc184310298"/>
      <w:bookmarkEnd w:id="258"/>
      <w:bookmarkStart w:id="259" w:name="_Toc184314453"/>
      <w:bookmarkEnd w:id="259"/>
      <w:bookmarkStart w:id="260" w:name="_Toc184314434"/>
      <w:bookmarkEnd w:id="260"/>
      <w:bookmarkStart w:id="261" w:name="_Toc184308077"/>
      <w:bookmarkEnd w:id="261"/>
      <w:bookmarkStart w:id="262" w:name="_Toc184308046"/>
      <w:bookmarkEnd w:id="262"/>
      <w:bookmarkStart w:id="263" w:name="_Toc184313244"/>
      <w:bookmarkEnd w:id="263"/>
      <w:bookmarkStart w:id="264" w:name="_Toc184313250"/>
      <w:bookmarkEnd w:id="264"/>
      <w:bookmarkStart w:id="265" w:name="_Toc184312136"/>
      <w:bookmarkEnd w:id="265"/>
      <w:bookmarkStart w:id="266" w:name="_Toc184310340"/>
      <w:bookmarkEnd w:id="266"/>
      <w:bookmarkStart w:id="267" w:name="_Toc184310283"/>
      <w:bookmarkEnd w:id="267"/>
      <w:bookmarkStart w:id="268" w:name="_Toc184314474"/>
      <w:bookmarkEnd w:id="268"/>
      <w:bookmarkStart w:id="269" w:name="_Toc184314470"/>
      <w:bookmarkEnd w:id="269"/>
      <w:bookmarkStart w:id="270" w:name="_Toc184314463"/>
      <w:bookmarkEnd w:id="270"/>
      <w:bookmarkStart w:id="271" w:name="_Toc184310327"/>
      <w:bookmarkEnd w:id="271"/>
      <w:bookmarkStart w:id="272" w:name="_Toc184313278"/>
      <w:bookmarkEnd w:id="272"/>
      <w:bookmarkStart w:id="273" w:name="_Toc184313252"/>
      <w:bookmarkEnd w:id="273"/>
      <w:bookmarkStart w:id="274" w:name="_Toc184313242"/>
      <w:bookmarkEnd w:id="274"/>
      <w:bookmarkStart w:id="275" w:name="_Toc184310297"/>
      <w:bookmarkEnd w:id="275"/>
      <w:bookmarkStart w:id="276" w:name="_Toc184312087"/>
      <w:bookmarkEnd w:id="276"/>
      <w:bookmarkStart w:id="277" w:name="_Toc184312134"/>
      <w:bookmarkEnd w:id="277"/>
      <w:bookmarkStart w:id="278" w:name="_Toc184312067"/>
      <w:bookmarkEnd w:id="278"/>
      <w:bookmarkStart w:id="279" w:name="_Toc184308060"/>
      <w:bookmarkEnd w:id="279"/>
      <w:bookmarkStart w:id="280" w:name="_Toc184314438"/>
      <w:bookmarkEnd w:id="280"/>
      <w:bookmarkStart w:id="281" w:name="_Toc184314430"/>
      <w:bookmarkEnd w:id="281"/>
      <w:bookmarkStart w:id="282" w:name="_Toc184313259"/>
      <w:bookmarkEnd w:id="282"/>
      <w:bookmarkStart w:id="283" w:name="_Toc184308068"/>
      <w:bookmarkEnd w:id="283"/>
      <w:bookmarkStart w:id="284" w:name="_Toc184310312"/>
      <w:bookmarkEnd w:id="284"/>
      <w:bookmarkStart w:id="285" w:name="_Toc184314410"/>
      <w:bookmarkEnd w:id="285"/>
      <w:bookmarkStart w:id="286" w:name="_Toc184314469"/>
      <w:bookmarkEnd w:id="286"/>
      <w:bookmarkStart w:id="287" w:name="_Toc184313284"/>
      <w:bookmarkEnd w:id="287"/>
      <w:bookmarkStart w:id="288" w:name="_Toc184308079"/>
      <w:bookmarkEnd w:id="288"/>
      <w:bookmarkStart w:id="289" w:name="_Toc184314462"/>
      <w:bookmarkEnd w:id="289"/>
      <w:bookmarkStart w:id="290" w:name="_Toc184308074"/>
      <w:bookmarkEnd w:id="290"/>
      <w:bookmarkStart w:id="291" w:name="_Toc184314479"/>
      <w:bookmarkEnd w:id="291"/>
      <w:bookmarkStart w:id="292" w:name="_Toc184308080"/>
      <w:bookmarkEnd w:id="292"/>
      <w:bookmarkStart w:id="293" w:name="_Toc184314448"/>
      <w:bookmarkEnd w:id="293"/>
      <w:bookmarkStart w:id="294" w:name="_Toc184308087"/>
      <w:bookmarkEnd w:id="294"/>
      <w:bookmarkStart w:id="295" w:name="_Toc184312131"/>
      <w:bookmarkEnd w:id="295"/>
      <w:bookmarkStart w:id="296" w:name="_Toc184313305"/>
      <w:bookmarkEnd w:id="296"/>
      <w:bookmarkStart w:id="297" w:name="_Toc184314432"/>
      <w:bookmarkEnd w:id="297"/>
      <w:bookmarkStart w:id="298" w:name="_Toc184312132"/>
      <w:bookmarkEnd w:id="298"/>
      <w:bookmarkStart w:id="299" w:name="_Toc184308100"/>
      <w:bookmarkEnd w:id="299"/>
      <w:bookmarkStart w:id="300" w:name="_Toc184313256"/>
      <w:bookmarkEnd w:id="300"/>
      <w:bookmarkStart w:id="301" w:name="_Toc184314428"/>
      <w:bookmarkEnd w:id="301"/>
      <w:bookmarkStart w:id="302" w:name="_Toc184310273"/>
      <w:bookmarkEnd w:id="302"/>
      <w:bookmarkStart w:id="303" w:name="_Toc184313301"/>
      <w:bookmarkEnd w:id="303"/>
      <w:bookmarkStart w:id="304" w:name="_Toc184314447"/>
      <w:bookmarkEnd w:id="304"/>
      <w:bookmarkStart w:id="305" w:name="_Toc184310308"/>
      <w:bookmarkEnd w:id="305"/>
      <w:bookmarkStart w:id="306" w:name="_Toc184308073"/>
      <w:bookmarkEnd w:id="306"/>
      <w:bookmarkStart w:id="307" w:name="_Toc184313295"/>
      <w:bookmarkEnd w:id="307"/>
      <w:bookmarkStart w:id="308" w:name="_Toc184313270"/>
      <w:bookmarkEnd w:id="308"/>
      <w:bookmarkStart w:id="309" w:name="_Toc184314450"/>
      <w:bookmarkEnd w:id="309"/>
      <w:bookmarkStart w:id="310" w:name="_Toc184312130"/>
      <w:bookmarkEnd w:id="310"/>
      <w:bookmarkStart w:id="311" w:name="_Toc184310290"/>
      <w:bookmarkEnd w:id="311"/>
      <w:bookmarkStart w:id="312" w:name="_Toc184308098"/>
      <w:bookmarkEnd w:id="312"/>
      <w:bookmarkStart w:id="313" w:name="_Toc184310330"/>
      <w:bookmarkEnd w:id="313"/>
      <w:bookmarkStart w:id="314" w:name="_Toc184312091"/>
      <w:bookmarkEnd w:id="314"/>
      <w:bookmarkStart w:id="315" w:name="_Toc184313243"/>
      <w:bookmarkEnd w:id="315"/>
      <w:bookmarkStart w:id="316" w:name="_Toc184314412"/>
      <w:bookmarkEnd w:id="316"/>
      <w:bookmarkStart w:id="317" w:name="_Toc184312116"/>
      <w:bookmarkEnd w:id="317"/>
      <w:bookmarkStart w:id="318" w:name="_Toc184314427"/>
      <w:bookmarkEnd w:id="318"/>
      <w:bookmarkStart w:id="319" w:name="_Toc184313266"/>
      <w:bookmarkEnd w:id="319"/>
      <w:bookmarkStart w:id="320" w:name="_Toc184313304"/>
      <w:bookmarkEnd w:id="320"/>
      <w:bookmarkStart w:id="321" w:name="_Toc184308043"/>
      <w:bookmarkEnd w:id="321"/>
      <w:bookmarkStart w:id="322" w:name="_Toc184308083"/>
      <w:bookmarkEnd w:id="322"/>
      <w:bookmarkStart w:id="323" w:name="_Toc184314446"/>
      <w:bookmarkEnd w:id="323"/>
      <w:bookmarkStart w:id="324" w:name="_Toc184314465"/>
      <w:bookmarkEnd w:id="324"/>
      <w:bookmarkStart w:id="325" w:name="_Toc184308099"/>
      <w:bookmarkEnd w:id="325"/>
      <w:bookmarkStart w:id="326" w:name="_Toc184312118"/>
      <w:bookmarkEnd w:id="326"/>
      <w:bookmarkStart w:id="327" w:name="_Toc184312112"/>
      <w:bookmarkEnd w:id="327"/>
      <w:bookmarkStart w:id="328" w:name="_Toc184310302"/>
      <w:bookmarkEnd w:id="328"/>
      <w:bookmarkStart w:id="329" w:name="_Toc184310325"/>
      <w:bookmarkEnd w:id="329"/>
      <w:bookmarkStart w:id="330" w:name="_Toc184313245"/>
      <w:bookmarkEnd w:id="330"/>
      <w:bookmarkStart w:id="331" w:name="_Toc184313288"/>
      <w:bookmarkEnd w:id="331"/>
      <w:bookmarkStart w:id="332" w:name="_Toc184312119"/>
      <w:bookmarkEnd w:id="332"/>
      <w:bookmarkStart w:id="333" w:name="_Toc184310339"/>
      <w:bookmarkEnd w:id="333"/>
      <w:bookmarkStart w:id="334" w:name="_Toc184312107"/>
      <w:bookmarkEnd w:id="334"/>
      <w:bookmarkStart w:id="335" w:name="_Toc184313298"/>
      <w:bookmarkEnd w:id="335"/>
      <w:bookmarkStart w:id="336" w:name="_Toc184312069"/>
      <w:bookmarkEnd w:id="336"/>
      <w:bookmarkStart w:id="337" w:name="_Toc184308075"/>
      <w:bookmarkEnd w:id="337"/>
      <w:bookmarkStart w:id="338" w:name="_Toc184314424"/>
      <w:bookmarkEnd w:id="338"/>
      <w:bookmarkStart w:id="339" w:name="_Toc184313292"/>
      <w:bookmarkEnd w:id="339"/>
      <w:bookmarkStart w:id="340" w:name="_Toc184313261"/>
      <w:bookmarkEnd w:id="340"/>
      <w:bookmarkStart w:id="341" w:name="_Toc184310321"/>
      <w:bookmarkEnd w:id="341"/>
      <w:bookmarkStart w:id="342" w:name="_Toc184312139"/>
      <w:bookmarkEnd w:id="342"/>
      <w:bookmarkStart w:id="343" w:name="_Toc184312103"/>
      <w:bookmarkEnd w:id="343"/>
      <w:bookmarkStart w:id="344" w:name="_Toc184310328"/>
      <w:bookmarkEnd w:id="344"/>
      <w:bookmarkStart w:id="345" w:name="_Toc184312090"/>
      <w:bookmarkEnd w:id="345"/>
      <w:bookmarkStart w:id="346" w:name="_Toc184310288"/>
      <w:bookmarkEnd w:id="346"/>
      <w:bookmarkStart w:id="347" w:name="_Toc184308096"/>
      <w:bookmarkEnd w:id="347"/>
      <w:bookmarkStart w:id="348" w:name="_Toc184310335"/>
      <w:bookmarkEnd w:id="348"/>
      <w:bookmarkStart w:id="349" w:name="_Toc184313308"/>
      <w:bookmarkEnd w:id="349"/>
      <w:bookmarkStart w:id="350" w:name="_Toc184310318"/>
      <w:bookmarkEnd w:id="350"/>
      <w:bookmarkStart w:id="351" w:name="_Toc184312071"/>
      <w:bookmarkEnd w:id="351"/>
      <w:bookmarkStart w:id="352" w:name="_Toc184313239"/>
      <w:bookmarkEnd w:id="352"/>
      <w:bookmarkStart w:id="353" w:name="_Toc184308038"/>
      <w:bookmarkEnd w:id="353"/>
      <w:bookmarkStart w:id="354" w:name="_Toc184314457"/>
      <w:bookmarkEnd w:id="354"/>
      <w:bookmarkStart w:id="355" w:name="_Toc184310322"/>
      <w:bookmarkEnd w:id="355"/>
      <w:bookmarkStart w:id="356" w:name="_Toc184310279"/>
      <w:bookmarkEnd w:id="356"/>
      <w:bookmarkStart w:id="357" w:name="_Toc184313277"/>
      <w:bookmarkEnd w:id="357"/>
      <w:bookmarkStart w:id="358" w:name="_Toc184310344"/>
      <w:bookmarkEnd w:id="358"/>
      <w:bookmarkStart w:id="359" w:name="_Toc184310296"/>
      <w:bookmarkEnd w:id="359"/>
      <w:bookmarkStart w:id="360" w:name="_Toc184310317"/>
      <w:bookmarkEnd w:id="360"/>
      <w:bookmarkStart w:id="361" w:name="_Toc184312110"/>
      <w:bookmarkEnd w:id="361"/>
      <w:bookmarkStart w:id="362" w:name="_Toc184312109"/>
      <w:bookmarkEnd w:id="362"/>
      <w:bookmarkStart w:id="363" w:name="_Toc184312117"/>
      <w:bookmarkEnd w:id="363"/>
      <w:bookmarkStart w:id="364" w:name="_Toc184310324"/>
      <w:bookmarkEnd w:id="364"/>
      <w:bookmarkStart w:id="365" w:name="_Toc184308093"/>
      <w:bookmarkEnd w:id="365"/>
      <w:bookmarkStart w:id="366" w:name="_Toc184310323"/>
      <w:bookmarkEnd w:id="366"/>
      <w:bookmarkStart w:id="367" w:name="_Toc184313282"/>
      <w:bookmarkEnd w:id="367"/>
      <w:bookmarkStart w:id="368" w:name="_Toc184314418"/>
      <w:bookmarkEnd w:id="368"/>
      <w:bookmarkStart w:id="369" w:name="_Toc184308089"/>
      <w:bookmarkEnd w:id="369"/>
      <w:bookmarkStart w:id="370" w:name="_Toc184312128"/>
      <w:bookmarkEnd w:id="370"/>
      <w:bookmarkStart w:id="371" w:name="_Toc184313249"/>
      <w:bookmarkEnd w:id="371"/>
      <w:bookmarkStart w:id="372" w:name="_Toc184308090"/>
      <w:bookmarkEnd w:id="372"/>
      <w:bookmarkStart w:id="373" w:name="_Toc184313265"/>
      <w:bookmarkEnd w:id="373"/>
      <w:bookmarkStart w:id="374" w:name="_Toc184312078"/>
      <w:bookmarkEnd w:id="374"/>
      <w:bookmarkStart w:id="375" w:name="_Toc184310278"/>
      <w:bookmarkEnd w:id="375"/>
      <w:bookmarkStart w:id="376" w:name="_Toc184312072"/>
      <w:bookmarkEnd w:id="376"/>
      <w:bookmarkStart w:id="377" w:name="_Toc184314445"/>
      <w:bookmarkEnd w:id="377"/>
      <w:bookmarkStart w:id="378" w:name="_Toc184308063"/>
      <w:bookmarkEnd w:id="378"/>
      <w:bookmarkStart w:id="379" w:name="_Toc184314423"/>
      <w:bookmarkEnd w:id="379"/>
      <w:bookmarkStart w:id="380" w:name="_Toc184308105"/>
      <w:bookmarkEnd w:id="380"/>
      <w:bookmarkStart w:id="381" w:name="_Toc184308067"/>
      <w:bookmarkEnd w:id="381"/>
      <w:bookmarkStart w:id="382" w:name="_Toc184314416"/>
      <w:bookmarkEnd w:id="382"/>
      <w:bookmarkStart w:id="383" w:name="_Toc184308058"/>
      <w:bookmarkEnd w:id="383"/>
      <w:bookmarkStart w:id="384" w:name="_Toc184308057"/>
      <w:bookmarkEnd w:id="384"/>
      <w:bookmarkStart w:id="385" w:name="_Toc184312101"/>
      <w:bookmarkEnd w:id="385"/>
      <w:bookmarkStart w:id="386" w:name="_Toc184312124"/>
      <w:bookmarkEnd w:id="386"/>
      <w:bookmarkStart w:id="387" w:name="_Toc184308054"/>
      <w:bookmarkEnd w:id="387"/>
      <w:bookmarkStart w:id="388" w:name="_Toc184312106"/>
      <w:bookmarkEnd w:id="388"/>
      <w:bookmarkStart w:id="389" w:name="_Toc184312088"/>
      <w:bookmarkEnd w:id="389"/>
      <w:bookmarkStart w:id="390" w:name="_Toc184314476"/>
      <w:bookmarkEnd w:id="390"/>
      <w:bookmarkStart w:id="391" w:name="_Toc184313246"/>
      <w:bookmarkEnd w:id="391"/>
      <w:bookmarkStart w:id="392" w:name="_Toc184312081"/>
      <w:bookmarkEnd w:id="392"/>
      <w:bookmarkStart w:id="393" w:name="_Toc184313285"/>
      <w:bookmarkEnd w:id="393"/>
      <w:bookmarkStart w:id="394" w:name="_Toc184310276"/>
      <w:bookmarkEnd w:id="394"/>
      <w:r>
        <w:rPr>
          <w:rFonts w:hint="eastAsia" w:ascii="宋体" w:hAnsi="宋体" w:eastAsia="宋体" w:cs="宋体"/>
          <w:b/>
          <w:color w:val="auto"/>
          <w:sz w:val="36"/>
          <w:szCs w:val="36"/>
          <w:highlight w:val="none"/>
        </w:rPr>
        <w:t>评标办法</w:t>
      </w:r>
    </w:p>
    <w:p w14:paraId="7D841BA3">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991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5769"/>
        <w:gridCol w:w="759"/>
        <w:gridCol w:w="1237"/>
        <w:gridCol w:w="1509"/>
      </w:tblGrid>
      <w:tr w14:paraId="618D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36" w:type="dxa"/>
            <w:vAlign w:val="center"/>
          </w:tcPr>
          <w:p w14:paraId="53AC795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769" w:type="dxa"/>
            <w:vAlign w:val="center"/>
          </w:tcPr>
          <w:p w14:paraId="0CB85AD1">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759" w:type="dxa"/>
            <w:vAlign w:val="center"/>
          </w:tcPr>
          <w:p w14:paraId="6109FF56">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237" w:type="dxa"/>
            <w:vAlign w:val="center"/>
          </w:tcPr>
          <w:p w14:paraId="034DF03F">
            <w:pPr>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509" w:type="dxa"/>
          </w:tcPr>
          <w:p w14:paraId="69C6989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6431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36C6DED">
            <w:pPr>
              <w:numPr>
                <w:ilvl w:val="0"/>
                <w:numId w:val="1"/>
              </w:numPr>
              <w:snapToGrid w:val="0"/>
              <w:spacing w:line="360" w:lineRule="auto"/>
              <w:ind w:left="425" w:leftChars="0" w:hanging="425" w:firstLineChars="0"/>
              <w:jc w:val="both"/>
              <w:rPr>
                <w:rFonts w:hint="eastAsia" w:ascii="宋体" w:hAnsi="宋体" w:eastAsia="宋体" w:cs="宋体"/>
                <w:color w:val="auto"/>
                <w:sz w:val="21"/>
                <w:szCs w:val="21"/>
                <w:highlight w:val="none"/>
              </w:rPr>
            </w:pPr>
          </w:p>
        </w:tc>
        <w:tc>
          <w:tcPr>
            <w:tcW w:w="5769" w:type="dxa"/>
            <w:vAlign w:val="center"/>
          </w:tcPr>
          <w:p w14:paraId="1ECFA84F">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投标人具备质量管理体系认证、职业健康安全管理体系认证、环境管理体系认证且在有效期内的得每个得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分。（证明材料：需提供有效期内证书原件扫描件，</w:t>
            </w:r>
            <w:r>
              <w:rPr>
                <w:rFonts w:hint="eastAsia" w:ascii="宋体" w:hAnsi="宋体" w:cs="宋体"/>
                <w:color w:val="auto"/>
                <w:sz w:val="21"/>
                <w:szCs w:val="21"/>
                <w:highlight w:val="none"/>
                <w:lang w:eastAsia="zh-CN"/>
              </w:rPr>
              <w:t>且</w:t>
            </w:r>
            <w:r>
              <w:rPr>
                <w:rFonts w:hint="eastAsia" w:ascii="宋体" w:hAnsi="宋体" w:eastAsia="宋体" w:cs="宋体"/>
                <w:color w:val="auto"/>
                <w:sz w:val="21"/>
                <w:szCs w:val="21"/>
                <w:highlight w:val="none"/>
              </w:rPr>
              <w:t>由评标委员会现场在全国认证认可信息公共服务平台http://cx.cnca.cn/CertECloud/result/skipResultList查询确认，</w:t>
            </w:r>
            <w:r>
              <w:rPr>
                <w:rFonts w:hint="eastAsia" w:ascii="宋体" w:hAnsi="宋体" w:cs="宋体"/>
                <w:color w:val="auto"/>
                <w:sz w:val="21"/>
                <w:szCs w:val="21"/>
                <w:highlight w:val="none"/>
                <w:lang w:eastAsia="zh-CN"/>
              </w:rPr>
              <w:t>未提供或</w:t>
            </w:r>
            <w:r>
              <w:rPr>
                <w:rFonts w:hint="eastAsia" w:ascii="宋体" w:hAnsi="宋体" w:eastAsia="宋体" w:cs="宋体"/>
                <w:color w:val="auto"/>
                <w:sz w:val="21"/>
                <w:szCs w:val="21"/>
                <w:highlight w:val="none"/>
              </w:rPr>
              <w:t>未在该网站查询到的不得分。）</w:t>
            </w:r>
          </w:p>
        </w:tc>
        <w:tc>
          <w:tcPr>
            <w:tcW w:w="759" w:type="dxa"/>
            <w:vAlign w:val="center"/>
          </w:tcPr>
          <w:p w14:paraId="1DABFDB3">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237" w:type="dxa"/>
            <w:vAlign w:val="center"/>
          </w:tcPr>
          <w:p w14:paraId="7303578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509" w:type="dxa"/>
          </w:tcPr>
          <w:p w14:paraId="03AAC7DB">
            <w:pPr>
              <w:snapToGrid w:val="0"/>
              <w:spacing w:line="360" w:lineRule="auto"/>
              <w:jc w:val="center"/>
              <w:rPr>
                <w:rFonts w:hint="eastAsia" w:ascii="宋体" w:hAnsi="宋体" w:eastAsia="宋体" w:cs="宋体"/>
                <w:color w:val="auto"/>
                <w:sz w:val="21"/>
                <w:szCs w:val="21"/>
                <w:highlight w:val="none"/>
              </w:rPr>
            </w:pPr>
          </w:p>
        </w:tc>
      </w:tr>
      <w:tr w14:paraId="4171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3DAB4FC3">
            <w:pPr>
              <w:numPr>
                <w:ilvl w:val="0"/>
                <w:numId w:val="1"/>
              </w:numPr>
              <w:snapToGrid w:val="0"/>
              <w:spacing w:line="360" w:lineRule="auto"/>
              <w:ind w:left="425" w:leftChars="0" w:hanging="425" w:firstLineChars="0"/>
              <w:jc w:val="center"/>
              <w:rPr>
                <w:rFonts w:hint="eastAsia" w:ascii="宋体" w:hAnsi="宋体" w:eastAsia="宋体" w:cs="宋体"/>
                <w:color w:val="auto"/>
                <w:sz w:val="21"/>
                <w:szCs w:val="21"/>
                <w:highlight w:val="none"/>
              </w:rPr>
            </w:pPr>
          </w:p>
        </w:tc>
        <w:tc>
          <w:tcPr>
            <w:tcW w:w="5769" w:type="dxa"/>
            <w:vAlign w:val="center"/>
          </w:tcPr>
          <w:p w14:paraId="06280026">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年1月1日（以合同签订时间为准）以来提供类似项目业绩，每提供一个得0.5分，最高得1分。需提供合同复印件并加盖公章，不提供不得分。（提供合同复印件，未提供不得分）。</w:t>
            </w:r>
          </w:p>
        </w:tc>
        <w:tc>
          <w:tcPr>
            <w:tcW w:w="759" w:type="dxa"/>
            <w:vAlign w:val="center"/>
          </w:tcPr>
          <w:p w14:paraId="3644F025">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237" w:type="dxa"/>
            <w:vAlign w:val="center"/>
          </w:tcPr>
          <w:p w14:paraId="4324AA5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509" w:type="dxa"/>
          </w:tcPr>
          <w:p w14:paraId="78172139">
            <w:pPr>
              <w:snapToGrid w:val="0"/>
              <w:spacing w:line="360" w:lineRule="auto"/>
              <w:jc w:val="center"/>
              <w:rPr>
                <w:rFonts w:hint="eastAsia" w:ascii="宋体" w:hAnsi="宋体" w:eastAsia="宋体" w:cs="宋体"/>
                <w:color w:val="auto"/>
                <w:sz w:val="21"/>
                <w:szCs w:val="21"/>
                <w:highlight w:val="none"/>
              </w:rPr>
            </w:pPr>
          </w:p>
        </w:tc>
      </w:tr>
      <w:tr w14:paraId="4875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68E00E1">
            <w:pPr>
              <w:numPr>
                <w:ilvl w:val="0"/>
                <w:numId w:val="1"/>
              </w:numPr>
              <w:snapToGrid w:val="0"/>
              <w:spacing w:line="360" w:lineRule="auto"/>
              <w:ind w:left="425" w:leftChars="0" w:hanging="425" w:firstLineChars="0"/>
              <w:jc w:val="center"/>
              <w:rPr>
                <w:rFonts w:hint="default" w:ascii="宋体" w:hAnsi="宋体" w:eastAsia="宋体" w:cs="宋体"/>
                <w:color w:val="auto"/>
                <w:kern w:val="2"/>
                <w:sz w:val="21"/>
                <w:szCs w:val="21"/>
                <w:lang w:val="en-US" w:eastAsia="zh-CN" w:bidi="ar-SA"/>
              </w:rPr>
            </w:pPr>
          </w:p>
        </w:tc>
        <w:tc>
          <w:tcPr>
            <w:tcW w:w="5769" w:type="dxa"/>
            <w:vAlign w:val="center"/>
          </w:tcPr>
          <w:p w14:paraId="719BE2C7">
            <w:pPr>
              <w:snapToGrid w:val="0"/>
              <w:spacing w:line="360" w:lineRule="auto"/>
              <w:jc w:val="left"/>
              <w:rPr>
                <w:rFonts w:hint="eastAsia" w:ascii="宋体" w:hAnsi="宋体" w:eastAsia="宋体" w:cs="宋体"/>
                <w:color w:val="auto"/>
                <w:sz w:val="21"/>
                <w:szCs w:val="21"/>
                <w:highlight w:val="none"/>
                <w:lang w:eastAsia="zh-CN"/>
              </w:rPr>
            </w:pPr>
            <w:r>
              <w:rPr>
                <w:rFonts w:hint="eastAsia"/>
                <w:color w:val="auto"/>
                <w:highlight w:val="none"/>
                <w:lang w:val="en-US" w:eastAsia="zh-CN"/>
              </w:rPr>
              <w:t>投标人对项目总体理解、本项目现场特点、周边环境了解程度，综合分析准确性，投标方案与采购需求的吻合程度等进行打分。</w:t>
            </w:r>
            <w:r>
              <w:rPr>
                <w:rFonts w:hint="eastAsia" w:ascii="宋体" w:hAnsi="宋体" w:eastAsia="宋体" w:cs="宋体"/>
                <w:kern w:val="0"/>
                <w:sz w:val="21"/>
                <w:szCs w:val="21"/>
                <w:highlight w:val="none"/>
                <w:lang w:eastAsia="zh-CN"/>
              </w:rPr>
              <w:t>打分区间：0分、1分、2分、3分、4分</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5分</w:t>
            </w:r>
            <w:r>
              <w:rPr>
                <w:rFonts w:hint="eastAsia" w:ascii="宋体" w:hAnsi="宋体" w:eastAsia="宋体" w:cs="宋体"/>
                <w:kern w:val="0"/>
                <w:sz w:val="21"/>
                <w:szCs w:val="21"/>
                <w:highlight w:val="none"/>
                <w:lang w:eastAsia="zh-CN"/>
              </w:rPr>
              <w:t>。</w:t>
            </w:r>
          </w:p>
        </w:tc>
        <w:tc>
          <w:tcPr>
            <w:tcW w:w="759" w:type="dxa"/>
            <w:vAlign w:val="center"/>
          </w:tcPr>
          <w:p w14:paraId="7D8B6CAD">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37" w:type="dxa"/>
            <w:vAlign w:val="center"/>
          </w:tcPr>
          <w:p w14:paraId="110CC287">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509" w:type="dxa"/>
          </w:tcPr>
          <w:p w14:paraId="103AA7D2">
            <w:pPr>
              <w:snapToGrid w:val="0"/>
              <w:spacing w:line="360" w:lineRule="auto"/>
              <w:jc w:val="center"/>
              <w:rPr>
                <w:rFonts w:hint="eastAsia" w:ascii="宋体" w:hAnsi="宋体" w:eastAsia="宋体" w:cs="宋体"/>
                <w:color w:val="auto"/>
                <w:sz w:val="21"/>
                <w:szCs w:val="21"/>
                <w:highlight w:val="none"/>
              </w:rPr>
            </w:pPr>
          </w:p>
        </w:tc>
      </w:tr>
      <w:tr w14:paraId="3975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28E0CE79">
            <w:pPr>
              <w:numPr>
                <w:ilvl w:val="0"/>
                <w:numId w:val="1"/>
              </w:numPr>
              <w:snapToGrid w:val="0"/>
              <w:spacing w:line="360" w:lineRule="auto"/>
              <w:ind w:left="425" w:leftChars="0" w:hanging="425" w:firstLineChars="0"/>
              <w:jc w:val="center"/>
              <w:rPr>
                <w:rFonts w:hint="default" w:ascii="宋体" w:hAnsi="宋体" w:cs="宋体"/>
                <w:color w:val="auto"/>
                <w:kern w:val="2"/>
                <w:sz w:val="21"/>
                <w:szCs w:val="21"/>
                <w:lang w:val="en-US" w:eastAsia="zh-CN" w:bidi="ar-SA"/>
              </w:rPr>
            </w:pPr>
          </w:p>
        </w:tc>
        <w:tc>
          <w:tcPr>
            <w:tcW w:w="5769" w:type="dxa"/>
            <w:vAlign w:val="center"/>
          </w:tcPr>
          <w:p w14:paraId="49E74CBF">
            <w:pPr>
              <w:snapToGrid w:val="0"/>
              <w:spacing w:line="360" w:lineRule="auto"/>
              <w:jc w:val="left"/>
              <w:rPr>
                <w:rFonts w:hint="eastAsia"/>
                <w:color w:val="auto"/>
                <w:highlight w:val="none"/>
                <w:lang w:val="en-US" w:eastAsia="zh-CN"/>
              </w:rPr>
            </w:pPr>
            <w:r>
              <w:rPr>
                <w:rFonts w:hint="eastAsia" w:ascii="宋体" w:hAnsi="宋体" w:eastAsia="宋体" w:cs="宋体"/>
                <w:kern w:val="0"/>
                <w:sz w:val="21"/>
                <w:szCs w:val="21"/>
                <w:highlight w:val="none"/>
              </w:rPr>
              <w:t>根据投标人提供的对本项目河道</w:t>
            </w:r>
            <w:r>
              <w:rPr>
                <w:rFonts w:hint="eastAsia" w:ascii="宋体" w:hAnsi="宋体" w:eastAsia="宋体" w:cs="宋体"/>
                <w:kern w:val="0"/>
                <w:sz w:val="21"/>
                <w:szCs w:val="21"/>
                <w:highlight w:val="none"/>
                <w:lang w:eastAsia="zh-CN"/>
              </w:rPr>
              <w:t>水质</w:t>
            </w:r>
            <w:r>
              <w:rPr>
                <w:rFonts w:hint="eastAsia" w:ascii="宋体" w:hAnsi="宋体" w:eastAsia="宋体" w:cs="宋体"/>
                <w:kern w:val="0"/>
                <w:sz w:val="21"/>
                <w:szCs w:val="21"/>
                <w:highlight w:val="none"/>
              </w:rPr>
              <w:t>现状的调查分析。</w:t>
            </w:r>
            <w:r>
              <w:rPr>
                <w:rFonts w:hint="eastAsia" w:ascii="宋体" w:hAnsi="宋体" w:eastAsia="宋体" w:cs="宋体"/>
                <w:kern w:val="0"/>
                <w:sz w:val="21"/>
                <w:szCs w:val="21"/>
                <w:highlight w:val="none"/>
                <w:lang w:eastAsia="zh-CN"/>
              </w:rPr>
              <w:t>根据分析内容的全面性、针对性进行打分。打分区间：0分、1分、2分、3分、</w:t>
            </w:r>
            <w:r>
              <w:rPr>
                <w:rFonts w:hint="eastAsia" w:ascii="宋体" w:hAnsi="宋体" w:eastAsia="宋体" w:cs="宋体"/>
                <w:kern w:val="0"/>
                <w:sz w:val="21"/>
                <w:szCs w:val="21"/>
                <w:highlight w:val="none"/>
                <w:lang w:val="en-US" w:eastAsia="zh-CN"/>
              </w:rPr>
              <w:t>4分</w:t>
            </w:r>
            <w:r>
              <w:rPr>
                <w:rFonts w:hint="eastAsia" w:ascii="宋体" w:hAnsi="宋体" w:cs="宋体"/>
                <w:kern w:val="0"/>
                <w:sz w:val="21"/>
                <w:szCs w:val="21"/>
                <w:highlight w:val="none"/>
                <w:lang w:val="en-US" w:eastAsia="zh-CN"/>
              </w:rPr>
              <w:t>、5分</w:t>
            </w:r>
            <w:r>
              <w:rPr>
                <w:rFonts w:hint="eastAsia" w:ascii="宋体" w:hAnsi="宋体" w:eastAsia="宋体" w:cs="宋体"/>
                <w:kern w:val="0"/>
                <w:sz w:val="21"/>
                <w:szCs w:val="21"/>
                <w:highlight w:val="none"/>
                <w:lang w:val="en-US" w:eastAsia="zh-CN"/>
              </w:rPr>
              <w:t>。</w:t>
            </w:r>
          </w:p>
        </w:tc>
        <w:tc>
          <w:tcPr>
            <w:tcW w:w="759" w:type="dxa"/>
            <w:vAlign w:val="center"/>
          </w:tcPr>
          <w:p w14:paraId="4E311940">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37" w:type="dxa"/>
            <w:vAlign w:val="center"/>
          </w:tcPr>
          <w:p w14:paraId="1A1409BC">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509" w:type="dxa"/>
          </w:tcPr>
          <w:p w14:paraId="58D8F61F">
            <w:pPr>
              <w:snapToGrid w:val="0"/>
              <w:spacing w:line="360" w:lineRule="auto"/>
              <w:jc w:val="center"/>
              <w:rPr>
                <w:rFonts w:hint="eastAsia" w:ascii="宋体" w:hAnsi="宋体" w:eastAsia="宋体" w:cs="宋体"/>
                <w:color w:val="auto"/>
                <w:sz w:val="21"/>
                <w:szCs w:val="21"/>
                <w:highlight w:val="none"/>
              </w:rPr>
            </w:pPr>
          </w:p>
        </w:tc>
      </w:tr>
      <w:tr w14:paraId="6DEA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3F1E59F">
            <w:pPr>
              <w:numPr>
                <w:ilvl w:val="0"/>
                <w:numId w:val="1"/>
              </w:numPr>
              <w:snapToGrid w:val="0"/>
              <w:spacing w:line="360" w:lineRule="auto"/>
              <w:ind w:left="425" w:leftChars="0" w:hanging="425" w:firstLineChars="0"/>
              <w:jc w:val="center"/>
              <w:rPr>
                <w:rFonts w:hint="default" w:ascii="宋体" w:hAnsi="宋体" w:eastAsia="宋体" w:cs="宋体"/>
                <w:color w:val="auto"/>
                <w:sz w:val="21"/>
                <w:szCs w:val="21"/>
                <w:highlight w:val="none"/>
                <w:lang w:val="en-US" w:eastAsia="zh-CN"/>
              </w:rPr>
            </w:pPr>
          </w:p>
        </w:tc>
        <w:tc>
          <w:tcPr>
            <w:tcW w:w="5769" w:type="dxa"/>
            <w:vAlign w:val="center"/>
          </w:tcPr>
          <w:p w14:paraId="1AC90BEE">
            <w:pPr>
              <w:pStyle w:val="965"/>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kern w:val="0"/>
                <w:sz w:val="21"/>
                <w:szCs w:val="21"/>
                <w:highlight w:val="none"/>
                <w:lang w:val="en-US" w:eastAsia="zh-CN" w:bidi="ar-SA"/>
              </w:rPr>
              <w:t>针对本项目的特点制订技术方案，根据方案完整性、可实施性、与项目匹配性进行打分。打分区间：0分、1分、2分、3分、4分、5分。</w:t>
            </w:r>
          </w:p>
        </w:tc>
        <w:tc>
          <w:tcPr>
            <w:tcW w:w="759" w:type="dxa"/>
            <w:vAlign w:val="center"/>
          </w:tcPr>
          <w:p w14:paraId="6DB42E92">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237" w:type="dxa"/>
            <w:vAlign w:val="center"/>
          </w:tcPr>
          <w:p w14:paraId="1AD61FC4">
            <w:pPr>
              <w:snapToGrid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509" w:type="dxa"/>
          </w:tcPr>
          <w:p w14:paraId="5F40F013">
            <w:pPr>
              <w:snapToGrid w:val="0"/>
              <w:spacing w:line="360" w:lineRule="auto"/>
              <w:jc w:val="center"/>
              <w:rPr>
                <w:rFonts w:hint="eastAsia" w:ascii="宋体" w:hAnsi="宋体" w:eastAsia="宋体" w:cs="宋体"/>
                <w:color w:val="auto"/>
                <w:sz w:val="21"/>
                <w:szCs w:val="21"/>
                <w:highlight w:val="none"/>
              </w:rPr>
            </w:pPr>
          </w:p>
        </w:tc>
      </w:tr>
      <w:tr w14:paraId="0B19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2D953B8F">
            <w:pPr>
              <w:numPr>
                <w:ilvl w:val="0"/>
                <w:numId w:val="1"/>
              </w:numPr>
              <w:snapToGrid w:val="0"/>
              <w:spacing w:line="360" w:lineRule="auto"/>
              <w:ind w:left="425" w:leftChars="0" w:hanging="425" w:firstLineChars="0"/>
              <w:jc w:val="center"/>
              <w:rPr>
                <w:rFonts w:hint="default" w:ascii="宋体" w:hAnsi="宋体" w:cs="宋体"/>
                <w:color w:val="auto"/>
                <w:sz w:val="21"/>
                <w:szCs w:val="21"/>
                <w:highlight w:val="none"/>
                <w:lang w:val="en-US" w:eastAsia="zh-CN"/>
              </w:rPr>
            </w:pPr>
          </w:p>
        </w:tc>
        <w:tc>
          <w:tcPr>
            <w:tcW w:w="5769" w:type="dxa"/>
            <w:vAlign w:val="center"/>
          </w:tcPr>
          <w:p w14:paraId="6339E67F">
            <w:pPr>
              <w:pStyle w:val="965"/>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color w:val="auto"/>
                <w:highlight w:val="none"/>
                <w:lang w:val="en-US" w:eastAsia="zh-CN"/>
              </w:rPr>
            </w:pPr>
            <w:r>
              <w:rPr>
                <w:rFonts w:hint="eastAsia" w:ascii="宋体" w:hAnsi="宋体" w:eastAsia="宋体" w:cs="宋体"/>
                <w:szCs w:val="21"/>
                <w:highlight w:val="none"/>
              </w:rPr>
              <w:t>水质监测方案服务方案。根据方案编制内容的全面性、针对性以及符合采购需求情况等进行打分。打分区间：0分、1分、2分、3分、4分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5分</w:t>
            </w:r>
            <w:r>
              <w:rPr>
                <w:rFonts w:hint="eastAsia" w:ascii="宋体" w:hAnsi="宋体" w:eastAsia="宋体" w:cs="宋体"/>
                <w:szCs w:val="21"/>
                <w:highlight w:val="none"/>
              </w:rPr>
              <w:t>。</w:t>
            </w:r>
          </w:p>
        </w:tc>
        <w:tc>
          <w:tcPr>
            <w:tcW w:w="759" w:type="dxa"/>
            <w:vAlign w:val="center"/>
          </w:tcPr>
          <w:p w14:paraId="1B9AFA34">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37" w:type="dxa"/>
            <w:vAlign w:val="center"/>
          </w:tcPr>
          <w:p w14:paraId="46847057">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509" w:type="dxa"/>
          </w:tcPr>
          <w:p w14:paraId="3F717396">
            <w:pPr>
              <w:snapToGrid w:val="0"/>
              <w:spacing w:line="360" w:lineRule="auto"/>
              <w:jc w:val="center"/>
              <w:rPr>
                <w:rFonts w:hint="eastAsia" w:ascii="宋体" w:hAnsi="宋体" w:eastAsia="宋体" w:cs="宋体"/>
                <w:color w:val="auto"/>
                <w:sz w:val="21"/>
                <w:szCs w:val="21"/>
                <w:highlight w:val="none"/>
              </w:rPr>
            </w:pPr>
          </w:p>
        </w:tc>
      </w:tr>
      <w:tr w14:paraId="0725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3450D724">
            <w:pPr>
              <w:numPr>
                <w:ilvl w:val="0"/>
                <w:numId w:val="1"/>
              </w:numPr>
              <w:snapToGrid w:val="0"/>
              <w:spacing w:line="360" w:lineRule="auto"/>
              <w:ind w:left="425" w:leftChars="0" w:hanging="425" w:firstLineChars="0"/>
              <w:jc w:val="center"/>
              <w:rPr>
                <w:rFonts w:hint="default" w:ascii="宋体" w:hAnsi="宋体" w:eastAsia="宋体" w:cs="宋体"/>
                <w:color w:val="auto"/>
                <w:kern w:val="2"/>
                <w:sz w:val="21"/>
                <w:szCs w:val="21"/>
                <w:lang w:val="en-US" w:eastAsia="zh-CN" w:bidi="ar-SA"/>
              </w:rPr>
            </w:pPr>
          </w:p>
        </w:tc>
        <w:tc>
          <w:tcPr>
            <w:tcW w:w="5769" w:type="dxa"/>
            <w:shd w:val="clear" w:color="auto" w:fill="auto"/>
            <w:vAlign w:val="center"/>
          </w:tcPr>
          <w:p w14:paraId="2DFEA71A">
            <w:pPr>
              <w:widowControl/>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投标人结合对本项目采购需求的理解，对</w:t>
            </w:r>
            <w:r>
              <w:rPr>
                <w:rFonts w:hint="eastAsia" w:ascii="宋体" w:hAnsi="宋体" w:eastAsia="宋体" w:cs="宋体"/>
                <w:sz w:val="21"/>
                <w:szCs w:val="21"/>
                <w:highlight w:val="none"/>
                <w:lang w:eastAsia="zh-CN"/>
              </w:rPr>
              <w:t>水质检测</w:t>
            </w:r>
            <w:r>
              <w:rPr>
                <w:rFonts w:hint="eastAsia" w:ascii="宋体" w:hAnsi="宋体" w:eastAsia="宋体" w:cs="宋体"/>
                <w:sz w:val="21"/>
                <w:szCs w:val="21"/>
                <w:highlight w:val="none"/>
              </w:rPr>
              <w:t>存在的难点、要点问题分析的合理性、解决措施内容的全面性、针对性以及符合采购需求情况等进行打分。打分区间：0分、1分、2分、3分、4分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5分</w:t>
            </w:r>
            <w:r>
              <w:rPr>
                <w:rFonts w:hint="eastAsia" w:ascii="宋体" w:hAnsi="宋体" w:eastAsia="宋体" w:cs="宋体"/>
                <w:sz w:val="21"/>
                <w:szCs w:val="21"/>
                <w:highlight w:val="none"/>
              </w:rPr>
              <w:t>。</w:t>
            </w:r>
          </w:p>
        </w:tc>
        <w:tc>
          <w:tcPr>
            <w:tcW w:w="759" w:type="dxa"/>
            <w:shd w:val="clear" w:color="auto" w:fill="auto"/>
            <w:vAlign w:val="center"/>
          </w:tcPr>
          <w:p w14:paraId="277DDE26">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1237" w:type="dxa"/>
            <w:shd w:val="clear" w:color="auto" w:fill="auto"/>
            <w:vAlign w:val="center"/>
          </w:tcPr>
          <w:p w14:paraId="7D2BC0DF">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1509" w:type="dxa"/>
          </w:tcPr>
          <w:p w14:paraId="6813BDFE">
            <w:pPr>
              <w:snapToGrid w:val="0"/>
              <w:spacing w:line="360" w:lineRule="auto"/>
              <w:jc w:val="center"/>
              <w:rPr>
                <w:rFonts w:hint="eastAsia" w:ascii="宋体" w:hAnsi="宋体" w:eastAsia="宋体" w:cs="宋体"/>
                <w:color w:val="auto"/>
                <w:sz w:val="21"/>
                <w:szCs w:val="21"/>
                <w:highlight w:val="none"/>
              </w:rPr>
            </w:pPr>
          </w:p>
        </w:tc>
      </w:tr>
      <w:tr w14:paraId="41A2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0927F2E">
            <w:pPr>
              <w:numPr>
                <w:ilvl w:val="0"/>
                <w:numId w:val="1"/>
              </w:numPr>
              <w:snapToGrid w:val="0"/>
              <w:spacing w:line="360" w:lineRule="auto"/>
              <w:ind w:left="425" w:leftChars="0" w:hanging="425" w:firstLineChars="0"/>
              <w:jc w:val="center"/>
              <w:rPr>
                <w:rFonts w:hint="default" w:ascii="宋体" w:hAnsi="宋体" w:cs="宋体"/>
                <w:color w:val="auto"/>
                <w:kern w:val="2"/>
                <w:sz w:val="21"/>
                <w:szCs w:val="21"/>
                <w:lang w:val="en-US" w:eastAsia="zh-CN" w:bidi="ar-SA"/>
              </w:rPr>
            </w:pPr>
          </w:p>
        </w:tc>
        <w:tc>
          <w:tcPr>
            <w:tcW w:w="5769" w:type="dxa"/>
            <w:shd w:val="clear" w:color="auto" w:fill="auto"/>
            <w:vAlign w:val="center"/>
          </w:tcPr>
          <w:p w14:paraId="34E1C3B0">
            <w:pPr>
              <w:tabs>
                <w:tab w:val="left" w:pos="3865"/>
              </w:tabs>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Cs w:val="21"/>
                <w:highlight w:val="none"/>
              </w:rPr>
              <w:t>水质</w:t>
            </w:r>
            <w:r>
              <w:rPr>
                <w:rFonts w:hint="eastAsia" w:ascii="宋体" w:hAnsi="宋体" w:cs="宋体"/>
                <w:szCs w:val="21"/>
                <w:highlight w:val="none"/>
                <w:lang w:eastAsia="zh-CN"/>
              </w:rPr>
              <w:t>保障</w:t>
            </w:r>
            <w:r>
              <w:rPr>
                <w:rFonts w:hint="eastAsia" w:ascii="宋体" w:hAnsi="宋体" w:eastAsia="宋体" w:cs="宋体"/>
                <w:szCs w:val="21"/>
                <w:highlight w:val="none"/>
              </w:rPr>
              <w:t>方案服务方案。根据方案编制内容的全面性、针对性以及符合采购需求情况等进行打分。打分区间：0分、1分、2分、3分、4分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5分</w:t>
            </w:r>
            <w:r>
              <w:rPr>
                <w:rFonts w:hint="eastAsia" w:ascii="宋体" w:hAnsi="宋体" w:eastAsia="宋体" w:cs="宋体"/>
                <w:szCs w:val="21"/>
                <w:highlight w:val="none"/>
              </w:rPr>
              <w:t>。</w:t>
            </w:r>
          </w:p>
        </w:tc>
        <w:tc>
          <w:tcPr>
            <w:tcW w:w="759" w:type="dxa"/>
            <w:shd w:val="clear" w:color="auto" w:fill="auto"/>
            <w:vAlign w:val="center"/>
          </w:tcPr>
          <w:p w14:paraId="2BCDAF72">
            <w:pPr>
              <w:widowControl/>
              <w:spacing w:line="360"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sz w:val="21"/>
                <w:szCs w:val="21"/>
                <w:highlight w:val="none"/>
                <w:lang w:val="en-US" w:eastAsia="zh-CN"/>
              </w:rPr>
              <w:t>5</w:t>
            </w:r>
          </w:p>
        </w:tc>
        <w:tc>
          <w:tcPr>
            <w:tcW w:w="1237" w:type="dxa"/>
            <w:shd w:val="clear" w:color="auto" w:fill="auto"/>
            <w:vAlign w:val="center"/>
          </w:tcPr>
          <w:p w14:paraId="17E6228A">
            <w:pPr>
              <w:widowControl/>
              <w:spacing w:line="360"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sz w:val="21"/>
                <w:szCs w:val="21"/>
                <w:highlight w:val="none"/>
                <w:lang w:eastAsia="zh-CN"/>
              </w:rPr>
              <w:t>主观</w:t>
            </w:r>
            <w:r>
              <w:rPr>
                <w:rFonts w:hint="eastAsia" w:ascii="宋体" w:hAnsi="宋体" w:cs="宋体"/>
                <w:sz w:val="21"/>
                <w:szCs w:val="21"/>
                <w:highlight w:val="none"/>
                <w:lang w:eastAsia="zh-CN"/>
              </w:rPr>
              <w:t>分</w:t>
            </w:r>
          </w:p>
        </w:tc>
        <w:tc>
          <w:tcPr>
            <w:tcW w:w="1509" w:type="dxa"/>
          </w:tcPr>
          <w:p w14:paraId="10D073A6">
            <w:pPr>
              <w:snapToGrid w:val="0"/>
              <w:spacing w:line="360" w:lineRule="auto"/>
              <w:jc w:val="center"/>
              <w:rPr>
                <w:rFonts w:hint="eastAsia" w:ascii="宋体" w:hAnsi="宋体" w:eastAsia="宋体" w:cs="宋体"/>
                <w:color w:val="auto"/>
                <w:sz w:val="21"/>
                <w:szCs w:val="21"/>
                <w:highlight w:val="none"/>
              </w:rPr>
            </w:pPr>
          </w:p>
        </w:tc>
      </w:tr>
      <w:tr w14:paraId="72B2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F9FE514">
            <w:pPr>
              <w:numPr>
                <w:ilvl w:val="0"/>
                <w:numId w:val="1"/>
              </w:numPr>
              <w:snapToGrid w:val="0"/>
              <w:spacing w:line="360" w:lineRule="auto"/>
              <w:ind w:left="425" w:leftChars="0" w:hanging="425" w:firstLineChars="0"/>
              <w:jc w:val="center"/>
              <w:rPr>
                <w:rFonts w:hint="default" w:ascii="宋体" w:hAnsi="宋体" w:cs="宋体"/>
                <w:color w:val="auto"/>
                <w:kern w:val="2"/>
                <w:sz w:val="21"/>
                <w:szCs w:val="21"/>
                <w:lang w:val="en-US" w:eastAsia="zh-CN" w:bidi="ar-SA"/>
              </w:rPr>
            </w:pPr>
          </w:p>
        </w:tc>
        <w:tc>
          <w:tcPr>
            <w:tcW w:w="5769" w:type="dxa"/>
            <w:shd w:val="clear" w:color="auto" w:fill="auto"/>
            <w:vAlign w:val="center"/>
          </w:tcPr>
          <w:p w14:paraId="65292842">
            <w:pPr>
              <w:widowControl/>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投标人结合对本项目采购需求的理解，对</w:t>
            </w:r>
            <w:r>
              <w:rPr>
                <w:rFonts w:hint="eastAsia" w:ascii="宋体" w:hAnsi="宋体" w:eastAsia="宋体" w:cs="宋体"/>
                <w:sz w:val="21"/>
                <w:szCs w:val="21"/>
                <w:highlight w:val="none"/>
                <w:lang w:eastAsia="zh-CN"/>
              </w:rPr>
              <w:t>水质</w:t>
            </w:r>
            <w:r>
              <w:rPr>
                <w:rFonts w:hint="eastAsia" w:ascii="宋体" w:hAnsi="宋体" w:cs="宋体"/>
                <w:sz w:val="21"/>
                <w:szCs w:val="21"/>
                <w:highlight w:val="none"/>
                <w:lang w:eastAsia="zh-CN"/>
              </w:rPr>
              <w:t>保障</w:t>
            </w:r>
            <w:r>
              <w:rPr>
                <w:rFonts w:hint="eastAsia" w:ascii="宋体" w:hAnsi="宋体" w:eastAsia="宋体" w:cs="宋体"/>
                <w:sz w:val="21"/>
                <w:szCs w:val="21"/>
                <w:highlight w:val="none"/>
              </w:rPr>
              <w:t>存在的难点、要点问题分析的合理性、解决措施内容的全面性、针对性以及符合采购需求情况等进行打分。打分区间：0分、1分、2分、3分、4分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5分</w:t>
            </w:r>
            <w:r>
              <w:rPr>
                <w:rFonts w:hint="eastAsia" w:ascii="宋体" w:hAnsi="宋体" w:eastAsia="宋体" w:cs="宋体"/>
                <w:sz w:val="21"/>
                <w:szCs w:val="21"/>
                <w:highlight w:val="none"/>
              </w:rPr>
              <w:t>。</w:t>
            </w:r>
          </w:p>
        </w:tc>
        <w:tc>
          <w:tcPr>
            <w:tcW w:w="759" w:type="dxa"/>
            <w:shd w:val="clear" w:color="auto" w:fill="auto"/>
            <w:vAlign w:val="center"/>
          </w:tcPr>
          <w:p w14:paraId="06D6A6C8">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1237" w:type="dxa"/>
            <w:shd w:val="clear" w:color="auto" w:fill="auto"/>
            <w:vAlign w:val="center"/>
          </w:tcPr>
          <w:p w14:paraId="31FC41AC">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1509" w:type="dxa"/>
          </w:tcPr>
          <w:p w14:paraId="6392C85E">
            <w:pPr>
              <w:snapToGrid w:val="0"/>
              <w:spacing w:line="360" w:lineRule="auto"/>
              <w:jc w:val="center"/>
              <w:rPr>
                <w:rFonts w:hint="eastAsia" w:ascii="宋体" w:hAnsi="宋体" w:eastAsia="宋体" w:cs="宋体"/>
                <w:color w:val="auto"/>
                <w:sz w:val="21"/>
                <w:szCs w:val="21"/>
                <w:highlight w:val="none"/>
              </w:rPr>
            </w:pPr>
          </w:p>
        </w:tc>
      </w:tr>
      <w:tr w14:paraId="24F0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9394F30">
            <w:pPr>
              <w:numPr>
                <w:ilvl w:val="0"/>
                <w:numId w:val="1"/>
              </w:numPr>
              <w:snapToGrid w:val="0"/>
              <w:spacing w:line="360" w:lineRule="auto"/>
              <w:ind w:left="425" w:leftChars="0" w:hanging="425" w:firstLineChars="0"/>
              <w:jc w:val="center"/>
              <w:rPr>
                <w:rFonts w:hint="default" w:ascii="宋体" w:hAnsi="宋体" w:cs="宋体"/>
                <w:color w:val="auto"/>
                <w:kern w:val="2"/>
                <w:sz w:val="21"/>
                <w:szCs w:val="21"/>
                <w:lang w:val="en-US" w:eastAsia="zh-CN" w:bidi="ar-SA"/>
              </w:rPr>
            </w:pPr>
          </w:p>
        </w:tc>
        <w:tc>
          <w:tcPr>
            <w:tcW w:w="5769" w:type="dxa"/>
            <w:shd w:val="clear" w:color="auto" w:fill="auto"/>
            <w:vAlign w:val="center"/>
          </w:tcPr>
          <w:p w14:paraId="0517F52A">
            <w:pPr>
              <w:snapToGrid w:val="0"/>
              <w:spacing w:line="360" w:lineRule="auto"/>
              <w:jc w:val="left"/>
              <w:rPr>
                <w:rFonts w:hint="eastAsia" w:ascii="宋体" w:hAnsi="宋体" w:eastAsia="宋体" w:cs="宋体"/>
                <w:bCs/>
              </w:rPr>
            </w:pPr>
            <w:r>
              <w:rPr>
                <w:rFonts w:hint="eastAsia" w:ascii="宋体" w:hAnsi="宋体" w:cs="宋体"/>
                <w:bCs/>
                <w:szCs w:val="21"/>
                <w:highlight w:val="none"/>
                <w:lang w:eastAsia="zh-CN"/>
              </w:rPr>
              <w:t>质量</w:t>
            </w:r>
            <w:r>
              <w:rPr>
                <w:rFonts w:hint="eastAsia" w:ascii="宋体" w:hAnsi="宋体" w:eastAsia="宋体" w:cs="宋体"/>
                <w:bCs/>
                <w:szCs w:val="21"/>
                <w:highlight w:val="none"/>
              </w:rPr>
              <w:t>保障方案及措施。根据投标人针对本项目提供服务质量保障方案。</w:t>
            </w:r>
            <w:r>
              <w:rPr>
                <w:rFonts w:hint="eastAsia" w:ascii="宋体" w:hAnsi="宋体" w:cs="宋体"/>
                <w:bCs/>
                <w:szCs w:val="21"/>
                <w:highlight w:val="none"/>
                <w:lang w:eastAsia="zh-CN"/>
              </w:rPr>
              <w:t>对</w:t>
            </w:r>
            <w:r>
              <w:rPr>
                <w:rFonts w:hint="eastAsia" w:ascii="宋体" w:hAnsi="宋体" w:eastAsia="宋体" w:cs="宋体"/>
                <w:bCs/>
                <w:szCs w:val="21"/>
                <w:highlight w:val="none"/>
              </w:rPr>
              <w:t>方案内容的全面性、针对性以及符合采购需求情况等进行打分。</w:t>
            </w:r>
            <w:r>
              <w:rPr>
                <w:rFonts w:hint="eastAsia" w:ascii="宋体" w:hAnsi="宋体" w:eastAsia="宋体" w:cs="宋体"/>
                <w:szCs w:val="21"/>
                <w:highlight w:val="none"/>
              </w:rPr>
              <w:t>打分区间：0分、1分、2分、3分、4分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5分</w:t>
            </w:r>
            <w:r>
              <w:rPr>
                <w:rFonts w:hint="eastAsia" w:ascii="宋体" w:hAnsi="宋体" w:eastAsia="宋体" w:cs="宋体"/>
                <w:szCs w:val="21"/>
                <w:highlight w:val="none"/>
              </w:rPr>
              <w:t>。</w:t>
            </w:r>
          </w:p>
        </w:tc>
        <w:tc>
          <w:tcPr>
            <w:tcW w:w="759" w:type="dxa"/>
            <w:shd w:val="clear" w:color="auto" w:fill="auto"/>
            <w:vAlign w:val="center"/>
          </w:tcPr>
          <w:p w14:paraId="47CDDDAF">
            <w:pPr>
              <w:widowControl/>
              <w:spacing w:line="360" w:lineRule="auto"/>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sz w:val="21"/>
                <w:szCs w:val="21"/>
                <w:highlight w:val="none"/>
                <w:lang w:val="en-US" w:eastAsia="zh-CN"/>
              </w:rPr>
              <w:t>5</w:t>
            </w:r>
          </w:p>
        </w:tc>
        <w:tc>
          <w:tcPr>
            <w:tcW w:w="1237" w:type="dxa"/>
            <w:shd w:val="clear" w:color="auto" w:fill="auto"/>
            <w:vAlign w:val="center"/>
          </w:tcPr>
          <w:p w14:paraId="12027653">
            <w:pPr>
              <w:widowControl/>
              <w:spacing w:line="360" w:lineRule="auto"/>
              <w:jc w:val="center"/>
              <w:textAlignment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主观分</w:t>
            </w:r>
          </w:p>
        </w:tc>
        <w:tc>
          <w:tcPr>
            <w:tcW w:w="1509" w:type="dxa"/>
          </w:tcPr>
          <w:p w14:paraId="69F51BA3">
            <w:pPr>
              <w:snapToGrid w:val="0"/>
              <w:spacing w:line="360" w:lineRule="auto"/>
              <w:jc w:val="center"/>
              <w:rPr>
                <w:rFonts w:hint="eastAsia" w:ascii="宋体" w:hAnsi="宋体" w:eastAsia="宋体" w:cs="宋体"/>
                <w:color w:val="auto"/>
                <w:sz w:val="21"/>
                <w:szCs w:val="21"/>
                <w:highlight w:val="none"/>
              </w:rPr>
            </w:pPr>
          </w:p>
        </w:tc>
      </w:tr>
      <w:tr w14:paraId="3007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E9D59A0">
            <w:pPr>
              <w:numPr>
                <w:ilvl w:val="0"/>
                <w:numId w:val="1"/>
              </w:numPr>
              <w:snapToGrid w:val="0"/>
              <w:spacing w:line="360" w:lineRule="auto"/>
              <w:ind w:left="425" w:leftChars="0" w:hanging="425" w:firstLineChars="0"/>
              <w:jc w:val="center"/>
              <w:rPr>
                <w:rFonts w:hint="default" w:ascii="宋体" w:hAnsi="宋体" w:eastAsia="宋体" w:cs="宋体"/>
                <w:color w:val="auto"/>
                <w:sz w:val="21"/>
                <w:szCs w:val="21"/>
                <w:highlight w:val="none"/>
                <w:lang w:val="en-US" w:eastAsia="zh-CN"/>
              </w:rPr>
            </w:pPr>
          </w:p>
        </w:tc>
        <w:tc>
          <w:tcPr>
            <w:tcW w:w="5769" w:type="dxa"/>
            <w:vAlign w:val="center"/>
          </w:tcPr>
          <w:p w14:paraId="44876871">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Cs/>
                <w:szCs w:val="21"/>
                <w:highlight w:val="none"/>
              </w:rPr>
              <w:t>安全文明保障措施。根据投标人针对本项目提供服务安全文明保障措施。</w:t>
            </w:r>
            <w:r>
              <w:rPr>
                <w:rFonts w:hint="eastAsia" w:ascii="宋体" w:hAnsi="宋体" w:cs="宋体"/>
                <w:bCs/>
                <w:szCs w:val="21"/>
                <w:highlight w:val="none"/>
                <w:lang w:eastAsia="zh-CN"/>
              </w:rPr>
              <w:t>对</w:t>
            </w:r>
            <w:r>
              <w:rPr>
                <w:rFonts w:hint="eastAsia" w:ascii="宋体" w:hAnsi="宋体" w:eastAsia="宋体" w:cs="宋体"/>
                <w:bCs/>
                <w:szCs w:val="21"/>
                <w:highlight w:val="none"/>
              </w:rPr>
              <w:t>方案内容的全面性、针对性以及符合采购需求情况等进行打分。</w:t>
            </w:r>
            <w:r>
              <w:rPr>
                <w:rFonts w:hint="eastAsia" w:ascii="宋体" w:hAnsi="宋体" w:eastAsia="宋体" w:cs="宋体"/>
                <w:szCs w:val="21"/>
                <w:highlight w:val="none"/>
              </w:rPr>
              <w:t>打分区间：0分、1分、2分、3分、4分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5分</w:t>
            </w:r>
            <w:r>
              <w:rPr>
                <w:rFonts w:hint="eastAsia" w:ascii="宋体" w:hAnsi="宋体" w:eastAsia="宋体" w:cs="宋体"/>
                <w:szCs w:val="21"/>
                <w:highlight w:val="none"/>
              </w:rPr>
              <w:t>。</w:t>
            </w:r>
          </w:p>
        </w:tc>
        <w:tc>
          <w:tcPr>
            <w:tcW w:w="759" w:type="dxa"/>
            <w:vAlign w:val="center"/>
          </w:tcPr>
          <w:p w14:paraId="12744E2B">
            <w:pPr>
              <w:widowControl/>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val="en-US" w:eastAsia="zh-CN"/>
              </w:rPr>
              <w:t>5</w:t>
            </w:r>
          </w:p>
        </w:tc>
        <w:tc>
          <w:tcPr>
            <w:tcW w:w="1237" w:type="dxa"/>
            <w:vAlign w:val="center"/>
          </w:tcPr>
          <w:p w14:paraId="7F66E0C9">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509" w:type="dxa"/>
          </w:tcPr>
          <w:p w14:paraId="75D82F5C">
            <w:pPr>
              <w:snapToGrid w:val="0"/>
              <w:spacing w:line="360" w:lineRule="auto"/>
              <w:jc w:val="center"/>
              <w:rPr>
                <w:rFonts w:hint="eastAsia" w:ascii="宋体" w:hAnsi="宋体" w:eastAsia="宋体" w:cs="宋体"/>
                <w:color w:val="auto"/>
                <w:sz w:val="21"/>
                <w:szCs w:val="21"/>
                <w:highlight w:val="none"/>
              </w:rPr>
            </w:pPr>
          </w:p>
        </w:tc>
      </w:tr>
      <w:tr w14:paraId="12DC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ECFB28E">
            <w:pPr>
              <w:numPr>
                <w:ilvl w:val="0"/>
                <w:numId w:val="1"/>
              </w:numPr>
              <w:snapToGrid w:val="0"/>
              <w:spacing w:line="360" w:lineRule="auto"/>
              <w:ind w:left="425" w:leftChars="0" w:hanging="425" w:firstLineChars="0"/>
              <w:jc w:val="center"/>
              <w:rPr>
                <w:rFonts w:hint="default" w:ascii="宋体" w:hAnsi="宋体" w:cs="宋体"/>
                <w:color w:val="auto"/>
                <w:kern w:val="2"/>
                <w:sz w:val="21"/>
                <w:szCs w:val="21"/>
                <w:lang w:val="en-US" w:eastAsia="zh-CN" w:bidi="ar-SA"/>
              </w:rPr>
            </w:pPr>
          </w:p>
        </w:tc>
        <w:tc>
          <w:tcPr>
            <w:tcW w:w="5769" w:type="dxa"/>
            <w:vAlign w:val="center"/>
          </w:tcPr>
          <w:p w14:paraId="7931E9D5">
            <w:pPr>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根据投标人提供的针对本项目河道因突发状况导致河面发黑发臭、油污的应急响应方案。</w:t>
            </w:r>
            <w:r>
              <w:rPr>
                <w:rFonts w:hint="eastAsia" w:ascii="宋体" w:hAnsi="宋体" w:eastAsia="宋体" w:cs="宋体"/>
                <w:kern w:val="0"/>
                <w:sz w:val="21"/>
                <w:szCs w:val="21"/>
                <w:highlight w:val="none"/>
                <w:lang w:eastAsia="zh-CN"/>
              </w:rPr>
              <w:t>根据编制内容的全面性、针对性以及符合采购需求情况等进行打分。打分区间：0分、1分、2分、3分、4分、5分。</w:t>
            </w:r>
          </w:p>
        </w:tc>
        <w:tc>
          <w:tcPr>
            <w:tcW w:w="759" w:type="dxa"/>
            <w:vAlign w:val="center"/>
          </w:tcPr>
          <w:p w14:paraId="4DDA25AA">
            <w:pPr>
              <w:widowControl/>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bCs/>
                <w:sz w:val="21"/>
                <w:szCs w:val="21"/>
                <w:highlight w:val="none"/>
                <w:lang w:val="en-US" w:eastAsia="zh-CN"/>
              </w:rPr>
              <w:t>5</w:t>
            </w:r>
          </w:p>
        </w:tc>
        <w:tc>
          <w:tcPr>
            <w:tcW w:w="1237" w:type="dxa"/>
            <w:vAlign w:val="center"/>
          </w:tcPr>
          <w:p w14:paraId="7DFEE28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509" w:type="dxa"/>
          </w:tcPr>
          <w:p w14:paraId="7C75305B">
            <w:pPr>
              <w:snapToGrid w:val="0"/>
              <w:spacing w:line="360" w:lineRule="auto"/>
              <w:jc w:val="center"/>
              <w:rPr>
                <w:rFonts w:hint="eastAsia" w:ascii="宋体" w:hAnsi="宋体" w:eastAsia="宋体" w:cs="宋体"/>
                <w:color w:val="auto"/>
                <w:sz w:val="21"/>
                <w:szCs w:val="21"/>
                <w:highlight w:val="none"/>
              </w:rPr>
            </w:pPr>
          </w:p>
        </w:tc>
      </w:tr>
      <w:tr w14:paraId="69CE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D9675F8">
            <w:pPr>
              <w:numPr>
                <w:ilvl w:val="0"/>
                <w:numId w:val="1"/>
              </w:numPr>
              <w:snapToGrid w:val="0"/>
              <w:spacing w:line="360" w:lineRule="auto"/>
              <w:ind w:left="425" w:leftChars="0" w:hanging="425" w:firstLineChars="0"/>
              <w:jc w:val="center"/>
              <w:rPr>
                <w:rFonts w:hint="default" w:ascii="宋体" w:hAnsi="宋体" w:cs="宋体"/>
                <w:color w:val="auto"/>
                <w:kern w:val="2"/>
                <w:sz w:val="21"/>
                <w:szCs w:val="21"/>
                <w:lang w:val="en-US" w:eastAsia="zh-CN" w:bidi="ar-SA"/>
              </w:rPr>
            </w:pPr>
          </w:p>
        </w:tc>
        <w:tc>
          <w:tcPr>
            <w:tcW w:w="5769" w:type="dxa"/>
            <w:vAlign w:val="center"/>
          </w:tcPr>
          <w:p w14:paraId="49F98041">
            <w:pPr>
              <w:widowControl/>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根据投标人提供的针对</w:t>
            </w:r>
            <w:r>
              <w:rPr>
                <w:rFonts w:hint="eastAsia" w:ascii="宋体" w:hAnsi="宋体" w:cs="宋体"/>
                <w:sz w:val="21"/>
                <w:szCs w:val="21"/>
                <w:highlight w:val="none"/>
                <w:lang w:eastAsia="zh-CN"/>
              </w:rPr>
              <w:t>河面</w:t>
            </w:r>
            <w:r>
              <w:rPr>
                <w:rFonts w:hint="eastAsia" w:ascii="宋体" w:hAnsi="宋体" w:eastAsia="宋体" w:cs="宋体"/>
                <w:sz w:val="21"/>
                <w:szCs w:val="21"/>
                <w:highlight w:val="none"/>
              </w:rPr>
              <w:t>蓝藻爆发现象的应急响应方案。</w:t>
            </w:r>
            <w:r>
              <w:rPr>
                <w:rFonts w:hint="eastAsia" w:ascii="宋体" w:hAnsi="宋体" w:eastAsia="宋体" w:cs="宋体"/>
                <w:kern w:val="0"/>
                <w:sz w:val="21"/>
                <w:szCs w:val="21"/>
                <w:highlight w:val="none"/>
                <w:lang w:eastAsia="zh-CN"/>
              </w:rPr>
              <w:t>根据编制内容的全面性、针对性以及符合采购需求情况等进行打分。打分区间：0分、1分、2分、3分、4分、5分。</w:t>
            </w:r>
          </w:p>
        </w:tc>
        <w:tc>
          <w:tcPr>
            <w:tcW w:w="759" w:type="dxa"/>
            <w:vAlign w:val="center"/>
          </w:tcPr>
          <w:p w14:paraId="6031E6D7">
            <w:pPr>
              <w:widowControl/>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bCs/>
                <w:sz w:val="21"/>
                <w:szCs w:val="21"/>
                <w:highlight w:val="none"/>
                <w:lang w:val="en-US" w:eastAsia="zh-CN"/>
              </w:rPr>
              <w:t>5</w:t>
            </w:r>
          </w:p>
        </w:tc>
        <w:tc>
          <w:tcPr>
            <w:tcW w:w="1237" w:type="dxa"/>
            <w:vAlign w:val="center"/>
          </w:tcPr>
          <w:p w14:paraId="1117641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1509" w:type="dxa"/>
          </w:tcPr>
          <w:p w14:paraId="103D45A4">
            <w:pPr>
              <w:snapToGrid w:val="0"/>
              <w:spacing w:line="360" w:lineRule="auto"/>
              <w:jc w:val="center"/>
              <w:rPr>
                <w:rFonts w:hint="eastAsia" w:ascii="宋体" w:hAnsi="宋体" w:eastAsia="宋体" w:cs="宋体"/>
                <w:color w:val="auto"/>
                <w:sz w:val="21"/>
                <w:szCs w:val="21"/>
                <w:highlight w:val="none"/>
              </w:rPr>
            </w:pPr>
          </w:p>
        </w:tc>
      </w:tr>
      <w:tr w14:paraId="7498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4BEBC1B">
            <w:pPr>
              <w:numPr>
                <w:ilvl w:val="0"/>
                <w:numId w:val="0"/>
              </w:numPr>
              <w:snapToGrid w:val="0"/>
              <w:spacing w:line="360" w:lineRule="auto"/>
              <w:ind w:left="0" w:leftChars="0" w:firstLine="0" w:firstLineChars="0"/>
              <w:jc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14.</w:t>
            </w:r>
          </w:p>
        </w:tc>
        <w:tc>
          <w:tcPr>
            <w:tcW w:w="5769" w:type="dxa"/>
            <w:vAlign w:val="center"/>
          </w:tcPr>
          <w:p w14:paraId="61B7FA25">
            <w:pPr>
              <w:widowControl/>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项目团队成员</w:t>
            </w:r>
          </w:p>
        </w:tc>
        <w:tc>
          <w:tcPr>
            <w:tcW w:w="759" w:type="dxa"/>
            <w:vAlign w:val="center"/>
          </w:tcPr>
          <w:p w14:paraId="6E657DE3">
            <w:pPr>
              <w:snapToGrid w:val="0"/>
              <w:spacing w:line="360" w:lineRule="auto"/>
              <w:jc w:val="center"/>
              <w:rPr>
                <w:rFonts w:hint="eastAsia" w:ascii="宋体" w:hAnsi="宋体" w:cs="宋体"/>
                <w:color w:val="auto"/>
                <w:sz w:val="21"/>
                <w:szCs w:val="21"/>
                <w:highlight w:val="none"/>
                <w:lang w:val="en-US" w:eastAsia="zh-CN"/>
              </w:rPr>
            </w:pPr>
          </w:p>
        </w:tc>
        <w:tc>
          <w:tcPr>
            <w:tcW w:w="1237" w:type="dxa"/>
            <w:vAlign w:val="center"/>
          </w:tcPr>
          <w:p w14:paraId="0F1981BE">
            <w:pPr>
              <w:snapToGrid w:val="0"/>
              <w:spacing w:line="360" w:lineRule="auto"/>
              <w:jc w:val="center"/>
              <w:rPr>
                <w:rFonts w:hint="eastAsia" w:ascii="宋体" w:hAnsi="宋体" w:eastAsia="宋体" w:cs="宋体"/>
                <w:color w:val="auto"/>
                <w:sz w:val="21"/>
                <w:szCs w:val="21"/>
                <w:highlight w:val="none"/>
              </w:rPr>
            </w:pPr>
          </w:p>
        </w:tc>
        <w:tc>
          <w:tcPr>
            <w:tcW w:w="1509" w:type="dxa"/>
          </w:tcPr>
          <w:p w14:paraId="757108BE">
            <w:pPr>
              <w:snapToGrid w:val="0"/>
              <w:spacing w:line="360" w:lineRule="auto"/>
              <w:jc w:val="center"/>
              <w:rPr>
                <w:rFonts w:hint="eastAsia" w:ascii="宋体" w:hAnsi="宋体" w:eastAsia="宋体" w:cs="宋体"/>
                <w:color w:val="auto"/>
                <w:sz w:val="21"/>
                <w:szCs w:val="21"/>
                <w:highlight w:val="none"/>
              </w:rPr>
            </w:pPr>
          </w:p>
        </w:tc>
      </w:tr>
      <w:tr w14:paraId="2C43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AEAD75B">
            <w:pPr>
              <w:numPr>
                <w:ilvl w:val="0"/>
                <w:numId w:val="0"/>
              </w:numPr>
              <w:snapToGrid w:val="0"/>
              <w:spacing w:line="360" w:lineRule="auto"/>
              <w:ind w:left="0" w:leftChars="0" w:firstLine="0" w:firstLineChars="0"/>
              <w:jc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14.1</w:t>
            </w:r>
          </w:p>
        </w:tc>
        <w:tc>
          <w:tcPr>
            <w:tcW w:w="5769" w:type="dxa"/>
            <w:vAlign w:val="center"/>
          </w:tcPr>
          <w:p w14:paraId="2BCA8A68">
            <w:pPr>
              <w:widowControl/>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color w:val="auto"/>
                <w:highlight w:val="none"/>
                <w:lang w:val="en-US" w:eastAsia="zh-CN"/>
              </w:rPr>
              <w:t>拟派本项目的项目负责人具备工程师及以上职称的得2</w:t>
            </w:r>
            <w:r>
              <w:rPr>
                <w:rFonts w:hint="eastAsia" w:ascii="Times New Roman" w:hAnsi="Times New Roman" w:cs="Times New Roman"/>
                <w:color w:val="auto"/>
                <w:highlight w:val="none"/>
                <w:lang w:val="en-US" w:eastAsia="zh-CN"/>
              </w:rPr>
              <w:t>分，具备注册环保师证书的得2分，本项最高得4分；（提供相应人员证书扫描件及社保部门出具的开标时间前一个月在本单位社保缴纳证明，缺一不可。）</w:t>
            </w:r>
          </w:p>
        </w:tc>
        <w:tc>
          <w:tcPr>
            <w:tcW w:w="759" w:type="dxa"/>
            <w:vAlign w:val="center"/>
          </w:tcPr>
          <w:p w14:paraId="6FA57C4B">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237" w:type="dxa"/>
            <w:vAlign w:val="center"/>
          </w:tcPr>
          <w:p w14:paraId="4FC23ABB">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客观分</w:t>
            </w:r>
          </w:p>
        </w:tc>
        <w:tc>
          <w:tcPr>
            <w:tcW w:w="1509" w:type="dxa"/>
          </w:tcPr>
          <w:p w14:paraId="0BCD10B8">
            <w:pPr>
              <w:snapToGrid w:val="0"/>
              <w:spacing w:line="360" w:lineRule="auto"/>
              <w:jc w:val="center"/>
              <w:rPr>
                <w:rFonts w:hint="eastAsia" w:ascii="宋体" w:hAnsi="宋体" w:eastAsia="宋体" w:cs="宋体"/>
                <w:color w:val="auto"/>
                <w:sz w:val="21"/>
                <w:szCs w:val="21"/>
                <w:highlight w:val="none"/>
              </w:rPr>
            </w:pPr>
          </w:p>
        </w:tc>
      </w:tr>
      <w:tr w14:paraId="378C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3C35804C">
            <w:pPr>
              <w:numPr>
                <w:ilvl w:val="0"/>
                <w:numId w:val="0"/>
              </w:numPr>
              <w:snapToGrid w:val="0"/>
              <w:spacing w:line="360" w:lineRule="auto"/>
              <w:ind w:left="0" w:leftChars="0" w:firstLine="0" w:firstLineChars="0"/>
              <w:jc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14.2</w:t>
            </w:r>
          </w:p>
        </w:tc>
        <w:tc>
          <w:tcPr>
            <w:tcW w:w="5769" w:type="dxa"/>
            <w:vAlign w:val="center"/>
          </w:tcPr>
          <w:p w14:paraId="3F53A505">
            <w:pPr>
              <w:widowControl/>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Times New Roman" w:hAnsi="Times New Roman" w:cs="Times New Roman"/>
                <w:color w:val="auto"/>
                <w:highlight w:val="none"/>
                <w:lang w:val="en-US" w:eastAsia="zh-CN"/>
              </w:rPr>
              <w:t>技术负责人具有环保专业高级及以上工程师证书的得 2 分，其他不得分。（提供相应人员证书扫描件及社保部门出具的开标时间前一个月在本单位社保缴纳证明，缺一不可。）</w:t>
            </w:r>
          </w:p>
        </w:tc>
        <w:tc>
          <w:tcPr>
            <w:tcW w:w="759" w:type="dxa"/>
            <w:vAlign w:val="center"/>
          </w:tcPr>
          <w:p w14:paraId="0B8B737A">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237" w:type="dxa"/>
            <w:vAlign w:val="center"/>
          </w:tcPr>
          <w:p w14:paraId="285D9EC8">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客观分</w:t>
            </w:r>
          </w:p>
        </w:tc>
        <w:tc>
          <w:tcPr>
            <w:tcW w:w="1509" w:type="dxa"/>
          </w:tcPr>
          <w:p w14:paraId="75801434">
            <w:pPr>
              <w:snapToGrid w:val="0"/>
              <w:spacing w:line="360" w:lineRule="auto"/>
              <w:jc w:val="center"/>
              <w:rPr>
                <w:rFonts w:hint="eastAsia" w:ascii="宋体" w:hAnsi="宋体" w:eastAsia="宋体" w:cs="宋体"/>
                <w:color w:val="auto"/>
                <w:sz w:val="21"/>
                <w:szCs w:val="21"/>
                <w:highlight w:val="none"/>
              </w:rPr>
            </w:pPr>
          </w:p>
        </w:tc>
      </w:tr>
      <w:tr w14:paraId="1E4A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4C3F57D5">
            <w:pPr>
              <w:numPr>
                <w:ilvl w:val="0"/>
                <w:numId w:val="0"/>
              </w:numPr>
              <w:snapToGrid w:val="0"/>
              <w:spacing w:line="360" w:lineRule="auto"/>
              <w:ind w:left="0" w:leftChars="0" w:firstLine="0" w:firstLineChars="0"/>
              <w:jc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15</w:t>
            </w:r>
          </w:p>
        </w:tc>
        <w:tc>
          <w:tcPr>
            <w:tcW w:w="5769" w:type="dxa"/>
            <w:vAlign w:val="center"/>
          </w:tcPr>
          <w:p w14:paraId="22ACEF54">
            <w:pPr>
              <w:snapToGrid w:val="0"/>
              <w:spacing w:line="360" w:lineRule="auto"/>
              <w:jc w:val="left"/>
              <w:rPr>
                <w:rFonts w:hint="eastAsia" w:ascii="宋体" w:hAnsi="宋体" w:eastAsia="宋体" w:cs="宋体"/>
                <w:bCs/>
                <w:szCs w:val="21"/>
                <w:lang w:eastAsia="zh-CN"/>
              </w:rPr>
            </w:pPr>
            <w:r>
              <w:rPr>
                <w:rFonts w:hint="eastAsia"/>
                <w:color w:val="auto"/>
                <w:highlight w:val="none"/>
                <w:lang w:val="en-US" w:eastAsia="zh-CN"/>
              </w:rPr>
              <w:t>投标人为本项目配备多功能水质分析仪设备的每个得0.5分，最高得2分；投标人为本项目配备辅助设施冲锋艇设备的每个得0.5分，最高得1分；投标人为本项目单独配备曝气船得1分。其他辅助设施船只每个得0.5分，最高得1分。（</w:t>
            </w:r>
            <w:r>
              <w:rPr>
                <w:rFonts w:hint="eastAsia" w:ascii="宋体" w:hAnsi="宋体" w:eastAsia="宋体" w:cs="宋体"/>
              </w:rPr>
              <w:t>提供设备的购买发票或购买合同</w:t>
            </w:r>
            <w:r>
              <w:rPr>
                <w:rFonts w:hint="eastAsia" w:ascii="宋体" w:hAnsi="宋体" w:eastAsia="宋体" w:cs="宋体"/>
                <w:lang w:eastAsia="zh-CN"/>
              </w:rPr>
              <w:t>，如租赁的还需提供不少于服务年限的租赁合同</w:t>
            </w:r>
            <w:r>
              <w:rPr>
                <w:rFonts w:hint="eastAsia" w:ascii="宋体" w:hAnsi="宋体" w:eastAsia="宋体" w:cs="宋体"/>
              </w:rPr>
              <w:t>。证明材料未提供或提供不全的不得分。</w:t>
            </w:r>
            <w:r>
              <w:rPr>
                <w:rFonts w:hint="eastAsia"/>
                <w:color w:val="auto"/>
                <w:highlight w:val="none"/>
                <w:lang w:val="en-US" w:eastAsia="zh-CN"/>
              </w:rPr>
              <w:t>）</w:t>
            </w:r>
          </w:p>
        </w:tc>
        <w:tc>
          <w:tcPr>
            <w:tcW w:w="759" w:type="dxa"/>
            <w:vAlign w:val="center"/>
          </w:tcPr>
          <w:p w14:paraId="4E8D5141">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37" w:type="dxa"/>
            <w:vAlign w:val="center"/>
          </w:tcPr>
          <w:p w14:paraId="15A8625C">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1509" w:type="dxa"/>
          </w:tcPr>
          <w:p w14:paraId="7B84C3F6">
            <w:pPr>
              <w:snapToGrid w:val="0"/>
              <w:spacing w:line="360" w:lineRule="auto"/>
              <w:jc w:val="center"/>
              <w:rPr>
                <w:rFonts w:hint="eastAsia" w:ascii="宋体" w:hAnsi="宋体" w:eastAsia="宋体" w:cs="宋体"/>
                <w:color w:val="auto"/>
                <w:sz w:val="21"/>
                <w:szCs w:val="21"/>
                <w:highlight w:val="none"/>
              </w:rPr>
            </w:pPr>
          </w:p>
        </w:tc>
      </w:tr>
      <w:tr w14:paraId="4E5B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C65912B">
            <w:pPr>
              <w:numPr>
                <w:ilvl w:val="0"/>
                <w:numId w:val="0"/>
              </w:numPr>
              <w:snapToGrid w:val="0"/>
              <w:spacing w:line="36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5769" w:type="dxa"/>
            <w:vAlign w:val="center"/>
          </w:tcPr>
          <w:p w14:paraId="71A96B52">
            <w:pPr>
              <w:widowControl/>
              <w:spacing w:line="360" w:lineRule="auto"/>
              <w:jc w:val="left"/>
              <w:textAlignment w:val="center"/>
              <w:rPr>
                <w:rFonts w:hint="eastAsia" w:ascii="宋体" w:hAnsi="宋体" w:eastAsia="宋体" w:cs="宋体"/>
                <w:color w:val="auto"/>
                <w:sz w:val="21"/>
                <w:szCs w:val="21"/>
                <w:highlight w:val="none"/>
              </w:rPr>
            </w:pPr>
            <w:r>
              <w:rPr>
                <w:rFonts w:hint="eastAsia"/>
                <w:color w:val="auto"/>
                <w:highlight w:val="none"/>
                <w:lang w:val="en-US" w:eastAsia="zh-CN"/>
              </w:rPr>
              <w:t>服务承诺根据服务快速响应能力、售后服务方案、措施、</w:t>
            </w:r>
            <w:r>
              <w:rPr>
                <w:rFonts w:hint="eastAsia" w:eastAsia="宋体"/>
                <w:color w:val="auto"/>
                <w:highlight w:val="none"/>
                <w:lang w:eastAsia="zh-CN"/>
              </w:rPr>
              <w:t>服务</w:t>
            </w:r>
            <w:r>
              <w:rPr>
                <w:rFonts w:hint="eastAsia"/>
                <w:color w:val="auto"/>
                <w:highlight w:val="none"/>
                <w:lang w:val="en-US" w:eastAsia="zh-CN"/>
              </w:rPr>
              <w:t>响应</w:t>
            </w:r>
            <w:r>
              <w:rPr>
                <w:rFonts w:hint="eastAsia" w:ascii="宋体" w:hAnsi="宋体" w:eastAsia="宋体" w:cs="宋体"/>
                <w:kern w:val="0"/>
                <w:sz w:val="21"/>
                <w:szCs w:val="21"/>
                <w:highlight w:val="none"/>
                <w:lang w:eastAsia="zh-CN"/>
              </w:rPr>
              <w:t>等进行打分。打分区间：0分、1分、2分、3分、4分、5分。</w:t>
            </w:r>
          </w:p>
        </w:tc>
        <w:tc>
          <w:tcPr>
            <w:tcW w:w="759" w:type="dxa"/>
            <w:vAlign w:val="center"/>
          </w:tcPr>
          <w:p w14:paraId="53897F27">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37" w:type="dxa"/>
            <w:vAlign w:val="center"/>
          </w:tcPr>
          <w:p w14:paraId="02EFE72B">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主观分</w:t>
            </w:r>
          </w:p>
        </w:tc>
        <w:tc>
          <w:tcPr>
            <w:tcW w:w="1509" w:type="dxa"/>
          </w:tcPr>
          <w:p w14:paraId="76F81E70">
            <w:pPr>
              <w:snapToGrid w:val="0"/>
              <w:spacing w:line="360" w:lineRule="auto"/>
              <w:jc w:val="center"/>
              <w:rPr>
                <w:rFonts w:hint="eastAsia" w:ascii="宋体" w:hAnsi="宋体" w:eastAsia="宋体" w:cs="宋体"/>
                <w:color w:val="auto"/>
                <w:sz w:val="21"/>
                <w:szCs w:val="21"/>
                <w:highlight w:val="none"/>
              </w:rPr>
            </w:pPr>
          </w:p>
        </w:tc>
      </w:tr>
      <w:tr w14:paraId="6C26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F71E925">
            <w:pPr>
              <w:numPr>
                <w:ilvl w:val="0"/>
                <w:numId w:val="0"/>
              </w:numPr>
              <w:snapToGrid w:val="0"/>
              <w:spacing w:line="360" w:lineRule="auto"/>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5769" w:type="dxa"/>
            <w:vAlign w:val="center"/>
          </w:tcPr>
          <w:p w14:paraId="669AC70F">
            <w:pPr>
              <w:widowControl/>
              <w:spacing w:line="360" w:lineRule="auto"/>
              <w:jc w:val="left"/>
              <w:textAlignment w:val="center"/>
              <w:rPr>
                <w:rFonts w:hint="eastAsia"/>
                <w:color w:val="auto"/>
                <w:highlight w:val="none"/>
                <w:lang w:val="en-US" w:eastAsia="zh-CN"/>
              </w:rPr>
            </w:pPr>
            <w:r>
              <w:rPr>
                <w:rFonts w:hint="eastAsia"/>
                <w:color w:val="auto"/>
                <w:highlight w:val="none"/>
                <w:lang w:val="en-US" w:eastAsia="zh-CN"/>
              </w:rPr>
              <w:t>后期养护服务方案计划、养护人员的安排是否合理、可行</w:t>
            </w:r>
            <w:r>
              <w:rPr>
                <w:rFonts w:hint="eastAsia" w:ascii="宋体" w:hAnsi="宋体" w:eastAsia="宋体" w:cs="宋体"/>
                <w:kern w:val="0"/>
                <w:sz w:val="21"/>
                <w:szCs w:val="21"/>
                <w:highlight w:val="none"/>
                <w:lang w:eastAsia="zh-CN"/>
              </w:rPr>
              <w:t>等进行打分。打分区间：0分、1分、2分、3分、4分、5分。</w:t>
            </w:r>
          </w:p>
        </w:tc>
        <w:tc>
          <w:tcPr>
            <w:tcW w:w="759" w:type="dxa"/>
            <w:vAlign w:val="center"/>
          </w:tcPr>
          <w:p w14:paraId="776F0B73">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37" w:type="dxa"/>
            <w:vAlign w:val="center"/>
          </w:tcPr>
          <w:p w14:paraId="32F167F8">
            <w:pPr>
              <w:snapToGrid w:val="0"/>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主观分</w:t>
            </w:r>
          </w:p>
        </w:tc>
        <w:tc>
          <w:tcPr>
            <w:tcW w:w="1509" w:type="dxa"/>
          </w:tcPr>
          <w:p w14:paraId="6C22A158">
            <w:pPr>
              <w:snapToGrid w:val="0"/>
              <w:spacing w:line="360" w:lineRule="auto"/>
              <w:jc w:val="center"/>
              <w:rPr>
                <w:rFonts w:hint="eastAsia" w:ascii="宋体" w:hAnsi="宋体" w:eastAsia="宋体" w:cs="宋体"/>
                <w:color w:val="auto"/>
                <w:sz w:val="21"/>
                <w:szCs w:val="21"/>
                <w:highlight w:val="none"/>
              </w:rPr>
            </w:pPr>
          </w:p>
        </w:tc>
      </w:tr>
      <w:tr w14:paraId="01D4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DC74B6B">
            <w:pPr>
              <w:numPr>
                <w:ilvl w:val="0"/>
                <w:numId w:val="0"/>
              </w:numPr>
              <w:snapToGrid w:val="0"/>
              <w:spacing w:line="360" w:lineRule="auto"/>
              <w:ind w:lef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5769" w:type="dxa"/>
          </w:tcPr>
          <w:p w14:paraId="032D62A6">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0］的计算公式计算。</w:t>
            </w:r>
          </w:p>
          <w:p w14:paraId="3FDAB750">
            <w:pPr>
              <w:widowControl/>
              <w:shd w:val="clear" w:color="auto" w:fill="FFFFFF"/>
              <w:adjustRightInd/>
              <w:spacing w:after="225" w:line="360" w:lineRule="auto"/>
              <w:ind w:firstLine="42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评标过程中，不得去掉报价中的最高报价和最低报价。</w:t>
            </w:r>
          </w:p>
        </w:tc>
        <w:tc>
          <w:tcPr>
            <w:tcW w:w="759" w:type="dxa"/>
            <w:vAlign w:val="center"/>
          </w:tcPr>
          <w:p w14:paraId="66DAF7F4">
            <w:pPr>
              <w:spacing w:line="360" w:lineRule="auto"/>
              <w:jc w:val="center"/>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w:t>
            </w:r>
          </w:p>
        </w:tc>
        <w:tc>
          <w:tcPr>
            <w:tcW w:w="1237" w:type="dxa"/>
            <w:vAlign w:val="center"/>
          </w:tcPr>
          <w:p w14:paraId="1863C8F7">
            <w:pPr>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509" w:type="dxa"/>
            <w:vAlign w:val="center"/>
          </w:tcPr>
          <w:p w14:paraId="482AE302">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11A5DE9F">
      <w:pPr>
        <w:rPr>
          <w:rFonts w:hint="eastAsia" w:ascii="宋体" w:hAnsi="宋体" w:eastAsia="宋体" w:cs="宋体"/>
          <w:color w:val="auto"/>
          <w:highlight w:val="none"/>
        </w:rPr>
      </w:pPr>
    </w:p>
    <w:p w14:paraId="7CBCD3F5">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360B8648">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246CE5B9">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41EFC023">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1087CB7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6C606EE">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4617B10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50635C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2A62C8E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230441A7">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2FE39706">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7C61C124">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493D56CA">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6CFEF06B">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0E2AE059">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AA7F5E8">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A1DE0A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52BBFEE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38F9DDCD">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97893A">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w:t>
      </w:r>
      <w:r>
        <w:rPr>
          <w:rFonts w:hint="eastAsia" w:ascii="宋体" w:hAnsi="宋体" w:cs="宋体"/>
          <w:color w:val="auto"/>
          <w:kern w:val="0"/>
          <w:sz w:val="24"/>
          <w:highlight w:val="none"/>
          <w14:ligatures w14:val="none"/>
        </w:rPr>
        <w:t>对于未预留份额专门面向中小企业的政府采购服务项目，以及预留份额政府采购服务项目中的非预留部分标项，对小型和微型企业的投标报价给予10%-</w:t>
      </w:r>
      <w:r>
        <w:rPr>
          <w:rFonts w:ascii="宋体" w:hAnsi="宋体" w:cs="宋体"/>
          <w:color w:val="auto"/>
          <w:kern w:val="0"/>
          <w:sz w:val="24"/>
          <w:highlight w:val="none"/>
          <w14:ligatures w14:val="none"/>
        </w:rPr>
        <w:t>20</w:t>
      </w:r>
      <w:r>
        <w:rPr>
          <w:rFonts w:hint="eastAsia" w:ascii="宋体" w:hAnsi="宋体" w:cs="宋体"/>
          <w:color w:val="auto"/>
          <w:kern w:val="0"/>
          <w:sz w:val="24"/>
          <w:highlight w:val="none"/>
          <w14:ligatures w14: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 w:val="24"/>
          <w:highlight w:val="none"/>
          <w14:ligatures w14:val="none"/>
        </w:rPr>
        <w:t>6</w:t>
      </w:r>
      <w:r>
        <w:rPr>
          <w:rFonts w:hint="eastAsia" w:ascii="宋体" w:hAnsi="宋体" w:cs="宋体"/>
          <w:color w:val="auto"/>
          <w:kern w:val="0"/>
          <w:sz w:val="24"/>
          <w:highlight w:val="none"/>
          <w14:ligatures w14:val="none"/>
        </w:rPr>
        <w:t>%的扣除，用扣除后的价格参加评审。组成联合体或者接受分包的小微企业与联合体内其他企业、分包企业之间存在直接控股、管理关系的，不享受价格扣除优惠政策</w:t>
      </w:r>
      <w:r>
        <w:rPr>
          <w:rFonts w:hint="eastAsia" w:ascii="宋体" w:hAnsi="宋体" w:eastAsia="宋体" w:cs="宋体"/>
          <w:color w:val="auto"/>
          <w:kern w:val="0"/>
          <w:szCs w:val="24"/>
          <w:highlight w:val="none"/>
        </w:rPr>
        <w:t>。</w:t>
      </w:r>
    </w:p>
    <w:p w14:paraId="5C271E5A">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369918C">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633402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77937E">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DFFF6DC">
      <w:pPr>
        <w:pStyle w:val="13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C05E7E7">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5505DF2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0AC17DF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47014A0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2F0892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4D0B124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28A5BA05">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2177C69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50A3AE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BAC8CB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1694C4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50A57BB8">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1BDC5BF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7E702482">
      <w:pPr>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4.2.13不同供应商的电子投标（响应）文件上传计算机的网卡MAC地址或硬盘序列号等硬件信息相同的，投标无效；</w:t>
      </w:r>
    </w:p>
    <w:p w14:paraId="3CFD7392">
      <w:pPr>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上传的电子投标（响应）文件若出现使用本项目其他投标（响应）供应商的数字证书加密的，或者加盖本项目其他投标（响应）供应商的电子印章的，投标无效；</w:t>
      </w:r>
    </w:p>
    <w:p w14:paraId="394C649E">
      <w:pPr>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不同供应商的投标（响应）文件的内容存在三处（含）以上错误一致的，投标无效；</w:t>
      </w:r>
    </w:p>
    <w:p w14:paraId="194A2A99">
      <w:pPr>
        <w:spacing w:line="360" w:lineRule="auto"/>
        <w:ind w:left="479" w:leftChars="228" w:firstLine="0" w:firstLineChars="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lang w:val="en-US"/>
        </w:rPr>
        <w:t>不同供应商联系人为同一人或不同联系人的联系电话一致的，其响应文件无效</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25E0149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490FF97A">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205DFA16">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424C768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54FBA4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0594BDCC">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559F7F2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0932EA49">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BCBE48A">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17E1BDB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7540C71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1982FBA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3B62657B">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717A074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9"/>
    <w:p w14:paraId="4AEDAA3E">
      <w:pPr>
        <w:widowControl/>
        <w:adjustRightInd/>
        <w:jc w:val="left"/>
        <w:rPr>
          <w:rFonts w:hint="eastAsia" w:ascii="宋体" w:hAnsi="宋体" w:eastAsia="宋体" w:cs="宋体"/>
          <w:color w:val="auto"/>
          <w:sz w:val="24"/>
          <w:highlight w:val="none"/>
        </w:rPr>
      </w:pPr>
      <w:bookmarkStart w:id="395" w:name="第五部分"/>
      <w:bookmarkStart w:id="396" w:name="_Toc86217003"/>
      <w:r>
        <w:rPr>
          <w:rFonts w:hint="eastAsia" w:ascii="宋体" w:hAnsi="宋体" w:eastAsia="宋体" w:cs="宋体"/>
          <w:color w:val="auto"/>
          <w:sz w:val="24"/>
          <w:highlight w:val="none"/>
        </w:rPr>
        <w:br w:type="page"/>
      </w:r>
    </w:p>
    <w:p w14:paraId="28CD5F78">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2F20C7F9">
      <w:pPr>
        <w:spacing w:line="600" w:lineRule="exact"/>
        <w:jc w:val="center"/>
        <w:rPr>
          <w:rFonts w:hint="eastAsia" w:ascii="宋体" w:hAnsi="宋体" w:cs="宋体"/>
          <w:b/>
          <w:sz w:val="32"/>
          <w:szCs w:val="32"/>
          <w:highlight w:val="none"/>
        </w:rPr>
      </w:pPr>
      <w:r>
        <w:rPr>
          <w:rFonts w:hint="eastAsia" w:ascii="宋体" w:hAnsi="宋体" w:cs="宋体"/>
          <w:b/>
          <w:sz w:val="32"/>
          <w:szCs w:val="32"/>
          <w:highlight w:val="none"/>
          <w:u w:val="single"/>
          <w:lang w:eastAsia="zh-CN"/>
        </w:rPr>
        <w:t>前进街道四工段横河等水环境治理服务项目</w:t>
      </w:r>
      <w:r>
        <w:rPr>
          <w:rFonts w:hint="eastAsia" w:ascii="宋体" w:hAnsi="宋体" w:cs="宋体"/>
          <w:b/>
          <w:sz w:val="32"/>
          <w:szCs w:val="32"/>
          <w:highlight w:val="none"/>
        </w:rPr>
        <w:t>合同</w:t>
      </w:r>
    </w:p>
    <w:p w14:paraId="26294EB7">
      <w:pPr>
        <w:spacing w:line="340" w:lineRule="exact"/>
        <w:rPr>
          <w:rFonts w:hint="eastAsia" w:ascii="宋体" w:hAnsi="宋体" w:cs="宋体"/>
          <w:szCs w:val="21"/>
          <w:highlight w:val="none"/>
        </w:rPr>
      </w:pPr>
    </w:p>
    <w:p w14:paraId="32AD4174">
      <w:pPr>
        <w:spacing w:line="340" w:lineRule="exact"/>
        <w:rPr>
          <w:rFonts w:hint="eastAsia" w:ascii="宋体" w:hAnsi="宋体" w:cs="宋体"/>
          <w:szCs w:val="21"/>
          <w:highlight w:val="none"/>
        </w:rPr>
      </w:pPr>
    </w:p>
    <w:p w14:paraId="44898A90">
      <w:pPr>
        <w:spacing w:line="360" w:lineRule="auto"/>
        <w:ind w:firstLine="480" w:firstLineChars="200"/>
        <w:rPr>
          <w:rFonts w:hint="eastAsia" w:ascii="宋体" w:hAnsi="宋体" w:eastAsia="宋体" w:cs="宋体"/>
          <w:b/>
          <w:bCs/>
          <w:sz w:val="24"/>
        </w:rPr>
      </w:pPr>
      <w:r>
        <w:rPr>
          <w:rFonts w:hint="eastAsia" w:ascii="宋体" w:hAnsi="宋体" w:eastAsia="宋体" w:cs="宋体"/>
          <w:sz w:val="24"/>
        </w:rPr>
        <w:t xml:space="preserve">招标编号： </w:t>
      </w:r>
    </w:p>
    <w:p w14:paraId="6AEB439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项目名称： </w:t>
      </w:r>
    </w:p>
    <w:p w14:paraId="44E86C0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甲方（采购人）： </w:t>
      </w:r>
    </w:p>
    <w:p w14:paraId="1712C50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乙方（服务商）： </w:t>
      </w:r>
    </w:p>
    <w:p w14:paraId="3105B6C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根据《中华人民共和国民法典》、《中华人民共和国政府采购法》等法律法规的有关规定，甲、乙双方按照政府采购公开招标的招标结果，在平等互利、协商一致的基础上，就下述</w:t>
      </w:r>
      <w:r>
        <w:rPr>
          <w:rFonts w:hint="eastAsia" w:ascii="宋体" w:hAnsi="宋体" w:eastAsia="宋体" w:cs="宋体"/>
          <w:sz w:val="24"/>
          <w:u w:val="single"/>
        </w:rPr>
        <w:t xml:space="preserve">        </w:t>
      </w:r>
      <w:r>
        <w:rPr>
          <w:rFonts w:hint="eastAsia" w:ascii="宋体" w:hAnsi="宋体" w:eastAsia="宋体" w:cs="宋体"/>
          <w:sz w:val="24"/>
        </w:rPr>
        <w:t>项目事宜达成以下约定，特签订本合同。</w:t>
      </w:r>
    </w:p>
    <w:p w14:paraId="4AD3B91F">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第一条：服务要求</w:t>
      </w:r>
    </w:p>
    <w:p w14:paraId="1A7CBD50">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1、服务期限：</w:t>
      </w:r>
      <w:r>
        <w:rPr>
          <w:rFonts w:hint="eastAsia" w:ascii="宋体" w:hAnsi="宋体" w:eastAsia="宋体" w:cs="宋体"/>
          <w:b/>
          <w:bCs/>
          <w:sz w:val="24"/>
          <w:u w:val="single"/>
        </w:rPr>
        <w:t>202  年  月   日-202  年  月  日</w:t>
      </w:r>
      <w:r>
        <w:rPr>
          <w:rFonts w:hint="eastAsia" w:ascii="宋体" w:hAnsi="宋体" w:eastAsia="宋体" w:cs="宋体"/>
          <w:sz w:val="24"/>
          <w:u w:val="single"/>
        </w:rPr>
        <w:t xml:space="preserve">  </w:t>
      </w:r>
    </w:p>
    <w:p w14:paraId="09B39B5D">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2、服务地点：</w:t>
      </w:r>
      <w:r>
        <w:rPr>
          <w:rFonts w:hint="eastAsia" w:ascii="宋体" w:hAnsi="宋体" w:eastAsia="宋体" w:cs="宋体"/>
          <w:sz w:val="24"/>
          <w:u w:val="single"/>
        </w:rPr>
        <w:t xml:space="preserve"> </w:t>
      </w:r>
      <w:r>
        <w:rPr>
          <w:rFonts w:hint="eastAsia" w:ascii="宋体" w:hAnsi="宋体" w:eastAsia="宋体" w:cs="宋体"/>
          <w:sz w:val="24"/>
          <w:u w:val="single"/>
          <w:lang w:eastAsia="zh-CN"/>
        </w:rPr>
        <w:t>前进</w:t>
      </w:r>
      <w:r>
        <w:rPr>
          <w:rFonts w:hint="eastAsia" w:ascii="宋体" w:hAnsi="宋体" w:eastAsia="宋体" w:cs="宋体"/>
          <w:sz w:val="24"/>
          <w:u w:val="single"/>
        </w:rPr>
        <w:t xml:space="preserve">街道                      </w:t>
      </w:r>
    </w:p>
    <w:p w14:paraId="1758C44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rPr>
        <w:t>3、服务范围：</w:t>
      </w:r>
      <w:r>
        <w:rPr>
          <w:rFonts w:hint="eastAsia" w:ascii="宋体" w:hAnsi="宋体" w:cs="宋体"/>
          <w:color w:val="000000"/>
          <w:sz w:val="24"/>
          <w:szCs w:val="24"/>
          <w:highlight w:val="none"/>
          <w:lang w:val="en-US" w:eastAsia="zh-CN"/>
        </w:rPr>
        <w:t>前进</w:t>
      </w:r>
      <w:r>
        <w:rPr>
          <w:rFonts w:hint="eastAsia" w:ascii="宋体" w:hAnsi="宋体" w:eastAsia="宋体" w:cs="宋体"/>
          <w:color w:val="000000"/>
          <w:sz w:val="24"/>
          <w:szCs w:val="24"/>
          <w:highlight w:val="none"/>
        </w:rPr>
        <w:t>街道范围内主要河道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四工段横河前进段</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三工段横河（前进段）</w:t>
      </w:r>
      <w:r>
        <w:rPr>
          <w:rFonts w:hint="eastAsia" w:ascii="宋体" w:hAnsi="宋体" w:cs="宋体"/>
          <w:color w:val="000000"/>
          <w:sz w:val="24"/>
          <w:szCs w:val="24"/>
          <w:highlight w:val="none"/>
          <w:lang w:eastAsia="zh-CN"/>
        </w:rPr>
        <w:t>、</w:t>
      </w:r>
      <w:r>
        <w:rPr>
          <w:rFonts w:hint="eastAsia" w:ascii="宋体" w:hAnsi="宋体" w:eastAsia="宋体" w:cs="宋体"/>
          <w:color w:val="auto"/>
          <w:sz w:val="24"/>
          <w:szCs w:val="24"/>
          <w:highlight w:val="none"/>
        </w:rPr>
        <w:t>抢险河（前进段）</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围垦沿塘河</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0.7 万亩沿塘河</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 万亩中心横河</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八二直河</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八工段直河</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九工段直河</w:t>
      </w:r>
      <w:r>
        <w:rPr>
          <w:rFonts w:hint="eastAsia" w:ascii="宋体" w:hAnsi="宋体" w:cs="宋体"/>
          <w:color w:val="auto"/>
          <w:sz w:val="24"/>
          <w:szCs w:val="24"/>
          <w:highlight w:val="none"/>
          <w:lang w:eastAsia="zh-CN"/>
        </w:rPr>
        <w:t>、前峰横直河。</w:t>
      </w:r>
    </w:p>
    <w:p w14:paraId="59410718">
      <w:pPr>
        <w:pStyle w:val="891"/>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4、服务内容：本项目主要服务内容包含确保现有10条河道水环境设施设备正常运行，确保水质检测合格等。</w:t>
      </w:r>
    </w:p>
    <w:p w14:paraId="1E67A8A6">
      <w:pPr>
        <w:pStyle w:val="891"/>
        <w:spacing w:line="360" w:lineRule="auto"/>
        <w:ind w:firstLine="482"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第二条：合同价格</w:t>
      </w:r>
    </w:p>
    <w:p w14:paraId="7722FF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合同总价：合同金额为(大写)_________________元（￥</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元）人民币。</w:t>
      </w:r>
    </w:p>
    <w:p w14:paraId="06FEAA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包括所有服务费、设备费、养护费、垃圾处置及消纳、备品备件、专用工具、技术资料、耗材、人员工资、车辆、保险、税费等所涉及的一切费用)，包含现场用水、用电费及相关协调费用，以及服务期内所发生的全部水费、设备维修、终端设备的运行、维护(含填料等)等全部费用，包含合同中明示或暗示的所有一般风险、责任和义务等所产生的一切费用，养护机、维护船、运输船、冲锋舟、托运车等工作所涉及到器具由乙方自行解决，水生植物堆放处由乙方自行解决，运输费</w:t>
      </w:r>
      <w:r>
        <w:rPr>
          <w:rFonts w:hint="eastAsia" w:ascii="宋体" w:hAnsi="宋体" w:eastAsia="宋体" w:cs="宋体"/>
          <w:color w:val="auto"/>
          <w:sz w:val="24"/>
          <w:highlight w:val="none"/>
          <w:lang w:eastAsia="zh-CN"/>
        </w:rPr>
        <w:t>、处理费</w:t>
      </w:r>
      <w:r>
        <w:rPr>
          <w:rFonts w:hint="eastAsia" w:ascii="宋体" w:hAnsi="宋体" w:eastAsia="宋体" w:cs="宋体"/>
          <w:color w:val="auto"/>
          <w:sz w:val="24"/>
          <w:highlight w:val="none"/>
        </w:rPr>
        <w:t>等一切费用考虑在报价中(设备运行电费由乙方承担)。所有相关费用均已包含在合同总价中。</w:t>
      </w:r>
    </w:p>
    <w:p w14:paraId="1B722AE7">
      <w:pPr>
        <w:widowControl/>
        <w:tabs>
          <w:tab w:val="left" w:pos="540"/>
        </w:tabs>
        <w:autoSpaceDE w:val="0"/>
        <w:autoSpaceDN w:val="0"/>
        <w:spacing w:line="360" w:lineRule="auto"/>
        <w:ind w:firstLine="482" w:firstLineChars="200"/>
        <w:textAlignment w:val="bottom"/>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第三条：付款方式</w:t>
      </w:r>
    </w:p>
    <w:p w14:paraId="045F7181">
      <w:pPr>
        <w:spacing w:line="360" w:lineRule="auto"/>
        <w:ind w:firstLine="48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合同签订后7个工作日内，</w:t>
      </w:r>
      <w:r>
        <w:rPr>
          <w:rFonts w:hint="eastAsia" w:ascii="宋体" w:hAnsi="宋体" w:cs="宋体"/>
          <w:b/>
          <w:bCs/>
          <w:color w:val="auto"/>
          <w:sz w:val="24"/>
          <w:highlight w:val="none"/>
          <w:lang w:eastAsia="zh-CN"/>
        </w:rPr>
        <w:t>乙方</w:t>
      </w:r>
      <w:r>
        <w:rPr>
          <w:rFonts w:hint="eastAsia" w:ascii="宋体" w:hAnsi="宋体" w:eastAsia="宋体" w:cs="宋体"/>
          <w:b/>
          <w:bCs/>
          <w:color w:val="auto"/>
          <w:sz w:val="24"/>
          <w:highlight w:val="none"/>
          <w:lang w:val="en-US" w:eastAsia="zh-CN"/>
        </w:rPr>
        <w:t>须</w:t>
      </w:r>
      <w:r>
        <w:rPr>
          <w:rFonts w:hint="eastAsia" w:ascii="宋体" w:hAnsi="宋体" w:eastAsia="宋体" w:cs="宋体"/>
          <w:b/>
          <w:bCs/>
          <w:color w:val="auto"/>
          <w:sz w:val="24"/>
          <w:highlight w:val="none"/>
        </w:rPr>
        <w:t>支付</w:t>
      </w:r>
      <w:r>
        <w:rPr>
          <w:rFonts w:hint="eastAsia" w:ascii="宋体" w:hAnsi="宋体" w:cs="宋体"/>
          <w:b/>
          <w:bCs/>
          <w:color w:val="auto"/>
          <w:sz w:val="24"/>
          <w:highlight w:val="none"/>
          <w:lang w:eastAsia="zh-CN"/>
        </w:rPr>
        <w:t>合同金额</w:t>
      </w:r>
      <w:r>
        <w:rPr>
          <w:rFonts w:hint="eastAsia" w:ascii="宋体" w:hAnsi="宋体" w:cs="宋体"/>
          <w:b/>
          <w:bCs/>
          <w:color w:val="auto"/>
          <w:sz w:val="24"/>
          <w:highlight w:val="none"/>
          <w:lang w:val="en-US" w:eastAsia="zh-CN"/>
        </w:rPr>
        <w:t>1%的</w:t>
      </w:r>
      <w:r>
        <w:rPr>
          <w:rFonts w:hint="eastAsia" w:ascii="宋体" w:hAnsi="宋体" w:eastAsia="宋体" w:cs="宋体"/>
          <w:b/>
          <w:bCs/>
          <w:color w:val="auto"/>
          <w:sz w:val="24"/>
          <w:highlight w:val="none"/>
        </w:rPr>
        <w:t>履约保证金</w:t>
      </w:r>
      <w:r>
        <w:rPr>
          <w:rFonts w:hint="eastAsia" w:ascii="宋体" w:hAnsi="宋体" w:cs="宋体"/>
          <w:b/>
          <w:bCs/>
          <w:color w:val="auto"/>
          <w:sz w:val="24"/>
          <w:highlight w:val="none"/>
          <w:lang w:eastAsia="zh-CN"/>
        </w:rPr>
        <w:t>，</w:t>
      </w:r>
      <w:r>
        <w:rPr>
          <w:rFonts w:hint="eastAsia" w:ascii="宋体" w:hAnsi="宋体" w:cs="宋体"/>
          <w:color w:val="auto"/>
          <w:kern w:val="0"/>
          <w:sz w:val="24"/>
          <w:highlight w:val="none"/>
          <w:lang w:eastAsia="zh-CN"/>
          <w14:ligatures w14:val="none"/>
        </w:rPr>
        <w:t>乙方</w:t>
      </w:r>
      <w:r>
        <w:rPr>
          <w:rFonts w:hint="eastAsia" w:ascii="宋体" w:hAnsi="宋体" w:cs="宋体"/>
          <w:color w:val="auto"/>
          <w:kern w:val="0"/>
          <w:sz w:val="24"/>
          <w:highlight w:val="none"/>
          <w14:ligatures w14:val="none"/>
        </w:rPr>
        <w:t>应当以支票、汇票、本票或者金融机构、担保机构出具的保函等非现金形式提交</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合同生效且具备实施条件后7个工作日内，</w:t>
      </w:r>
      <w:r>
        <w:rPr>
          <w:rFonts w:hint="eastAsia" w:ascii="宋体" w:hAnsi="宋体" w:cs="宋体"/>
          <w:b/>
          <w:bCs/>
          <w:color w:val="auto"/>
          <w:sz w:val="24"/>
          <w:highlight w:val="none"/>
          <w:lang w:val="en-US" w:eastAsia="zh-CN"/>
        </w:rPr>
        <w:t>甲方</w:t>
      </w:r>
      <w:r>
        <w:rPr>
          <w:rFonts w:hint="eastAsia" w:ascii="宋体" w:hAnsi="宋体" w:eastAsia="宋体" w:cs="宋体"/>
          <w:b/>
          <w:bCs/>
          <w:color w:val="auto"/>
          <w:sz w:val="24"/>
          <w:highlight w:val="none"/>
          <w:lang w:val="en-US" w:eastAsia="zh-CN"/>
        </w:rPr>
        <w:t>向</w:t>
      </w:r>
      <w:r>
        <w:rPr>
          <w:rFonts w:hint="eastAsia" w:ascii="宋体" w:hAnsi="宋体" w:cs="宋体"/>
          <w:b/>
          <w:bCs/>
          <w:color w:val="auto"/>
          <w:sz w:val="24"/>
          <w:highlight w:val="none"/>
          <w:lang w:val="en-US" w:eastAsia="zh-CN"/>
        </w:rPr>
        <w:t>乙方</w:t>
      </w:r>
      <w:r>
        <w:rPr>
          <w:rFonts w:hint="eastAsia" w:ascii="宋体" w:hAnsi="宋体" w:eastAsia="宋体" w:cs="宋体"/>
          <w:b/>
          <w:bCs/>
          <w:color w:val="auto"/>
          <w:sz w:val="24"/>
          <w:highlight w:val="none"/>
          <w:lang w:val="en-US" w:eastAsia="zh-CN"/>
        </w:rPr>
        <w:t>支付合同</w:t>
      </w:r>
      <w:r>
        <w:rPr>
          <w:rFonts w:hint="eastAsia" w:ascii="宋体" w:hAnsi="宋体" w:eastAsia="宋体" w:cs="宋体"/>
          <w:b/>
          <w:bCs/>
          <w:color w:val="auto"/>
          <w:sz w:val="24"/>
          <w:highlight w:val="none"/>
        </w:rPr>
        <w:t>金额的</w:t>
      </w:r>
      <w:r>
        <w:rPr>
          <w:rFonts w:hint="eastAsia" w:ascii="宋体" w:hAnsi="宋体" w:cs="宋体"/>
          <w:b/>
          <w:bCs/>
          <w:color w:val="auto"/>
          <w:sz w:val="24"/>
          <w:highlight w:val="none"/>
          <w:u w:val="none"/>
          <w:lang w:val="en-US" w:eastAsia="zh-CN"/>
        </w:rPr>
        <w:t>50%</w:t>
      </w:r>
      <w:r>
        <w:rPr>
          <w:rFonts w:hint="eastAsia" w:ascii="宋体" w:hAnsi="宋体" w:eastAsia="宋体" w:cs="宋体"/>
          <w:b/>
          <w:bCs/>
          <w:color w:val="auto"/>
          <w:sz w:val="24"/>
          <w:highlight w:val="none"/>
          <w:lang w:val="en-US" w:eastAsia="zh-CN"/>
        </w:rPr>
        <w:t>作为预付款</w:t>
      </w:r>
      <w:r>
        <w:rPr>
          <w:rFonts w:hint="eastAsia" w:ascii="宋体" w:hAnsi="宋体" w:cs="宋体"/>
          <w:b/>
          <w:bCs/>
          <w:color w:val="auto"/>
          <w:sz w:val="24"/>
          <w:highlight w:val="none"/>
          <w:lang w:val="en-US" w:eastAsia="zh-CN"/>
        </w:rPr>
        <w:t>（</w:t>
      </w:r>
      <w:r>
        <w:rPr>
          <w:rFonts w:hint="eastAsia" w:ascii="宋体" w:hAnsi="宋体" w:cs="宋体"/>
          <w:color w:val="auto"/>
          <w:kern w:val="0"/>
          <w:sz w:val="24"/>
          <w:highlight w:val="none"/>
          <w:lang w:eastAsia="zh-CN"/>
        </w:rPr>
        <w:t>中标人需提供相应的预付款保函后方可支付预付款</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rPr>
        <w:t>。</w:t>
      </w:r>
    </w:p>
    <w:p w14:paraId="213A1E75">
      <w:pPr>
        <w:numPr>
          <w:ilvl w:val="0"/>
          <w:numId w:val="0"/>
        </w:numPr>
        <w:shd w:val="clear" w:color="auto" w:fill="auto"/>
        <w:spacing w:line="360" w:lineRule="auto"/>
        <w:ind w:firstLine="480" w:firstLineChars="200"/>
        <w:rPr>
          <w:rFonts w:hint="default"/>
          <w:color w:val="auto"/>
          <w:highlight w:val="none"/>
          <w:lang w:val="en-US" w:eastAsia="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预付款保函：需要缴纳，中标人必须在合同签订前内向采购人提供预付款相同金额的预付款保函（可在政采云平台购买），可以支票、汇票、本票或者金融机构、保险公司、担保机构出具的保函/保险（可在政采云平台购买，咨询热线4009039583）等非现金形式提交。履约保证金（或保函/保险）在项目验收结束后退还。（在签订合同时，中标人明确表示无需预付款或者主动要求降低预付款比例的，可不适用该规定）</w:t>
      </w:r>
    </w:p>
    <w:p w14:paraId="23440AF0">
      <w:pPr>
        <w:spacing w:line="420" w:lineRule="exact"/>
        <w:ind w:firstLine="482" w:firstLineChars="20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eastAsia="zh-CN"/>
        </w:rPr>
        <w:t>合同实施后</w:t>
      </w:r>
      <w:r>
        <w:rPr>
          <w:rFonts w:hint="eastAsia" w:ascii="宋体" w:hAnsi="宋体" w:cs="宋体"/>
          <w:b/>
          <w:bCs/>
          <w:color w:val="auto"/>
          <w:sz w:val="24"/>
          <w:highlight w:val="none"/>
          <w:lang w:val="en-US" w:eastAsia="zh-CN"/>
        </w:rPr>
        <w:t>6个月，按考核成绩甲方</w:t>
      </w:r>
      <w:r>
        <w:rPr>
          <w:rFonts w:hint="eastAsia" w:ascii="宋体" w:hAnsi="宋体" w:eastAsia="宋体" w:cs="宋体"/>
          <w:b/>
          <w:bCs/>
          <w:color w:val="auto"/>
          <w:sz w:val="24"/>
          <w:highlight w:val="none"/>
          <w:lang w:val="en-US" w:eastAsia="zh-CN"/>
        </w:rPr>
        <w:t>向</w:t>
      </w:r>
      <w:r>
        <w:rPr>
          <w:rFonts w:hint="eastAsia" w:ascii="宋体" w:hAnsi="宋体" w:cs="宋体"/>
          <w:b/>
          <w:bCs/>
          <w:color w:val="auto"/>
          <w:sz w:val="24"/>
          <w:highlight w:val="none"/>
          <w:lang w:val="en-US" w:eastAsia="zh-CN"/>
        </w:rPr>
        <w:t>乙方</w:t>
      </w:r>
      <w:r>
        <w:rPr>
          <w:rFonts w:hint="eastAsia" w:ascii="宋体" w:hAnsi="宋体" w:eastAsia="宋体" w:cs="宋体"/>
          <w:b/>
          <w:bCs/>
          <w:color w:val="auto"/>
          <w:sz w:val="24"/>
          <w:highlight w:val="none"/>
          <w:lang w:val="en-US" w:eastAsia="zh-CN"/>
        </w:rPr>
        <w:t>支付</w:t>
      </w:r>
      <w:r>
        <w:rPr>
          <w:rFonts w:hint="eastAsia" w:ascii="宋体" w:hAnsi="宋体" w:cs="宋体"/>
          <w:b/>
          <w:bCs/>
          <w:color w:val="auto"/>
          <w:sz w:val="24"/>
          <w:highlight w:val="none"/>
          <w:lang w:val="en-US" w:eastAsia="zh-CN"/>
        </w:rPr>
        <w:t>半年运维费用（预付款扣回）</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eastAsia="zh-CN"/>
        </w:rPr>
        <w:t>项目完成且经验收合格并考核后支付尾款</w:t>
      </w:r>
      <w:r>
        <w:rPr>
          <w:rFonts w:hint="eastAsia" w:ascii="宋体" w:hAnsi="宋体" w:eastAsia="宋体" w:cs="宋体"/>
          <w:color w:val="auto"/>
          <w:sz w:val="24"/>
          <w:highlight w:val="none"/>
          <w:lang w:val="en-GB"/>
        </w:rPr>
        <w:t>。</w:t>
      </w:r>
      <w:r>
        <w:rPr>
          <w:rFonts w:hint="eastAsia" w:asciiTheme="minorEastAsia" w:hAnsiTheme="minorEastAsia" w:eastAsiaTheme="minorEastAsia" w:cstheme="minorEastAsia"/>
          <w:color w:val="auto"/>
          <w:kern w:val="2"/>
          <w:sz w:val="24"/>
          <w:szCs w:val="24"/>
          <w:highlight w:val="none"/>
          <w:lang w:val="en-US" w:eastAsia="zh-CN" w:bidi="ar-SA"/>
        </w:rPr>
        <w:t>在年度运维服务期内，甲方每月对乙方进行考核，乙方所得考核分按月进行统计。乙方各河道每月考核得分在90（不含）分以上的，则甲方全额支付乙方合同当月的各河道考核金额；乙方每月考核得分在90（含）分以下80分以上的，则甲方支付乙方合同当月90%的对应河道考核金额；乙方当月考核得分在80（含）分以下70分以上的，则甲方支付乙方合同当月70%的对应河道考核金额。乙方当月考核得分在70（含）分以下的，则甲方支付乙方合同当月50%的对应河道考核金额。乙方当月考核得分在60（含）分以下的，则甲方不支付乙方对应河道全部考核金额。每条河道全年运维费用按总运维费10%计算。</w:t>
      </w:r>
    </w:p>
    <w:p w14:paraId="1A030F37">
      <w:pPr>
        <w:numPr>
          <w:ilvl w:val="0"/>
          <w:numId w:val="0"/>
        </w:numPr>
        <w:spacing w:line="360" w:lineRule="auto"/>
        <w:ind w:firstLine="482" w:firstLineChars="200"/>
        <w:rPr>
          <w:rFonts w:hint="eastAsia" w:ascii="宋体" w:hAnsi="宋体" w:eastAsia="宋体" w:cs="宋体"/>
          <w:color w:val="auto"/>
          <w:sz w:val="24"/>
          <w:highlight w:val="none"/>
          <w:lang w:val="en-GB"/>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付款按财政政策执行，因服务商未按合同履行维保任务或考核不合格以及不符</w:t>
      </w:r>
      <w:r>
        <w:rPr>
          <w:rFonts w:hint="eastAsia" w:ascii="宋体" w:hAnsi="宋体" w:eastAsia="宋体" w:cs="宋体"/>
          <w:b/>
          <w:bCs/>
          <w:color w:val="auto"/>
          <w:sz w:val="24"/>
          <w:highlight w:val="none"/>
          <w:lang w:val="en-GB"/>
        </w:rPr>
        <w:t>合财政资金支付时间要求等原因造成不能及时付款的，甲方不承担责任。</w:t>
      </w:r>
    </w:p>
    <w:p w14:paraId="15FF477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第四条：服务保证</w:t>
      </w:r>
    </w:p>
    <w:p w14:paraId="2C82DE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1、乙方应按招标文件及答疑相关规定向甲方提供服务。</w:t>
      </w:r>
    </w:p>
    <w:p w14:paraId="010CE1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2、乙方应保证按照有关国际或国家或行业技术标准规范，对项目各个环节进行严格的质量把关。</w:t>
      </w:r>
    </w:p>
    <w:p w14:paraId="46072C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3、在服务期内，内乙方应保证承包区域内的设施、设备良好的运行状况和环境状况。</w:t>
      </w:r>
    </w:p>
    <w:p w14:paraId="164977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4、如在服务质量保证期产生异常情况或接到招标人通知，应在1小时内响应，2小时内到现场，第一时间做到有效处置。</w:t>
      </w:r>
    </w:p>
    <w:p w14:paraId="0E3371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5、在服务质量保证期内，乙方应对出现的质量及安全问题负责处理解决，并承担一切责任与费用。</w:t>
      </w:r>
    </w:p>
    <w:p w14:paraId="0846AE7C">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、承担行洪排涝任务的河道在排涝行洪期间或其他不可抗力因素导致的水质超标(但三色预警指标不能高于橙色)，乙方不承担相关责任。但因行洪排涝等因素造成乙方治理设施损坏，由乙方自行负责修复。</w:t>
      </w:r>
    </w:p>
    <w:p w14:paraId="384B2BA6">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、若出现突发性污染水体事件，如沿河污水管网故障溢流、蓝藻、底泥上浮、河面油污现象，由乙方负责修复处置。</w:t>
      </w:r>
    </w:p>
    <w:p w14:paraId="619A8FCB">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、根据《浙江省水污染防治行动计划》和“五水共治”部署，河道水质月度指标达到V类水以上标准。</w:t>
      </w:r>
    </w:p>
    <w:p w14:paraId="0D7FC1B7">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、水质保障指标要求：</w:t>
      </w:r>
    </w:p>
    <w:tbl>
      <w:tblPr>
        <w:tblStyle w:val="63"/>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1"/>
        <w:gridCol w:w="1779"/>
        <w:gridCol w:w="1779"/>
        <w:gridCol w:w="1779"/>
      </w:tblGrid>
      <w:tr w14:paraId="014A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61" w:type="dxa"/>
            <w:noWrap w:val="0"/>
            <w:vAlign w:val="center"/>
          </w:tcPr>
          <w:p w14:paraId="7631DB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特征指标（单位）</w:t>
            </w:r>
          </w:p>
        </w:tc>
        <w:tc>
          <w:tcPr>
            <w:tcW w:w="1779" w:type="dxa"/>
            <w:noWrap w:val="0"/>
            <w:vAlign w:val="center"/>
          </w:tcPr>
          <w:p w14:paraId="7C0527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三类水</w:t>
            </w:r>
          </w:p>
        </w:tc>
        <w:tc>
          <w:tcPr>
            <w:tcW w:w="1779" w:type="dxa"/>
            <w:noWrap w:val="0"/>
            <w:vAlign w:val="center"/>
          </w:tcPr>
          <w:p w14:paraId="7D861F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四类水</w:t>
            </w:r>
          </w:p>
        </w:tc>
        <w:tc>
          <w:tcPr>
            <w:tcW w:w="1779" w:type="dxa"/>
            <w:noWrap w:val="0"/>
            <w:vAlign w:val="center"/>
          </w:tcPr>
          <w:p w14:paraId="457A15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五类水</w:t>
            </w:r>
          </w:p>
        </w:tc>
      </w:tr>
      <w:tr w14:paraId="5E0B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61" w:type="dxa"/>
            <w:noWrap w:val="0"/>
            <w:vAlign w:val="center"/>
          </w:tcPr>
          <w:p w14:paraId="318DCE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pH</w:t>
            </w:r>
          </w:p>
        </w:tc>
        <w:tc>
          <w:tcPr>
            <w:tcW w:w="1779" w:type="dxa"/>
            <w:noWrap w:val="0"/>
            <w:vAlign w:val="top"/>
          </w:tcPr>
          <w:p w14:paraId="47EE03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6-9</w:t>
            </w:r>
          </w:p>
        </w:tc>
        <w:tc>
          <w:tcPr>
            <w:tcW w:w="1779" w:type="dxa"/>
            <w:noWrap w:val="0"/>
            <w:vAlign w:val="top"/>
          </w:tcPr>
          <w:p w14:paraId="5E46F9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6-9</w:t>
            </w:r>
          </w:p>
        </w:tc>
        <w:tc>
          <w:tcPr>
            <w:tcW w:w="1779" w:type="dxa"/>
            <w:noWrap w:val="0"/>
            <w:vAlign w:val="top"/>
          </w:tcPr>
          <w:p w14:paraId="6049ED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6-9</w:t>
            </w:r>
          </w:p>
        </w:tc>
      </w:tr>
      <w:tr w14:paraId="1407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61" w:type="dxa"/>
            <w:noWrap w:val="0"/>
            <w:vAlign w:val="center"/>
          </w:tcPr>
          <w:p w14:paraId="3D328F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高锰酸盐指数（mg/L）</w:t>
            </w:r>
          </w:p>
        </w:tc>
        <w:tc>
          <w:tcPr>
            <w:tcW w:w="1779" w:type="dxa"/>
            <w:noWrap w:val="0"/>
            <w:vAlign w:val="bottom"/>
          </w:tcPr>
          <w:p w14:paraId="710D32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≤6（含）</w:t>
            </w:r>
          </w:p>
        </w:tc>
        <w:tc>
          <w:tcPr>
            <w:tcW w:w="1779" w:type="dxa"/>
            <w:noWrap w:val="0"/>
            <w:vAlign w:val="bottom"/>
          </w:tcPr>
          <w:p w14:paraId="74588C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≤10（含）</w:t>
            </w:r>
          </w:p>
        </w:tc>
        <w:tc>
          <w:tcPr>
            <w:tcW w:w="1779" w:type="dxa"/>
            <w:noWrap w:val="0"/>
            <w:vAlign w:val="center"/>
          </w:tcPr>
          <w:p w14:paraId="031751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r>
      <w:tr w14:paraId="479F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61" w:type="dxa"/>
            <w:noWrap w:val="0"/>
            <w:vAlign w:val="center"/>
          </w:tcPr>
          <w:p w14:paraId="1252AE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氨氮（mg/L）</w:t>
            </w:r>
          </w:p>
        </w:tc>
        <w:tc>
          <w:tcPr>
            <w:tcW w:w="1779" w:type="dxa"/>
            <w:noWrap w:val="0"/>
            <w:vAlign w:val="top"/>
          </w:tcPr>
          <w:p w14:paraId="1E9A4D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779" w:type="dxa"/>
            <w:noWrap w:val="0"/>
            <w:vAlign w:val="top"/>
          </w:tcPr>
          <w:p w14:paraId="05DE07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779" w:type="dxa"/>
            <w:noWrap w:val="0"/>
            <w:vAlign w:val="top"/>
          </w:tcPr>
          <w:p w14:paraId="771ED7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3FED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61" w:type="dxa"/>
            <w:noWrap w:val="0"/>
            <w:vAlign w:val="center"/>
          </w:tcPr>
          <w:p w14:paraId="461577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总磷（mg/L）</w:t>
            </w:r>
          </w:p>
        </w:tc>
        <w:tc>
          <w:tcPr>
            <w:tcW w:w="1779" w:type="dxa"/>
            <w:noWrap w:val="0"/>
            <w:vAlign w:val="top"/>
          </w:tcPr>
          <w:p w14:paraId="531520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≤0.2</w:t>
            </w:r>
          </w:p>
        </w:tc>
        <w:tc>
          <w:tcPr>
            <w:tcW w:w="1779" w:type="dxa"/>
            <w:noWrap w:val="0"/>
            <w:vAlign w:val="top"/>
          </w:tcPr>
          <w:p w14:paraId="787644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≤0.3</w:t>
            </w:r>
          </w:p>
        </w:tc>
        <w:tc>
          <w:tcPr>
            <w:tcW w:w="1779" w:type="dxa"/>
            <w:noWrap w:val="0"/>
            <w:vAlign w:val="top"/>
          </w:tcPr>
          <w:p w14:paraId="08C6F0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≤0.4</w:t>
            </w:r>
          </w:p>
        </w:tc>
      </w:tr>
      <w:tr w14:paraId="4C98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961" w:type="dxa"/>
            <w:noWrap w:val="0"/>
            <w:vAlign w:val="center"/>
          </w:tcPr>
          <w:p w14:paraId="7AC1D1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溶解氧（mg/L）</w:t>
            </w:r>
          </w:p>
        </w:tc>
        <w:tc>
          <w:tcPr>
            <w:tcW w:w="1779" w:type="dxa"/>
            <w:noWrap w:val="0"/>
            <w:vAlign w:val="top"/>
          </w:tcPr>
          <w:p w14:paraId="62180A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5.0-6.0</w:t>
            </w:r>
          </w:p>
        </w:tc>
        <w:tc>
          <w:tcPr>
            <w:tcW w:w="1779" w:type="dxa"/>
            <w:noWrap w:val="0"/>
            <w:vAlign w:val="top"/>
          </w:tcPr>
          <w:p w14:paraId="7E70D2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3.0-5.0</w:t>
            </w:r>
          </w:p>
        </w:tc>
        <w:tc>
          <w:tcPr>
            <w:tcW w:w="1779" w:type="dxa"/>
            <w:noWrap w:val="0"/>
            <w:vAlign w:val="top"/>
          </w:tcPr>
          <w:p w14:paraId="2B2F28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2.0-3.0</w:t>
            </w:r>
          </w:p>
        </w:tc>
      </w:tr>
    </w:tbl>
    <w:p w14:paraId="028342A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第五条：考核办法</w:t>
      </w:r>
    </w:p>
    <w:p w14:paraId="2B7293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根据服务要求及合同违约扣款约定，一月一考核。</w:t>
      </w:r>
    </w:p>
    <w:p w14:paraId="0E5987BD">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第六条：惩罚办法</w:t>
      </w:r>
    </w:p>
    <w:p w14:paraId="6504793E">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（1）水质要求：河道水质全年总体要求稳定在V类水以上。</w:t>
      </w:r>
      <w:r>
        <w:rPr>
          <w:rFonts w:hint="eastAsia" w:ascii="宋体" w:hAnsi="宋体" w:cs="宋体"/>
          <w:color w:val="auto"/>
          <w:sz w:val="24"/>
          <w:szCs w:val="24"/>
          <w:highlight w:val="none"/>
          <w:lang w:val="en-US" w:eastAsia="zh-CN"/>
        </w:rPr>
        <w:t>（根据上级要求或作相应调整，具体根据上级文件执行。）</w:t>
      </w:r>
    </w:p>
    <w:p w14:paraId="1A3D9040">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）河道水质每月必须到V类水及以上。如在</w:t>
      </w:r>
      <w:r>
        <w:rPr>
          <w:rFonts w:hint="eastAsia" w:ascii="宋体" w:hAnsi="宋体" w:cs="宋体"/>
          <w:color w:val="auto"/>
          <w:sz w:val="24"/>
          <w:szCs w:val="24"/>
          <w:highlight w:val="none"/>
          <w:lang w:val="en-US" w:eastAsia="zh-CN"/>
        </w:rPr>
        <w:t>环境监测站发布的</w:t>
      </w:r>
      <w:r>
        <w:rPr>
          <w:rFonts w:hint="eastAsia" w:ascii="宋体" w:hAnsi="宋体" w:eastAsia="宋体" w:cs="宋体"/>
          <w:color w:val="auto"/>
          <w:sz w:val="24"/>
          <w:szCs w:val="24"/>
          <w:highlight w:val="none"/>
          <w:lang w:val="en-US" w:eastAsia="zh-CN"/>
        </w:rPr>
        <w:t>水质报告</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出现劣V类的情况，该河首次扣</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val="en-US" w:eastAsia="zh-CN"/>
        </w:rPr>
        <w:t>万元，第二次扣</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lang w:val="en-US" w:eastAsia="zh-CN"/>
        </w:rPr>
        <w:t>万元，第三次</w:t>
      </w:r>
      <w:r>
        <w:rPr>
          <w:rFonts w:hint="eastAsia" w:ascii="宋体" w:hAnsi="宋体" w:cs="宋体"/>
          <w:color w:val="auto"/>
          <w:sz w:val="24"/>
          <w:szCs w:val="24"/>
          <w:highlight w:val="none"/>
          <w:lang w:val="en-US" w:eastAsia="zh-CN"/>
        </w:rPr>
        <w:t>扣2</w:t>
      </w:r>
      <w:r>
        <w:rPr>
          <w:rFonts w:hint="eastAsia" w:ascii="宋体" w:hAnsi="宋体" w:eastAsia="宋体" w:cs="宋体"/>
          <w:color w:val="auto"/>
          <w:sz w:val="24"/>
          <w:szCs w:val="24"/>
          <w:highlight w:val="none"/>
          <w:lang w:val="en-US" w:eastAsia="zh-CN"/>
        </w:rPr>
        <w:t>万元，</w:t>
      </w:r>
      <w:r>
        <w:rPr>
          <w:rFonts w:hint="eastAsia" w:ascii="宋体" w:hAnsi="宋体" w:cs="宋体"/>
          <w:color w:val="auto"/>
          <w:sz w:val="24"/>
          <w:szCs w:val="24"/>
          <w:highlight w:val="none"/>
          <w:lang w:val="en-US" w:eastAsia="zh-CN"/>
        </w:rPr>
        <w:t>且甲方有权解除合同。</w:t>
      </w:r>
    </w:p>
    <w:p w14:paraId="1580044E">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rPr>
          <w:rFonts w:hint="eastAsia" w:ascii="宋体" w:hAnsi="宋体" w:cs="宋体"/>
          <w:color w:val="auto"/>
          <w:sz w:val="24"/>
          <w:szCs w:val="24"/>
          <w:highlight w:val="none"/>
          <w:lang w:val="en-US" w:eastAsia="zh-CN"/>
        </w:rPr>
      </w:pPr>
      <w:r>
        <w:rPr>
          <w:rFonts w:hint="eastAsia" w:hAnsi="宋体" w:cs="宋体"/>
          <w:color w:val="auto"/>
          <w:sz w:val="24"/>
          <w:szCs w:val="24"/>
          <w:highlight w:val="none"/>
          <w:lang w:val="en-US" w:eastAsia="zh-CN"/>
        </w:rPr>
        <w:t>（3）如遇区级以上检测，根据</w:t>
      </w:r>
      <w:r>
        <w:rPr>
          <w:rFonts w:hint="eastAsia" w:ascii="宋体" w:hAnsi="宋体" w:eastAsia="宋体" w:cs="宋体"/>
          <w:color w:val="auto"/>
          <w:sz w:val="24"/>
          <w:szCs w:val="24"/>
          <w:highlight w:val="none"/>
          <w:lang w:val="en-US" w:eastAsia="zh-CN"/>
        </w:rPr>
        <w:t>劣V</w:t>
      </w:r>
      <w:r>
        <w:rPr>
          <w:rFonts w:hint="eastAsia" w:hAnsi="宋体" w:cs="宋体"/>
          <w:color w:val="auto"/>
          <w:sz w:val="24"/>
          <w:szCs w:val="24"/>
          <w:highlight w:val="none"/>
          <w:lang w:val="en-US" w:eastAsia="zh-CN"/>
        </w:rPr>
        <w:t>类水质交办单涉及河道，每条首次</w:t>
      </w:r>
      <w:r>
        <w:rPr>
          <w:rFonts w:hint="eastAsia" w:ascii="宋体" w:hAnsi="宋体" w:eastAsia="宋体" w:cs="宋体"/>
          <w:color w:val="auto"/>
          <w:sz w:val="24"/>
          <w:szCs w:val="24"/>
          <w:highlight w:val="none"/>
          <w:lang w:val="en-US" w:eastAsia="zh-CN"/>
        </w:rPr>
        <w:t>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万元</w:t>
      </w:r>
      <w:r>
        <w:rPr>
          <w:rFonts w:hint="eastAsia" w:hAnsi="宋体" w:cs="宋体"/>
          <w:color w:val="auto"/>
          <w:sz w:val="24"/>
          <w:szCs w:val="24"/>
          <w:highlight w:val="none"/>
          <w:lang w:val="en-US" w:eastAsia="zh-CN"/>
        </w:rPr>
        <w:t>，第二次扣1.5万元，</w:t>
      </w:r>
      <w:r>
        <w:rPr>
          <w:rFonts w:hint="eastAsia" w:ascii="宋体" w:hAnsi="宋体" w:eastAsia="宋体" w:cs="宋体"/>
          <w:color w:val="auto"/>
          <w:sz w:val="24"/>
          <w:szCs w:val="24"/>
          <w:highlight w:val="none"/>
          <w:lang w:val="en-US" w:eastAsia="zh-CN"/>
        </w:rPr>
        <w:t>第三次</w:t>
      </w:r>
      <w:r>
        <w:rPr>
          <w:rFonts w:hint="eastAsia" w:ascii="宋体" w:hAnsi="宋体" w:cs="宋体"/>
          <w:color w:val="auto"/>
          <w:sz w:val="24"/>
          <w:szCs w:val="24"/>
          <w:highlight w:val="none"/>
          <w:lang w:val="en-US" w:eastAsia="zh-CN"/>
        </w:rPr>
        <w:t>扣3</w:t>
      </w:r>
      <w:r>
        <w:rPr>
          <w:rFonts w:hint="eastAsia" w:ascii="宋体" w:hAnsi="宋体" w:eastAsia="宋体" w:cs="宋体"/>
          <w:color w:val="auto"/>
          <w:sz w:val="24"/>
          <w:szCs w:val="24"/>
          <w:highlight w:val="none"/>
          <w:lang w:val="en-US" w:eastAsia="zh-CN"/>
        </w:rPr>
        <w:t>万元</w:t>
      </w:r>
      <w:r>
        <w:rPr>
          <w:rFonts w:hint="eastAsia"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且甲方有权解除合同。</w:t>
      </w:r>
    </w:p>
    <w:p w14:paraId="60FE18E1">
      <w:pPr>
        <w:pStyle w:val="61"/>
        <w:rPr>
          <w:rFonts w:hint="default"/>
          <w:color w:val="auto"/>
          <w:highlight w:val="none"/>
          <w:lang w:val="en-US" w:eastAsia="zh-CN"/>
        </w:rPr>
      </w:pPr>
    </w:p>
    <w:p w14:paraId="58282B2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第七条：乙方的责任与义务</w:t>
      </w:r>
    </w:p>
    <w:p w14:paraId="3A6C60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1、根据投标文件的承诺向甲方委派项目负责人、技术负责人和专业技术人员。</w:t>
      </w:r>
    </w:p>
    <w:p w14:paraId="23C9C0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2、在履行本合同义务的期间，应运用合理的技能，认真、勤奋的工作。</w:t>
      </w:r>
    </w:p>
    <w:p w14:paraId="4C03E5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3、在本合同期内或合同终止后，未征得甲方同意，不得泄露与本项目、本合同有关的技术、资料等，不得以任何形式侵害甲方的知识产权。</w:t>
      </w:r>
    </w:p>
    <w:p w14:paraId="619998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4、负责处理好与其它项目实施单位的协调。</w:t>
      </w:r>
    </w:p>
    <w:p w14:paraId="7A6C7B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5、乙方应严格按照采购文件要求，接受采购人定期或不定期的进行检查与考核。</w:t>
      </w:r>
    </w:p>
    <w:p w14:paraId="5EC435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6、管理方式应文明、礼貌，对进入水生植物及相关设施损坏现象应及时予以制止，遇到严重的破坏绿化行为应及时上报甲方及执法部门。</w:t>
      </w:r>
    </w:p>
    <w:p w14:paraId="3FE149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7、建立日常巡查制度,巡查人员对所养护的水生植物每天巡查不少于一次，每天上报自查情况、巡查纪录,发现问题时应及时整改。建立养护管理工作台账。    </w:t>
      </w:r>
    </w:p>
    <w:p w14:paraId="289878C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第八条：甲方的责任与义务</w:t>
      </w:r>
    </w:p>
    <w:p w14:paraId="7759DBFD">
      <w:pPr>
        <w:spacing w:line="360" w:lineRule="auto"/>
        <w:ind w:firstLine="480" w:firstLineChars="200"/>
        <w:rPr>
          <w:rFonts w:hint="eastAsia" w:ascii="宋体" w:hAnsi="宋体" w:eastAsia="宋体" w:cs="宋体"/>
          <w:sz w:val="24"/>
        </w:rPr>
      </w:pPr>
      <w:r>
        <w:rPr>
          <w:rFonts w:hint="eastAsia" w:ascii="宋体" w:hAnsi="宋体" w:eastAsia="宋体" w:cs="宋体"/>
          <w:sz w:val="24"/>
        </w:rPr>
        <w:t>1、应当主要负责项目所有外部的联系与协调，为乙方工作提供良好的外部条件。</w:t>
      </w:r>
    </w:p>
    <w:p w14:paraId="55CDB134">
      <w:pPr>
        <w:spacing w:line="360" w:lineRule="auto"/>
        <w:ind w:firstLine="480" w:firstLineChars="200"/>
        <w:rPr>
          <w:rFonts w:hint="eastAsia" w:ascii="宋体" w:hAnsi="宋体" w:eastAsia="宋体" w:cs="宋体"/>
          <w:sz w:val="24"/>
        </w:rPr>
      </w:pPr>
      <w:r>
        <w:rPr>
          <w:rFonts w:hint="eastAsia" w:ascii="宋体" w:hAnsi="宋体" w:eastAsia="宋体" w:cs="宋体"/>
          <w:sz w:val="24"/>
        </w:rPr>
        <w:t>2、应当按合同专用条款预定的时间就乙方书面提交并要求做出决定的一切事宜做出书面决定。</w:t>
      </w:r>
    </w:p>
    <w:p w14:paraId="7A52FA2B">
      <w:pPr>
        <w:spacing w:line="360" w:lineRule="auto"/>
        <w:ind w:firstLine="480" w:firstLineChars="200"/>
        <w:rPr>
          <w:rFonts w:hint="eastAsia" w:ascii="宋体" w:hAnsi="宋体" w:eastAsia="宋体" w:cs="宋体"/>
          <w:sz w:val="24"/>
        </w:rPr>
      </w:pPr>
      <w:r>
        <w:rPr>
          <w:rFonts w:hint="eastAsia" w:ascii="宋体" w:hAnsi="宋体" w:eastAsia="宋体" w:cs="宋体"/>
          <w:sz w:val="24"/>
        </w:rPr>
        <w:t>3、应授权一名熟悉本项目情况、能迅速做出决定的项目代表，负责与乙方联系，更换代表，要提前通知乙方。</w:t>
      </w:r>
    </w:p>
    <w:p w14:paraId="5112F06B">
      <w:pPr>
        <w:spacing w:line="360" w:lineRule="auto"/>
        <w:ind w:firstLine="480" w:firstLineChars="200"/>
        <w:rPr>
          <w:rFonts w:hint="eastAsia" w:ascii="宋体" w:hAnsi="宋体" w:eastAsia="宋体" w:cs="宋体"/>
          <w:sz w:val="24"/>
        </w:rPr>
      </w:pPr>
      <w:r>
        <w:rPr>
          <w:rFonts w:hint="eastAsia" w:ascii="宋体" w:hAnsi="宋体" w:eastAsia="宋体" w:cs="宋体"/>
          <w:sz w:val="24"/>
        </w:rPr>
        <w:t>4、有与乙方订立补充合同的签订权。</w:t>
      </w:r>
    </w:p>
    <w:p w14:paraId="2FCEFB75">
      <w:pPr>
        <w:spacing w:line="360" w:lineRule="auto"/>
        <w:ind w:firstLine="480" w:firstLineChars="200"/>
        <w:rPr>
          <w:rFonts w:hint="eastAsia" w:ascii="宋体" w:hAnsi="宋体" w:eastAsia="宋体" w:cs="宋体"/>
          <w:sz w:val="24"/>
        </w:rPr>
      </w:pPr>
      <w:r>
        <w:rPr>
          <w:rFonts w:hint="eastAsia" w:ascii="宋体" w:hAnsi="宋体" w:eastAsia="宋体" w:cs="宋体"/>
          <w:sz w:val="24"/>
        </w:rPr>
        <w:t>5、有权要求乙方提交工作进度报告及专项报告等。</w:t>
      </w:r>
    </w:p>
    <w:p w14:paraId="7B1C70F4">
      <w:pPr>
        <w:spacing w:line="360" w:lineRule="auto"/>
        <w:ind w:firstLine="480" w:firstLineChars="200"/>
        <w:rPr>
          <w:rFonts w:hint="eastAsia" w:ascii="宋体" w:hAnsi="宋体" w:eastAsia="宋体" w:cs="宋体"/>
          <w:sz w:val="24"/>
        </w:rPr>
      </w:pPr>
      <w:r>
        <w:rPr>
          <w:rFonts w:hint="eastAsia" w:ascii="宋体" w:hAnsi="宋体" w:eastAsia="宋体" w:cs="宋体"/>
          <w:sz w:val="24"/>
        </w:rPr>
        <w:t>6、有权对乙方进行考核及处罚。</w:t>
      </w:r>
    </w:p>
    <w:p w14:paraId="2F89DC9A">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第九条：应急措施要求</w:t>
      </w:r>
    </w:p>
    <w:p w14:paraId="7CFAF69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乙方应做好安全隐患、抢险救灾、突发事件等情况相应的应急处理预案。</w:t>
      </w:r>
    </w:p>
    <w:p w14:paraId="4A7F5E7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出现突发性污染水体事件，如沿河污水管网故障溢流、蓝藻、底泥上浮、河面油污。需第一时间进行应急处置，处置不利或造成严重影响的，每次扣</w:t>
      </w:r>
      <w:r>
        <w:rPr>
          <w:rFonts w:hint="eastAsia" w:ascii="宋体" w:hAnsi="宋体" w:cs="宋体"/>
          <w:sz w:val="24"/>
          <w:highlight w:val="none"/>
          <w:lang w:val="en-US" w:eastAsia="zh-CN"/>
        </w:rPr>
        <w:t>1</w:t>
      </w:r>
      <w:r>
        <w:rPr>
          <w:rFonts w:hint="eastAsia" w:ascii="宋体" w:hAnsi="宋体" w:eastAsia="宋体" w:cs="宋体"/>
          <w:sz w:val="24"/>
          <w:highlight w:val="none"/>
        </w:rPr>
        <w:t>万元。</w:t>
      </w:r>
    </w:p>
    <w:p w14:paraId="078D5346">
      <w:pPr>
        <w:spacing w:line="360" w:lineRule="auto"/>
        <w:ind w:firstLine="480" w:firstLineChars="200"/>
        <w:rPr>
          <w:rFonts w:hint="eastAsia" w:ascii="宋体" w:hAnsi="宋体" w:eastAsia="宋体" w:cs="宋体"/>
          <w:sz w:val="24"/>
        </w:rPr>
      </w:pPr>
      <w:r>
        <w:rPr>
          <w:rFonts w:hint="eastAsia" w:ascii="宋体" w:hAnsi="宋体" w:eastAsia="宋体" w:cs="宋体"/>
          <w:sz w:val="24"/>
        </w:rPr>
        <w:t>出现台风、防汛等:应及时对设施设备进行保护和加固措施，如无法做到有效保护的应及时组织人员对设施进行转移，直至台风过后，水位水流恢复正常后恢复至原位。</w:t>
      </w:r>
    </w:p>
    <w:p w14:paraId="6FBE9B80">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第十条：违约处理</w:t>
      </w:r>
    </w:p>
    <w:p w14:paraId="4D1B445A">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1、乙方在服务期内违反本合同有关承诺保证的，甲方将有权不予退还质量保证金，损失赔偿不足部分，由己方承担赔偿。</w:t>
      </w:r>
    </w:p>
    <w:p w14:paraId="301448AF">
      <w:pPr>
        <w:spacing w:line="360" w:lineRule="auto"/>
        <w:ind w:firstLine="480" w:firstLineChars="200"/>
        <w:rPr>
          <w:rFonts w:hint="eastAsia" w:ascii="宋体" w:hAnsi="宋体" w:eastAsia="宋体" w:cs="宋体"/>
          <w:sz w:val="24"/>
        </w:rPr>
      </w:pPr>
      <w:r>
        <w:rPr>
          <w:rFonts w:hint="eastAsia" w:ascii="宋体" w:hAnsi="宋体" w:eastAsia="宋体" w:cs="宋体"/>
          <w:sz w:val="24"/>
        </w:rPr>
        <w:t>2、如发现乙方违反招投标文件和合同的有关规定，甲方有权根据约定和相关法律法规，对乙方与进行处罚，并有权提前终止合同。</w:t>
      </w:r>
    </w:p>
    <w:p w14:paraId="2907E307">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第十一条： 合同生效</w:t>
      </w:r>
    </w:p>
    <w:p w14:paraId="6B2473B6">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1、本次招标文件（招标编号：   ）、投标文件及评标过程中形成的文字资料、询标纪要均作为本合同的组成部分，具有同等效力。</w:t>
      </w:r>
    </w:p>
    <w:p w14:paraId="44B6B2C5">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2、前述文件内容如与本合同发生冲突，以本合同为准，本合同没有约定的，前述文件作为补充和解释。        </w:t>
      </w:r>
    </w:p>
    <w:p w14:paraId="3CC1FC45">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3、</w:t>
      </w:r>
      <w:r>
        <w:rPr>
          <w:rFonts w:hint="eastAsia" w:ascii="宋体" w:hAnsi="宋体" w:eastAsia="宋体" w:cs="宋体"/>
          <w:sz w:val="24"/>
          <w:szCs w:val="24"/>
        </w:rPr>
        <w:t>本合同经甲乙双方法定代表人或其委托人签字并加盖双方公章后生效。</w:t>
      </w:r>
    </w:p>
    <w:p w14:paraId="085EF104">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4、本合同一式五份，甲方、乙方各执二份，招标代理有限公司一份。</w:t>
      </w:r>
    </w:p>
    <w:p w14:paraId="75340016">
      <w:pPr>
        <w:pStyle w:val="33"/>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第十二条：合同修改</w:t>
      </w:r>
    </w:p>
    <w:p w14:paraId="350B877D">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合同履行期内甲乙双方均不得随意变更或解除合同。合同若有未尽事宜，需经双方共同协商，订立补充协议，补充协议与本合同有同等法律效力。</w:t>
      </w:r>
    </w:p>
    <w:p w14:paraId="5673830C">
      <w:pPr>
        <w:spacing w:line="360" w:lineRule="auto"/>
        <w:ind w:firstLine="480" w:firstLineChars="200"/>
        <w:rPr>
          <w:rFonts w:hint="eastAsia" w:ascii="宋体" w:hAnsi="宋体" w:eastAsia="宋体" w:cs="宋体"/>
          <w:sz w:val="24"/>
        </w:rPr>
      </w:pPr>
      <w:r>
        <w:rPr>
          <w:rFonts w:hint="eastAsia" w:ascii="宋体" w:hAnsi="宋体" w:eastAsia="宋体" w:cs="宋体"/>
          <w:sz w:val="24"/>
        </w:rPr>
        <w:t>2、当事人一方要求变更或解除合同时，应当提前30天通知对方，因变更或解除合同使一方遭受损失的，除依法可以免除责任的外，应由责任方负责赔偿。变更或解除合同的通知或协议应当采取书面形式，协议未达成之前，原合同仍然有效。</w:t>
      </w:r>
    </w:p>
    <w:p w14:paraId="666048E0">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3、如上级有关部门关于水环境处理的管理政策发生变化，应当按照上级要求执行。甲方可根据实际情况变更或终止合同，并不因此承担违约责任，已履行部分的费用按实结算。具体事宜可由双方另行协商确定。</w:t>
      </w:r>
    </w:p>
    <w:p w14:paraId="3249E6C9">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第十三条：不可抗力</w:t>
      </w:r>
    </w:p>
    <w:p w14:paraId="68B96012">
      <w:pPr>
        <w:spacing w:line="360" w:lineRule="auto"/>
        <w:ind w:firstLine="480" w:firstLineChars="200"/>
        <w:rPr>
          <w:rFonts w:hint="eastAsia" w:ascii="宋体" w:hAnsi="宋体" w:eastAsia="宋体" w:cs="宋体"/>
          <w:sz w:val="24"/>
        </w:rPr>
      </w:pPr>
      <w:r>
        <w:rPr>
          <w:rFonts w:hint="eastAsia" w:ascii="宋体" w:hAnsi="宋体" w:eastAsia="宋体" w:cs="宋体"/>
          <w:sz w:val="24"/>
        </w:rPr>
        <w:t>1、不可抗力事故系指甲乙双方在缔结合同时所不能预见的，并且它的发生及其后果无法避免和无法克服的事故。</w:t>
      </w:r>
    </w:p>
    <w:p w14:paraId="4AFE7A2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若双方或一方因不可抗力或合同履行的基础发生重大变化而导致不能继续履行的合同的，该方可以解除合同并不承担违约责任，已履行部分的费用据实结算。</w:t>
      </w:r>
    </w:p>
    <w:p w14:paraId="2948B28E">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bCs/>
          <w:sz w:val="24"/>
        </w:rPr>
        <w:t>第十四条： 争议与仲裁</w:t>
      </w:r>
    </w:p>
    <w:p w14:paraId="16C09341">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1、在本合同履行过程中发生争议，双方应当协商解决。双方不愿协商、调解解决或者协商、调解不成的，可按有关规定向杭州仲裁委员会提起仲裁。</w:t>
      </w:r>
    </w:p>
    <w:p w14:paraId="48368D87">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2、在仲裁期间，除正在进行仲裁的部分外，本合同其他部分应继续执行。</w:t>
      </w:r>
    </w:p>
    <w:p w14:paraId="1B9D7AD6">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第十五条：履约检查和问题反馈</w:t>
      </w:r>
    </w:p>
    <w:p w14:paraId="4E72622C">
      <w:pPr>
        <w:pStyle w:val="33"/>
        <w:spacing w:line="360" w:lineRule="auto"/>
        <w:ind w:firstLine="480" w:firstLineChars="200"/>
        <w:rPr>
          <w:rFonts w:hint="eastAsia" w:ascii="宋体" w:hAnsi="宋体" w:eastAsia="宋体" w:cs="宋体"/>
          <w:sz w:val="24"/>
          <w:szCs w:val="24"/>
        </w:rPr>
      </w:pPr>
      <w:bookmarkStart w:id="397" w:name="_Toc186431854"/>
      <w:bookmarkStart w:id="398" w:name="_Toc487900357"/>
      <w:bookmarkStart w:id="399" w:name="_Toc259093676"/>
      <w:bookmarkStart w:id="400" w:name="_Toc279701247"/>
      <w:bookmarkStart w:id="401" w:name="_Ref467379807"/>
      <w:bookmarkStart w:id="402" w:name="_Ref467379793"/>
      <w:r>
        <w:rPr>
          <w:rFonts w:hint="eastAsia" w:ascii="宋体" w:hAnsi="宋体" w:eastAsia="宋体" w:cs="宋体"/>
          <w:sz w:val="24"/>
          <w:szCs w:val="24"/>
        </w:rPr>
        <w:t>1、甲方有权在其认为必要时，对乙方是否能够按照合同约定提供服务进行履约检查，以确保乙方所提供的服务能够依约满足甲方之项目需求，但不得因履约检查妨碍乙方的正常工作，乙方应予积极配合；</w:t>
      </w:r>
    </w:p>
    <w:p w14:paraId="529823AB">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2、合同履行期间，甲方有权将履行过程中出现的问题反馈给乙方，双方当事人应以书面形式约定需要完善和改进的内容</w:t>
      </w:r>
      <w:bookmarkEnd w:id="397"/>
      <w:bookmarkStart w:id="403" w:name="_Toc186431855"/>
      <w:r>
        <w:rPr>
          <w:rFonts w:hint="eastAsia" w:ascii="宋体" w:hAnsi="宋体" w:eastAsia="宋体" w:cs="宋体"/>
          <w:sz w:val="24"/>
          <w:szCs w:val="24"/>
        </w:rPr>
        <w:t>。</w:t>
      </w:r>
    </w:p>
    <w:bookmarkEnd w:id="398"/>
    <w:bookmarkEnd w:id="399"/>
    <w:bookmarkEnd w:id="400"/>
    <w:bookmarkEnd w:id="401"/>
    <w:bookmarkEnd w:id="402"/>
    <w:bookmarkEnd w:id="403"/>
    <w:p w14:paraId="2DA4BE84">
      <w:pPr>
        <w:pStyle w:val="33"/>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 第十六条：其他</w:t>
      </w:r>
    </w:p>
    <w:p w14:paraId="590391E7">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1、未经过甲方的书面同意，乙方不得转让其应履行的合同项下的义务，和将部分合同项下的义务分包给其他单位完成。</w:t>
      </w:r>
    </w:p>
    <w:p w14:paraId="5A8D81B4">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乙方不得参与可能与合同规定的与甲方的利益相冲突的任何活动。</w:t>
      </w:r>
    </w:p>
    <w:p w14:paraId="709529E6">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乙方人员在甲方场地工作时，应遵守甲方相关规章、制度。</w:t>
      </w:r>
    </w:p>
    <w:p w14:paraId="78B49336">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4、本合同任何一方给另一方的通知，都应以书面或传真的形式发送，而另一方应以书面形式确认并发送到对方明确的地址。</w:t>
      </w:r>
    </w:p>
    <w:p w14:paraId="463F9565">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适用法律：本合同应按照中华人民共和国的法律进行解释。</w:t>
      </w:r>
    </w:p>
    <w:p w14:paraId="7284FE85">
      <w:pPr>
        <w:pStyle w:val="33"/>
        <w:widowControl/>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第十七条：未尽事宜</w:t>
      </w:r>
    </w:p>
    <w:p w14:paraId="2C4191C5">
      <w:pPr>
        <w:pStyle w:val="33"/>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  未尽事宜，双方协商解决。</w:t>
      </w:r>
    </w:p>
    <w:tbl>
      <w:tblPr>
        <w:tblStyle w:val="63"/>
        <w:tblW w:w="9458" w:type="dxa"/>
        <w:tblInd w:w="0" w:type="dxa"/>
        <w:tblLayout w:type="fixed"/>
        <w:tblCellMar>
          <w:top w:w="0" w:type="dxa"/>
          <w:left w:w="108" w:type="dxa"/>
          <w:bottom w:w="0" w:type="dxa"/>
          <w:right w:w="108" w:type="dxa"/>
        </w:tblCellMar>
      </w:tblPr>
      <w:tblGrid>
        <w:gridCol w:w="4729"/>
        <w:gridCol w:w="4729"/>
      </w:tblGrid>
      <w:tr w14:paraId="14C666D1">
        <w:tblPrEx>
          <w:tblCellMar>
            <w:top w:w="0" w:type="dxa"/>
            <w:left w:w="108" w:type="dxa"/>
            <w:bottom w:w="0" w:type="dxa"/>
            <w:right w:w="108" w:type="dxa"/>
          </w:tblCellMar>
        </w:tblPrEx>
        <w:tc>
          <w:tcPr>
            <w:tcW w:w="4729" w:type="dxa"/>
            <w:noWrap w:val="0"/>
            <w:vAlign w:val="top"/>
          </w:tcPr>
          <w:p w14:paraId="7C99FB54">
            <w:pPr>
              <w:pStyle w:val="33"/>
              <w:spacing w:line="360" w:lineRule="auto"/>
              <w:ind w:firstLine="482" w:firstLineChars="200"/>
              <w:rPr>
                <w:rFonts w:hint="eastAsia" w:ascii="宋体" w:hAnsi="宋体" w:eastAsia="宋体" w:cs="宋体"/>
                <w:sz w:val="24"/>
                <w:szCs w:val="24"/>
                <w:lang w:val="en-GB"/>
              </w:rPr>
            </w:pPr>
            <w:r>
              <w:rPr>
                <w:rFonts w:hint="eastAsia" w:ascii="宋体" w:hAnsi="宋体" w:eastAsia="宋体" w:cs="宋体"/>
                <w:b/>
                <w:sz w:val="24"/>
                <w:szCs w:val="24"/>
              </w:rPr>
              <w:t>甲方</w:t>
            </w:r>
            <w:r>
              <w:rPr>
                <w:rFonts w:hint="eastAsia" w:ascii="宋体" w:hAnsi="宋体" w:eastAsia="宋体" w:cs="宋体"/>
                <w:sz w:val="24"/>
                <w:szCs w:val="24"/>
              </w:rPr>
              <w:t>（盖章）：</w:t>
            </w:r>
          </w:p>
        </w:tc>
        <w:tc>
          <w:tcPr>
            <w:tcW w:w="4729" w:type="dxa"/>
            <w:noWrap w:val="0"/>
            <w:vAlign w:val="top"/>
          </w:tcPr>
          <w:p w14:paraId="273F13DC">
            <w:pPr>
              <w:pStyle w:val="33"/>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乙方</w:t>
            </w:r>
            <w:r>
              <w:rPr>
                <w:rFonts w:hint="eastAsia" w:ascii="宋体" w:hAnsi="宋体" w:eastAsia="宋体" w:cs="宋体"/>
                <w:sz w:val="24"/>
                <w:szCs w:val="24"/>
              </w:rPr>
              <w:t>（盖章）：</w:t>
            </w:r>
          </w:p>
        </w:tc>
      </w:tr>
      <w:tr w14:paraId="3F82FA2C">
        <w:tblPrEx>
          <w:tblCellMar>
            <w:top w:w="0" w:type="dxa"/>
            <w:left w:w="108" w:type="dxa"/>
            <w:bottom w:w="0" w:type="dxa"/>
            <w:right w:w="108" w:type="dxa"/>
          </w:tblCellMar>
        </w:tblPrEx>
        <w:tc>
          <w:tcPr>
            <w:tcW w:w="4729" w:type="dxa"/>
            <w:noWrap w:val="0"/>
            <w:vAlign w:val="top"/>
          </w:tcPr>
          <w:p w14:paraId="63AB379F">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p>
          <w:p w14:paraId="7EED08E0">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或授权委托人（签字）：</w:t>
            </w:r>
          </w:p>
        </w:tc>
        <w:tc>
          <w:tcPr>
            <w:tcW w:w="4729" w:type="dxa"/>
            <w:noWrap w:val="0"/>
            <w:vAlign w:val="top"/>
          </w:tcPr>
          <w:p w14:paraId="6B072FDC">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p>
          <w:p w14:paraId="16A81629">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或授权委托人（签字）：</w:t>
            </w:r>
          </w:p>
        </w:tc>
      </w:tr>
      <w:tr w14:paraId="6A52EE04">
        <w:tblPrEx>
          <w:tblCellMar>
            <w:top w:w="0" w:type="dxa"/>
            <w:left w:w="108" w:type="dxa"/>
            <w:bottom w:w="0" w:type="dxa"/>
            <w:right w:w="108" w:type="dxa"/>
          </w:tblCellMar>
        </w:tblPrEx>
        <w:tc>
          <w:tcPr>
            <w:tcW w:w="4729" w:type="dxa"/>
            <w:noWrap w:val="0"/>
            <w:vAlign w:val="top"/>
          </w:tcPr>
          <w:p w14:paraId="1964C3BC">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p>
        </w:tc>
        <w:tc>
          <w:tcPr>
            <w:tcW w:w="4729" w:type="dxa"/>
            <w:noWrap w:val="0"/>
            <w:vAlign w:val="top"/>
          </w:tcPr>
          <w:p w14:paraId="0D54DECA">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p>
        </w:tc>
      </w:tr>
      <w:tr w14:paraId="00B03159">
        <w:tblPrEx>
          <w:tblCellMar>
            <w:top w:w="0" w:type="dxa"/>
            <w:left w:w="108" w:type="dxa"/>
            <w:bottom w:w="0" w:type="dxa"/>
            <w:right w:w="108" w:type="dxa"/>
          </w:tblCellMar>
        </w:tblPrEx>
        <w:tc>
          <w:tcPr>
            <w:tcW w:w="4729" w:type="dxa"/>
            <w:noWrap w:val="0"/>
            <w:vAlign w:val="top"/>
          </w:tcPr>
          <w:p w14:paraId="79EAD509">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p>
        </w:tc>
        <w:tc>
          <w:tcPr>
            <w:tcW w:w="4729" w:type="dxa"/>
            <w:noWrap w:val="0"/>
            <w:vAlign w:val="top"/>
          </w:tcPr>
          <w:p w14:paraId="67848AED">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p>
        </w:tc>
      </w:tr>
      <w:tr w14:paraId="62DBFB83">
        <w:tblPrEx>
          <w:tblCellMar>
            <w:top w:w="0" w:type="dxa"/>
            <w:left w:w="108" w:type="dxa"/>
            <w:bottom w:w="0" w:type="dxa"/>
            <w:right w:w="108" w:type="dxa"/>
          </w:tblCellMar>
        </w:tblPrEx>
        <w:tc>
          <w:tcPr>
            <w:tcW w:w="4729" w:type="dxa"/>
            <w:noWrap w:val="0"/>
            <w:vAlign w:val="top"/>
          </w:tcPr>
          <w:p w14:paraId="4A2BA881">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w:t>
            </w:r>
          </w:p>
        </w:tc>
        <w:tc>
          <w:tcPr>
            <w:tcW w:w="4729" w:type="dxa"/>
            <w:noWrap w:val="0"/>
            <w:vAlign w:val="top"/>
          </w:tcPr>
          <w:p w14:paraId="63B62DCC">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w:t>
            </w:r>
          </w:p>
        </w:tc>
      </w:tr>
      <w:tr w14:paraId="0AECD0E2">
        <w:tblPrEx>
          <w:tblCellMar>
            <w:top w:w="0" w:type="dxa"/>
            <w:left w:w="108" w:type="dxa"/>
            <w:bottom w:w="0" w:type="dxa"/>
            <w:right w:w="108" w:type="dxa"/>
          </w:tblCellMar>
        </w:tblPrEx>
        <w:tc>
          <w:tcPr>
            <w:tcW w:w="4729" w:type="dxa"/>
            <w:noWrap w:val="0"/>
            <w:vAlign w:val="top"/>
          </w:tcPr>
          <w:p w14:paraId="6CA2EFB1">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传真：</w:t>
            </w:r>
          </w:p>
        </w:tc>
        <w:tc>
          <w:tcPr>
            <w:tcW w:w="4729" w:type="dxa"/>
            <w:noWrap w:val="0"/>
            <w:vAlign w:val="top"/>
          </w:tcPr>
          <w:p w14:paraId="78CB3494">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传真：</w:t>
            </w:r>
          </w:p>
        </w:tc>
      </w:tr>
      <w:tr w14:paraId="7F6F7A05">
        <w:tblPrEx>
          <w:tblCellMar>
            <w:top w:w="0" w:type="dxa"/>
            <w:left w:w="108" w:type="dxa"/>
            <w:bottom w:w="0" w:type="dxa"/>
            <w:right w:w="108" w:type="dxa"/>
          </w:tblCellMar>
        </w:tblPrEx>
        <w:tc>
          <w:tcPr>
            <w:tcW w:w="4729" w:type="dxa"/>
            <w:noWrap w:val="0"/>
            <w:vAlign w:val="top"/>
          </w:tcPr>
          <w:p w14:paraId="689B77E9">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p>
        </w:tc>
        <w:tc>
          <w:tcPr>
            <w:tcW w:w="4729" w:type="dxa"/>
            <w:noWrap w:val="0"/>
            <w:vAlign w:val="center"/>
          </w:tcPr>
          <w:p w14:paraId="2007AB77">
            <w:pPr>
              <w:pStyle w:val="33"/>
              <w:spacing w:line="360" w:lineRule="auto"/>
              <w:ind w:left="-50" w:leftChars="-24" w:firstLine="480" w:firstLineChars="200"/>
              <w:rPr>
                <w:rFonts w:hint="eastAsia" w:ascii="宋体" w:hAnsi="宋体" w:eastAsia="宋体" w:cs="宋体"/>
                <w:sz w:val="24"/>
                <w:szCs w:val="24"/>
              </w:rPr>
            </w:pPr>
            <w:r>
              <w:rPr>
                <w:rFonts w:hint="eastAsia" w:ascii="宋体" w:hAnsi="宋体" w:eastAsia="宋体" w:cs="宋体"/>
                <w:sz w:val="24"/>
                <w:szCs w:val="24"/>
              </w:rPr>
              <w:t>开户银行：</w:t>
            </w:r>
          </w:p>
        </w:tc>
      </w:tr>
      <w:tr w14:paraId="017B5BBC">
        <w:tblPrEx>
          <w:tblCellMar>
            <w:top w:w="0" w:type="dxa"/>
            <w:left w:w="108" w:type="dxa"/>
            <w:bottom w:w="0" w:type="dxa"/>
            <w:right w:w="108" w:type="dxa"/>
          </w:tblCellMar>
        </w:tblPrEx>
        <w:tc>
          <w:tcPr>
            <w:tcW w:w="4729" w:type="dxa"/>
            <w:noWrap w:val="0"/>
            <w:vAlign w:val="top"/>
          </w:tcPr>
          <w:p w14:paraId="021A8E68">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账号：</w:t>
            </w:r>
          </w:p>
        </w:tc>
        <w:tc>
          <w:tcPr>
            <w:tcW w:w="4729" w:type="dxa"/>
            <w:noWrap w:val="0"/>
            <w:vAlign w:val="center"/>
          </w:tcPr>
          <w:p w14:paraId="4CE69F97">
            <w:pPr>
              <w:pStyle w:val="33"/>
              <w:spacing w:line="360" w:lineRule="auto"/>
              <w:ind w:left="-50" w:leftChars="-24" w:firstLine="480" w:firstLineChars="200"/>
              <w:rPr>
                <w:rFonts w:hint="eastAsia" w:ascii="宋体" w:hAnsi="宋体" w:eastAsia="宋体" w:cs="宋体"/>
                <w:sz w:val="24"/>
                <w:szCs w:val="24"/>
              </w:rPr>
            </w:pPr>
            <w:r>
              <w:rPr>
                <w:rFonts w:hint="eastAsia" w:ascii="宋体" w:hAnsi="宋体" w:eastAsia="宋体" w:cs="宋体"/>
                <w:sz w:val="24"/>
                <w:szCs w:val="24"/>
              </w:rPr>
              <w:t>帐号：</w:t>
            </w:r>
          </w:p>
        </w:tc>
      </w:tr>
      <w:tr w14:paraId="103F7231">
        <w:tblPrEx>
          <w:tblCellMar>
            <w:top w:w="0" w:type="dxa"/>
            <w:left w:w="108" w:type="dxa"/>
            <w:bottom w:w="0" w:type="dxa"/>
            <w:right w:w="108" w:type="dxa"/>
          </w:tblCellMar>
        </w:tblPrEx>
        <w:tc>
          <w:tcPr>
            <w:tcW w:w="9458" w:type="dxa"/>
            <w:gridSpan w:val="2"/>
            <w:noWrap w:val="0"/>
            <w:vAlign w:val="top"/>
          </w:tcPr>
          <w:p w14:paraId="6464FC88">
            <w:pPr>
              <w:pStyle w:val="33"/>
              <w:spacing w:line="360" w:lineRule="auto"/>
              <w:ind w:firstLine="480" w:firstLineChars="200"/>
              <w:rPr>
                <w:rFonts w:hint="eastAsia" w:ascii="宋体" w:hAnsi="宋体" w:eastAsia="宋体" w:cs="宋体"/>
                <w:sz w:val="24"/>
                <w:szCs w:val="24"/>
              </w:rPr>
            </w:pPr>
          </w:p>
        </w:tc>
      </w:tr>
    </w:tbl>
    <w:p w14:paraId="07032807">
      <w:pPr>
        <w:spacing w:line="360" w:lineRule="auto"/>
        <w:ind w:firstLine="480" w:firstLineChars="200"/>
        <w:rPr>
          <w:rFonts w:hint="eastAsia" w:ascii="宋体" w:hAnsi="宋体" w:eastAsia="宋体" w:cs="宋体"/>
          <w:sz w:val="24"/>
        </w:rPr>
      </w:pPr>
    </w:p>
    <w:p w14:paraId="419984A9">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签约地：                   </w:t>
      </w:r>
    </w:p>
    <w:p w14:paraId="4583F62C">
      <w:pPr>
        <w:spacing w:line="360" w:lineRule="auto"/>
        <w:ind w:firstLine="480" w:firstLineChars="200"/>
        <w:rPr>
          <w:rFonts w:hint="eastAsia" w:ascii="宋体" w:hAnsi="宋体" w:eastAsia="宋体" w:cs="宋体"/>
          <w:b/>
          <w:sz w:val="24"/>
        </w:rPr>
      </w:pPr>
      <w:r>
        <w:rPr>
          <w:rFonts w:hint="eastAsia" w:ascii="宋体" w:hAnsi="宋体" w:eastAsia="宋体" w:cs="宋体"/>
          <w:sz w:val="24"/>
        </w:rPr>
        <w:t>签约日期：    年    月    日</w:t>
      </w:r>
    </w:p>
    <w:p w14:paraId="51E32774">
      <w:pPr>
        <w:spacing w:line="360" w:lineRule="auto"/>
        <w:ind w:left="-420" w:leftChars="-200" w:right="-420" w:rightChars="-200" w:firstLine="480" w:firstLineChars="200"/>
        <w:rPr>
          <w:rFonts w:hint="eastAsia" w:ascii="宋体" w:hAnsi="宋体" w:eastAsia="宋体" w:cs="宋体"/>
          <w:sz w:val="24"/>
        </w:rPr>
      </w:pPr>
    </w:p>
    <w:p w14:paraId="67CF4305">
      <w:pPr>
        <w:spacing w:line="360" w:lineRule="auto"/>
        <w:ind w:left="-420" w:leftChars="-200" w:right="-420" w:rightChars="-200" w:firstLine="720" w:firstLineChars="300"/>
        <w:rPr>
          <w:rFonts w:hint="eastAsia" w:ascii="宋体" w:hAnsi="宋体" w:eastAsia="宋体" w:cs="宋体"/>
          <w:i/>
          <w:iCs/>
          <w:sz w:val="24"/>
          <w:lang w:eastAsia="zh-CN"/>
        </w:rPr>
      </w:pPr>
    </w:p>
    <w:p w14:paraId="79AFC42F">
      <w:pPr>
        <w:spacing w:line="360" w:lineRule="auto"/>
        <w:ind w:left="-420" w:leftChars="-200" w:right="-420" w:rightChars="-200" w:firstLine="720" w:firstLineChars="300"/>
        <w:rPr>
          <w:rFonts w:hint="eastAsia" w:ascii="宋体" w:hAnsi="宋体" w:eastAsia="宋体" w:cs="宋体"/>
          <w:i/>
          <w:iCs/>
          <w:sz w:val="24"/>
          <w:lang w:eastAsia="zh-CN"/>
        </w:rPr>
      </w:pPr>
    </w:p>
    <w:p w14:paraId="1383FA81">
      <w:pPr>
        <w:spacing w:line="360" w:lineRule="auto"/>
        <w:ind w:firstLine="562" w:firstLineChars="200"/>
        <w:jc w:val="left"/>
        <w:rPr>
          <w:rFonts w:hint="eastAsia" w:ascii="宋体" w:hAnsi="宋体" w:cs="宋体"/>
          <w:b/>
          <w:bCs/>
          <w:color w:val="auto"/>
          <w:sz w:val="28"/>
          <w:szCs w:val="28"/>
          <w:highlight w:val="none"/>
          <w:lang w:eastAsia="zh-CN"/>
        </w:rPr>
      </w:pPr>
      <w:r>
        <w:rPr>
          <w:rFonts w:hint="eastAsia" w:ascii="宋体" w:hAnsi="宋体" w:eastAsia="宋体" w:cs="宋体"/>
          <w:b/>
          <w:bCs/>
          <w:color w:val="auto"/>
          <w:sz w:val="28"/>
          <w:szCs w:val="28"/>
          <w:highlight w:val="none"/>
        </w:rPr>
        <w:t>注：采购人保留对合同条款修改的权力</w:t>
      </w:r>
      <w:r>
        <w:rPr>
          <w:rFonts w:hint="eastAsia" w:ascii="宋体" w:hAnsi="宋体" w:cs="宋体"/>
          <w:b/>
          <w:bCs/>
          <w:color w:val="auto"/>
          <w:sz w:val="28"/>
          <w:szCs w:val="28"/>
          <w:highlight w:val="none"/>
          <w:lang w:eastAsia="zh-CN"/>
        </w:rPr>
        <w:t>，合同以最终签订为准。</w:t>
      </w:r>
    </w:p>
    <w:p w14:paraId="712FAB1F">
      <w:pPr>
        <w:rPr>
          <w:rFonts w:hint="eastAsia"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br w:type="page"/>
      </w:r>
    </w:p>
    <w:p w14:paraId="43C224BB">
      <w:pPr>
        <w:spacing w:line="480" w:lineRule="auto"/>
        <w:jc w:val="both"/>
        <w:rPr>
          <w:rFonts w:hint="eastAsia" w:ascii="新宋体" w:hAnsi="新宋体" w:eastAsia="新宋体" w:cs="新宋体"/>
          <w:color w:val="auto"/>
          <w:sz w:val="24"/>
          <w:szCs w:val="24"/>
          <w:highlight w:val="none"/>
        </w:rPr>
      </w:pPr>
      <w:r>
        <w:rPr>
          <w:rFonts w:hint="eastAsia" w:ascii="宋体" w:hAnsi="宋体" w:cs="宋体"/>
          <w:b/>
          <w:bCs/>
          <w:kern w:val="0"/>
          <w:sz w:val="24"/>
          <w:szCs w:val="24"/>
          <w:highlight w:val="none"/>
          <w:lang w:val="en-US" w:eastAsia="zh-CN"/>
        </w:rPr>
        <w:t>附件</w:t>
      </w:r>
      <w:r>
        <w:rPr>
          <w:rFonts w:hint="eastAsia" w:ascii="新宋体" w:hAnsi="新宋体" w:eastAsia="新宋体" w:cs="新宋体"/>
          <w:color w:val="auto"/>
          <w:sz w:val="24"/>
          <w:szCs w:val="24"/>
          <w:highlight w:val="none"/>
          <w:lang w:val="en-US" w:eastAsia="zh-CN"/>
        </w:rPr>
        <w:t>：前进街道四工段横河等水环境治理服务项目</w:t>
      </w:r>
      <w:r>
        <w:rPr>
          <w:rFonts w:hint="eastAsia" w:ascii="新宋体" w:hAnsi="新宋体" w:eastAsia="新宋体" w:cs="新宋体"/>
          <w:color w:val="auto"/>
          <w:sz w:val="24"/>
          <w:szCs w:val="24"/>
          <w:highlight w:val="none"/>
        </w:rPr>
        <w:t xml:space="preserve">考核细则   </w:t>
      </w:r>
      <w:r>
        <w:rPr>
          <w:rFonts w:hint="eastAsia" w:ascii="新宋体" w:hAnsi="新宋体" w:eastAsia="新宋体" w:cs="新宋体"/>
          <w:color w:val="auto"/>
          <w:sz w:val="32"/>
          <w:szCs w:val="32"/>
          <w:highlight w:val="none"/>
        </w:rPr>
        <w:t xml:space="preserve"> </w:t>
      </w:r>
      <w:r>
        <w:rPr>
          <w:rFonts w:hint="eastAsia" w:ascii="新宋体" w:hAnsi="新宋体" w:eastAsia="新宋体" w:cs="新宋体"/>
          <w:color w:val="auto"/>
          <w:sz w:val="24"/>
          <w:szCs w:val="24"/>
          <w:highlight w:val="none"/>
        </w:rPr>
        <w:t xml:space="preserve">      </w:t>
      </w:r>
    </w:p>
    <w:p w14:paraId="19CF82D1">
      <w:pPr>
        <w:spacing w:line="480" w:lineRule="auto"/>
        <w:jc w:val="righ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考核月份：</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月</w:t>
      </w:r>
    </w:p>
    <w:tbl>
      <w:tblPr>
        <w:tblStyle w:val="63"/>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5676"/>
        <w:gridCol w:w="884"/>
        <w:gridCol w:w="816"/>
        <w:gridCol w:w="1084"/>
      </w:tblGrid>
      <w:tr w14:paraId="7283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noWrap w:val="0"/>
            <w:vAlign w:val="top"/>
          </w:tcPr>
          <w:p w14:paraId="29786107">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考核</w:t>
            </w:r>
          </w:p>
          <w:p w14:paraId="75CB8370">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因素</w:t>
            </w:r>
          </w:p>
        </w:tc>
        <w:tc>
          <w:tcPr>
            <w:tcW w:w="5676" w:type="dxa"/>
            <w:noWrap w:val="0"/>
            <w:vAlign w:val="center"/>
          </w:tcPr>
          <w:p w14:paraId="26EC73E0">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工作要求</w:t>
            </w:r>
          </w:p>
        </w:tc>
        <w:tc>
          <w:tcPr>
            <w:tcW w:w="884" w:type="dxa"/>
            <w:noWrap w:val="0"/>
            <w:vAlign w:val="top"/>
          </w:tcPr>
          <w:p w14:paraId="5A34386D">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单项</w:t>
            </w:r>
          </w:p>
          <w:p w14:paraId="0A1012EE">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满分</w:t>
            </w:r>
          </w:p>
        </w:tc>
        <w:tc>
          <w:tcPr>
            <w:tcW w:w="816" w:type="dxa"/>
            <w:noWrap w:val="0"/>
            <w:vAlign w:val="top"/>
          </w:tcPr>
          <w:p w14:paraId="6D4547E5">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单项得分</w:t>
            </w:r>
          </w:p>
        </w:tc>
        <w:tc>
          <w:tcPr>
            <w:tcW w:w="1084" w:type="dxa"/>
            <w:noWrap w:val="0"/>
            <w:vAlign w:val="top"/>
          </w:tcPr>
          <w:p w14:paraId="09484F2C">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因素</w:t>
            </w:r>
          </w:p>
          <w:p w14:paraId="32F24F9A">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得分</w:t>
            </w:r>
          </w:p>
        </w:tc>
      </w:tr>
      <w:tr w14:paraId="023C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20" w:type="dxa"/>
            <w:vMerge w:val="restart"/>
            <w:noWrap w:val="0"/>
            <w:vAlign w:val="top"/>
          </w:tcPr>
          <w:p w14:paraId="4C92EBD1">
            <w:pPr>
              <w:spacing w:line="360" w:lineRule="auto"/>
              <w:jc w:val="center"/>
              <w:rPr>
                <w:rFonts w:hint="eastAsia" w:ascii="新宋体" w:hAnsi="新宋体" w:eastAsia="新宋体" w:cs="新宋体"/>
                <w:color w:val="auto"/>
                <w:sz w:val="24"/>
                <w:szCs w:val="24"/>
                <w:highlight w:val="none"/>
              </w:rPr>
            </w:pPr>
          </w:p>
          <w:p w14:paraId="0C040CB9">
            <w:pPr>
              <w:spacing w:line="360" w:lineRule="auto"/>
              <w:jc w:val="center"/>
              <w:rPr>
                <w:rFonts w:hint="eastAsia" w:ascii="新宋体" w:hAnsi="新宋体" w:eastAsia="新宋体" w:cs="新宋体"/>
                <w:color w:val="auto"/>
                <w:sz w:val="24"/>
                <w:szCs w:val="24"/>
                <w:highlight w:val="none"/>
              </w:rPr>
            </w:pPr>
          </w:p>
          <w:p w14:paraId="0C41AD01">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人员考勤</w:t>
            </w:r>
          </w:p>
        </w:tc>
        <w:tc>
          <w:tcPr>
            <w:tcW w:w="5676" w:type="dxa"/>
            <w:noWrap w:val="0"/>
            <w:vAlign w:val="top"/>
          </w:tcPr>
          <w:p w14:paraId="76E5F740">
            <w:pPr>
              <w:spacing w:line="360" w:lineRule="auto"/>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运维人员未佩戴工作证等有效 证件或未着运维公司统一制服 上岗的，每一人次扣2分</w:t>
            </w:r>
          </w:p>
        </w:tc>
        <w:tc>
          <w:tcPr>
            <w:tcW w:w="884" w:type="dxa"/>
            <w:noWrap w:val="0"/>
            <w:vAlign w:val="top"/>
          </w:tcPr>
          <w:p w14:paraId="5B816818">
            <w:pPr>
              <w:pStyle w:val="340"/>
              <w:spacing w:line="381" w:lineRule="auto"/>
            </w:pPr>
          </w:p>
          <w:p w14:paraId="770C5C33">
            <w:pPr>
              <w:spacing w:before="91" w:line="183" w:lineRule="auto"/>
              <w:ind w:left="276" w:leftChars="0"/>
              <w:rPr>
                <w:rFonts w:hint="eastAsia" w:ascii="新宋体" w:hAnsi="新宋体" w:eastAsia="新宋体" w:cs="新宋体"/>
                <w:color w:val="auto"/>
                <w:sz w:val="24"/>
                <w:szCs w:val="24"/>
                <w:highlight w:val="none"/>
              </w:rPr>
            </w:pPr>
            <w:r>
              <w:rPr>
                <w:rFonts w:hint="eastAsia" w:ascii="宋体" w:hAnsi="宋体" w:cs="宋体"/>
                <w:sz w:val="28"/>
                <w:szCs w:val="28"/>
                <w:lang w:val="en-US" w:eastAsia="zh-CN"/>
              </w:rPr>
              <w:t>4</w:t>
            </w:r>
          </w:p>
        </w:tc>
        <w:tc>
          <w:tcPr>
            <w:tcW w:w="816" w:type="dxa"/>
            <w:noWrap w:val="0"/>
            <w:vAlign w:val="top"/>
          </w:tcPr>
          <w:p w14:paraId="60A2492F">
            <w:pPr>
              <w:spacing w:line="360" w:lineRule="auto"/>
              <w:jc w:val="center"/>
              <w:rPr>
                <w:rFonts w:hint="eastAsia" w:ascii="新宋体" w:hAnsi="新宋体" w:eastAsia="新宋体" w:cs="新宋体"/>
                <w:color w:val="auto"/>
                <w:sz w:val="24"/>
                <w:szCs w:val="24"/>
                <w:highlight w:val="none"/>
              </w:rPr>
            </w:pPr>
          </w:p>
        </w:tc>
        <w:tc>
          <w:tcPr>
            <w:tcW w:w="1084" w:type="dxa"/>
            <w:vMerge w:val="restart"/>
            <w:noWrap w:val="0"/>
            <w:vAlign w:val="top"/>
          </w:tcPr>
          <w:p w14:paraId="1D4394C3">
            <w:pPr>
              <w:spacing w:line="360" w:lineRule="auto"/>
              <w:rPr>
                <w:rFonts w:hint="eastAsia" w:ascii="新宋体" w:hAnsi="新宋体" w:eastAsia="新宋体" w:cs="新宋体"/>
                <w:color w:val="auto"/>
                <w:sz w:val="24"/>
                <w:szCs w:val="24"/>
                <w:highlight w:val="none"/>
              </w:rPr>
            </w:pPr>
          </w:p>
        </w:tc>
      </w:tr>
      <w:tr w14:paraId="2E94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20" w:type="dxa"/>
            <w:vMerge w:val="continue"/>
            <w:noWrap w:val="0"/>
            <w:vAlign w:val="top"/>
          </w:tcPr>
          <w:p w14:paraId="7D412F83">
            <w:pPr>
              <w:spacing w:line="360" w:lineRule="auto"/>
              <w:jc w:val="center"/>
              <w:rPr>
                <w:rFonts w:hint="eastAsia" w:ascii="新宋体" w:hAnsi="新宋体" w:eastAsia="新宋体" w:cs="新宋体"/>
                <w:color w:val="auto"/>
                <w:sz w:val="24"/>
                <w:szCs w:val="24"/>
                <w:highlight w:val="none"/>
              </w:rPr>
            </w:pPr>
          </w:p>
        </w:tc>
        <w:tc>
          <w:tcPr>
            <w:tcW w:w="5676" w:type="dxa"/>
            <w:noWrap w:val="0"/>
            <w:vAlign w:val="top"/>
          </w:tcPr>
          <w:p w14:paraId="0E6EA4E9">
            <w:pPr>
              <w:spacing w:line="360" w:lineRule="auto"/>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运维人员未上岗或脱岗时间超 过两小时，每一人次扣2分</w:t>
            </w:r>
          </w:p>
        </w:tc>
        <w:tc>
          <w:tcPr>
            <w:tcW w:w="884" w:type="dxa"/>
            <w:noWrap w:val="0"/>
            <w:vAlign w:val="top"/>
          </w:tcPr>
          <w:p w14:paraId="1DF534F8">
            <w:pPr>
              <w:pStyle w:val="340"/>
              <w:spacing w:line="352" w:lineRule="auto"/>
            </w:pPr>
          </w:p>
          <w:p w14:paraId="654C52D7">
            <w:pPr>
              <w:spacing w:before="91" w:line="183" w:lineRule="auto"/>
              <w:ind w:left="276" w:leftChars="0"/>
              <w:rPr>
                <w:rFonts w:hint="eastAsia" w:ascii="新宋体" w:hAnsi="新宋体" w:eastAsia="新宋体" w:cs="新宋体"/>
                <w:color w:val="auto"/>
                <w:sz w:val="24"/>
                <w:szCs w:val="24"/>
                <w:highlight w:val="none"/>
              </w:rPr>
            </w:pPr>
            <w:r>
              <w:rPr>
                <w:rFonts w:hint="eastAsia" w:ascii="宋体" w:hAnsi="宋体" w:cs="宋体"/>
                <w:sz w:val="28"/>
                <w:szCs w:val="28"/>
                <w:lang w:val="en-US" w:eastAsia="zh-CN"/>
              </w:rPr>
              <w:t>4</w:t>
            </w:r>
          </w:p>
        </w:tc>
        <w:tc>
          <w:tcPr>
            <w:tcW w:w="816" w:type="dxa"/>
            <w:noWrap w:val="0"/>
            <w:vAlign w:val="top"/>
          </w:tcPr>
          <w:p w14:paraId="4E71ACD8">
            <w:pPr>
              <w:spacing w:line="360" w:lineRule="auto"/>
              <w:jc w:val="center"/>
              <w:rPr>
                <w:rFonts w:hint="eastAsia" w:ascii="新宋体" w:hAnsi="新宋体" w:eastAsia="新宋体" w:cs="新宋体"/>
                <w:color w:val="auto"/>
                <w:sz w:val="24"/>
                <w:szCs w:val="24"/>
                <w:highlight w:val="none"/>
              </w:rPr>
            </w:pPr>
          </w:p>
        </w:tc>
        <w:tc>
          <w:tcPr>
            <w:tcW w:w="1084" w:type="dxa"/>
            <w:vMerge w:val="continue"/>
            <w:noWrap w:val="0"/>
            <w:vAlign w:val="top"/>
          </w:tcPr>
          <w:p w14:paraId="44A74BC4">
            <w:pPr>
              <w:spacing w:line="360" w:lineRule="auto"/>
              <w:rPr>
                <w:rFonts w:hint="eastAsia" w:ascii="新宋体" w:hAnsi="新宋体" w:eastAsia="新宋体" w:cs="新宋体"/>
                <w:color w:val="auto"/>
                <w:sz w:val="24"/>
                <w:szCs w:val="24"/>
                <w:highlight w:val="none"/>
              </w:rPr>
            </w:pPr>
          </w:p>
        </w:tc>
      </w:tr>
      <w:tr w14:paraId="2DA7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0" w:type="dxa"/>
            <w:vMerge w:val="continue"/>
            <w:noWrap w:val="0"/>
            <w:vAlign w:val="top"/>
          </w:tcPr>
          <w:p w14:paraId="164798F1">
            <w:pPr>
              <w:spacing w:line="360" w:lineRule="auto"/>
              <w:jc w:val="center"/>
              <w:rPr>
                <w:rFonts w:hint="eastAsia" w:ascii="新宋体" w:hAnsi="新宋体" w:eastAsia="新宋体" w:cs="新宋体"/>
                <w:color w:val="auto"/>
                <w:sz w:val="24"/>
                <w:szCs w:val="24"/>
                <w:highlight w:val="none"/>
              </w:rPr>
            </w:pPr>
          </w:p>
        </w:tc>
        <w:tc>
          <w:tcPr>
            <w:tcW w:w="5676" w:type="dxa"/>
            <w:noWrap w:val="0"/>
            <w:vAlign w:val="top"/>
          </w:tcPr>
          <w:p w14:paraId="05B64745">
            <w:pPr>
              <w:spacing w:line="360" w:lineRule="auto"/>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运维人员电话无故关机、拨通 无应答半小时内未回复的，每 次扣3分</w:t>
            </w:r>
          </w:p>
        </w:tc>
        <w:tc>
          <w:tcPr>
            <w:tcW w:w="884" w:type="dxa"/>
            <w:noWrap w:val="0"/>
            <w:vAlign w:val="top"/>
          </w:tcPr>
          <w:p w14:paraId="27AD42B7">
            <w:pPr>
              <w:pStyle w:val="340"/>
              <w:spacing w:line="393" w:lineRule="auto"/>
            </w:pPr>
          </w:p>
          <w:p w14:paraId="22E77E0D">
            <w:pPr>
              <w:spacing w:before="91" w:line="183" w:lineRule="auto"/>
              <w:ind w:left="276" w:leftChars="0"/>
              <w:rPr>
                <w:rFonts w:hint="eastAsia" w:ascii="新宋体" w:hAnsi="新宋体" w:eastAsia="新宋体" w:cs="新宋体"/>
                <w:color w:val="auto"/>
                <w:sz w:val="24"/>
                <w:szCs w:val="24"/>
                <w:highlight w:val="none"/>
              </w:rPr>
            </w:pPr>
            <w:r>
              <w:rPr>
                <w:rFonts w:hint="eastAsia" w:ascii="宋体" w:hAnsi="宋体" w:cs="宋体"/>
                <w:sz w:val="28"/>
                <w:szCs w:val="28"/>
                <w:lang w:val="en-US" w:eastAsia="zh-CN"/>
              </w:rPr>
              <w:t>6</w:t>
            </w:r>
          </w:p>
        </w:tc>
        <w:tc>
          <w:tcPr>
            <w:tcW w:w="816" w:type="dxa"/>
            <w:noWrap w:val="0"/>
            <w:vAlign w:val="top"/>
          </w:tcPr>
          <w:p w14:paraId="6173328C">
            <w:pPr>
              <w:spacing w:line="360" w:lineRule="auto"/>
              <w:jc w:val="center"/>
              <w:rPr>
                <w:rFonts w:hint="eastAsia" w:ascii="新宋体" w:hAnsi="新宋体" w:eastAsia="新宋体" w:cs="新宋体"/>
                <w:color w:val="auto"/>
                <w:sz w:val="24"/>
                <w:szCs w:val="24"/>
                <w:highlight w:val="none"/>
              </w:rPr>
            </w:pPr>
          </w:p>
        </w:tc>
        <w:tc>
          <w:tcPr>
            <w:tcW w:w="1084" w:type="dxa"/>
            <w:vMerge w:val="continue"/>
            <w:noWrap w:val="0"/>
            <w:vAlign w:val="top"/>
          </w:tcPr>
          <w:p w14:paraId="195E8D40">
            <w:pPr>
              <w:spacing w:line="360" w:lineRule="auto"/>
              <w:rPr>
                <w:rFonts w:hint="eastAsia" w:ascii="新宋体" w:hAnsi="新宋体" w:eastAsia="新宋体" w:cs="新宋体"/>
                <w:color w:val="auto"/>
                <w:sz w:val="24"/>
                <w:szCs w:val="24"/>
                <w:highlight w:val="none"/>
              </w:rPr>
            </w:pPr>
          </w:p>
        </w:tc>
      </w:tr>
      <w:tr w14:paraId="1904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20" w:type="dxa"/>
            <w:vMerge w:val="restart"/>
            <w:noWrap w:val="0"/>
            <w:vAlign w:val="top"/>
          </w:tcPr>
          <w:p w14:paraId="5287B74B">
            <w:pPr>
              <w:spacing w:line="360" w:lineRule="auto"/>
              <w:jc w:val="center"/>
              <w:rPr>
                <w:rFonts w:hint="eastAsia" w:ascii="新宋体" w:hAnsi="新宋体" w:eastAsia="新宋体" w:cs="新宋体"/>
                <w:color w:val="auto"/>
                <w:sz w:val="24"/>
                <w:szCs w:val="24"/>
                <w:highlight w:val="none"/>
              </w:rPr>
            </w:pPr>
          </w:p>
          <w:p w14:paraId="7B0E6FDD">
            <w:pPr>
              <w:spacing w:line="360" w:lineRule="auto"/>
              <w:jc w:val="center"/>
              <w:rPr>
                <w:rFonts w:hint="eastAsia" w:ascii="新宋体" w:hAnsi="新宋体" w:eastAsia="新宋体" w:cs="新宋体"/>
                <w:color w:val="auto"/>
                <w:sz w:val="24"/>
                <w:szCs w:val="24"/>
                <w:highlight w:val="none"/>
              </w:rPr>
            </w:pPr>
          </w:p>
          <w:p w14:paraId="11EA6849">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工作效率</w:t>
            </w:r>
          </w:p>
        </w:tc>
        <w:tc>
          <w:tcPr>
            <w:tcW w:w="5676" w:type="dxa"/>
            <w:noWrap w:val="0"/>
            <w:vAlign w:val="top"/>
          </w:tcPr>
          <w:p w14:paraId="1B0D0344">
            <w:pPr>
              <w:spacing w:line="360" w:lineRule="auto"/>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运维人员接到需运维问题电话后，未按规定时间到达现场 且未向需运维方沟通的，每次扣3分</w:t>
            </w:r>
          </w:p>
        </w:tc>
        <w:tc>
          <w:tcPr>
            <w:tcW w:w="884" w:type="dxa"/>
            <w:noWrap w:val="0"/>
            <w:vAlign w:val="top"/>
          </w:tcPr>
          <w:p w14:paraId="6B579C09">
            <w:pPr>
              <w:pStyle w:val="340"/>
              <w:spacing w:line="286" w:lineRule="auto"/>
            </w:pPr>
          </w:p>
          <w:p w14:paraId="4BEB01DD">
            <w:pPr>
              <w:pStyle w:val="340"/>
              <w:spacing w:line="287" w:lineRule="auto"/>
            </w:pPr>
          </w:p>
          <w:p w14:paraId="734C3910">
            <w:pPr>
              <w:spacing w:before="91" w:line="183" w:lineRule="auto"/>
              <w:ind w:left="276" w:leftChars="0"/>
              <w:rPr>
                <w:rFonts w:hint="eastAsia" w:ascii="新宋体" w:hAnsi="新宋体" w:eastAsia="新宋体" w:cs="新宋体"/>
                <w:color w:val="auto"/>
                <w:sz w:val="24"/>
                <w:szCs w:val="24"/>
                <w:highlight w:val="none"/>
              </w:rPr>
            </w:pPr>
            <w:r>
              <w:rPr>
                <w:rFonts w:hint="eastAsia" w:ascii="宋体" w:hAnsi="宋体" w:cs="宋体"/>
                <w:sz w:val="28"/>
                <w:szCs w:val="28"/>
                <w:lang w:val="en-US" w:eastAsia="zh-CN"/>
              </w:rPr>
              <w:t>6</w:t>
            </w:r>
          </w:p>
        </w:tc>
        <w:tc>
          <w:tcPr>
            <w:tcW w:w="816" w:type="dxa"/>
            <w:noWrap w:val="0"/>
            <w:vAlign w:val="top"/>
          </w:tcPr>
          <w:p w14:paraId="1A02C359">
            <w:pPr>
              <w:spacing w:line="360" w:lineRule="auto"/>
              <w:jc w:val="center"/>
              <w:rPr>
                <w:rFonts w:hint="eastAsia" w:ascii="新宋体" w:hAnsi="新宋体" w:eastAsia="新宋体" w:cs="新宋体"/>
                <w:color w:val="auto"/>
                <w:sz w:val="24"/>
                <w:szCs w:val="24"/>
                <w:highlight w:val="none"/>
              </w:rPr>
            </w:pPr>
          </w:p>
        </w:tc>
        <w:tc>
          <w:tcPr>
            <w:tcW w:w="1084" w:type="dxa"/>
            <w:vMerge w:val="restart"/>
            <w:noWrap w:val="0"/>
            <w:vAlign w:val="top"/>
          </w:tcPr>
          <w:p w14:paraId="11299572">
            <w:pPr>
              <w:spacing w:line="360" w:lineRule="auto"/>
              <w:rPr>
                <w:rFonts w:hint="eastAsia" w:ascii="新宋体" w:hAnsi="新宋体" w:eastAsia="新宋体" w:cs="新宋体"/>
                <w:color w:val="auto"/>
                <w:sz w:val="24"/>
                <w:szCs w:val="24"/>
                <w:highlight w:val="none"/>
              </w:rPr>
            </w:pPr>
          </w:p>
        </w:tc>
      </w:tr>
      <w:tr w14:paraId="5769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vMerge w:val="continue"/>
            <w:noWrap w:val="0"/>
            <w:vAlign w:val="top"/>
          </w:tcPr>
          <w:p w14:paraId="1941DAF8">
            <w:pPr>
              <w:spacing w:line="360" w:lineRule="auto"/>
              <w:jc w:val="center"/>
              <w:rPr>
                <w:rFonts w:hint="eastAsia" w:ascii="新宋体" w:hAnsi="新宋体" w:eastAsia="新宋体" w:cs="新宋体"/>
                <w:color w:val="auto"/>
                <w:sz w:val="24"/>
                <w:szCs w:val="24"/>
                <w:highlight w:val="none"/>
              </w:rPr>
            </w:pPr>
          </w:p>
        </w:tc>
        <w:tc>
          <w:tcPr>
            <w:tcW w:w="5676" w:type="dxa"/>
            <w:noWrap w:val="0"/>
            <w:vAlign w:val="top"/>
          </w:tcPr>
          <w:p w14:paraId="736A0CD4">
            <w:pPr>
              <w:spacing w:line="360" w:lineRule="auto"/>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经核实，被有效投诉和上级</w:t>
            </w:r>
            <w:r>
              <w:rPr>
                <w:rFonts w:hint="eastAsia" w:ascii="新宋体" w:hAnsi="新宋体" w:eastAsia="新宋体" w:cs="新宋体"/>
                <w:color w:val="auto"/>
                <w:sz w:val="24"/>
                <w:szCs w:val="24"/>
                <w:highlight w:val="none"/>
                <w:lang w:eastAsia="zh-CN"/>
              </w:rPr>
              <w:t>督查督办</w:t>
            </w:r>
            <w:r>
              <w:rPr>
                <w:rFonts w:hint="eastAsia" w:ascii="新宋体" w:hAnsi="新宋体" w:eastAsia="新宋体" w:cs="新宋体"/>
                <w:color w:val="auto"/>
                <w:sz w:val="24"/>
                <w:szCs w:val="24"/>
                <w:highlight w:val="none"/>
              </w:rPr>
              <w:t>问题的，一个扣2分 (街道级)、3分(区级)、5分(市级)、10分(省级)</w:t>
            </w:r>
          </w:p>
        </w:tc>
        <w:tc>
          <w:tcPr>
            <w:tcW w:w="884" w:type="dxa"/>
            <w:noWrap w:val="0"/>
            <w:vAlign w:val="top"/>
          </w:tcPr>
          <w:p w14:paraId="6EC5C2B0">
            <w:pPr>
              <w:pStyle w:val="340"/>
              <w:spacing w:line="291" w:lineRule="auto"/>
            </w:pPr>
          </w:p>
          <w:p w14:paraId="30A1670F">
            <w:pPr>
              <w:pStyle w:val="340"/>
              <w:spacing w:line="291" w:lineRule="auto"/>
            </w:pPr>
          </w:p>
          <w:p w14:paraId="7846057F">
            <w:pPr>
              <w:spacing w:before="91" w:line="184" w:lineRule="auto"/>
              <w:ind w:left="205" w:leftChars="0"/>
              <w:rPr>
                <w:rFonts w:hint="eastAsia" w:ascii="新宋体" w:hAnsi="新宋体" w:eastAsia="新宋体" w:cs="新宋体"/>
                <w:color w:val="auto"/>
                <w:sz w:val="24"/>
                <w:szCs w:val="24"/>
                <w:highlight w:val="none"/>
              </w:rPr>
            </w:pPr>
            <w:r>
              <w:rPr>
                <w:rFonts w:ascii="宋体" w:hAnsi="宋体" w:eastAsia="宋体" w:cs="宋体"/>
                <w:spacing w:val="-8"/>
                <w:sz w:val="28"/>
                <w:szCs w:val="28"/>
              </w:rPr>
              <w:t>10</w:t>
            </w:r>
          </w:p>
        </w:tc>
        <w:tc>
          <w:tcPr>
            <w:tcW w:w="816" w:type="dxa"/>
            <w:noWrap w:val="0"/>
            <w:vAlign w:val="top"/>
          </w:tcPr>
          <w:p w14:paraId="6ECFCD89">
            <w:pPr>
              <w:spacing w:line="360" w:lineRule="auto"/>
              <w:jc w:val="center"/>
              <w:rPr>
                <w:rFonts w:hint="eastAsia" w:ascii="新宋体" w:hAnsi="新宋体" w:eastAsia="新宋体" w:cs="新宋体"/>
                <w:color w:val="auto"/>
                <w:sz w:val="24"/>
                <w:szCs w:val="24"/>
                <w:highlight w:val="none"/>
              </w:rPr>
            </w:pPr>
          </w:p>
        </w:tc>
        <w:tc>
          <w:tcPr>
            <w:tcW w:w="1084" w:type="dxa"/>
            <w:vMerge w:val="continue"/>
            <w:noWrap w:val="0"/>
            <w:vAlign w:val="top"/>
          </w:tcPr>
          <w:p w14:paraId="401C210A">
            <w:pPr>
              <w:spacing w:line="360" w:lineRule="auto"/>
              <w:rPr>
                <w:rFonts w:hint="eastAsia" w:ascii="新宋体" w:hAnsi="新宋体" w:eastAsia="新宋体" w:cs="新宋体"/>
                <w:color w:val="auto"/>
                <w:sz w:val="24"/>
                <w:szCs w:val="24"/>
                <w:highlight w:val="none"/>
              </w:rPr>
            </w:pPr>
          </w:p>
        </w:tc>
      </w:tr>
      <w:tr w14:paraId="4926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20" w:type="dxa"/>
            <w:vMerge w:val="restart"/>
            <w:noWrap w:val="0"/>
            <w:vAlign w:val="top"/>
          </w:tcPr>
          <w:p w14:paraId="173A0786">
            <w:pPr>
              <w:spacing w:line="360" w:lineRule="auto"/>
              <w:jc w:val="center"/>
              <w:rPr>
                <w:rFonts w:hint="eastAsia" w:ascii="新宋体" w:hAnsi="新宋体" w:eastAsia="新宋体" w:cs="新宋体"/>
                <w:color w:val="auto"/>
                <w:sz w:val="24"/>
                <w:szCs w:val="24"/>
                <w:highlight w:val="none"/>
              </w:rPr>
            </w:pPr>
          </w:p>
          <w:p w14:paraId="172CF3F8">
            <w:pPr>
              <w:spacing w:line="360" w:lineRule="auto"/>
              <w:jc w:val="center"/>
              <w:rPr>
                <w:rFonts w:hint="eastAsia" w:ascii="新宋体" w:hAnsi="新宋体" w:eastAsia="新宋体" w:cs="新宋体"/>
                <w:color w:val="auto"/>
                <w:sz w:val="24"/>
                <w:szCs w:val="24"/>
                <w:highlight w:val="none"/>
              </w:rPr>
            </w:pPr>
          </w:p>
          <w:p w14:paraId="2698F39A">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工作内容</w:t>
            </w:r>
          </w:p>
        </w:tc>
        <w:tc>
          <w:tcPr>
            <w:tcW w:w="5676" w:type="dxa"/>
            <w:noWrap w:val="0"/>
            <w:vAlign w:val="top"/>
          </w:tcPr>
          <w:p w14:paraId="0550F7AD">
            <w:pPr>
              <w:spacing w:line="360" w:lineRule="auto"/>
              <w:jc w:val="left"/>
              <w:rPr>
                <w:rFonts w:hint="default" w:ascii="新宋体" w:hAnsi="新宋体" w:eastAsia="新宋体" w:cs="新宋体"/>
                <w:color w:val="auto"/>
                <w:sz w:val="24"/>
                <w:szCs w:val="24"/>
                <w:highlight w:val="none"/>
                <w:lang w:val="en-US"/>
              </w:rPr>
            </w:pPr>
            <w:r>
              <w:rPr>
                <w:rFonts w:hint="eastAsia" w:ascii="新宋体" w:hAnsi="新宋体" w:eastAsia="新宋体" w:cs="新宋体"/>
                <w:color w:val="auto"/>
                <w:sz w:val="24"/>
                <w:szCs w:val="24"/>
                <w:highlight w:val="none"/>
              </w:rPr>
              <w:t>浮床、水生植物</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曝气、喷泉装置等出现问题自收到甲方问题报告之后起七日内未整改或未整改到位的， 每处问题扣3分</w:t>
            </w:r>
          </w:p>
        </w:tc>
        <w:tc>
          <w:tcPr>
            <w:tcW w:w="884" w:type="dxa"/>
            <w:noWrap w:val="0"/>
            <w:vAlign w:val="top"/>
          </w:tcPr>
          <w:p w14:paraId="1680B1E3">
            <w:pPr>
              <w:pStyle w:val="340"/>
              <w:spacing w:line="288" w:lineRule="auto"/>
            </w:pPr>
          </w:p>
          <w:p w14:paraId="5B8FFBC5">
            <w:pPr>
              <w:spacing w:before="91" w:line="183" w:lineRule="auto"/>
              <w:ind w:left="205" w:leftChars="0"/>
              <w:rPr>
                <w:rFonts w:hint="eastAsia" w:ascii="新宋体" w:hAnsi="新宋体" w:eastAsia="新宋体" w:cs="新宋体"/>
                <w:color w:val="auto"/>
                <w:sz w:val="24"/>
                <w:szCs w:val="24"/>
                <w:highlight w:val="none"/>
              </w:rPr>
            </w:pPr>
            <w:r>
              <w:rPr>
                <w:rFonts w:ascii="宋体" w:hAnsi="宋体" w:eastAsia="宋体" w:cs="宋体"/>
                <w:spacing w:val="-4"/>
                <w:sz w:val="28"/>
                <w:szCs w:val="28"/>
              </w:rPr>
              <w:t>20</w:t>
            </w:r>
          </w:p>
        </w:tc>
        <w:tc>
          <w:tcPr>
            <w:tcW w:w="816" w:type="dxa"/>
            <w:noWrap w:val="0"/>
            <w:vAlign w:val="top"/>
          </w:tcPr>
          <w:p w14:paraId="4ABF7487">
            <w:pPr>
              <w:spacing w:line="360" w:lineRule="auto"/>
              <w:rPr>
                <w:rFonts w:hint="eastAsia" w:ascii="新宋体" w:hAnsi="新宋体" w:eastAsia="新宋体" w:cs="新宋体"/>
                <w:color w:val="auto"/>
                <w:sz w:val="24"/>
                <w:szCs w:val="24"/>
                <w:highlight w:val="none"/>
              </w:rPr>
            </w:pPr>
          </w:p>
        </w:tc>
        <w:tc>
          <w:tcPr>
            <w:tcW w:w="1084" w:type="dxa"/>
            <w:vMerge w:val="restart"/>
            <w:noWrap w:val="0"/>
            <w:vAlign w:val="top"/>
          </w:tcPr>
          <w:p w14:paraId="7F63CB8C">
            <w:pPr>
              <w:spacing w:line="360" w:lineRule="auto"/>
              <w:rPr>
                <w:rFonts w:hint="eastAsia" w:ascii="新宋体" w:hAnsi="新宋体" w:eastAsia="新宋体" w:cs="新宋体"/>
                <w:color w:val="auto"/>
                <w:sz w:val="24"/>
                <w:szCs w:val="24"/>
                <w:highlight w:val="none"/>
              </w:rPr>
            </w:pPr>
          </w:p>
        </w:tc>
      </w:tr>
      <w:tr w14:paraId="618C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vMerge w:val="continue"/>
            <w:noWrap w:val="0"/>
            <w:vAlign w:val="top"/>
          </w:tcPr>
          <w:p w14:paraId="4B1319D5">
            <w:pPr>
              <w:spacing w:line="360" w:lineRule="auto"/>
              <w:jc w:val="center"/>
              <w:rPr>
                <w:rFonts w:hint="eastAsia" w:ascii="新宋体" w:hAnsi="新宋体" w:eastAsia="新宋体" w:cs="新宋体"/>
                <w:color w:val="auto"/>
                <w:sz w:val="24"/>
                <w:szCs w:val="24"/>
                <w:highlight w:val="none"/>
              </w:rPr>
            </w:pPr>
          </w:p>
        </w:tc>
        <w:tc>
          <w:tcPr>
            <w:tcW w:w="5676" w:type="dxa"/>
            <w:noWrap w:val="0"/>
            <w:vAlign w:val="top"/>
          </w:tcPr>
          <w:p w14:paraId="4E42E745">
            <w:pPr>
              <w:spacing w:line="360" w:lineRule="auto"/>
              <w:jc w:val="left"/>
              <w:rPr>
                <w:rFonts w:hint="eastAsia" w:ascii="新宋体" w:hAnsi="新宋体" w:eastAsia="新宋体" w:cs="新宋体"/>
                <w:color w:val="auto"/>
                <w:sz w:val="24"/>
                <w:szCs w:val="24"/>
                <w:highlight w:val="none"/>
              </w:rPr>
            </w:pPr>
            <w:r>
              <w:rPr>
                <w:rFonts w:hint="eastAsia" w:ascii="宋体" w:hAnsi="宋体" w:cs="宋体"/>
                <w:sz w:val="24"/>
                <w:szCs w:val="24"/>
                <w:lang w:eastAsia="zh-CN"/>
              </w:rPr>
              <w:t>河道内水体出现</w:t>
            </w:r>
            <w:r>
              <w:rPr>
                <w:rFonts w:hint="eastAsia" w:ascii="宋体" w:hAnsi="宋体" w:cs="宋体"/>
                <w:sz w:val="24"/>
                <w:highlight w:val="none"/>
                <w:lang w:val="en-US" w:eastAsia="zh-CN"/>
              </w:rPr>
              <w:t>蓝藻及其他影响水质的情况，及时采取应急措施，未及时处置或处置不到位的，发现1次扣5分，未处置的1次扣10分，上级下发整改单后未及时处置扣5分，未处置或处置不到位的每次扣30分。</w:t>
            </w:r>
          </w:p>
        </w:tc>
        <w:tc>
          <w:tcPr>
            <w:tcW w:w="884" w:type="dxa"/>
            <w:noWrap w:val="0"/>
            <w:vAlign w:val="top"/>
          </w:tcPr>
          <w:p w14:paraId="109D6F57">
            <w:pPr>
              <w:pStyle w:val="340"/>
              <w:spacing w:line="289" w:lineRule="auto"/>
            </w:pPr>
          </w:p>
          <w:p w14:paraId="09C9DB11">
            <w:pPr>
              <w:spacing w:before="91" w:line="183" w:lineRule="auto"/>
              <w:ind w:left="205" w:leftChars="0"/>
              <w:rPr>
                <w:rFonts w:hint="default" w:ascii="新宋体" w:hAnsi="新宋体" w:eastAsia="新宋体" w:cs="新宋体"/>
                <w:color w:val="auto"/>
                <w:sz w:val="24"/>
                <w:szCs w:val="24"/>
                <w:highlight w:val="none"/>
                <w:lang w:val="en-US" w:eastAsia="zh-CN"/>
              </w:rPr>
            </w:pPr>
            <w:r>
              <w:rPr>
                <w:rFonts w:hint="eastAsia" w:ascii="宋体" w:hAnsi="宋体" w:cs="宋体"/>
                <w:spacing w:val="-4"/>
                <w:sz w:val="28"/>
                <w:szCs w:val="28"/>
                <w:lang w:val="en-US" w:eastAsia="zh-CN"/>
              </w:rPr>
              <w:t>30</w:t>
            </w:r>
          </w:p>
        </w:tc>
        <w:tc>
          <w:tcPr>
            <w:tcW w:w="816" w:type="dxa"/>
            <w:noWrap w:val="0"/>
            <w:vAlign w:val="top"/>
          </w:tcPr>
          <w:p w14:paraId="42818292">
            <w:pPr>
              <w:spacing w:line="360" w:lineRule="auto"/>
              <w:rPr>
                <w:rFonts w:hint="eastAsia" w:ascii="新宋体" w:hAnsi="新宋体" w:eastAsia="新宋体" w:cs="新宋体"/>
                <w:color w:val="auto"/>
                <w:sz w:val="24"/>
                <w:szCs w:val="24"/>
                <w:highlight w:val="none"/>
              </w:rPr>
            </w:pPr>
          </w:p>
        </w:tc>
        <w:tc>
          <w:tcPr>
            <w:tcW w:w="1084" w:type="dxa"/>
            <w:vMerge w:val="continue"/>
            <w:noWrap w:val="0"/>
            <w:vAlign w:val="top"/>
          </w:tcPr>
          <w:p w14:paraId="0C08ED8E">
            <w:pPr>
              <w:spacing w:line="360" w:lineRule="auto"/>
              <w:rPr>
                <w:rFonts w:hint="eastAsia" w:ascii="新宋体" w:hAnsi="新宋体" w:eastAsia="新宋体" w:cs="新宋体"/>
                <w:color w:val="auto"/>
                <w:sz w:val="24"/>
                <w:szCs w:val="24"/>
                <w:highlight w:val="none"/>
              </w:rPr>
            </w:pPr>
          </w:p>
        </w:tc>
      </w:tr>
      <w:tr w14:paraId="7240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vMerge w:val="continue"/>
            <w:noWrap w:val="0"/>
            <w:vAlign w:val="top"/>
          </w:tcPr>
          <w:p w14:paraId="7A88DF52">
            <w:pPr>
              <w:spacing w:line="360" w:lineRule="auto"/>
              <w:jc w:val="center"/>
              <w:rPr>
                <w:rFonts w:hint="eastAsia" w:ascii="新宋体" w:hAnsi="新宋体" w:eastAsia="新宋体" w:cs="新宋体"/>
                <w:color w:val="auto"/>
                <w:sz w:val="24"/>
                <w:szCs w:val="24"/>
                <w:highlight w:val="none"/>
              </w:rPr>
            </w:pPr>
          </w:p>
        </w:tc>
        <w:tc>
          <w:tcPr>
            <w:tcW w:w="5676" w:type="dxa"/>
            <w:noWrap w:val="0"/>
            <w:vAlign w:val="top"/>
          </w:tcPr>
          <w:p w14:paraId="1A4E6490">
            <w:pPr>
              <w:spacing w:line="360" w:lineRule="auto"/>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定期运维、巡查记录不完整、 缺失的，每次扣2分</w:t>
            </w:r>
          </w:p>
        </w:tc>
        <w:tc>
          <w:tcPr>
            <w:tcW w:w="884" w:type="dxa"/>
            <w:noWrap w:val="0"/>
            <w:vAlign w:val="top"/>
          </w:tcPr>
          <w:p w14:paraId="175622D7">
            <w:pPr>
              <w:spacing w:before="91" w:line="184" w:lineRule="auto"/>
              <w:ind w:left="205" w:leftChars="0"/>
              <w:rPr>
                <w:rFonts w:hint="eastAsia" w:ascii="新宋体" w:hAnsi="新宋体" w:eastAsia="新宋体" w:cs="新宋体"/>
                <w:color w:val="auto"/>
                <w:sz w:val="24"/>
                <w:szCs w:val="24"/>
                <w:highlight w:val="none"/>
              </w:rPr>
            </w:pPr>
            <w:r>
              <w:rPr>
                <w:rFonts w:ascii="宋体" w:hAnsi="宋体" w:eastAsia="宋体" w:cs="宋体"/>
                <w:spacing w:val="-8"/>
                <w:sz w:val="28"/>
                <w:szCs w:val="28"/>
              </w:rPr>
              <w:t>10</w:t>
            </w:r>
          </w:p>
        </w:tc>
        <w:tc>
          <w:tcPr>
            <w:tcW w:w="816" w:type="dxa"/>
            <w:noWrap w:val="0"/>
            <w:vAlign w:val="top"/>
          </w:tcPr>
          <w:p w14:paraId="04B6054A">
            <w:pPr>
              <w:spacing w:line="360" w:lineRule="auto"/>
              <w:rPr>
                <w:rFonts w:hint="eastAsia" w:ascii="新宋体" w:hAnsi="新宋体" w:eastAsia="新宋体" w:cs="新宋体"/>
                <w:color w:val="auto"/>
                <w:sz w:val="24"/>
                <w:szCs w:val="24"/>
                <w:highlight w:val="none"/>
              </w:rPr>
            </w:pPr>
          </w:p>
        </w:tc>
        <w:tc>
          <w:tcPr>
            <w:tcW w:w="1084" w:type="dxa"/>
            <w:vMerge w:val="continue"/>
            <w:noWrap w:val="0"/>
            <w:vAlign w:val="top"/>
          </w:tcPr>
          <w:p w14:paraId="1656119D">
            <w:pPr>
              <w:spacing w:line="360" w:lineRule="auto"/>
              <w:rPr>
                <w:rFonts w:hint="eastAsia" w:ascii="新宋体" w:hAnsi="新宋体" w:eastAsia="新宋体" w:cs="新宋体"/>
                <w:color w:val="auto"/>
                <w:sz w:val="24"/>
                <w:szCs w:val="24"/>
                <w:highlight w:val="none"/>
              </w:rPr>
            </w:pPr>
          </w:p>
        </w:tc>
      </w:tr>
      <w:tr w14:paraId="4658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0" w:type="dxa"/>
            <w:noWrap w:val="0"/>
            <w:vAlign w:val="center"/>
          </w:tcPr>
          <w:p w14:paraId="23569052">
            <w:pPr>
              <w:spacing w:line="360" w:lineRule="auto"/>
              <w:jc w:val="left"/>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工作内容</w:t>
            </w:r>
          </w:p>
        </w:tc>
        <w:tc>
          <w:tcPr>
            <w:tcW w:w="5676" w:type="dxa"/>
            <w:noWrap w:val="0"/>
            <w:vAlign w:val="center"/>
          </w:tcPr>
          <w:p w14:paraId="4D6053FA">
            <w:pPr>
              <w:spacing w:line="360" w:lineRule="auto"/>
              <w:jc w:val="left"/>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当月出现劣V类水质河道扣10分，以区级</w:t>
            </w:r>
            <w:r>
              <w:rPr>
                <w:rFonts w:hint="eastAsia" w:ascii="新宋体" w:hAnsi="新宋体" w:eastAsia="新宋体" w:cs="新宋体"/>
                <w:color w:val="auto"/>
                <w:sz w:val="24"/>
                <w:szCs w:val="24"/>
                <w:highlight w:val="none"/>
                <w:lang w:eastAsia="zh-CN"/>
              </w:rPr>
              <w:t>及以上行业</w:t>
            </w:r>
            <w:r>
              <w:rPr>
                <w:rFonts w:hint="eastAsia" w:ascii="新宋体" w:hAnsi="新宋体" w:eastAsia="新宋体" w:cs="新宋体"/>
                <w:color w:val="auto"/>
                <w:sz w:val="24"/>
                <w:szCs w:val="24"/>
                <w:highlight w:val="none"/>
              </w:rPr>
              <w:t>主管 部门委托单位检测为准</w:t>
            </w:r>
          </w:p>
        </w:tc>
        <w:tc>
          <w:tcPr>
            <w:tcW w:w="884" w:type="dxa"/>
            <w:noWrap w:val="0"/>
            <w:vAlign w:val="center"/>
          </w:tcPr>
          <w:p w14:paraId="6E1ACE54">
            <w:pPr>
              <w:spacing w:before="91" w:line="184" w:lineRule="auto"/>
              <w:ind w:left="205" w:leftChars="0"/>
              <w:rPr>
                <w:rFonts w:hint="default" w:ascii="新宋体" w:hAnsi="新宋体" w:eastAsia="新宋体" w:cs="新宋体"/>
                <w:color w:val="auto"/>
                <w:sz w:val="24"/>
                <w:szCs w:val="24"/>
                <w:highlight w:val="none"/>
                <w:lang w:val="en-US" w:eastAsia="zh-CN"/>
              </w:rPr>
            </w:pPr>
            <w:r>
              <w:rPr>
                <w:rFonts w:hint="eastAsia" w:ascii="宋体" w:hAnsi="宋体" w:eastAsia="宋体" w:cs="宋体"/>
                <w:spacing w:val="-8"/>
                <w:sz w:val="28"/>
                <w:szCs w:val="28"/>
              </w:rPr>
              <w:t>10</w:t>
            </w:r>
          </w:p>
        </w:tc>
        <w:tc>
          <w:tcPr>
            <w:tcW w:w="816" w:type="dxa"/>
            <w:noWrap w:val="0"/>
            <w:vAlign w:val="top"/>
          </w:tcPr>
          <w:p w14:paraId="53FE51C9">
            <w:pPr>
              <w:spacing w:line="360" w:lineRule="auto"/>
              <w:rPr>
                <w:rFonts w:hint="eastAsia" w:ascii="新宋体" w:hAnsi="新宋体" w:eastAsia="新宋体" w:cs="新宋体"/>
                <w:color w:val="auto"/>
                <w:sz w:val="24"/>
                <w:szCs w:val="24"/>
                <w:highlight w:val="none"/>
              </w:rPr>
            </w:pPr>
          </w:p>
        </w:tc>
        <w:tc>
          <w:tcPr>
            <w:tcW w:w="1084" w:type="dxa"/>
            <w:noWrap w:val="0"/>
            <w:vAlign w:val="top"/>
          </w:tcPr>
          <w:p w14:paraId="04E70BBF">
            <w:pPr>
              <w:spacing w:line="360" w:lineRule="auto"/>
              <w:rPr>
                <w:rFonts w:hint="eastAsia" w:ascii="新宋体" w:hAnsi="新宋体" w:eastAsia="新宋体" w:cs="新宋体"/>
                <w:color w:val="auto"/>
                <w:sz w:val="24"/>
                <w:szCs w:val="24"/>
                <w:highlight w:val="none"/>
              </w:rPr>
            </w:pPr>
          </w:p>
        </w:tc>
      </w:tr>
      <w:tr w14:paraId="761F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20" w:type="dxa"/>
            <w:noWrap w:val="0"/>
            <w:vAlign w:val="top"/>
          </w:tcPr>
          <w:p w14:paraId="336A7288">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合计</w:t>
            </w:r>
          </w:p>
          <w:p w14:paraId="734B3B8E">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得分</w:t>
            </w:r>
          </w:p>
        </w:tc>
        <w:tc>
          <w:tcPr>
            <w:tcW w:w="5676" w:type="dxa"/>
            <w:noWrap w:val="0"/>
            <w:vAlign w:val="top"/>
          </w:tcPr>
          <w:p w14:paraId="0B233B3F">
            <w:pPr>
              <w:spacing w:line="360" w:lineRule="auto"/>
              <w:rPr>
                <w:rFonts w:hint="eastAsia" w:ascii="新宋体" w:hAnsi="新宋体" w:eastAsia="新宋体" w:cs="新宋体"/>
                <w:color w:val="auto"/>
                <w:sz w:val="24"/>
                <w:szCs w:val="24"/>
                <w:highlight w:val="none"/>
              </w:rPr>
            </w:pPr>
          </w:p>
        </w:tc>
        <w:tc>
          <w:tcPr>
            <w:tcW w:w="884" w:type="dxa"/>
            <w:noWrap w:val="0"/>
            <w:vAlign w:val="center"/>
          </w:tcPr>
          <w:p w14:paraId="15C10D6D">
            <w:pPr>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rPr>
              <w:t>分</w:t>
            </w:r>
          </w:p>
        </w:tc>
        <w:tc>
          <w:tcPr>
            <w:tcW w:w="816" w:type="dxa"/>
            <w:noWrap w:val="0"/>
            <w:vAlign w:val="top"/>
          </w:tcPr>
          <w:p w14:paraId="6462EF8B">
            <w:pPr>
              <w:spacing w:line="360" w:lineRule="auto"/>
              <w:rPr>
                <w:rFonts w:hint="eastAsia" w:ascii="新宋体" w:hAnsi="新宋体" w:eastAsia="新宋体" w:cs="新宋体"/>
                <w:color w:val="auto"/>
                <w:sz w:val="24"/>
                <w:szCs w:val="24"/>
                <w:highlight w:val="none"/>
              </w:rPr>
            </w:pPr>
          </w:p>
        </w:tc>
        <w:tc>
          <w:tcPr>
            <w:tcW w:w="1084" w:type="dxa"/>
            <w:noWrap w:val="0"/>
            <w:vAlign w:val="top"/>
          </w:tcPr>
          <w:p w14:paraId="117FBEC1">
            <w:pPr>
              <w:spacing w:line="360" w:lineRule="auto"/>
              <w:rPr>
                <w:rFonts w:hint="eastAsia" w:ascii="新宋体" w:hAnsi="新宋体" w:eastAsia="新宋体" w:cs="新宋体"/>
                <w:color w:val="auto"/>
                <w:sz w:val="24"/>
                <w:szCs w:val="24"/>
                <w:highlight w:val="none"/>
              </w:rPr>
            </w:pPr>
          </w:p>
        </w:tc>
      </w:tr>
    </w:tbl>
    <w:p w14:paraId="1E0E103D">
      <w:pPr>
        <w:spacing w:line="360" w:lineRule="auto"/>
        <w:ind w:firstLine="562" w:firstLineChars="200"/>
        <w:jc w:val="center"/>
        <w:rPr>
          <w:rFonts w:hint="eastAsia" w:ascii="宋体" w:hAnsi="宋体" w:eastAsia="宋体" w:cs="宋体"/>
          <w:b/>
          <w:color w:val="auto"/>
          <w:sz w:val="36"/>
          <w:szCs w:val="20"/>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color w:val="auto"/>
          <w:sz w:val="36"/>
          <w:szCs w:val="20"/>
          <w:highlight w:val="none"/>
        </w:rPr>
        <w:t>第六部分</w:t>
      </w:r>
      <w:bookmarkEnd w:id="395"/>
      <w:r>
        <w:rPr>
          <w:rFonts w:hint="eastAsia" w:ascii="宋体" w:hAnsi="宋体" w:eastAsia="宋体" w:cs="宋体"/>
          <w:b/>
          <w:color w:val="auto"/>
          <w:sz w:val="36"/>
          <w:szCs w:val="20"/>
          <w:highlight w:val="none"/>
        </w:rPr>
        <w:t xml:space="preserve"> </w:t>
      </w:r>
      <w:bookmarkEnd w:id="396"/>
      <w:r>
        <w:rPr>
          <w:rFonts w:hint="eastAsia" w:ascii="宋体" w:hAnsi="宋体" w:eastAsia="宋体" w:cs="宋体"/>
          <w:b/>
          <w:color w:val="auto"/>
          <w:sz w:val="36"/>
          <w:szCs w:val="20"/>
          <w:highlight w:val="none"/>
        </w:rPr>
        <w:t>应提交的有关格式范例</w:t>
      </w:r>
    </w:p>
    <w:p w14:paraId="0FE2778B">
      <w:pPr>
        <w:spacing w:line="360" w:lineRule="auto"/>
        <w:jc w:val="center"/>
        <w:outlineLvl w:val="0"/>
        <w:rPr>
          <w:rFonts w:hint="eastAsia" w:ascii="宋体" w:hAnsi="宋体" w:eastAsia="宋体" w:cs="宋体"/>
          <w:b/>
          <w:color w:val="auto"/>
          <w:kern w:val="0"/>
          <w:sz w:val="36"/>
          <w:szCs w:val="36"/>
          <w:highlight w:val="none"/>
        </w:rPr>
      </w:pPr>
    </w:p>
    <w:p w14:paraId="29BEF2D1">
      <w:pPr>
        <w:spacing w:line="360" w:lineRule="auto"/>
        <w:jc w:val="center"/>
        <w:outlineLvl w:val="0"/>
        <w:rPr>
          <w:rFonts w:hint="eastAsia" w:ascii="宋体" w:hAnsi="宋体" w:eastAsia="宋体" w:cs="宋体"/>
          <w:b/>
          <w:color w:val="auto"/>
          <w:kern w:val="0"/>
          <w:sz w:val="36"/>
          <w:szCs w:val="36"/>
          <w:highlight w:val="none"/>
        </w:rPr>
      </w:pPr>
      <w:bookmarkStart w:id="416" w:name="_GoBack"/>
      <w:bookmarkEnd w:id="416"/>
      <w:r>
        <w:rPr>
          <w:rFonts w:hint="eastAsia" w:ascii="宋体" w:hAnsi="宋体" w:eastAsia="宋体" w:cs="宋体"/>
          <w:b/>
          <w:color w:val="auto"/>
          <w:kern w:val="0"/>
          <w:sz w:val="36"/>
          <w:szCs w:val="36"/>
          <w:highlight w:val="none"/>
        </w:rPr>
        <w:t>资格文件部分</w:t>
      </w:r>
    </w:p>
    <w:p w14:paraId="4B60334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E5225A7">
      <w:pPr>
        <w:spacing w:line="360" w:lineRule="auto"/>
        <w:jc w:val="center"/>
        <w:outlineLvl w:val="0"/>
        <w:rPr>
          <w:rFonts w:hint="eastAsia" w:ascii="宋体" w:hAnsi="宋体" w:eastAsia="宋体" w:cs="宋体"/>
          <w:b/>
          <w:color w:val="auto"/>
          <w:kern w:val="0"/>
          <w:sz w:val="36"/>
          <w:szCs w:val="36"/>
          <w:highlight w:val="none"/>
        </w:rPr>
      </w:pPr>
    </w:p>
    <w:p w14:paraId="56AE3FB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37A24EB4">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32A95AE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2C5303F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4787EC94">
      <w:pPr>
        <w:snapToGrid w:val="0"/>
        <w:spacing w:line="360" w:lineRule="auto"/>
        <w:ind w:firstLine="480" w:firstLineChars="200"/>
        <w:rPr>
          <w:rFonts w:hint="eastAsia" w:ascii="宋体" w:hAnsi="宋体" w:eastAsia="宋体" w:cs="宋体"/>
          <w:color w:val="auto"/>
          <w:sz w:val="24"/>
          <w:highlight w:val="none"/>
        </w:rPr>
      </w:pPr>
    </w:p>
    <w:p w14:paraId="47D33C7D">
      <w:pPr>
        <w:spacing w:line="360" w:lineRule="auto"/>
        <w:ind w:firstLine="480" w:firstLineChars="200"/>
        <w:rPr>
          <w:rFonts w:hint="eastAsia" w:ascii="宋体" w:hAnsi="宋体" w:eastAsia="宋体" w:cs="宋体"/>
          <w:color w:val="auto"/>
          <w:sz w:val="24"/>
          <w:highlight w:val="none"/>
        </w:rPr>
      </w:pPr>
    </w:p>
    <w:p w14:paraId="3CD504F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2A2D6A1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4A9CC7C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26E7702B">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78F528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4665C2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4770816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0AC92E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5F27C0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9D3ADE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569B4B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0E88B3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80F06D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61C28F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BF3E964">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0C54393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89B65C5">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082F64C">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05E3E18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4962DEF6">
      <w:pPr>
        <w:snapToGrid w:val="0"/>
        <w:spacing w:line="360" w:lineRule="auto"/>
        <w:ind w:right="480"/>
        <w:jc w:val="center"/>
        <w:rPr>
          <w:rFonts w:hint="eastAsia" w:ascii="宋体" w:hAnsi="宋体" w:eastAsia="宋体" w:cs="宋体"/>
          <w:b/>
          <w:color w:val="auto"/>
          <w:kern w:val="0"/>
          <w:sz w:val="32"/>
          <w:szCs w:val="32"/>
          <w:highlight w:val="none"/>
        </w:rPr>
      </w:pPr>
    </w:p>
    <w:p w14:paraId="5CDECEAB">
      <w:pPr>
        <w:snapToGrid w:val="0"/>
        <w:spacing w:line="360" w:lineRule="auto"/>
        <w:ind w:right="480"/>
        <w:jc w:val="center"/>
        <w:rPr>
          <w:rFonts w:hint="eastAsia" w:ascii="宋体" w:hAnsi="宋体" w:eastAsia="宋体" w:cs="宋体"/>
          <w:b/>
          <w:color w:val="auto"/>
          <w:kern w:val="0"/>
          <w:sz w:val="32"/>
          <w:szCs w:val="32"/>
          <w:highlight w:val="none"/>
        </w:rPr>
      </w:pPr>
    </w:p>
    <w:p w14:paraId="64E8FE15">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6267DC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44FC9C77">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w:t>
      </w:r>
      <w:r>
        <w:rPr>
          <w:rFonts w:hint="eastAsia" w:ascii="宋体" w:hAnsi="宋体" w:cs="宋体"/>
          <w:color w:val="auto"/>
          <w:sz w:val="24"/>
          <w:highlight w:val="none"/>
          <w14:ligatures w14:val="none"/>
        </w:rPr>
        <w:t>专门面向中小企业，服务全部由符合政策要求的中小企业（或小微企业）承接的，提供相应的中小企业声明函（附件</w:t>
      </w:r>
      <w:r>
        <w:rPr>
          <w:rFonts w:ascii="宋体" w:hAnsi="宋体" w:cs="宋体"/>
          <w:color w:val="auto"/>
          <w:sz w:val="24"/>
          <w:highlight w:val="none"/>
          <w14:ligatures w14:val="none"/>
        </w:rPr>
        <w:t>7</w:t>
      </w:r>
      <w:r>
        <w:rPr>
          <w:rFonts w:hint="eastAsia" w:ascii="宋体" w:hAnsi="宋体" w:cs="宋体"/>
          <w:color w:val="auto"/>
          <w:sz w:val="24"/>
          <w:highlight w:val="none"/>
          <w14:ligatures w14:val="none"/>
        </w:rPr>
        <w:t>）</w:t>
      </w:r>
      <w:r>
        <w:rPr>
          <w:rFonts w:hint="eastAsia" w:ascii="宋体" w:hAnsi="宋体" w:eastAsia="宋体" w:cs="宋体"/>
          <w:color w:val="auto"/>
          <w:sz w:val="24"/>
          <w:highlight w:val="none"/>
        </w:rPr>
        <w:t xml:space="preserve">。 </w:t>
      </w:r>
    </w:p>
    <w:p w14:paraId="1A08A9DA">
      <w:pPr>
        <w:shd w:val="clear" w:color="auto" w:fill="auto"/>
        <w:spacing w:line="360" w:lineRule="auto"/>
        <w:ind w:firstLine="482" w:firstLineChars="150"/>
        <w:jc w:val="center"/>
        <w:rPr>
          <w:rFonts w:hint="eastAsia" w:ascii="宋体" w:hAnsi="宋体" w:cs="宋体"/>
          <w:color w:val="auto"/>
          <w:sz w:val="24"/>
          <w:highlight w:val="none"/>
        </w:rPr>
      </w:pPr>
      <w:r>
        <w:rPr>
          <w:rFonts w:hint="eastAsia" w:ascii="宋体" w:hAnsi="宋体" w:eastAsia="宋体" w:cs="宋体"/>
          <w:b/>
          <w:color w:val="auto"/>
          <w:sz w:val="32"/>
          <w:szCs w:val="32"/>
          <w:highlight w:val="none"/>
        </w:rPr>
        <w:t>中小企业声明函（服务）</w:t>
      </w:r>
    </w:p>
    <w:p w14:paraId="30D245F6">
      <w:pPr>
        <w:shd w:val="clear" w:color="auto" w:fill="auto"/>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lang w:eastAsia="zh-CN"/>
        </w:rPr>
        <w:t>杭州市钱塘区人民政府前进街道办事处</w:t>
      </w:r>
      <w:r>
        <w:rPr>
          <w:rFonts w:hint="eastAsia" w:ascii="宋体" w:hAnsi="宋体" w:cs="宋体"/>
          <w:color w:val="auto"/>
          <w:sz w:val="24"/>
          <w:highlight w:val="none"/>
        </w:rPr>
        <w:t>（单位名称）的</w:t>
      </w:r>
      <w:r>
        <w:rPr>
          <w:rFonts w:hint="eastAsia" w:ascii="宋体" w:hAnsi="宋体" w:cs="宋体"/>
          <w:color w:val="auto"/>
          <w:sz w:val="24"/>
          <w:highlight w:val="none"/>
          <w:u w:val="single"/>
          <w:lang w:eastAsia="zh-CN"/>
        </w:rPr>
        <w:t>前进街道四工段横河等水环境治理服务项目</w:t>
      </w:r>
      <w:r>
        <w:rPr>
          <w:rFonts w:hint="eastAsia" w:ascii="宋体" w:hAnsi="宋体" w:cs="宋体"/>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33FAD20D">
      <w:pPr>
        <w:shd w:val="clear" w:color="auto" w:fill="auto"/>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lang w:eastAsia="zh-CN"/>
        </w:rPr>
        <w:t>前进街道四工段横河等水环境治理服务项目</w:t>
      </w:r>
      <w:r>
        <w:rPr>
          <w:rFonts w:hint="eastAsia" w:ascii="宋体" w:hAnsi="宋体" w:cs="宋体"/>
          <w:color w:val="auto"/>
          <w:sz w:val="24"/>
          <w:highlight w:val="none"/>
        </w:rPr>
        <w:t>，属于</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w:t>
      </w:r>
      <w:r>
        <w:rPr>
          <w:rFonts w:hint="eastAsia" w:ascii="宋体" w:hAnsi="宋体" w:cs="宋体"/>
          <w:i/>
          <w:color w:val="auto"/>
          <w:sz w:val="24"/>
          <w:highlight w:val="none"/>
          <w:u w:val="single"/>
        </w:rPr>
        <w:t>此处填写企业名称</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此处填写中型企业、小型企业、微型企业其中一个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A098FA">
      <w:pPr>
        <w:shd w:val="clear" w:color="auto" w:fill="auto"/>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此处填写标的名称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color w:val="auto"/>
          <w:sz w:val="24"/>
          <w:highlight w:val="none"/>
          <w:u w:val="single"/>
        </w:rPr>
        <w:t>此处填写采购文件中明确的所属行业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w:t>
      </w:r>
      <w:r>
        <w:rPr>
          <w:rFonts w:hint="eastAsia" w:ascii="宋体" w:hAnsi="宋体" w:cs="宋体"/>
          <w:i/>
          <w:color w:val="auto"/>
          <w:sz w:val="24"/>
          <w:highlight w:val="none"/>
          <w:u w:val="single"/>
        </w:rPr>
        <w:t>此处填写企业名称</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此处填写中型企业、小型企业、微型企业其中一个</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DC485E1">
      <w:pPr>
        <w:shd w:val="clear" w:color="auto" w:fill="auto"/>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060D143D">
      <w:pPr>
        <w:shd w:val="clear" w:color="auto" w:fill="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688D4C8">
      <w:pPr>
        <w:shd w:val="clear" w:color="auto" w:fill="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3A8AAC">
      <w:pPr>
        <w:shd w:val="clear" w:color="auto" w:fill="auto"/>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FE228B1">
      <w:pPr>
        <w:shd w:val="clear" w:color="auto" w:fill="auto"/>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  日</w:t>
      </w:r>
    </w:p>
    <w:p w14:paraId="02E23CDA">
      <w:pPr>
        <w:shd w:val="clear" w:color="auto" w:fill="auto"/>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从业人员、营业收入、资产总额填报上一年度数据，无上一年度数据的新成立企业可不填报。</w:t>
      </w:r>
    </w:p>
    <w:p w14:paraId="11BB0E10">
      <w:pPr>
        <w:spacing w:line="360" w:lineRule="auto"/>
        <w:ind w:right="420" w:firstLine="480" w:firstLineChars="200"/>
        <w:rPr>
          <w:rFonts w:hint="eastAsia" w:ascii="宋体" w:hAnsi="宋体" w:cs="宋体"/>
          <w:color w:val="FF0000"/>
          <w:sz w:val="24"/>
          <w:highlight w:val="none"/>
        </w:rPr>
      </w:pPr>
      <w:r>
        <w:rPr>
          <w:rFonts w:hint="eastAsia" w:ascii="宋体" w:hAnsi="宋体" w:cs="宋体"/>
          <w:color w:val="auto"/>
          <w:sz w:val="24"/>
          <w:highlight w:val="none"/>
        </w:rPr>
        <w:t xml:space="preserve">   注</w:t>
      </w:r>
      <w:r>
        <w:rPr>
          <w:rFonts w:hint="eastAsia" w:ascii="宋体" w:hAnsi="宋体" w:cs="宋体"/>
          <w:color w:val="FF0000"/>
          <w:sz w:val="24"/>
          <w:highlight w:val="none"/>
        </w:rPr>
        <w:t>：1、《中小企业声明函》填写要求及规定：</w:t>
      </w:r>
    </w:p>
    <w:p w14:paraId="3D1EE90C">
      <w:pPr>
        <w:spacing w:line="360" w:lineRule="auto"/>
        <w:ind w:right="420" w:firstLine="480" w:firstLineChars="200"/>
        <w:rPr>
          <w:rFonts w:hint="eastAsia" w:ascii="宋体" w:hAnsi="宋体" w:cs="宋体"/>
          <w:color w:val="FF0000"/>
          <w:sz w:val="24"/>
          <w:highlight w:val="none"/>
        </w:rPr>
      </w:pPr>
      <w:r>
        <w:rPr>
          <w:rFonts w:hint="eastAsia" w:ascii="宋体" w:hAnsi="宋体" w:cs="宋体"/>
          <w:color w:val="FF0000"/>
          <w:sz w:val="24"/>
          <w:highlight w:val="none"/>
        </w:rPr>
        <w:t>（1）“标的名称”、“采购文件中明确的所属行业”依据招标文件第二部分供应商须知前附表中“采购标的及其对应的中小企业划分标准所属行业”逐一填写，不得缺漏。</w:t>
      </w:r>
    </w:p>
    <w:p w14:paraId="69F126B2">
      <w:pPr>
        <w:spacing w:line="360" w:lineRule="auto"/>
        <w:ind w:right="420" w:firstLine="480" w:firstLineChars="200"/>
        <w:rPr>
          <w:rFonts w:hint="eastAsia" w:ascii="宋体" w:hAnsi="宋体" w:cs="宋体"/>
          <w:color w:val="FF0000"/>
          <w:sz w:val="24"/>
          <w:highlight w:val="none"/>
          <w:u w:val="single"/>
        </w:rPr>
      </w:pPr>
      <w:r>
        <w:rPr>
          <w:rFonts w:hint="eastAsia" w:ascii="宋体" w:hAnsi="宋体" w:cs="宋体"/>
          <w:color w:val="FF0000"/>
          <w:sz w:val="24"/>
          <w:highlight w:val="none"/>
          <w:u w:val="single"/>
        </w:rPr>
        <w:t>投标人的《中小企业声明函》未包括全部采购标的，未填写“所属行业”，或者填写的“所属行业”与采购文件中明确的所属行业不一致的，《中小企业声明函》均无效。</w:t>
      </w:r>
    </w:p>
    <w:p w14:paraId="786EDD73">
      <w:pPr>
        <w:spacing w:line="360" w:lineRule="auto"/>
        <w:ind w:right="420" w:firstLine="480" w:firstLineChars="200"/>
        <w:rPr>
          <w:rFonts w:hint="eastAsia" w:ascii="宋体" w:hAnsi="宋体" w:cs="宋体"/>
          <w:color w:val="FF0000"/>
          <w:sz w:val="24"/>
          <w:highlight w:val="none"/>
        </w:rPr>
      </w:pPr>
      <w:r>
        <w:rPr>
          <w:rFonts w:hint="eastAsia" w:ascii="宋体" w:hAnsi="宋体" w:cs="宋体"/>
          <w:color w:val="FF0000"/>
          <w:sz w:val="24"/>
          <w:highlight w:val="none"/>
        </w:rPr>
        <w:t>（2）“从业人员、营业收入、资产总额”等3项数据依据上一年度的数据进行填写。</w:t>
      </w:r>
    </w:p>
    <w:p w14:paraId="0D5D3FD5">
      <w:pPr>
        <w:spacing w:line="360" w:lineRule="auto"/>
        <w:ind w:right="420" w:firstLine="480" w:firstLineChars="200"/>
        <w:rPr>
          <w:rFonts w:hint="eastAsia" w:ascii="宋体" w:hAnsi="宋体" w:cs="宋体"/>
          <w:color w:val="FF0000"/>
          <w:sz w:val="24"/>
          <w:highlight w:val="none"/>
          <w:u w:val="single"/>
        </w:rPr>
      </w:pPr>
      <w:r>
        <w:rPr>
          <w:rFonts w:hint="eastAsia" w:ascii="宋体" w:hAnsi="宋体" w:cs="宋体"/>
          <w:color w:val="FF0000"/>
          <w:sz w:val="24"/>
          <w:highlight w:val="none"/>
          <w:u w:val="single"/>
        </w:rPr>
        <w:t>本年度新成立企业，无上一年度数据的，可以不填写“从业人员、营业收入、资产总额”等3项数据，但仍应对“企业类型”和“与大企业的负责人是否为同一人，或者与大企业是否存在直接控股、管理关系”进行声明，否则《中小企业声明函》无效。</w:t>
      </w:r>
    </w:p>
    <w:p w14:paraId="5527A04D">
      <w:pPr>
        <w:spacing w:line="360" w:lineRule="auto"/>
        <w:ind w:right="420" w:firstLine="480" w:firstLineChars="200"/>
        <w:rPr>
          <w:rFonts w:hint="eastAsia" w:ascii="宋体" w:hAnsi="宋体" w:cs="宋体"/>
          <w:color w:val="FF0000"/>
          <w:sz w:val="24"/>
          <w:highlight w:val="none"/>
        </w:rPr>
      </w:pPr>
      <w:r>
        <w:rPr>
          <w:rFonts w:hint="eastAsia" w:ascii="宋体" w:hAnsi="宋体" w:cs="宋体"/>
          <w:color w:val="FF0000"/>
          <w:sz w:val="24"/>
          <w:highlight w:val="none"/>
        </w:rPr>
        <w:t>（3）“企业类型”（包括“中型企业”、“小型企业”及“微型企业”三类）依据《中小企业划型标准规定》（工信部联企业〔2011〕300号），结合以上数据，进行确定并填写。</w:t>
      </w:r>
    </w:p>
    <w:p w14:paraId="283DB6DB">
      <w:pPr>
        <w:spacing w:line="360" w:lineRule="auto"/>
        <w:ind w:right="420" w:firstLine="480" w:firstLineChars="200"/>
        <w:rPr>
          <w:rFonts w:hint="eastAsia" w:ascii="宋体" w:hAnsi="宋体" w:cs="宋体"/>
          <w:color w:val="FF0000"/>
          <w:sz w:val="24"/>
          <w:highlight w:val="none"/>
          <w:u w:val="single"/>
        </w:rPr>
      </w:pPr>
      <w:r>
        <w:rPr>
          <w:rFonts w:hint="eastAsia" w:ascii="宋体" w:hAnsi="宋体" w:cs="宋体"/>
          <w:color w:val="FF0000"/>
          <w:sz w:val="24"/>
          <w:highlight w:val="none"/>
          <w:u w:val="single"/>
        </w:rPr>
        <w:t>投标人未填写“企业类型”或者填写的“企业类型”与实际不符的，《中小企业声明函》无效。投标人声明的“企业类型”获得了本不应获得的利益（资格审查通过或价格扣除）的，按提供虚假材料认定，依法承担法律责任。</w:t>
      </w:r>
    </w:p>
    <w:p w14:paraId="67DF6781">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2、视同为小型、微型企业。</w:t>
      </w:r>
    </w:p>
    <w:p w14:paraId="6D92B923">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（1）根据《关于促进残疾人就业政府采购政策的通知》（财库〔2017〕141号）规定，符合条件的残疾人福利性单位提供《残疾人福利性单位声明函》（后附），视同小型、微型企业。</w:t>
      </w:r>
    </w:p>
    <w:p w14:paraId="6800180A">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2）根据《关于政府采购支持监狱企业发展有关问题的通知》（财库〔2014〕68号）规定，监狱企业提供由省级以上监狱管理局、戒毒管理局（含新疆生产建设兵团）出具的属于监狱企业证明文件的，视同为小型、微型企业。</w:t>
      </w:r>
    </w:p>
    <w:p w14:paraId="63E76028">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（3）视同小型、微型企业的残疾人福利性单位、监狱企业，提供符合要求的《残疾人福利性单位声明函》或监狱企业证明文件后，不需要提供《中小企业声明函》。</w:t>
      </w:r>
    </w:p>
    <w:p w14:paraId="56963C2D">
      <w:pPr>
        <w:widowControl/>
        <w:spacing w:line="360" w:lineRule="auto"/>
        <w:ind w:firstLine="480"/>
        <w:jc w:val="left"/>
        <w:rPr>
          <w:rFonts w:hint="eastAsia" w:ascii="宋体" w:hAnsi="宋体" w:eastAsia="宋体" w:cs="宋体"/>
          <w:color w:val="auto"/>
          <w:sz w:val="24"/>
          <w:highlight w:val="none"/>
        </w:rPr>
      </w:pPr>
    </w:p>
    <w:p w14:paraId="116FE4F0">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4C94E914">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21478D8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13DFD4BC">
      <w:pPr>
        <w:widowControl/>
        <w:spacing w:line="360" w:lineRule="auto"/>
        <w:ind w:left="150"/>
        <w:jc w:val="center"/>
        <w:rPr>
          <w:rFonts w:hint="eastAsia" w:ascii="宋体" w:hAnsi="宋体" w:eastAsia="宋体" w:cs="宋体"/>
          <w:b/>
          <w:color w:val="auto"/>
          <w:kern w:val="0"/>
          <w:sz w:val="32"/>
          <w:szCs w:val="32"/>
          <w:highlight w:val="none"/>
        </w:rPr>
      </w:pPr>
    </w:p>
    <w:p w14:paraId="123444DC">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110A616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271503FA">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C0E4D24">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A67F521">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2FEEE6F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p>
    <w:p w14:paraId="7996356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03D748B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0F74ABBA">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25EF3EA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4B0F4EE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03530FA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430EC4A1">
      <w:pPr>
        <w:snapToGrid w:val="0"/>
        <w:spacing w:line="360" w:lineRule="auto"/>
        <w:jc w:val="center"/>
        <w:rPr>
          <w:rFonts w:hint="eastAsia" w:ascii="宋体" w:hAnsi="宋体" w:eastAsia="宋体" w:cs="宋体"/>
          <w:b/>
          <w:color w:val="auto"/>
          <w:kern w:val="0"/>
          <w:sz w:val="32"/>
          <w:szCs w:val="32"/>
          <w:highlight w:val="none"/>
          <w:lang w:val="zh-CN"/>
        </w:rPr>
      </w:pPr>
    </w:p>
    <w:p w14:paraId="2E7DBEB0">
      <w:pPr>
        <w:snapToGrid w:val="0"/>
        <w:spacing w:line="360" w:lineRule="auto"/>
        <w:jc w:val="center"/>
        <w:rPr>
          <w:rFonts w:hint="eastAsia" w:ascii="宋体" w:hAnsi="宋体" w:eastAsia="宋体" w:cs="宋体"/>
          <w:b/>
          <w:color w:val="auto"/>
          <w:kern w:val="0"/>
          <w:sz w:val="32"/>
          <w:szCs w:val="32"/>
          <w:highlight w:val="none"/>
          <w:lang w:val="zh-CN"/>
        </w:rPr>
      </w:pPr>
    </w:p>
    <w:p w14:paraId="54066152">
      <w:pPr>
        <w:snapToGrid w:val="0"/>
        <w:spacing w:line="360" w:lineRule="auto"/>
        <w:jc w:val="center"/>
        <w:rPr>
          <w:rFonts w:hint="eastAsia" w:ascii="宋体" w:hAnsi="宋体" w:eastAsia="宋体" w:cs="宋体"/>
          <w:b/>
          <w:color w:val="auto"/>
          <w:kern w:val="0"/>
          <w:sz w:val="32"/>
          <w:szCs w:val="32"/>
          <w:highlight w:val="none"/>
          <w:lang w:val="zh-CN"/>
        </w:rPr>
      </w:pPr>
    </w:p>
    <w:p w14:paraId="08139ADD">
      <w:pPr>
        <w:snapToGrid w:val="0"/>
        <w:spacing w:line="360" w:lineRule="auto"/>
        <w:jc w:val="center"/>
        <w:rPr>
          <w:rFonts w:hint="eastAsia" w:ascii="宋体" w:hAnsi="宋体" w:eastAsia="宋体" w:cs="宋体"/>
          <w:b/>
          <w:color w:val="auto"/>
          <w:kern w:val="0"/>
          <w:sz w:val="32"/>
          <w:szCs w:val="32"/>
          <w:highlight w:val="none"/>
          <w:lang w:val="zh-CN"/>
        </w:rPr>
      </w:pPr>
    </w:p>
    <w:p w14:paraId="39F89BD9">
      <w:pPr>
        <w:snapToGrid w:val="0"/>
        <w:spacing w:line="360" w:lineRule="auto"/>
        <w:jc w:val="center"/>
        <w:rPr>
          <w:rFonts w:hint="eastAsia" w:ascii="宋体" w:hAnsi="宋体" w:eastAsia="宋体" w:cs="宋体"/>
          <w:b/>
          <w:color w:val="auto"/>
          <w:kern w:val="0"/>
          <w:sz w:val="32"/>
          <w:szCs w:val="32"/>
          <w:highlight w:val="none"/>
          <w:lang w:val="zh-CN"/>
        </w:rPr>
      </w:pPr>
    </w:p>
    <w:p w14:paraId="5389E1BE">
      <w:pPr>
        <w:snapToGrid w:val="0"/>
        <w:spacing w:line="360" w:lineRule="auto"/>
        <w:jc w:val="center"/>
        <w:outlineLvl w:val="0"/>
        <w:rPr>
          <w:rFonts w:hint="eastAsia" w:ascii="宋体" w:hAnsi="宋体" w:eastAsia="宋体" w:cs="宋体"/>
          <w:b/>
          <w:color w:val="auto"/>
          <w:kern w:val="0"/>
          <w:sz w:val="32"/>
          <w:szCs w:val="32"/>
          <w:highlight w:val="none"/>
        </w:rPr>
      </w:pPr>
    </w:p>
    <w:p w14:paraId="4E70E945">
      <w:pPr>
        <w:snapToGrid w:val="0"/>
        <w:spacing w:line="360" w:lineRule="auto"/>
        <w:jc w:val="center"/>
        <w:outlineLvl w:val="0"/>
        <w:rPr>
          <w:rFonts w:hint="eastAsia" w:ascii="宋体" w:hAnsi="宋体" w:eastAsia="宋体" w:cs="宋体"/>
          <w:b/>
          <w:color w:val="auto"/>
          <w:kern w:val="0"/>
          <w:sz w:val="32"/>
          <w:szCs w:val="32"/>
          <w:highlight w:val="none"/>
        </w:rPr>
      </w:pPr>
    </w:p>
    <w:p w14:paraId="5ECD0869">
      <w:pPr>
        <w:rPr>
          <w:rFonts w:hint="eastAsia" w:ascii="宋体" w:hAnsi="宋体" w:eastAsia="宋体" w:cs="宋体"/>
          <w:color w:val="auto"/>
          <w:highlight w:val="none"/>
        </w:rPr>
      </w:pPr>
    </w:p>
    <w:p w14:paraId="7C418485">
      <w:pPr>
        <w:snapToGrid w:val="0"/>
        <w:spacing w:line="360" w:lineRule="auto"/>
        <w:jc w:val="center"/>
        <w:outlineLvl w:val="0"/>
        <w:rPr>
          <w:rFonts w:hint="eastAsia" w:ascii="宋体" w:hAnsi="宋体" w:eastAsia="宋体" w:cs="宋体"/>
          <w:b/>
          <w:color w:val="auto"/>
          <w:kern w:val="0"/>
          <w:sz w:val="32"/>
          <w:szCs w:val="32"/>
          <w:highlight w:val="none"/>
        </w:rPr>
      </w:pPr>
    </w:p>
    <w:p w14:paraId="380E2426">
      <w:pPr>
        <w:snapToGrid w:val="0"/>
        <w:spacing w:line="360" w:lineRule="auto"/>
        <w:jc w:val="center"/>
        <w:outlineLvl w:val="0"/>
        <w:rPr>
          <w:rFonts w:hint="eastAsia" w:ascii="宋体" w:hAnsi="宋体" w:eastAsia="宋体" w:cs="宋体"/>
          <w:b/>
          <w:color w:val="auto"/>
          <w:kern w:val="0"/>
          <w:sz w:val="32"/>
          <w:szCs w:val="32"/>
          <w:highlight w:val="none"/>
        </w:rPr>
      </w:pPr>
    </w:p>
    <w:p w14:paraId="0E6C4B83">
      <w:pPr>
        <w:pStyle w:val="3"/>
        <w:rPr>
          <w:rFonts w:hint="eastAsia" w:ascii="宋体" w:hAnsi="宋体" w:eastAsia="宋体" w:cs="宋体"/>
          <w:color w:val="auto"/>
          <w:highlight w:val="none"/>
          <w:lang w:val="en-US"/>
        </w:rPr>
      </w:pPr>
    </w:p>
    <w:p w14:paraId="0C58FFBE">
      <w:pPr>
        <w:rPr>
          <w:rFonts w:hint="eastAsia" w:ascii="宋体" w:hAnsi="宋体" w:eastAsia="宋体" w:cs="宋体"/>
          <w:color w:val="auto"/>
          <w:highlight w:val="none"/>
        </w:rPr>
      </w:pPr>
    </w:p>
    <w:p w14:paraId="67C467C5">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4434316C">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04D2C405">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56B957DA">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C79FCA2">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6F74C24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16FCE83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6EB6CB0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7874B93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4BD95E0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1513131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E5CFD4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4222B36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DFD7FA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16920A5">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BA8289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00350FE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8D9028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D72F79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62B9971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1D5A89D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43DAB97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1E5B4BD8">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1A4573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686FBE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666C06A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309D4CF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2.3.3报价说明（如有）。</w:t>
      </w:r>
    </w:p>
    <w:p w14:paraId="62EAEFC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4B18B3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16A304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5D8B113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6C911FC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6D30270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AC0257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17FE00D">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5FFD65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3676042">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177164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DB97CBD">
      <w:pPr>
        <w:jc w:val="center"/>
        <w:rPr>
          <w:rFonts w:hint="eastAsia" w:ascii="宋体" w:hAnsi="宋体" w:eastAsia="宋体" w:cs="宋体"/>
          <w:b/>
          <w:color w:val="auto"/>
          <w:kern w:val="0"/>
          <w:sz w:val="32"/>
          <w:szCs w:val="32"/>
          <w:highlight w:val="none"/>
        </w:rPr>
      </w:pPr>
    </w:p>
    <w:p w14:paraId="2ED81AE0">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CDC2B76">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560B7C9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735C015">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79D364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329171D">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所在单位：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5CAC093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4F7876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AFC63D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C9764C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76A39024">
      <w:pPr>
        <w:snapToGrid w:val="0"/>
        <w:spacing w:line="360" w:lineRule="auto"/>
        <w:rPr>
          <w:rFonts w:hint="eastAsia" w:ascii="宋体" w:hAnsi="宋体" w:eastAsia="宋体" w:cs="宋体"/>
          <w:color w:val="auto"/>
          <w:sz w:val="24"/>
          <w:highlight w:val="none"/>
        </w:rPr>
      </w:pPr>
    </w:p>
    <w:p w14:paraId="3053ECC0">
      <w:pPr>
        <w:snapToGrid w:val="0"/>
        <w:spacing w:line="360" w:lineRule="auto"/>
        <w:rPr>
          <w:rFonts w:hint="eastAsia" w:ascii="宋体" w:hAnsi="宋体" w:eastAsia="宋体" w:cs="宋体"/>
          <w:color w:val="auto"/>
          <w:sz w:val="24"/>
          <w:highlight w:val="none"/>
        </w:rPr>
      </w:pPr>
    </w:p>
    <w:p w14:paraId="7C2B7FA4">
      <w:pPr>
        <w:snapToGrid w:val="0"/>
        <w:spacing w:line="360" w:lineRule="auto"/>
        <w:rPr>
          <w:rFonts w:hint="eastAsia" w:ascii="宋体" w:hAnsi="宋体" w:eastAsia="宋体" w:cs="宋体"/>
          <w:color w:val="auto"/>
          <w:sz w:val="24"/>
          <w:highlight w:val="none"/>
        </w:rPr>
      </w:pPr>
    </w:p>
    <w:p w14:paraId="1364F8D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27412E9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8D3D654">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所在单位：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0F2589B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FE2E91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1028649">
      <w:pPr>
        <w:jc w:val="center"/>
        <w:rPr>
          <w:rFonts w:hint="eastAsia" w:ascii="宋体" w:hAnsi="宋体" w:eastAsia="宋体" w:cs="宋体"/>
          <w:b/>
          <w:color w:val="auto"/>
          <w:kern w:val="0"/>
          <w:sz w:val="32"/>
          <w:szCs w:val="32"/>
          <w:highlight w:val="none"/>
        </w:rPr>
      </w:pPr>
    </w:p>
    <w:p w14:paraId="51A18093">
      <w:pPr>
        <w:jc w:val="center"/>
        <w:rPr>
          <w:rFonts w:hint="eastAsia" w:ascii="宋体" w:hAnsi="宋体" w:eastAsia="宋体" w:cs="宋体"/>
          <w:b/>
          <w:color w:val="auto"/>
          <w:kern w:val="0"/>
          <w:sz w:val="32"/>
          <w:szCs w:val="32"/>
          <w:highlight w:val="none"/>
        </w:rPr>
      </w:pPr>
    </w:p>
    <w:p w14:paraId="1E24FC2A">
      <w:pPr>
        <w:jc w:val="center"/>
        <w:rPr>
          <w:rFonts w:hint="eastAsia" w:ascii="宋体" w:hAnsi="宋体" w:eastAsia="宋体" w:cs="宋体"/>
          <w:b/>
          <w:color w:val="auto"/>
          <w:kern w:val="0"/>
          <w:sz w:val="32"/>
          <w:szCs w:val="32"/>
          <w:highlight w:val="none"/>
        </w:rPr>
      </w:pPr>
    </w:p>
    <w:p w14:paraId="60D45CD5">
      <w:pPr>
        <w:rPr>
          <w:rFonts w:hint="eastAsia" w:ascii="宋体" w:hAnsi="宋体" w:eastAsia="宋体" w:cs="宋体"/>
          <w:color w:val="auto"/>
          <w:highlight w:val="none"/>
        </w:rPr>
      </w:pPr>
    </w:p>
    <w:p w14:paraId="65A34D4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00D7C5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C0902A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5742C8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326A049">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D10E945">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6CC1EAE6">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702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E30535F">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0E76C6E">
            <w:pPr>
              <w:pStyle w:val="149"/>
              <w:adjustRightInd w:val="0"/>
              <w:spacing w:line="360" w:lineRule="auto"/>
              <w:rPr>
                <w:rFonts w:hint="eastAsia" w:ascii="宋体" w:hAnsi="宋体" w:eastAsia="宋体" w:cs="宋体"/>
                <w:bCs/>
                <w:color w:val="auto"/>
                <w:sz w:val="24"/>
                <w:highlight w:val="none"/>
              </w:rPr>
            </w:pPr>
          </w:p>
        </w:tc>
      </w:tr>
    </w:tbl>
    <w:p w14:paraId="4B26B97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1AD131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6EB342F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5B2AFC2">
      <w:pPr>
        <w:jc w:val="center"/>
        <w:rPr>
          <w:rFonts w:hint="eastAsia" w:ascii="宋体" w:hAnsi="宋体" w:eastAsia="宋体" w:cs="宋体"/>
          <w:b/>
          <w:color w:val="auto"/>
          <w:kern w:val="0"/>
          <w:sz w:val="32"/>
          <w:szCs w:val="32"/>
          <w:highlight w:val="none"/>
        </w:rPr>
      </w:pPr>
    </w:p>
    <w:p w14:paraId="0B061669">
      <w:pPr>
        <w:jc w:val="center"/>
        <w:rPr>
          <w:rFonts w:hint="eastAsia" w:ascii="宋体" w:hAnsi="宋体" w:eastAsia="宋体" w:cs="宋体"/>
          <w:b/>
          <w:color w:val="auto"/>
          <w:kern w:val="0"/>
          <w:sz w:val="32"/>
          <w:szCs w:val="32"/>
          <w:highlight w:val="none"/>
        </w:rPr>
      </w:pPr>
    </w:p>
    <w:p w14:paraId="637F0E66">
      <w:pPr>
        <w:jc w:val="center"/>
        <w:rPr>
          <w:rFonts w:hint="eastAsia" w:ascii="宋体" w:hAnsi="宋体" w:eastAsia="宋体" w:cs="宋体"/>
          <w:b/>
          <w:color w:val="auto"/>
          <w:kern w:val="0"/>
          <w:sz w:val="32"/>
          <w:szCs w:val="32"/>
          <w:highlight w:val="none"/>
        </w:rPr>
      </w:pPr>
    </w:p>
    <w:p w14:paraId="393F96AE">
      <w:pPr>
        <w:jc w:val="center"/>
        <w:rPr>
          <w:rFonts w:hint="eastAsia" w:ascii="宋体" w:hAnsi="宋体" w:eastAsia="宋体" w:cs="宋体"/>
          <w:b/>
          <w:color w:val="auto"/>
          <w:kern w:val="0"/>
          <w:sz w:val="32"/>
          <w:szCs w:val="32"/>
          <w:highlight w:val="none"/>
        </w:rPr>
      </w:pPr>
    </w:p>
    <w:p w14:paraId="19E55FB4">
      <w:pPr>
        <w:jc w:val="center"/>
        <w:rPr>
          <w:rFonts w:hint="eastAsia" w:ascii="宋体" w:hAnsi="宋体" w:eastAsia="宋体" w:cs="宋体"/>
          <w:b/>
          <w:color w:val="auto"/>
          <w:kern w:val="0"/>
          <w:sz w:val="32"/>
          <w:szCs w:val="32"/>
          <w:highlight w:val="none"/>
        </w:rPr>
      </w:pPr>
    </w:p>
    <w:p w14:paraId="7D6EA5BC">
      <w:pPr>
        <w:jc w:val="center"/>
        <w:rPr>
          <w:rFonts w:hint="eastAsia" w:ascii="宋体" w:hAnsi="宋体" w:eastAsia="宋体" w:cs="宋体"/>
          <w:b/>
          <w:color w:val="auto"/>
          <w:kern w:val="0"/>
          <w:sz w:val="32"/>
          <w:szCs w:val="32"/>
          <w:highlight w:val="none"/>
        </w:rPr>
      </w:pPr>
    </w:p>
    <w:p w14:paraId="2DE7E058">
      <w:pPr>
        <w:jc w:val="center"/>
        <w:rPr>
          <w:rFonts w:hint="eastAsia" w:ascii="宋体" w:hAnsi="宋体" w:eastAsia="宋体" w:cs="宋体"/>
          <w:b/>
          <w:color w:val="auto"/>
          <w:kern w:val="0"/>
          <w:sz w:val="32"/>
          <w:szCs w:val="32"/>
          <w:highlight w:val="none"/>
        </w:rPr>
      </w:pPr>
    </w:p>
    <w:p w14:paraId="39DA7EBD">
      <w:pPr>
        <w:jc w:val="center"/>
        <w:rPr>
          <w:rFonts w:hint="eastAsia" w:ascii="宋体" w:hAnsi="宋体" w:eastAsia="宋体" w:cs="宋体"/>
          <w:b/>
          <w:color w:val="auto"/>
          <w:kern w:val="0"/>
          <w:sz w:val="32"/>
          <w:szCs w:val="32"/>
          <w:highlight w:val="none"/>
        </w:rPr>
      </w:pPr>
    </w:p>
    <w:p w14:paraId="7FD9BD7E">
      <w:pPr>
        <w:jc w:val="center"/>
        <w:rPr>
          <w:rFonts w:hint="eastAsia" w:ascii="宋体" w:hAnsi="宋体" w:eastAsia="宋体" w:cs="宋体"/>
          <w:b/>
          <w:color w:val="auto"/>
          <w:kern w:val="0"/>
          <w:sz w:val="32"/>
          <w:szCs w:val="32"/>
          <w:highlight w:val="none"/>
        </w:rPr>
      </w:pPr>
    </w:p>
    <w:p w14:paraId="7467C3BD">
      <w:pPr>
        <w:jc w:val="center"/>
        <w:rPr>
          <w:rFonts w:hint="eastAsia" w:ascii="宋体" w:hAnsi="宋体" w:eastAsia="宋体" w:cs="宋体"/>
          <w:b/>
          <w:color w:val="auto"/>
          <w:kern w:val="0"/>
          <w:sz w:val="32"/>
          <w:szCs w:val="32"/>
          <w:highlight w:val="none"/>
        </w:rPr>
      </w:pPr>
    </w:p>
    <w:p w14:paraId="06AFAFD6">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6" w:bottom="1247" w:left="1134" w:header="680" w:footer="680" w:gutter="0"/>
          <w:cols w:space="720" w:num="1"/>
          <w:titlePg/>
          <w:docGrid w:linePitch="312" w:charSpace="0"/>
        </w:sectPr>
      </w:pPr>
    </w:p>
    <w:p w14:paraId="60A2AEBF">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792E0C3F">
      <w:pPr>
        <w:widowControl/>
        <w:spacing w:line="360" w:lineRule="auto"/>
        <w:ind w:firstLine="120" w:firstLineChars="50"/>
        <w:jc w:val="left"/>
        <w:rPr>
          <w:rFonts w:hint="eastAsia" w:ascii="宋体" w:hAnsi="宋体" w:eastAsia="宋体" w:cs="宋体"/>
          <w:color w:val="auto"/>
          <w:sz w:val="24"/>
          <w:highlight w:val="none"/>
        </w:rPr>
      </w:pPr>
      <w:bookmarkStart w:id="404"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404"/>
    <w:p w14:paraId="2D9FE22E">
      <w:pPr>
        <w:snapToGrid w:val="0"/>
        <w:spacing w:line="360" w:lineRule="auto"/>
        <w:rPr>
          <w:rFonts w:hint="eastAsia" w:ascii="宋体" w:hAnsi="宋体" w:eastAsia="宋体" w:cs="宋体"/>
          <w:color w:val="auto"/>
          <w:kern w:val="0"/>
          <w:sz w:val="24"/>
          <w:highlight w:val="none"/>
        </w:rPr>
      </w:pPr>
    </w:p>
    <w:p w14:paraId="2872F9DD">
      <w:pPr>
        <w:jc w:val="center"/>
        <w:rPr>
          <w:rFonts w:hint="eastAsia" w:ascii="宋体" w:hAnsi="宋体" w:eastAsia="宋体" w:cs="宋体"/>
          <w:b/>
          <w:color w:val="auto"/>
          <w:kern w:val="0"/>
          <w:sz w:val="32"/>
          <w:szCs w:val="32"/>
          <w:highlight w:val="none"/>
        </w:rPr>
      </w:pPr>
    </w:p>
    <w:p w14:paraId="1A6C7B85">
      <w:pPr>
        <w:pStyle w:val="3"/>
        <w:rPr>
          <w:rFonts w:hint="eastAsia" w:ascii="宋体" w:hAnsi="宋体" w:eastAsia="宋体" w:cs="宋体"/>
          <w:color w:val="auto"/>
          <w:highlight w:val="none"/>
          <w:lang w:val="en-US"/>
        </w:rPr>
      </w:pPr>
    </w:p>
    <w:p w14:paraId="66548846">
      <w:pPr>
        <w:rPr>
          <w:rFonts w:hint="eastAsia" w:ascii="宋体" w:hAnsi="宋体" w:eastAsia="宋体" w:cs="宋体"/>
          <w:color w:val="auto"/>
          <w:highlight w:val="none"/>
        </w:rPr>
      </w:pPr>
    </w:p>
    <w:p w14:paraId="59B41B06">
      <w:pPr>
        <w:pStyle w:val="3"/>
        <w:rPr>
          <w:rFonts w:hint="eastAsia" w:ascii="宋体" w:hAnsi="宋体" w:eastAsia="宋体" w:cs="宋体"/>
          <w:color w:val="auto"/>
          <w:highlight w:val="none"/>
          <w:lang w:val="en-US"/>
        </w:rPr>
      </w:pPr>
    </w:p>
    <w:p w14:paraId="026CC6F9">
      <w:pPr>
        <w:jc w:val="center"/>
        <w:rPr>
          <w:rFonts w:hint="eastAsia" w:ascii="宋体" w:hAnsi="宋体" w:eastAsia="宋体" w:cs="宋体"/>
          <w:b/>
          <w:color w:val="auto"/>
          <w:kern w:val="0"/>
          <w:sz w:val="32"/>
          <w:szCs w:val="32"/>
          <w:highlight w:val="none"/>
        </w:rPr>
      </w:pPr>
    </w:p>
    <w:p w14:paraId="3CA7298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259969C0">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21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10386F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758E164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7549E8C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137F506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5552331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39E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2C5BA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3A9F27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663A7C76">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1D9F8FDE">
            <w:pPr>
              <w:rPr>
                <w:rFonts w:hint="eastAsia" w:ascii="宋体" w:hAnsi="宋体" w:eastAsia="宋体" w:cs="宋体"/>
                <w:color w:val="auto"/>
                <w:sz w:val="24"/>
                <w:highlight w:val="none"/>
              </w:rPr>
            </w:pPr>
          </w:p>
          <w:p w14:paraId="7C312B1F">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1CF77948">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7A9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59A60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72AEFA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5FC6BBD8">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4AB899EF">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803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6C7FF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221E8E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299D79D7">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28FE27A1">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E00974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795D3D9">
      <w:pPr>
        <w:jc w:val="center"/>
        <w:rPr>
          <w:rFonts w:hint="eastAsia" w:ascii="宋体" w:hAnsi="宋体" w:eastAsia="宋体" w:cs="宋体"/>
          <w:b/>
          <w:color w:val="auto"/>
          <w:kern w:val="0"/>
          <w:sz w:val="32"/>
          <w:szCs w:val="32"/>
          <w:highlight w:val="none"/>
        </w:rPr>
      </w:pPr>
    </w:p>
    <w:p w14:paraId="711AADA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67D94129">
      <w:pPr>
        <w:jc w:val="center"/>
        <w:rPr>
          <w:rFonts w:hint="eastAsia" w:ascii="宋体" w:hAnsi="宋体" w:eastAsia="宋体" w:cs="宋体"/>
          <w:b/>
          <w:color w:val="auto"/>
          <w:kern w:val="0"/>
          <w:sz w:val="32"/>
          <w:szCs w:val="32"/>
          <w:highlight w:val="none"/>
        </w:rPr>
      </w:pPr>
    </w:p>
    <w:p w14:paraId="167A2353">
      <w:pPr>
        <w:jc w:val="center"/>
        <w:rPr>
          <w:rFonts w:hint="eastAsia" w:ascii="宋体" w:hAnsi="宋体" w:eastAsia="宋体" w:cs="宋体"/>
          <w:b/>
          <w:color w:val="auto"/>
          <w:kern w:val="0"/>
          <w:sz w:val="32"/>
          <w:szCs w:val="32"/>
          <w:highlight w:val="none"/>
        </w:rPr>
      </w:pPr>
    </w:p>
    <w:p w14:paraId="0F4E705E">
      <w:pPr>
        <w:jc w:val="center"/>
        <w:rPr>
          <w:rFonts w:hint="eastAsia" w:ascii="宋体" w:hAnsi="宋体" w:eastAsia="宋体" w:cs="宋体"/>
          <w:b/>
          <w:color w:val="auto"/>
          <w:kern w:val="0"/>
          <w:sz w:val="32"/>
          <w:szCs w:val="32"/>
          <w:highlight w:val="none"/>
        </w:rPr>
      </w:pPr>
    </w:p>
    <w:p w14:paraId="26B3BFA0">
      <w:pPr>
        <w:jc w:val="center"/>
        <w:rPr>
          <w:rFonts w:hint="eastAsia" w:ascii="宋体" w:hAnsi="宋体" w:eastAsia="宋体" w:cs="宋体"/>
          <w:b/>
          <w:color w:val="auto"/>
          <w:kern w:val="0"/>
          <w:sz w:val="32"/>
          <w:szCs w:val="32"/>
          <w:highlight w:val="none"/>
        </w:rPr>
      </w:pPr>
    </w:p>
    <w:p w14:paraId="4070A89E">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CCE2A37">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1F37EDB6">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11D818FC">
      <w:pPr>
        <w:jc w:val="center"/>
        <w:rPr>
          <w:rFonts w:hint="eastAsia" w:ascii="宋体" w:hAnsi="宋体" w:eastAsia="宋体" w:cs="宋体"/>
          <w:b/>
          <w:color w:val="auto"/>
          <w:kern w:val="0"/>
          <w:sz w:val="32"/>
          <w:szCs w:val="32"/>
          <w:highlight w:val="none"/>
        </w:rPr>
      </w:pPr>
    </w:p>
    <w:p w14:paraId="63555C8F">
      <w:pPr>
        <w:jc w:val="center"/>
        <w:rPr>
          <w:rFonts w:hint="eastAsia" w:ascii="宋体" w:hAnsi="宋体" w:eastAsia="宋体" w:cs="宋体"/>
          <w:b/>
          <w:color w:val="auto"/>
          <w:kern w:val="0"/>
          <w:sz w:val="32"/>
          <w:szCs w:val="32"/>
          <w:highlight w:val="none"/>
        </w:rPr>
      </w:pPr>
    </w:p>
    <w:p w14:paraId="58252D01">
      <w:pPr>
        <w:jc w:val="center"/>
        <w:rPr>
          <w:rFonts w:hint="eastAsia" w:ascii="宋体" w:hAnsi="宋体" w:eastAsia="宋体" w:cs="宋体"/>
          <w:b/>
          <w:color w:val="auto"/>
          <w:kern w:val="0"/>
          <w:sz w:val="32"/>
          <w:szCs w:val="32"/>
          <w:highlight w:val="none"/>
        </w:rPr>
      </w:pPr>
    </w:p>
    <w:p w14:paraId="00071AFA">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7A1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F9FAA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A4AC2D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5CEDF13">
            <w:pPr>
              <w:spacing w:line="360" w:lineRule="auto"/>
              <w:jc w:val="center"/>
              <w:rPr>
                <w:rFonts w:hint="eastAsia" w:ascii="宋体" w:hAnsi="宋体" w:eastAsia="宋体" w:cs="宋体"/>
                <w:b/>
                <w:color w:val="auto"/>
                <w:sz w:val="24"/>
                <w:highlight w:val="none"/>
              </w:rPr>
            </w:pPr>
          </w:p>
          <w:p w14:paraId="2C207A7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A119B7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C4E4D8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303498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68A5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3399A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AB946A1">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C57CAD1">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B38BDE">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1445357">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B91E90C">
            <w:pPr>
              <w:spacing w:line="360" w:lineRule="auto"/>
              <w:jc w:val="center"/>
              <w:rPr>
                <w:rFonts w:hint="eastAsia" w:ascii="宋体" w:hAnsi="宋体" w:eastAsia="宋体" w:cs="宋体"/>
                <w:color w:val="auto"/>
                <w:sz w:val="24"/>
                <w:highlight w:val="none"/>
              </w:rPr>
            </w:pPr>
          </w:p>
        </w:tc>
      </w:tr>
      <w:tr w14:paraId="5C5D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CB7D8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37141B2">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D91EBF8">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C6EBDCC">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E903A5">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D9BA373">
            <w:pPr>
              <w:spacing w:line="360" w:lineRule="auto"/>
              <w:jc w:val="center"/>
              <w:rPr>
                <w:rFonts w:hint="eastAsia" w:ascii="宋体" w:hAnsi="宋体" w:eastAsia="宋体" w:cs="宋体"/>
                <w:color w:val="auto"/>
                <w:sz w:val="24"/>
                <w:highlight w:val="none"/>
              </w:rPr>
            </w:pPr>
          </w:p>
        </w:tc>
      </w:tr>
      <w:tr w14:paraId="78B5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DD759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A69AC60">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74F0F9">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40E916">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212A9A1">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79623BA">
            <w:pPr>
              <w:spacing w:line="360" w:lineRule="auto"/>
              <w:jc w:val="center"/>
              <w:rPr>
                <w:rFonts w:hint="eastAsia" w:ascii="宋体" w:hAnsi="宋体" w:eastAsia="宋体" w:cs="宋体"/>
                <w:color w:val="auto"/>
                <w:sz w:val="24"/>
                <w:highlight w:val="none"/>
              </w:rPr>
            </w:pPr>
          </w:p>
        </w:tc>
      </w:tr>
    </w:tbl>
    <w:p w14:paraId="3F8D9E6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CEF6DBB">
      <w:pPr>
        <w:jc w:val="center"/>
        <w:rPr>
          <w:rFonts w:hint="eastAsia" w:ascii="宋体" w:hAnsi="宋体" w:eastAsia="宋体" w:cs="宋体"/>
          <w:b/>
          <w:color w:val="auto"/>
          <w:kern w:val="0"/>
          <w:sz w:val="32"/>
          <w:szCs w:val="32"/>
          <w:highlight w:val="none"/>
        </w:rPr>
      </w:pPr>
    </w:p>
    <w:p w14:paraId="7E7F0DAA">
      <w:pPr>
        <w:jc w:val="center"/>
        <w:rPr>
          <w:rFonts w:hint="eastAsia" w:ascii="宋体" w:hAnsi="宋体" w:eastAsia="宋体" w:cs="宋体"/>
          <w:b/>
          <w:color w:val="auto"/>
          <w:kern w:val="0"/>
          <w:sz w:val="32"/>
          <w:szCs w:val="32"/>
          <w:highlight w:val="none"/>
        </w:rPr>
      </w:pPr>
    </w:p>
    <w:p w14:paraId="5282F41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563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C7F1A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3EBCB29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4C8DB33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5637217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1D1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70304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58A7320F">
            <w:pPr>
              <w:jc w:val="center"/>
              <w:rPr>
                <w:rFonts w:hint="eastAsia" w:ascii="宋体" w:hAnsi="宋体" w:eastAsia="宋体" w:cs="宋体"/>
                <w:b/>
                <w:color w:val="auto"/>
                <w:kern w:val="0"/>
                <w:sz w:val="32"/>
                <w:szCs w:val="32"/>
                <w:highlight w:val="none"/>
              </w:rPr>
            </w:pPr>
          </w:p>
        </w:tc>
        <w:tc>
          <w:tcPr>
            <w:tcW w:w="3546" w:type="dxa"/>
          </w:tcPr>
          <w:p w14:paraId="77EDF9FF">
            <w:pPr>
              <w:jc w:val="center"/>
              <w:rPr>
                <w:rFonts w:hint="eastAsia" w:ascii="宋体" w:hAnsi="宋体" w:eastAsia="宋体" w:cs="宋体"/>
                <w:b/>
                <w:color w:val="auto"/>
                <w:kern w:val="0"/>
                <w:sz w:val="32"/>
                <w:szCs w:val="32"/>
                <w:highlight w:val="none"/>
              </w:rPr>
            </w:pPr>
          </w:p>
        </w:tc>
        <w:tc>
          <w:tcPr>
            <w:tcW w:w="1276" w:type="dxa"/>
          </w:tcPr>
          <w:p w14:paraId="7F0FA4FF">
            <w:pPr>
              <w:jc w:val="center"/>
              <w:rPr>
                <w:rFonts w:hint="eastAsia" w:ascii="宋体" w:hAnsi="宋体" w:eastAsia="宋体" w:cs="宋体"/>
                <w:b/>
                <w:color w:val="auto"/>
                <w:kern w:val="0"/>
                <w:sz w:val="32"/>
                <w:szCs w:val="32"/>
                <w:highlight w:val="none"/>
              </w:rPr>
            </w:pPr>
          </w:p>
        </w:tc>
      </w:tr>
      <w:tr w14:paraId="660E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D0907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7276A828">
            <w:pPr>
              <w:jc w:val="center"/>
              <w:rPr>
                <w:rFonts w:hint="eastAsia" w:ascii="宋体" w:hAnsi="宋体" w:eastAsia="宋体" w:cs="宋体"/>
                <w:b/>
                <w:color w:val="auto"/>
                <w:kern w:val="0"/>
                <w:sz w:val="32"/>
                <w:szCs w:val="32"/>
                <w:highlight w:val="none"/>
              </w:rPr>
            </w:pPr>
          </w:p>
        </w:tc>
        <w:tc>
          <w:tcPr>
            <w:tcW w:w="3546" w:type="dxa"/>
          </w:tcPr>
          <w:p w14:paraId="078FBFFF">
            <w:pPr>
              <w:jc w:val="center"/>
              <w:rPr>
                <w:rFonts w:hint="eastAsia" w:ascii="宋体" w:hAnsi="宋体" w:eastAsia="宋体" w:cs="宋体"/>
                <w:b/>
                <w:color w:val="auto"/>
                <w:kern w:val="0"/>
                <w:sz w:val="32"/>
                <w:szCs w:val="32"/>
                <w:highlight w:val="none"/>
              </w:rPr>
            </w:pPr>
          </w:p>
        </w:tc>
        <w:tc>
          <w:tcPr>
            <w:tcW w:w="1276" w:type="dxa"/>
          </w:tcPr>
          <w:p w14:paraId="2C441696">
            <w:pPr>
              <w:jc w:val="center"/>
              <w:rPr>
                <w:rFonts w:hint="eastAsia" w:ascii="宋体" w:hAnsi="宋体" w:eastAsia="宋体" w:cs="宋体"/>
                <w:b/>
                <w:color w:val="auto"/>
                <w:kern w:val="0"/>
                <w:sz w:val="32"/>
                <w:szCs w:val="32"/>
                <w:highlight w:val="none"/>
              </w:rPr>
            </w:pPr>
          </w:p>
        </w:tc>
      </w:tr>
      <w:tr w14:paraId="4258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0D6B6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6B9202C9">
            <w:pPr>
              <w:jc w:val="center"/>
              <w:rPr>
                <w:rFonts w:hint="eastAsia" w:ascii="宋体" w:hAnsi="宋体" w:eastAsia="宋体" w:cs="宋体"/>
                <w:b/>
                <w:color w:val="auto"/>
                <w:kern w:val="0"/>
                <w:sz w:val="32"/>
                <w:szCs w:val="32"/>
                <w:highlight w:val="none"/>
              </w:rPr>
            </w:pPr>
          </w:p>
        </w:tc>
        <w:tc>
          <w:tcPr>
            <w:tcW w:w="3546" w:type="dxa"/>
          </w:tcPr>
          <w:p w14:paraId="6F12B7BD">
            <w:pPr>
              <w:jc w:val="center"/>
              <w:rPr>
                <w:rFonts w:hint="eastAsia" w:ascii="宋体" w:hAnsi="宋体" w:eastAsia="宋体" w:cs="宋体"/>
                <w:b/>
                <w:color w:val="auto"/>
                <w:kern w:val="0"/>
                <w:sz w:val="32"/>
                <w:szCs w:val="32"/>
                <w:highlight w:val="none"/>
              </w:rPr>
            </w:pPr>
          </w:p>
        </w:tc>
        <w:tc>
          <w:tcPr>
            <w:tcW w:w="1276" w:type="dxa"/>
          </w:tcPr>
          <w:p w14:paraId="3E0C8973">
            <w:pPr>
              <w:jc w:val="center"/>
              <w:rPr>
                <w:rFonts w:hint="eastAsia" w:ascii="宋体" w:hAnsi="宋体" w:eastAsia="宋体" w:cs="宋体"/>
                <w:b/>
                <w:color w:val="auto"/>
                <w:kern w:val="0"/>
                <w:sz w:val="32"/>
                <w:szCs w:val="32"/>
                <w:highlight w:val="none"/>
              </w:rPr>
            </w:pPr>
          </w:p>
        </w:tc>
      </w:tr>
    </w:tbl>
    <w:p w14:paraId="5C9C20AE">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5FFAC22D">
      <w:pPr>
        <w:jc w:val="center"/>
        <w:rPr>
          <w:rFonts w:hint="eastAsia" w:ascii="宋体" w:hAnsi="宋体" w:eastAsia="宋体" w:cs="宋体"/>
          <w:b/>
          <w:color w:val="auto"/>
          <w:kern w:val="0"/>
          <w:sz w:val="32"/>
          <w:szCs w:val="32"/>
          <w:highlight w:val="none"/>
        </w:rPr>
      </w:pPr>
    </w:p>
    <w:p w14:paraId="481B637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2D4E324">
      <w:pPr>
        <w:ind w:firstLine="1911" w:firstLineChars="595"/>
        <w:rPr>
          <w:rFonts w:hint="eastAsia" w:ascii="宋体" w:hAnsi="宋体" w:eastAsia="宋体" w:cs="宋体"/>
          <w:b/>
          <w:bCs/>
          <w:color w:val="auto"/>
          <w:sz w:val="32"/>
          <w:szCs w:val="32"/>
          <w:highlight w:val="none"/>
        </w:rPr>
      </w:pPr>
    </w:p>
    <w:p w14:paraId="3213F484">
      <w:pPr>
        <w:ind w:firstLine="1911" w:firstLineChars="595"/>
        <w:rPr>
          <w:rFonts w:hint="eastAsia" w:ascii="宋体" w:hAnsi="宋体" w:eastAsia="宋体" w:cs="宋体"/>
          <w:b/>
          <w:bCs/>
          <w:color w:val="auto"/>
          <w:sz w:val="32"/>
          <w:szCs w:val="32"/>
          <w:highlight w:val="none"/>
        </w:rPr>
      </w:pPr>
    </w:p>
    <w:p w14:paraId="5E2DC287">
      <w:pPr>
        <w:ind w:firstLine="1911" w:firstLineChars="595"/>
        <w:rPr>
          <w:rFonts w:hint="eastAsia" w:ascii="宋体" w:hAnsi="宋体" w:eastAsia="宋体" w:cs="宋体"/>
          <w:b/>
          <w:bCs/>
          <w:color w:val="auto"/>
          <w:sz w:val="32"/>
          <w:szCs w:val="32"/>
          <w:highlight w:val="none"/>
        </w:rPr>
      </w:pPr>
    </w:p>
    <w:p w14:paraId="6FD67CC3">
      <w:pPr>
        <w:ind w:firstLine="1911" w:firstLineChars="595"/>
        <w:rPr>
          <w:rFonts w:hint="eastAsia" w:ascii="宋体" w:hAnsi="宋体" w:eastAsia="宋体" w:cs="宋体"/>
          <w:b/>
          <w:bCs/>
          <w:color w:val="auto"/>
          <w:sz w:val="32"/>
          <w:szCs w:val="32"/>
          <w:highlight w:val="none"/>
        </w:rPr>
      </w:pPr>
    </w:p>
    <w:p w14:paraId="40630D32">
      <w:pPr>
        <w:ind w:firstLine="1911" w:firstLineChars="595"/>
        <w:rPr>
          <w:rFonts w:hint="eastAsia" w:ascii="宋体" w:hAnsi="宋体" w:eastAsia="宋体" w:cs="宋体"/>
          <w:b/>
          <w:bCs/>
          <w:color w:val="auto"/>
          <w:sz w:val="32"/>
          <w:szCs w:val="32"/>
          <w:highlight w:val="none"/>
        </w:rPr>
      </w:pPr>
    </w:p>
    <w:p w14:paraId="56E9C8D9">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5223913">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794FD5DC">
      <w:pPr>
        <w:snapToGrid w:val="0"/>
        <w:spacing w:line="360" w:lineRule="auto"/>
        <w:rPr>
          <w:rFonts w:hint="eastAsia" w:ascii="宋体" w:hAnsi="宋体" w:eastAsia="宋体" w:cs="宋体"/>
          <w:color w:val="auto"/>
          <w:sz w:val="24"/>
          <w:highlight w:val="none"/>
        </w:rPr>
      </w:pPr>
    </w:p>
    <w:p w14:paraId="48B52AF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A52C8B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1AD837E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DDF0B9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8B44D6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20F199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1555D8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E8476C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8E06899">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2ABF1BA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61D253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6E00C48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A69435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A20638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792C0B2">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6C2BB5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C0BE8B6">
      <w:pPr>
        <w:spacing w:line="360" w:lineRule="auto"/>
        <w:jc w:val="center"/>
        <w:rPr>
          <w:rFonts w:hint="eastAsia" w:ascii="宋体" w:hAnsi="宋体" w:eastAsia="宋体" w:cs="宋体"/>
          <w:b/>
          <w:bCs/>
          <w:color w:val="auto"/>
          <w:sz w:val="24"/>
          <w:highlight w:val="none"/>
        </w:rPr>
      </w:pPr>
    </w:p>
    <w:p w14:paraId="2B2C6F4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488E56B">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EBA9BF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0F38249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B0E4F0A">
      <w:pPr>
        <w:spacing w:line="360" w:lineRule="auto"/>
        <w:jc w:val="center"/>
        <w:outlineLvl w:val="0"/>
        <w:rPr>
          <w:rFonts w:hint="eastAsia" w:ascii="宋体" w:hAnsi="宋体" w:eastAsia="宋体" w:cs="宋体"/>
          <w:b/>
          <w:color w:val="auto"/>
          <w:kern w:val="0"/>
          <w:sz w:val="36"/>
          <w:szCs w:val="36"/>
          <w:highlight w:val="none"/>
        </w:rPr>
      </w:pPr>
    </w:p>
    <w:p w14:paraId="2D2DF93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486F9E8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65F9D86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（3）报价说明（如有）………………………………………………………………（页码）</w:t>
      </w:r>
    </w:p>
    <w:p w14:paraId="57D24725">
      <w:pPr>
        <w:snapToGrid w:val="0"/>
        <w:spacing w:line="360" w:lineRule="auto"/>
        <w:ind w:right="480"/>
        <w:jc w:val="center"/>
        <w:rPr>
          <w:rFonts w:hint="eastAsia" w:ascii="宋体" w:hAnsi="宋体" w:eastAsia="宋体" w:cs="宋体"/>
          <w:b/>
          <w:color w:val="auto"/>
          <w:kern w:val="0"/>
          <w:sz w:val="32"/>
          <w:szCs w:val="32"/>
          <w:highlight w:val="none"/>
        </w:rPr>
      </w:pPr>
    </w:p>
    <w:p w14:paraId="6408AEBA">
      <w:pPr>
        <w:snapToGrid w:val="0"/>
        <w:spacing w:line="360" w:lineRule="auto"/>
        <w:ind w:right="480"/>
        <w:jc w:val="center"/>
        <w:rPr>
          <w:rFonts w:hint="eastAsia" w:ascii="宋体" w:hAnsi="宋体" w:eastAsia="宋体" w:cs="宋体"/>
          <w:b/>
          <w:color w:val="auto"/>
          <w:kern w:val="0"/>
          <w:sz w:val="32"/>
          <w:szCs w:val="32"/>
          <w:highlight w:val="none"/>
        </w:rPr>
      </w:pPr>
    </w:p>
    <w:p w14:paraId="62B3C29F">
      <w:pPr>
        <w:snapToGrid w:val="0"/>
        <w:spacing w:line="360" w:lineRule="auto"/>
        <w:ind w:right="480"/>
        <w:jc w:val="center"/>
        <w:rPr>
          <w:rFonts w:hint="eastAsia" w:ascii="宋体" w:hAnsi="宋体" w:eastAsia="宋体" w:cs="宋体"/>
          <w:b/>
          <w:color w:val="auto"/>
          <w:kern w:val="0"/>
          <w:sz w:val="32"/>
          <w:szCs w:val="32"/>
          <w:highlight w:val="none"/>
        </w:rPr>
      </w:pPr>
    </w:p>
    <w:p w14:paraId="14B3E22B">
      <w:pPr>
        <w:snapToGrid w:val="0"/>
        <w:spacing w:line="360" w:lineRule="auto"/>
        <w:ind w:right="480"/>
        <w:jc w:val="center"/>
        <w:rPr>
          <w:rFonts w:hint="eastAsia" w:ascii="宋体" w:hAnsi="宋体" w:eastAsia="宋体" w:cs="宋体"/>
          <w:b/>
          <w:color w:val="auto"/>
          <w:kern w:val="0"/>
          <w:sz w:val="32"/>
          <w:szCs w:val="32"/>
          <w:highlight w:val="none"/>
        </w:rPr>
      </w:pPr>
    </w:p>
    <w:p w14:paraId="5FACEB2A">
      <w:pPr>
        <w:snapToGrid w:val="0"/>
        <w:spacing w:line="360" w:lineRule="auto"/>
        <w:ind w:right="480"/>
        <w:jc w:val="center"/>
        <w:rPr>
          <w:rFonts w:hint="eastAsia" w:ascii="宋体" w:hAnsi="宋体" w:eastAsia="宋体" w:cs="宋体"/>
          <w:b/>
          <w:color w:val="auto"/>
          <w:kern w:val="0"/>
          <w:sz w:val="32"/>
          <w:szCs w:val="32"/>
          <w:highlight w:val="none"/>
        </w:rPr>
      </w:pPr>
    </w:p>
    <w:p w14:paraId="506D5B6B">
      <w:pPr>
        <w:snapToGrid w:val="0"/>
        <w:spacing w:line="360" w:lineRule="auto"/>
        <w:ind w:right="480"/>
        <w:jc w:val="center"/>
        <w:rPr>
          <w:rFonts w:hint="eastAsia" w:ascii="宋体" w:hAnsi="宋体" w:eastAsia="宋体" w:cs="宋体"/>
          <w:b/>
          <w:color w:val="auto"/>
          <w:kern w:val="0"/>
          <w:sz w:val="32"/>
          <w:szCs w:val="32"/>
          <w:highlight w:val="none"/>
        </w:rPr>
      </w:pPr>
    </w:p>
    <w:p w14:paraId="37FDDCA8">
      <w:pPr>
        <w:snapToGrid w:val="0"/>
        <w:spacing w:line="360" w:lineRule="auto"/>
        <w:ind w:right="480"/>
        <w:jc w:val="center"/>
        <w:rPr>
          <w:rFonts w:hint="eastAsia" w:ascii="宋体" w:hAnsi="宋体" w:eastAsia="宋体" w:cs="宋体"/>
          <w:b/>
          <w:color w:val="auto"/>
          <w:kern w:val="0"/>
          <w:sz w:val="32"/>
          <w:szCs w:val="32"/>
          <w:highlight w:val="none"/>
        </w:rPr>
      </w:pPr>
    </w:p>
    <w:p w14:paraId="348C16B0">
      <w:pPr>
        <w:snapToGrid w:val="0"/>
        <w:spacing w:line="360" w:lineRule="auto"/>
        <w:ind w:right="480"/>
        <w:jc w:val="center"/>
        <w:rPr>
          <w:rFonts w:hint="eastAsia" w:ascii="宋体" w:hAnsi="宋体" w:eastAsia="宋体" w:cs="宋体"/>
          <w:b/>
          <w:color w:val="auto"/>
          <w:kern w:val="0"/>
          <w:sz w:val="32"/>
          <w:szCs w:val="32"/>
          <w:highlight w:val="none"/>
        </w:rPr>
      </w:pPr>
    </w:p>
    <w:p w14:paraId="77A0FE21">
      <w:pPr>
        <w:snapToGrid w:val="0"/>
        <w:spacing w:line="360" w:lineRule="auto"/>
        <w:ind w:right="480"/>
        <w:jc w:val="center"/>
        <w:rPr>
          <w:rFonts w:hint="eastAsia" w:ascii="宋体" w:hAnsi="宋体" w:eastAsia="宋体" w:cs="宋体"/>
          <w:b/>
          <w:color w:val="auto"/>
          <w:kern w:val="0"/>
          <w:sz w:val="32"/>
          <w:szCs w:val="32"/>
          <w:highlight w:val="none"/>
        </w:rPr>
      </w:pPr>
    </w:p>
    <w:p w14:paraId="1AA3EB4A">
      <w:pPr>
        <w:snapToGrid w:val="0"/>
        <w:spacing w:line="360" w:lineRule="auto"/>
        <w:ind w:right="480"/>
        <w:jc w:val="center"/>
        <w:rPr>
          <w:rFonts w:hint="eastAsia" w:ascii="宋体" w:hAnsi="宋体" w:eastAsia="宋体" w:cs="宋体"/>
          <w:b/>
          <w:color w:val="auto"/>
          <w:kern w:val="0"/>
          <w:sz w:val="32"/>
          <w:szCs w:val="32"/>
          <w:highlight w:val="none"/>
        </w:rPr>
      </w:pPr>
    </w:p>
    <w:p w14:paraId="56AD2281">
      <w:pPr>
        <w:snapToGrid w:val="0"/>
        <w:spacing w:line="360" w:lineRule="auto"/>
        <w:ind w:right="480"/>
        <w:jc w:val="center"/>
        <w:rPr>
          <w:rFonts w:hint="eastAsia" w:ascii="宋体" w:hAnsi="宋体" w:eastAsia="宋体" w:cs="宋体"/>
          <w:b/>
          <w:color w:val="auto"/>
          <w:kern w:val="0"/>
          <w:sz w:val="32"/>
          <w:szCs w:val="32"/>
          <w:highlight w:val="none"/>
        </w:rPr>
      </w:pPr>
    </w:p>
    <w:p w14:paraId="33C264EE">
      <w:pPr>
        <w:snapToGrid w:val="0"/>
        <w:spacing w:line="360" w:lineRule="auto"/>
        <w:ind w:right="480"/>
        <w:jc w:val="center"/>
        <w:rPr>
          <w:rFonts w:hint="eastAsia" w:ascii="宋体" w:hAnsi="宋体" w:eastAsia="宋体" w:cs="宋体"/>
          <w:b/>
          <w:color w:val="auto"/>
          <w:kern w:val="0"/>
          <w:sz w:val="32"/>
          <w:szCs w:val="32"/>
          <w:highlight w:val="none"/>
        </w:rPr>
      </w:pPr>
    </w:p>
    <w:p w14:paraId="261FC2F5">
      <w:pPr>
        <w:snapToGrid w:val="0"/>
        <w:spacing w:line="360" w:lineRule="auto"/>
        <w:ind w:right="480"/>
        <w:jc w:val="center"/>
        <w:rPr>
          <w:rFonts w:hint="eastAsia" w:ascii="宋体" w:hAnsi="宋体" w:eastAsia="宋体" w:cs="宋体"/>
          <w:b/>
          <w:color w:val="auto"/>
          <w:kern w:val="0"/>
          <w:sz w:val="32"/>
          <w:szCs w:val="32"/>
          <w:highlight w:val="none"/>
        </w:rPr>
      </w:pPr>
    </w:p>
    <w:p w14:paraId="3980B031">
      <w:pPr>
        <w:snapToGrid w:val="0"/>
        <w:spacing w:line="360" w:lineRule="auto"/>
        <w:ind w:right="480"/>
        <w:jc w:val="center"/>
        <w:rPr>
          <w:rFonts w:hint="eastAsia" w:ascii="宋体" w:hAnsi="宋体" w:eastAsia="宋体" w:cs="宋体"/>
          <w:b/>
          <w:color w:val="auto"/>
          <w:kern w:val="0"/>
          <w:sz w:val="32"/>
          <w:szCs w:val="32"/>
          <w:highlight w:val="none"/>
        </w:rPr>
      </w:pPr>
    </w:p>
    <w:p w14:paraId="43A4A23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00DA22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7DC9AB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BBDA31B">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63740E1D">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6C0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17AC0D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4811BB2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1B85FEA1">
            <w:pPr>
              <w:spacing w:line="360" w:lineRule="auto"/>
              <w:jc w:val="center"/>
              <w:rPr>
                <w:rFonts w:hint="eastAsia" w:ascii="宋体" w:hAnsi="宋体" w:eastAsia="宋体" w:cs="宋体"/>
                <w:b/>
                <w:color w:val="auto"/>
                <w:sz w:val="24"/>
                <w:highlight w:val="none"/>
              </w:rPr>
            </w:pPr>
          </w:p>
          <w:p w14:paraId="67C069E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7E50806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993" w:type="dxa"/>
            <w:vAlign w:val="center"/>
          </w:tcPr>
          <w:p w14:paraId="6E1DB51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22BEA9A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5C90AF3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3119" w:type="dxa"/>
            <w:vAlign w:val="center"/>
          </w:tcPr>
          <w:p w14:paraId="786E0743">
            <w:pPr>
              <w:spacing w:line="360" w:lineRule="auto"/>
              <w:jc w:val="center"/>
              <w:rPr>
                <w:rFonts w:hint="eastAsia" w:ascii="宋体" w:hAnsi="宋体" w:eastAsia="宋体" w:cs="宋体"/>
                <w:b/>
                <w:color w:val="auto"/>
                <w:sz w:val="24"/>
                <w:highlight w:val="none"/>
              </w:rPr>
            </w:pPr>
          </w:p>
          <w:p w14:paraId="59AC333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p w14:paraId="36472560">
            <w:pPr>
              <w:spacing w:line="360" w:lineRule="auto"/>
              <w:jc w:val="center"/>
              <w:rPr>
                <w:rFonts w:hint="eastAsia" w:ascii="宋体" w:hAnsi="宋体" w:eastAsia="宋体" w:cs="宋体"/>
                <w:b/>
                <w:color w:val="auto"/>
                <w:sz w:val="24"/>
                <w:highlight w:val="none"/>
              </w:rPr>
            </w:pPr>
          </w:p>
        </w:tc>
      </w:tr>
      <w:tr w14:paraId="40C4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8EE681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23EC6E43">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17BCADE6">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4E91A63">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1C419C9E">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2DA09CB4">
            <w:pPr>
              <w:spacing w:line="360" w:lineRule="auto"/>
              <w:jc w:val="center"/>
              <w:rPr>
                <w:rFonts w:hint="eastAsia" w:ascii="宋体" w:hAnsi="宋体" w:eastAsia="宋体" w:cs="宋体"/>
                <w:color w:val="auto"/>
                <w:sz w:val="24"/>
                <w:highlight w:val="none"/>
              </w:rPr>
            </w:pPr>
          </w:p>
        </w:tc>
        <w:tc>
          <w:tcPr>
            <w:tcW w:w="1984" w:type="dxa"/>
            <w:vAlign w:val="center"/>
          </w:tcPr>
          <w:p w14:paraId="596510CA">
            <w:pPr>
              <w:spacing w:line="360" w:lineRule="auto"/>
              <w:jc w:val="center"/>
              <w:rPr>
                <w:rFonts w:hint="eastAsia" w:ascii="宋体" w:hAnsi="宋体" w:eastAsia="宋体" w:cs="宋体"/>
                <w:color w:val="auto"/>
                <w:sz w:val="24"/>
                <w:highlight w:val="none"/>
              </w:rPr>
            </w:pPr>
          </w:p>
        </w:tc>
        <w:tc>
          <w:tcPr>
            <w:tcW w:w="3119" w:type="dxa"/>
            <w:vAlign w:val="center"/>
          </w:tcPr>
          <w:p w14:paraId="7F2E374B">
            <w:pPr>
              <w:spacing w:line="360" w:lineRule="auto"/>
              <w:jc w:val="center"/>
              <w:rPr>
                <w:rFonts w:hint="eastAsia" w:ascii="宋体" w:hAnsi="宋体" w:eastAsia="宋体" w:cs="宋体"/>
                <w:color w:val="auto"/>
                <w:sz w:val="24"/>
                <w:highlight w:val="none"/>
                <w:lang w:val="en-US" w:eastAsia="zh-CN"/>
              </w:rPr>
            </w:pPr>
          </w:p>
        </w:tc>
      </w:tr>
      <w:tr w14:paraId="5D5C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8F8AF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7E65BCF8">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00D4E0C1">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2C34128C">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66C45CF0">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57F68F2B">
            <w:pPr>
              <w:spacing w:line="360" w:lineRule="auto"/>
              <w:jc w:val="center"/>
              <w:rPr>
                <w:rFonts w:hint="eastAsia" w:ascii="宋体" w:hAnsi="宋体" w:eastAsia="宋体" w:cs="宋体"/>
                <w:color w:val="auto"/>
                <w:sz w:val="24"/>
                <w:highlight w:val="none"/>
              </w:rPr>
            </w:pPr>
          </w:p>
        </w:tc>
        <w:tc>
          <w:tcPr>
            <w:tcW w:w="1984" w:type="dxa"/>
            <w:vAlign w:val="center"/>
          </w:tcPr>
          <w:p w14:paraId="3D468AC9">
            <w:pPr>
              <w:spacing w:line="360" w:lineRule="auto"/>
              <w:jc w:val="center"/>
              <w:rPr>
                <w:rFonts w:hint="eastAsia" w:ascii="宋体" w:hAnsi="宋体" w:eastAsia="宋体" w:cs="宋体"/>
                <w:color w:val="auto"/>
                <w:sz w:val="24"/>
                <w:highlight w:val="none"/>
              </w:rPr>
            </w:pPr>
          </w:p>
        </w:tc>
        <w:tc>
          <w:tcPr>
            <w:tcW w:w="3119" w:type="dxa"/>
            <w:vAlign w:val="center"/>
          </w:tcPr>
          <w:p w14:paraId="6EFE0079">
            <w:pPr>
              <w:spacing w:line="360" w:lineRule="auto"/>
              <w:jc w:val="center"/>
              <w:rPr>
                <w:rFonts w:hint="eastAsia" w:ascii="宋体" w:hAnsi="宋体" w:eastAsia="宋体" w:cs="宋体"/>
                <w:color w:val="auto"/>
                <w:sz w:val="24"/>
                <w:highlight w:val="none"/>
              </w:rPr>
            </w:pPr>
          </w:p>
        </w:tc>
      </w:tr>
      <w:tr w14:paraId="4337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02940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2CA6828C">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4DACBFFB">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1B5F756F">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15B9FA3F">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2145D644">
            <w:pPr>
              <w:spacing w:line="360" w:lineRule="auto"/>
              <w:jc w:val="center"/>
              <w:rPr>
                <w:rFonts w:hint="eastAsia" w:ascii="宋体" w:hAnsi="宋体" w:eastAsia="宋体" w:cs="宋体"/>
                <w:color w:val="auto"/>
                <w:sz w:val="24"/>
                <w:highlight w:val="none"/>
              </w:rPr>
            </w:pPr>
          </w:p>
        </w:tc>
        <w:tc>
          <w:tcPr>
            <w:tcW w:w="1984" w:type="dxa"/>
            <w:vAlign w:val="center"/>
          </w:tcPr>
          <w:p w14:paraId="34DB3301">
            <w:pPr>
              <w:spacing w:line="360" w:lineRule="auto"/>
              <w:jc w:val="center"/>
              <w:rPr>
                <w:rFonts w:hint="eastAsia" w:ascii="宋体" w:hAnsi="宋体" w:eastAsia="宋体" w:cs="宋体"/>
                <w:color w:val="auto"/>
                <w:sz w:val="24"/>
                <w:highlight w:val="none"/>
              </w:rPr>
            </w:pPr>
          </w:p>
        </w:tc>
        <w:tc>
          <w:tcPr>
            <w:tcW w:w="3119" w:type="dxa"/>
            <w:vAlign w:val="center"/>
          </w:tcPr>
          <w:p w14:paraId="2B00333B">
            <w:pPr>
              <w:spacing w:line="360" w:lineRule="auto"/>
              <w:jc w:val="center"/>
              <w:rPr>
                <w:rFonts w:hint="eastAsia" w:ascii="宋体" w:hAnsi="宋体" w:eastAsia="宋体" w:cs="宋体"/>
                <w:color w:val="auto"/>
                <w:sz w:val="24"/>
                <w:highlight w:val="none"/>
              </w:rPr>
            </w:pPr>
          </w:p>
        </w:tc>
      </w:tr>
      <w:tr w14:paraId="0EC6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519A671">
            <w:pPr>
              <w:spacing w:line="360" w:lineRule="auto"/>
              <w:jc w:val="center"/>
              <w:rPr>
                <w:rFonts w:hint="eastAsia" w:ascii="宋体" w:hAnsi="宋体" w:eastAsia="宋体" w:cs="宋体"/>
                <w:color w:val="auto"/>
                <w:sz w:val="24"/>
                <w:highlight w:val="none"/>
              </w:rPr>
            </w:pPr>
          </w:p>
        </w:tc>
        <w:tc>
          <w:tcPr>
            <w:tcW w:w="1417" w:type="dxa"/>
            <w:vAlign w:val="center"/>
          </w:tcPr>
          <w:p w14:paraId="09672DB7">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00D83833">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2F4C2F2E">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640CF103">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729ECC40">
            <w:pPr>
              <w:spacing w:line="360" w:lineRule="auto"/>
              <w:jc w:val="center"/>
              <w:rPr>
                <w:rFonts w:hint="eastAsia" w:ascii="宋体" w:hAnsi="宋体" w:eastAsia="宋体" w:cs="宋体"/>
                <w:color w:val="auto"/>
                <w:sz w:val="24"/>
                <w:highlight w:val="none"/>
              </w:rPr>
            </w:pPr>
          </w:p>
        </w:tc>
        <w:tc>
          <w:tcPr>
            <w:tcW w:w="1984" w:type="dxa"/>
            <w:vAlign w:val="center"/>
          </w:tcPr>
          <w:p w14:paraId="7AC49260">
            <w:pPr>
              <w:spacing w:line="360" w:lineRule="auto"/>
              <w:jc w:val="center"/>
              <w:rPr>
                <w:rFonts w:hint="eastAsia" w:ascii="宋体" w:hAnsi="宋体" w:eastAsia="宋体" w:cs="宋体"/>
                <w:color w:val="auto"/>
                <w:sz w:val="24"/>
                <w:highlight w:val="none"/>
              </w:rPr>
            </w:pPr>
          </w:p>
        </w:tc>
        <w:tc>
          <w:tcPr>
            <w:tcW w:w="3119" w:type="dxa"/>
            <w:vAlign w:val="center"/>
          </w:tcPr>
          <w:p w14:paraId="3291704F">
            <w:pPr>
              <w:spacing w:line="360" w:lineRule="auto"/>
              <w:jc w:val="center"/>
              <w:rPr>
                <w:rFonts w:hint="eastAsia" w:ascii="宋体" w:hAnsi="宋体" w:eastAsia="宋体" w:cs="宋体"/>
                <w:color w:val="auto"/>
                <w:sz w:val="24"/>
                <w:highlight w:val="none"/>
              </w:rPr>
            </w:pPr>
          </w:p>
        </w:tc>
      </w:tr>
      <w:tr w14:paraId="2DB2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BC4D0D9">
            <w:pPr>
              <w:spacing w:line="360" w:lineRule="auto"/>
              <w:jc w:val="center"/>
              <w:rPr>
                <w:rFonts w:hint="eastAsia" w:ascii="宋体" w:hAnsi="宋体" w:eastAsia="宋体" w:cs="宋体"/>
                <w:color w:val="auto"/>
                <w:sz w:val="24"/>
                <w:highlight w:val="none"/>
              </w:rPr>
            </w:pPr>
          </w:p>
        </w:tc>
        <w:tc>
          <w:tcPr>
            <w:tcW w:w="1417" w:type="dxa"/>
            <w:vAlign w:val="center"/>
          </w:tcPr>
          <w:p w14:paraId="38F09E5B">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560A8961">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491C060C">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2A25BAE6">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4CAF9432">
            <w:pPr>
              <w:spacing w:line="360" w:lineRule="auto"/>
              <w:jc w:val="center"/>
              <w:rPr>
                <w:rFonts w:hint="eastAsia" w:ascii="宋体" w:hAnsi="宋体" w:eastAsia="宋体" w:cs="宋体"/>
                <w:color w:val="auto"/>
                <w:sz w:val="24"/>
                <w:highlight w:val="none"/>
              </w:rPr>
            </w:pPr>
          </w:p>
        </w:tc>
        <w:tc>
          <w:tcPr>
            <w:tcW w:w="1984" w:type="dxa"/>
            <w:vAlign w:val="center"/>
          </w:tcPr>
          <w:p w14:paraId="2FF67D53">
            <w:pPr>
              <w:spacing w:line="360" w:lineRule="auto"/>
              <w:jc w:val="center"/>
              <w:rPr>
                <w:rFonts w:hint="eastAsia" w:ascii="宋体" w:hAnsi="宋体" w:eastAsia="宋体" w:cs="宋体"/>
                <w:color w:val="auto"/>
                <w:sz w:val="24"/>
                <w:highlight w:val="none"/>
              </w:rPr>
            </w:pPr>
          </w:p>
        </w:tc>
        <w:tc>
          <w:tcPr>
            <w:tcW w:w="3119" w:type="dxa"/>
            <w:vAlign w:val="center"/>
          </w:tcPr>
          <w:p w14:paraId="1B206BD5">
            <w:pPr>
              <w:spacing w:line="360" w:lineRule="auto"/>
              <w:jc w:val="center"/>
              <w:rPr>
                <w:rFonts w:hint="eastAsia" w:ascii="宋体" w:hAnsi="宋体" w:eastAsia="宋体" w:cs="宋体"/>
                <w:color w:val="auto"/>
                <w:sz w:val="24"/>
                <w:highlight w:val="none"/>
              </w:rPr>
            </w:pPr>
          </w:p>
        </w:tc>
      </w:tr>
      <w:tr w14:paraId="3EE7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604587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14:paraId="5CFBD445">
            <w:pPr>
              <w:spacing w:line="360" w:lineRule="auto"/>
              <w:jc w:val="center"/>
              <w:rPr>
                <w:rFonts w:hint="eastAsia" w:ascii="宋体" w:hAnsi="宋体" w:eastAsia="宋体" w:cs="宋体"/>
                <w:color w:val="auto"/>
                <w:sz w:val="24"/>
                <w:highlight w:val="none"/>
              </w:rPr>
            </w:pPr>
          </w:p>
        </w:tc>
      </w:tr>
      <w:tr w14:paraId="6AEB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073AA5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14:paraId="4984B0DC">
            <w:pPr>
              <w:spacing w:line="360" w:lineRule="auto"/>
              <w:jc w:val="center"/>
              <w:rPr>
                <w:rFonts w:hint="eastAsia" w:ascii="宋体" w:hAnsi="宋体" w:eastAsia="宋体" w:cs="宋体"/>
                <w:color w:val="auto"/>
                <w:sz w:val="24"/>
                <w:highlight w:val="none"/>
              </w:rPr>
            </w:pPr>
          </w:p>
        </w:tc>
      </w:tr>
    </w:tbl>
    <w:p w14:paraId="0345770B">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6434469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718537B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2A5BC11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1CA9C18">
      <w:pPr>
        <w:snapToGrid w:val="0"/>
        <w:spacing w:line="360" w:lineRule="auto"/>
        <w:ind w:firstLine="48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19609F8">
      <w:pPr>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5</w:t>
      </w:r>
      <w:r>
        <w:rPr>
          <w:rFonts w:hint="eastAsia" w:ascii="宋体" w:hAnsi="宋体" w:cs="宋体"/>
          <w:b/>
          <w:color w:val="auto"/>
          <w:kern w:val="0"/>
          <w:sz w:val="24"/>
          <w:highlight w:val="none"/>
        </w:rPr>
        <w:t>、供应商</w:t>
      </w:r>
      <w:r>
        <w:rPr>
          <w:rFonts w:hint="eastAsia" w:ascii="宋体" w:hAnsi="宋体" w:cs="宋体"/>
          <w:b/>
          <w:color w:val="auto"/>
          <w:kern w:val="0"/>
          <w:sz w:val="24"/>
          <w:highlight w:val="none"/>
          <w:lang w:eastAsia="zh-CN"/>
        </w:rPr>
        <w:t>每标项</w:t>
      </w:r>
      <w:r>
        <w:rPr>
          <w:rFonts w:hint="eastAsia" w:ascii="宋体" w:hAnsi="宋体" w:cs="宋体"/>
          <w:b/>
          <w:color w:val="auto"/>
          <w:kern w:val="0"/>
          <w:sz w:val="24"/>
          <w:highlight w:val="none"/>
        </w:rPr>
        <w:t>报价低于</w:t>
      </w:r>
      <w:r>
        <w:rPr>
          <w:rFonts w:hint="eastAsia" w:ascii="宋体" w:hAnsi="宋体" w:cs="宋体"/>
          <w:b/>
          <w:color w:val="auto"/>
          <w:kern w:val="0"/>
          <w:sz w:val="24"/>
          <w:highlight w:val="none"/>
          <w:lang w:eastAsia="zh-CN"/>
        </w:rPr>
        <w:t>该标项</w:t>
      </w:r>
      <w:r>
        <w:rPr>
          <w:rFonts w:hint="eastAsia" w:ascii="宋体" w:hAnsi="宋体" w:cs="宋体"/>
          <w:b/>
          <w:color w:val="auto"/>
          <w:kern w:val="0"/>
          <w:sz w:val="24"/>
          <w:highlight w:val="none"/>
        </w:rPr>
        <w:t>项目预算50%的，应当在报价文件中详细阐述不影响产品质量或者诚信履约的具体原因。</w:t>
      </w:r>
    </w:p>
    <w:p w14:paraId="4C255289">
      <w:pPr>
        <w:snapToGrid w:val="0"/>
        <w:spacing w:line="360" w:lineRule="auto"/>
        <w:ind w:firstLine="482" w:firstLineChars="200"/>
        <w:jc w:val="left"/>
        <w:rPr>
          <w:rFonts w:hint="eastAsia" w:ascii="宋体" w:hAnsi="宋体" w:cs="宋体"/>
          <w:b/>
          <w:bCs/>
          <w:color w:val="auto"/>
          <w:kern w:val="0"/>
          <w:sz w:val="24"/>
          <w:szCs w:val="22"/>
          <w:highlight w:val="none"/>
          <w:lang w:val="en-US" w:eastAsia="zh-CN"/>
        </w:rPr>
        <w:sectPr>
          <w:pgSz w:w="16838" w:h="11906" w:orient="landscape"/>
          <w:pgMar w:top="993" w:right="1247" w:bottom="1418" w:left="1276" w:header="680" w:footer="680" w:gutter="0"/>
          <w:cols w:space="720" w:num="1"/>
          <w:titlePg/>
          <w:docGrid w:linePitch="312" w:charSpace="0"/>
        </w:sectPr>
      </w:pPr>
    </w:p>
    <w:p w14:paraId="0AA0603D">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（如果有）</w:t>
      </w:r>
      <w:bookmarkEnd w:id="405"/>
    </w:p>
    <w:p w14:paraId="2F226B3D">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17ACEBA">
      <w:pPr>
        <w:rPr>
          <w:rFonts w:hint="eastAsia" w:ascii="宋体" w:hAnsi="宋体" w:eastAsia="宋体" w:cs="宋体"/>
          <w:color w:val="auto"/>
          <w:highlight w:val="none"/>
        </w:rPr>
      </w:pPr>
    </w:p>
    <w:p w14:paraId="50FB8F28">
      <w:pPr>
        <w:rPr>
          <w:rFonts w:hint="eastAsia" w:ascii="宋体" w:hAnsi="宋体" w:eastAsia="宋体" w:cs="宋体"/>
          <w:color w:val="auto"/>
          <w:highlight w:val="none"/>
        </w:rPr>
      </w:pPr>
    </w:p>
    <w:p w14:paraId="70EA3EF4">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三、报价说明</w:t>
      </w:r>
      <w:r>
        <w:rPr>
          <w:rFonts w:hint="eastAsia" w:ascii="宋体" w:hAnsi="宋体" w:eastAsia="宋体" w:cs="宋体"/>
          <w:color w:val="auto"/>
          <w:sz w:val="32"/>
          <w:szCs w:val="32"/>
          <w:highlight w:val="none"/>
        </w:rPr>
        <w:t>（如果有）</w:t>
      </w:r>
    </w:p>
    <w:p w14:paraId="286FE6E7">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供应商报价低于项目预算50%的，应当在报价文件中详细阐述不影响产品质量或者诚信履约的具体原因。</w:t>
      </w:r>
    </w:p>
    <w:p w14:paraId="1E1D5EF6">
      <w:pPr>
        <w:widowControl/>
        <w:adjustRightInd/>
        <w:jc w:val="left"/>
        <w:rPr>
          <w:rFonts w:hint="eastAsia" w:ascii="宋体" w:hAnsi="宋体" w:eastAsia="宋体" w:cs="宋体"/>
          <w:b/>
          <w:color w:val="auto"/>
          <w:kern w:val="0"/>
          <w:sz w:val="36"/>
          <w:szCs w:val="36"/>
          <w:highlight w:val="none"/>
        </w:rPr>
      </w:pPr>
      <w:bookmarkStart w:id="406" w:name="_Toc465665161"/>
      <w:r>
        <w:rPr>
          <w:rFonts w:hint="eastAsia" w:ascii="宋体" w:hAnsi="宋体" w:eastAsia="宋体" w:cs="宋体"/>
          <w:bCs/>
          <w:color w:val="auto"/>
          <w:kern w:val="0"/>
          <w:sz w:val="36"/>
          <w:szCs w:val="36"/>
          <w:highlight w:val="none"/>
        </w:rPr>
        <w:br w:type="page"/>
      </w:r>
    </w:p>
    <w:p w14:paraId="6E8BD52C">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bookmarkEnd w:id="406"/>
    </w:p>
    <w:p w14:paraId="7650B9E1">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CA83EAF">
      <w:pPr>
        <w:spacing w:line="360" w:lineRule="auto"/>
        <w:jc w:val="center"/>
        <w:rPr>
          <w:rFonts w:hint="eastAsia" w:ascii="宋体" w:hAnsi="宋体" w:eastAsia="宋体" w:cs="宋体"/>
          <w:b/>
          <w:color w:val="auto"/>
          <w:spacing w:val="6"/>
          <w:sz w:val="32"/>
          <w:szCs w:val="32"/>
          <w:highlight w:val="none"/>
        </w:rPr>
      </w:pPr>
      <w:bookmarkStart w:id="407" w:name="OLE_LINK13"/>
      <w:bookmarkStart w:id="408" w:name="OLE_LINK14"/>
      <w:r>
        <w:rPr>
          <w:rFonts w:hint="eastAsia" w:ascii="宋体" w:hAnsi="宋体" w:eastAsia="宋体" w:cs="宋体"/>
          <w:b/>
          <w:color w:val="auto"/>
          <w:spacing w:val="6"/>
          <w:sz w:val="32"/>
          <w:szCs w:val="32"/>
          <w:highlight w:val="none"/>
        </w:rPr>
        <w:t>残疾人福利性单位声明函</w:t>
      </w:r>
    </w:p>
    <w:bookmarkEnd w:id="407"/>
    <w:bookmarkEnd w:id="408"/>
    <w:p w14:paraId="68FBE6AF">
      <w:pPr>
        <w:spacing w:line="360" w:lineRule="auto"/>
        <w:rPr>
          <w:rFonts w:hint="eastAsia" w:ascii="宋体" w:hAnsi="宋体" w:eastAsia="宋体" w:cs="宋体"/>
          <w:b/>
          <w:color w:val="auto"/>
          <w:spacing w:val="6"/>
          <w:sz w:val="30"/>
          <w:szCs w:val="30"/>
          <w:highlight w:val="none"/>
        </w:rPr>
      </w:pPr>
    </w:p>
    <w:p w14:paraId="1B757C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0B266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5EBB887">
      <w:pPr>
        <w:spacing w:line="360" w:lineRule="auto"/>
        <w:ind w:firstLine="480" w:firstLineChars="200"/>
        <w:rPr>
          <w:rFonts w:hint="eastAsia" w:ascii="宋体" w:hAnsi="宋体" w:eastAsia="宋体" w:cs="宋体"/>
          <w:color w:val="auto"/>
          <w:sz w:val="24"/>
          <w:highlight w:val="none"/>
        </w:rPr>
      </w:pPr>
    </w:p>
    <w:p w14:paraId="738CC5BC">
      <w:pPr>
        <w:spacing w:line="360" w:lineRule="auto"/>
        <w:ind w:firstLine="480" w:firstLineChars="200"/>
        <w:rPr>
          <w:rFonts w:hint="eastAsia" w:ascii="宋体" w:hAnsi="宋体" w:eastAsia="宋体" w:cs="宋体"/>
          <w:color w:val="auto"/>
          <w:sz w:val="24"/>
          <w:highlight w:val="none"/>
        </w:rPr>
      </w:pPr>
    </w:p>
    <w:p w14:paraId="55F54E82">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588056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0AF1551A">
      <w:pPr>
        <w:spacing w:line="360" w:lineRule="auto"/>
        <w:ind w:firstLine="480" w:firstLineChars="200"/>
        <w:rPr>
          <w:rFonts w:hint="eastAsia" w:ascii="宋体" w:hAnsi="宋体" w:eastAsia="宋体" w:cs="宋体"/>
          <w:color w:val="auto"/>
          <w:sz w:val="24"/>
          <w:highlight w:val="none"/>
        </w:rPr>
      </w:pPr>
    </w:p>
    <w:p w14:paraId="0FBBDD37">
      <w:pPr>
        <w:spacing w:line="360" w:lineRule="auto"/>
        <w:ind w:firstLine="420" w:firstLineChars="200"/>
        <w:rPr>
          <w:rFonts w:hint="eastAsia" w:ascii="宋体" w:hAnsi="宋体" w:eastAsia="宋体" w:cs="宋体"/>
          <w:color w:val="auto"/>
          <w:highlight w:val="none"/>
        </w:rPr>
      </w:pPr>
    </w:p>
    <w:p w14:paraId="67B96369">
      <w:pPr>
        <w:spacing w:line="360" w:lineRule="auto"/>
        <w:ind w:firstLine="420" w:firstLineChars="200"/>
        <w:rPr>
          <w:rFonts w:hint="eastAsia" w:ascii="宋体" w:hAnsi="宋体" w:eastAsia="宋体" w:cs="宋体"/>
          <w:color w:val="auto"/>
          <w:highlight w:val="none"/>
        </w:rPr>
      </w:pPr>
    </w:p>
    <w:p w14:paraId="0A33D1BF">
      <w:pPr>
        <w:spacing w:line="360" w:lineRule="auto"/>
        <w:ind w:firstLine="420" w:firstLineChars="200"/>
        <w:rPr>
          <w:rFonts w:hint="eastAsia" w:ascii="宋体" w:hAnsi="宋体" w:eastAsia="宋体" w:cs="宋体"/>
          <w:color w:val="auto"/>
          <w:highlight w:val="none"/>
        </w:rPr>
      </w:pPr>
    </w:p>
    <w:p w14:paraId="749391B5">
      <w:pPr>
        <w:spacing w:line="360" w:lineRule="auto"/>
        <w:ind w:firstLine="420" w:firstLineChars="200"/>
        <w:rPr>
          <w:rFonts w:hint="eastAsia" w:ascii="宋体" w:hAnsi="宋体" w:eastAsia="宋体" w:cs="宋体"/>
          <w:color w:val="auto"/>
          <w:highlight w:val="none"/>
        </w:rPr>
      </w:pPr>
    </w:p>
    <w:p w14:paraId="26A49F6C">
      <w:pPr>
        <w:spacing w:line="360" w:lineRule="auto"/>
        <w:rPr>
          <w:rFonts w:hint="eastAsia" w:ascii="宋体" w:hAnsi="宋体" w:eastAsia="宋体" w:cs="宋体"/>
          <w:b/>
          <w:color w:val="auto"/>
          <w:sz w:val="24"/>
          <w:highlight w:val="none"/>
        </w:rPr>
      </w:pPr>
    </w:p>
    <w:p w14:paraId="406E538B">
      <w:pPr>
        <w:spacing w:line="360" w:lineRule="auto"/>
        <w:rPr>
          <w:rFonts w:hint="eastAsia" w:ascii="宋体" w:hAnsi="宋体" w:eastAsia="宋体" w:cs="宋体"/>
          <w:b/>
          <w:color w:val="auto"/>
          <w:sz w:val="24"/>
          <w:highlight w:val="none"/>
        </w:rPr>
      </w:pPr>
    </w:p>
    <w:p w14:paraId="79521C26">
      <w:pPr>
        <w:spacing w:line="360" w:lineRule="auto"/>
        <w:rPr>
          <w:rFonts w:hint="eastAsia" w:ascii="宋体" w:hAnsi="宋体" w:eastAsia="宋体" w:cs="宋体"/>
          <w:b/>
          <w:color w:val="auto"/>
          <w:sz w:val="24"/>
          <w:highlight w:val="none"/>
        </w:rPr>
      </w:pPr>
    </w:p>
    <w:p w14:paraId="69574FDA">
      <w:pPr>
        <w:spacing w:line="360" w:lineRule="auto"/>
        <w:rPr>
          <w:rFonts w:hint="eastAsia" w:ascii="宋体" w:hAnsi="宋体" w:eastAsia="宋体" w:cs="宋体"/>
          <w:b/>
          <w:color w:val="auto"/>
          <w:sz w:val="24"/>
          <w:highlight w:val="none"/>
        </w:rPr>
      </w:pPr>
    </w:p>
    <w:p w14:paraId="5770D096">
      <w:pPr>
        <w:spacing w:line="360" w:lineRule="auto"/>
        <w:rPr>
          <w:rFonts w:hint="eastAsia" w:ascii="宋体" w:hAnsi="宋体" w:eastAsia="宋体" w:cs="宋体"/>
          <w:b/>
          <w:color w:val="auto"/>
          <w:sz w:val="24"/>
          <w:highlight w:val="none"/>
        </w:rPr>
      </w:pPr>
    </w:p>
    <w:p w14:paraId="5A243313">
      <w:pPr>
        <w:spacing w:line="360" w:lineRule="auto"/>
        <w:rPr>
          <w:rFonts w:hint="eastAsia" w:ascii="宋体" w:hAnsi="宋体" w:eastAsia="宋体" w:cs="宋体"/>
          <w:b/>
          <w:color w:val="auto"/>
          <w:sz w:val="24"/>
          <w:highlight w:val="none"/>
        </w:rPr>
      </w:pPr>
    </w:p>
    <w:p w14:paraId="356478F7">
      <w:pPr>
        <w:spacing w:line="360" w:lineRule="auto"/>
        <w:rPr>
          <w:rFonts w:hint="eastAsia" w:ascii="宋体" w:hAnsi="宋体" w:eastAsia="宋体" w:cs="宋体"/>
          <w:b/>
          <w:color w:val="auto"/>
          <w:sz w:val="24"/>
          <w:highlight w:val="none"/>
        </w:rPr>
      </w:pPr>
    </w:p>
    <w:p w14:paraId="2E66A25D">
      <w:pPr>
        <w:spacing w:line="360" w:lineRule="auto"/>
        <w:rPr>
          <w:rFonts w:hint="eastAsia" w:ascii="宋体" w:hAnsi="宋体" w:eastAsia="宋体" w:cs="宋体"/>
          <w:b/>
          <w:color w:val="auto"/>
          <w:sz w:val="24"/>
          <w:highlight w:val="none"/>
        </w:rPr>
      </w:pPr>
    </w:p>
    <w:p w14:paraId="7CF87DC6">
      <w:pPr>
        <w:spacing w:line="360" w:lineRule="auto"/>
        <w:rPr>
          <w:rFonts w:hint="eastAsia" w:ascii="宋体" w:hAnsi="宋体" w:eastAsia="宋体" w:cs="宋体"/>
          <w:b/>
          <w:color w:val="auto"/>
          <w:sz w:val="24"/>
          <w:highlight w:val="none"/>
        </w:rPr>
      </w:pPr>
    </w:p>
    <w:p w14:paraId="403DC4A4">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2E02BD6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12D6696A">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6C1AD46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7E449EB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BD569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810145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34DD7AC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4BE80A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5A7A47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3A4D86E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CA2888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4C9DF4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68DCFC7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EF7BDB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232C42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73BC7F6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B5F220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1643B11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9A8380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F537CB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6F936B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B06556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4A463E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E6A8E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50F91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63ABBBF">
      <w:pPr>
        <w:spacing w:line="360" w:lineRule="auto"/>
        <w:jc w:val="center"/>
        <w:rPr>
          <w:rFonts w:hint="eastAsia" w:ascii="宋体" w:hAnsi="宋体" w:eastAsia="宋体" w:cs="宋体"/>
          <w:b/>
          <w:bCs/>
          <w:color w:val="auto"/>
          <w:sz w:val="24"/>
          <w:highlight w:val="none"/>
        </w:rPr>
      </w:pPr>
    </w:p>
    <w:p w14:paraId="66F67F6F">
      <w:pPr>
        <w:spacing w:line="360" w:lineRule="auto"/>
        <w:rPr>
          <w:rFonts w:hint="eastAsia" w:ascii="宋体" w:hAnsi="宋体" w:eastAsia="宋体" w:cs="宋体"/>
          <w:b/>
          <w:color w:val="auto"/>
          <w:sz w:val="24"/>
          <w:highlight w:val="none"/>
        </w:rPr>
      </w:pPr>
    </w:p>
    <w:p w14:paraId="7B7EED5F">
      <w:pPr>
        <w:spacing w:line="360" w:lineRule="auto"/>
        <w:rPr>
          <w:rFonts w:hint="eastAsia" w:ascii="宋体" w:hAnsi="宋体" w:eastAsia="宋体" w:cs="宋体"/>
          <w:b/>
          <w:color w:val="auto"/>
          <w:sz w:val="24"/>
          <w:highlight w:val="none"/>
        </w:rPr>
      </w:pPr>
    </w:p>
    <w:p w14:paraId="4CD5F460">
      <w:pPr>
        <w:spacing w:line="360" w:lineRule="auto"/>
        <w:rPr>
          <w:rFonts w:hint="eastAsia" w:ascii="宋体" w:hAnsi="宋体" w:eastAsia="宋体" w:cs="宋体"/>
          <w:b/>
          <w:color w:val="auto"/>
          <w:sz w:val="24"/>
          <w:highlight w:val="none"/>
        </w:rPr>
      </w:pPr>
    </w:p>
    <w:p w14:paraId="2C05DB6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385AC8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092BE63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9BAC5F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49A772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C53A45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4CC6CE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AEB6123">
      <w:pPr>
        <w:widowControl/>
        <w:spacing w:line="360" w:lineRule="auto"/>
        <w:ind w:firstLine="600" w:firstLineChars="200"/>
        <w:jc w:val="left"/>
        <w:rPr>
          <w:rFonts w:hint="eastAsia" w:ascii="宋体" w:hAnsi="宋体" w:eastAsia="宋体" w:cs="宋体"/>
          <w:color w:val="auto"/>
          <w:sz w:val="30"/>
          <w:szCs w:val="30"/>
          <w:highlight w:val="none"/>
        </w:rPr>
      </w:pPr>
    </w:p>
    <w:p w14:paraId="064BE4EC">
      <w:pPr>
        <w:spacing w:line="360" w:lineRule="auto"/>
        <w:jc w:val="center"/>
        <w:rPr>
          <w:rFonts w:hint="eastAsia" w:ascii="宋体" w:hAnsi="宋体" w:eastAsia="宋体" w:cs="宋体"/>
          <w:b/>
          <w:color w:val="auto"/>
          <w:spacing w:val="6"/>
          <w:sz w:val="32"/>
          <w:szCs w:val="32"/>
          <w:highlight w:val="none"/>
        </w:rPr>
      </w:pPr>
    </w:p>
    <w:p w14:paraId="329BFAC9">
      <w:pPr>
        <w:spacing w:line="360" w:lineRule="auto"/>
        <w:jc w:val="center"/>
        <w:rPr>
          <w:rFonts w:hint="eastAsia" w:ascii="宋体" w:hAnsi="宋体" w:eastAsia="宋体" w:cs="宋体"/>
          <w:b/>
          <w:color w:val="auto"/>
          <w:spacing w:val="6"/>
          <w:sz w:val="32"/>
          <w:szCs w:val="32"/>
          <w:highlight w:val="none"/>
        </w:rPr>
      </w:pPr>
    </w:p>
    <w:p w14:paraId="55EFEC53">
      <w:pPr>
        <w:spacing w:line="360" w:lineRule="auto"/>
        <w:jc w:val="center"/>
        <w:rPr>
          <w:rFonts w:hint="eastAsia" w:ascii="宋体" w:hAnsi="宋体" w:eastAsia="宋体" w:cs="宋体"/>
          <w:b/>
          <w:color w:val="auto"/>
          <w:spacing w:val="6"/>
          <w:sz w:val="32"/>
          <w:szCs w:val="32"/>
          <w:highlight w:val="none"/>
        </w:rPr>
      </w:pPr>
    </w:p>
    <w:p w14:paraId="1A82B132">
      <w:pPr>
        <w:spacing w:line="360" w:lineRule="auto"/>
        <w:jc w:val="center"/>
        <w:rPr>
          <w:rFonts w:hint="eastAsia" w:ascii="宋体" w:hAnsi="宋体" w:eastAsia="宋体" w:cs="宋体"/>
          <w:b/>
          <w:color w:val="auto"/>
          <w:spacing w:val="6"/>
          <w:sz w:val="32"/>
          <w:szCs w:val="32"/>
          <w:highlight w:val="none"/>
        </w:rPr>
      </w:pPr>
    </w:p>
    <w:p w14:paraId="693BB319">
      <w:pPr>
        <w:spacing w:line="360" w:lineRule="auto"/>
        <w:jc w:val="center"/>
        <w:rPr>
          <w:rFonts w:hint="eastAsia" w:ascii="宋体" w:hAnsi="宋体" w:eastAsia="宋体" w:cs="宋体"/>
          <w:b/>
          <w:color w:val="auto"/>
          <w:spacing w:val="6"/>
          <w:sz w:val="32"/>
          <w:szCs w:val="32"/>
          <w:highlight w:val="none"/>
        </w:rPr>
      </w:pPr>
    </w:p>
    <w:p w14:paraId="30F0A455">
      <w:pPr>
        <w:spacing w:line="360" w:lineRule="auto"/>
        <w:jc w:val="center"/>
        <w:rPr>
          <w:rFonts w:hint="eastAsia" w:ascii="宋体" w:hAnsi="宋体" w:eastAsia="宋体" w:cs="宋体"/>
          <w:b/>
          <w:color w:val="auto"/>
          <w:spacing w:val="6"/>
          <w:sz w:val="32"/>
          <w:szCs w:val="32"/>
          <w:highlight w:val="none"/>
        </w:rPr>
      </w:pPr>
    </w:p>
    <w:p w14:paraId="195E599F">
      <w:pPr>
        <w:spacing w:line="360" w:lineRule="auto"/>
        <w:jc w:val="center"/>
        <w:rPr>
          <w:rFonts w:hint="eastAsia" w:ascii="宋体" w:hAnsi="宋体" w:eastAsia="宋体" w:cs="宋体"/>
          <w:b/>
          <w:color w:val="auto"/>
          <w:spacing w:val="6"/>
          <w:sz w:val="32"/>
          <w:szCs w:val="32"/>
          <w:highlight w:val="none"/>
        </w:rPr>
      </w:pPr>
    </w:p>
    <w:p w14:paraId="0E5FC079">
      <w:pPr>
        <w:spacing w:line="360" w:lineRule="auto"/>
        <w:jc w:val="center"/>
        <w:rPr>
          <w:rFonts w:hint="eastAsia" w:ascii="宋体" w:hAnsi="宋体" w:eastAsia="宋体" w:cs="宋体"/>
          <w:b/>
          <w:color w:val="auto"/>
          <w:spacing w:val="6"/>
          <w:sz w:val="32"/>
          <w:szCs w:val="32"/>
          <w:highlight w:val="none"/>
        </w:rPr>
      </w:pPr>
    </w:p>
    <w:p w14:paraId="649AB21B">
      <w:pPr>
        <w:spacing w:line="360" w:lineRule="auto"/>
        <w:jc w:val="center"/>
        <w:rPr>
          <w:rFonts w:hint="eastAsia" w:ascii="宋体" w:hAnsi="宋体" w:eastAsia="宋体" w:cs="宋体"/>
          <w:b/>
          <w:color w:val="auto"/>
          <w:spacing w:val="6"/>
          <w:sz w:val="32"/>
          <w:szCs w:val="32"/>
          <w:highlight w:val="none"/>
        </w:rPr>
      </w:pPr>
    </w:p>
    <w:p w14:paraId="7BE686C9">
      <w:pPr>
        <w:spacing w:line="360" w:lineRule="auto"/>
        <w:jc w:val="center"/>
        <w:rPr>
          <w:rFonts w:hint="eastAsia" w:ascii="宋体" w:hAnsi="宋体" w:eastAsia="宋体" w:cs="宋体"/>
          <w:b/>
          <w:color w:val="auto"/>
          <w:spacing w:val="6"/>
          <w:sz w:val="32"/>
          <w:szCs w:val="32"/>
          <w:highlight w:val="none"/>
        </w:rPr>
      </w:pPr>
    </w:p>
    <w:p w14:paraId="2E91910C">
      <w:pPr>
        <w:spacing w:line="360" w:lineRule="auto"/>
        <w:jc w:val="center"/>
        <w:rPr>
          <w:rFonts w:hint="eastAsia" w:ascii="宋体" w:hAnsi="宋体" w:eastAsia="宋体" w:cs="宋体"/>
          <w:b/>
          <w:color w:val="auto"/>
          <w:spacing w:val="6"/>
          <w:sz w:val="32"/>
          <w:szCs w:val="32"/>
          <w:highlight w:val="none"/>
        </w:rPr>
      </w:pPr>
    </w:p>
    <w:p w14:paraId="1ACB98D1">
      <w:pPr>
        <w:spacing w:line="360" w:lineRule="auto"/>
        <w:jc w:val="center"/>
        <w:rPr>
          <w:rFonts w:hint="eastAsia" w:ascii="宋体" w:hAnsi="宋体" w:eastAsia="宋体" w:cs="宋体"/>
          <w:b/>
          <w:color w:val="auto"/>
          <w:spacing w:val="6"/>
          <w:sz w:val="32"/>
          <w:szCs w:val="32"/>
          <w:highlight w:val="none"/>
        </w:rPr>
      </w:pPr>
    </w:p>
    <w:p w14:paraId="0723214C">
      <w:pPr>
        <w:spacing w:line="360" w:lineRule="auto"/>
        <w:jc w:val="left"/>
        <w:rPr>
          <w:rFonts w:hint="eastAsia" w:ascii="宋体" w:hAnsi="宋体" w:eastAsia="宋体" w:cs="宋体"/>
          <w:b/>
          <w:color w:val="auto"/>
          <w:spacing w:val="6"/>
          <w:sz w:val="32"/>
          <w:szCs w:val="32"/>
          <w:highlight w:val="none"/>
        </w:rPr>
      </w:pPr>
    </w:p>
    <w:p w14:paraId="7B0EAEC1">
      <w:pPr>
        <w:spacing w:line="360" w:lineRule="auto"/>
        <w:jc w:val="left"/>
        <w:rPr>
          <w:rFonts w:hint="eastAsia" w:ascii="宋体" w:hAnsi="宋体" w:eastAsia="宋体" w:cs="宋体"/>
          <w:b/>
          <w:color w:val="auto"/>
          <w:spacing w:val="6"/>
          <w:sz w:val="32"/>
          <w:szCs w:val="32"/>
          <w:highlight w:val="none"/>
        </w:rPr>
      </w:pPr>
    </w:p>
    <w:p w14:paraId="27348045">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0D48E503">
      <w:pPr>
        <w:spacing w:line="360" w:lineRule="auto"/>
        <w:jc w:val="center"/>
        <w:rPr>
          <w:rFonts w:hint="eastAsia" w:ascii="宋体" w:hAnsi="宋体" w:eastAsia="宋体" w:cs="宋体"/>
          <w:b/>
          <w:color w:val="auto"/>
          <w:sz w:val="24"/>
          <w:highlight w:val="none"/>
        </w:rPr>
      </w:pPr>
    </w:p>
    <w:p w14:paraId="5769D59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69735A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36D5BF9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008B142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9D9885C">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2BA085A">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8C32B1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15F283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7DC520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5B972B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E26514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34987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9C7707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0E51C4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353853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CF2D28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B70B2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5F7446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0DD7508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FEF29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D3FE22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737BF9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1A5050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16F1A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C189A6F">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13E246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243C1BC">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0DAE61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788F29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B9699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62DD0F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440E16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A9A80D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95E30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D5920E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792BC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D5DC0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C3239E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74841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8419D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3092F3F">
      <w:pPr>
        <w:spacing w:line="360" w:lineRule="auto"/>
        <w:rPr>
          <w:rFonts w:hint="eastAsia" w:ascii="宋体" w:hAnsi="宋体" w:eastAsia="宋体" w:cs="宋体"/>
          <w:b/>
          <w:color w:val="auto"/>
          <w:sz w:val="24"/>
          <w:highlight w:val="none"/>
        </w:rPr>
      </w:pPr>
    </w:p>
    <w:p w14:paraId="3EAF61BF">
      <w:pPr>
        <w:spacing w:line="360" w:lineRule="auto"/>
        <w:rPr>
          <w:rFonts w:hint="eastAsia" w:ascii="宋体" w:hAnsi="宋体" w:eastAsia="宋体" w:cs="宋体"/>
          <w:b/>
          <w:color w:val="auto"/>
          <w:sz w:val="24"/>
          <w:highlight w:val="none"/>
        </w:rPr>
      </w:pPr>
    </w:p>
    <w:p w14:paraId="5FDA985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810C13C">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DA7EF6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01209D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F165DA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5037BA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0A56F7A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37284AC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0D387D3">
      <w:pPr>
        <w:spacing w:line="360" w:lineRule="auto"/>
        <w:rPr>
          <w:rFonts w:hint="eastAsia" w:ascii="宋体" w:hAnsi="宋体" w:eastAsia="宋体" w:cs="宋体"/>
          <w:b/>
          <w:color w:val="auto"/>
          <w:sz w:val="24"/>
          <w:highlight w:val="none"/>
        </w:rPr>
      </w:pPr>
    </w:p>
    <w:p w14:paraId="37D9CC60">
      <w:pPr>
        <w:autoSpaceDE w:val="0"/>
        <w:autoSpaceDN w:val="0"/>
        <w:jc w:val="center"/>
        <w:rPr>
          <w:rFonts w:hint="eastAsia" w:ascii="宋体" w:hAnsi="宋体" w:eastAsia="宋体" w:cs="宋体"/>
          <w:b/>
          <w:color w:val="auto"/>
          <w:spacing w:val="6"/>
          <w:sz w:val="32"/>
          <w:szCs w:val="32"/>
          <w:highlight w:val="none"/>
        </w:rPr>
      </w:pPr>
    </w:p>
    <w:p w14:paraId="6CCF3EE7">
      <w:pPr>
        <w:autoSpaceDE w:val="0"/>
        <w:autoSpaceDN w:val="0"/>
        <w:jc w:val="center"/>
        <w:rPr>
          <w:rFonts w:hint="eastAsia" w:ascii="宋体" w:hAnsi="宋体" w:eastAsia="宋体" w:cs="宋体"/>
          <w:b/>
          <w:color w:val="auto"/>
          <w:spacing w:val="6"/>
          <w:sz w:val="32"/>
          <w:szCs w:val="32"/>
          <w:highlight w:val="none"/>
        </w:rPr>
      </w:pPr>
    </w:p>
    <w:p w14:paraId="4152BAF2">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6234AE37">
      <w:pPr>
        <w:spacing w:line="360" w:lineRule="auto"/>
        <w:rPr>
          <w:rFonts w:hint="eastAsia" w:ascii="宋体" w:hAnsi="宋体" w:eastAsia="宋体" w:cs="宋体"/>
          <w:color w:val="auto"/>
          <w:sz w:val="24"/>
          <w:highlight w:val="none"/>
          <w:u w:val="single"/>
        </w:rPr>
      </w:pPr>
    </w:p>
    <w:p w14:paraId="55085C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3EC5D2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0B490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93510E8">
      <w:pPr>
        <w:spacing w:line="360" w:lineRule="auto"/>
        <w:ind w:firstLine="494"/>
        <w:rPr>
          <w:rFonts w:hint="eastAsia" w:ascii="宋体" w:hAnsi="宋体" w:eastAsia="宋体" w:cs="宋体"/>
          <w:color w:val="auto"/>
          <w:sz w:val="24"/>
          <w:highlight w:val="none"/>
        </w:rPr>
      </w:pPr>
    </w:p>
    <w:p w14:paraId="76EA7B82">
      <w:pPr>
        <w:spacing w:line="360" w:lineRule="auto"/>
        <w:ind w:firstLine="494"/>
        <w:rPr>
          <w:rFonts w:hint="eastAsia" w:ascii="宋体" w:hAnsi="宋体" w:eastAsia="宋体" w:cs="宋体"/>
          <w:color w:val="auto"/>
          <w:sz w:val="24"/>
          <w:highlight w:val="none"/>
        </w:rPr>
      </w:pPr>
    </w:p>
    <w:p w14:paraId="599F0B10">
      <w:pPr>
        <w:spacing w:line="360" w:lineRule="auto"/>
        <w:ind w:firstLine="494"/>
        <w:rPr>
          <w:rFonts w:hint="eastAsia" w:ascii="宋体" w:hAnsi="宋体" w:eastAsia="宋体" w:cs="宋体"/>
          <w:color w:val="auto"/>
          <w:sz w:val="24"/>
          <w:highlight w:val="none"/>
        </w:rPr>
      </w:pPr>
    </w:p>
    <w:p w14:paraId="21432568">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425BC1D3">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8F08D5D">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F00AE58">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5580F69A">
      <w:pPr>
        <w:autoSpaceDE w:val="0"/>
        <w:autoSpaceDN w:val="0"/>
        <w:jc w:val="center"/>
        <w:rPr>
          <w:rFonts w:hint="eastAsia" w:ascii="宋体" w:hAnsi="宋体" w:eastAsia="宋体" w:cs="宋体"/>
          <w:b/>
          <w:color w:val="auto"/>
          <w:spacing w:val="6"/>
          <w:sz w:val="32"/>
          <w:szCs w:val="32"/>
          <w:highlight w:val="none"/>
        </w:rPr>
      </w:pPr>
    </w:p>
    <w:p w14:paraId="7EECC540">
      <w:pPr>
        <w:autoSpaceDE w:val="0"/>
        <w:autoSpaceDN w:val="0"/>
        <w:jc w:val="center"/>
        <w:rPr>
          <w:rFonts w:hint="eastAsia" w:ascii="宋体" w:hAnsi="宋体" w:eastAsia="宋体" w:cs="宋体"/>
          <w:b/>
          <w:color w:val="auto"/>
          <w:spacing w:val="6"/>
          <w:sz w:val="32"/>
          <w:szCs w:val="32"/>
          <w:highlight w:val="none"/>
        </w:rPr>
      </w:pPr>
    </w:p>
    <w:p w14:paraId="120001B1">
      <w:pPr>
        <w:autoSpaceDE w:val="0"/>
        <w:autoSpaceDN w:val="0"/>
        <w:jc w:val="center"/>
        <w:rPr>
          <w:rFonts w:hint="eastAsia" w:ascii="宋体" w:hAnsi="宋体" w:eastAsia="宋体" w:cs="宋体"/>
          <w:b/>
          <w:color w:val="auto"/>
          <w:spacing w:val="6"/>
          <w:sz w:val="32"/>
          <w:szCs w:val="32"/>
          <w:highlight w:val="none"/>
        </w:rPr>
      </w:pPr>
    </w:p>
    <w:p w14:paraId="14A5D28B">
      <w:pPr>
        <w:autoSpaceDE w:val="0"/>
        <w:autoSpaceDN w:val="0"/>
        <w:jc w:val="center"/>
        <w:rPr>
          <w:rFonts w:hint="eastAsia" w:ascii="宋体" w:hAnsi="宋体" w:eastAsia="宋体" w:cs="宋体"/>
          <w:b/>
          <w:color w:val="auto"/>
          <w:spacing w:val="6"/>
          <w:sz w:val="32"/>
          <w:szCs w:val="32"/>
          <w:highlight w:val="none"/>
        </w:rPr>
      </w:pPr>
    </w:p>
    <w:p w14:paraId="35F8B88F">
      <w:pPr>
        <w:autoSpaceDE w:val="0"/>
        <w:autoSpaceDN w:val="0"/>
        <w:jc w:val="center"/>
        <w:rPr>
          <w:rFonts w:hint="eastAsia" w:ascii="宋体" w:hAnsi="宋体" w:eastAsia="宋体" w:cs="宋体"/>
          <w:b/>
          <w:color w:val="auto"/>
          <w:spacing w:val="6"/>
          <w:sz w:val="32"/>
          <w:szCs w:val="32"/>
          <w:highlight w:val="none"/>
        </w:rPr>
      </w:pPr>
    </w:p>
    <w:p w14:paraId="2560D7E8">
      <w:pPr>
        <w:autoSpaceDE w:val="0"/>
        <w:autoSpaceDN w:val="0"/>
        <w:jc w:val="center"/>
        <w:rPr>
          <w:rFonts w:hint="eastAsia" w:ascii="宋体" w:hAnsi="宋体" w:eastAsia="宋体" w:cs="宋体"/>
          <w:b/>
          <w:color w:val="auto"/>
          <w:spacing w:val="6"/>
          <w:sz w:val="32"/>
          <w:szCs w:val="32"/>
          <w:highlight w:val="none"/>
        </w:rPr>
      </w:pPr>
    </w:p>
    <w:p w14:paraId="766B1A2B">
      <w:pPr>
        <w:autoSpaceDE w:val="0"/>
        <w:autoSpaceDN w:val="0"/>
        <w:jc w:val="center"/>
        <w:rPr>
          <w:rFonts w:hint="eastAsia" w:ascii="宋体" w:hAnsi="宋体" w:eastAsia="宋体" w:cs="宋体"/>
          <w:b/>
          <w:color w:val="auto"/>
          <w:spacing w:val="6"/>
          <w:sz w:val="32"/>
          <w:szCs w:val="32"/>
          <w:highlight w:val="none"/>
        </w:rPr>
      </w:pPr>
    </w:p>
    <w:p w14:paraId="517882BA">
      <w:pPr>
        <w:autoSpaceDE w:val="0"/>
        <w:autoSpaceDN w:val="0"/>
        <w:jc w:val="center"/>
        <w:rPr>
          <w:rFonts w:hint="eastAsia" w:ascii="宋体" w:hAnsi="宋体" w:eastAsia="宋体" w:cs="宋体"/>
          <w:b/>
          <w:color w:val="auto"/>
          <w:spacing w:val="6"/>
          <w:sz w:val="32"/>
          <w:szCs w:val="32"/>
          <w:highlight w:val="none"/>
        </w:rPr>
      </w:pPr>
    </w:p>
    <w:p w14:paraId="66D114AE">
      <w:pPr>
        <w:autoSpaceDE w:val="0"/>
        <w:autoSpaceDN w:val="0"/>
        <w:jc w:val="center"/>
        <w:rPr>
          <w:rFonts w:hint="eastAsia" w:ascii="宋体" w:hAnsi="宋体" w:eastAsia="宋体" w:cs="宋体"/>
          <w:b/>
          <w:color w:val="auto"/>
          <w:spacing w:val="6"/>
          <w:sz w:val="32"/>
          <w:szCs w:val="32"/>
          <w:highlight w:val="none"/>
        </w:rPr>
      </w:pPr>
    </w:p>
    <w:p w14:paraId="6C05B492">
      <w:pPr>
        <w:autoSpaceDE w:val="0"/>
        <w:autoSpaceDN w:val="0"/>
        <w:jc w:val="center"/>
        <w:rPr>
          <w:rFonts w:hint="eastAsia" w:ascii="宋体" w:hAnsi="宋体" w:eastAsia="宋体" w:cs="宋体"/>
          <w:b/>
          <w:color w:val="auto"/>
          <w:spacing w:val="6"/>
          <w:sz w:val="32"/>
          <w:szCs w:val="32"/>
          <w:highlight w:val="none"/>
        </w:rPr>
      </w:pPr>
    </w:p>
    <w:p w14:paraId="07351C15">
      <w:pPr>
        <w:autoSpaceDE w:val="0"/>
        <w:autoSpaceDN w:val="0"/>
        <w:jc w:val="center"/>
        <w:rPr>
          <w:rFonts w:hint="eastAsia" w:ascii="宋体" w:hAnsi="宋体" w:eastAsia="宋体" w:cs="宋体"/>
          <w:b/>
          <w:color w:val="auto"/>
          <w:spacing w:val="6"/>
          <w:sz w:val="32"/>
          <w:szCs w:val="32"/>
          <w:highlight w:val="none"/>
        </w:rPr>
      </w:pPr>
    </w:p>
    <w:p w14:paraId="0B6A8338">
      <w:pPr>
        <w:autoSpaceDE w:val="0"/>
        <w:autoSpaceDN w:val="0"/>
        <w:jc w:val="center"/>
        <w:rPr>
          <w:rFonts w:hint="eastAsia" w:ascii="宋体" w:hAnsi="宋体" w:eastAsia="宋体" w:cs="宋体"/>
          <w:b/>
          <w:color w:val="auto"/>
          <w:spacing w:val="6"/>
          <w:sz w:val="32"/>
          <w:szCs w:val="32"/>
          <w:highlight w:val="none"/>
        </w:rPr>
      </w:pPr>
    </w:p>
    <w:p w14:paraId="2F1B3AB0">
      <w:pPr>
        <w:autoSpaceDE w:val="0"/>
        <w:autoSpaceDN w:val="0"/>
        <w:jc w:val="center"/>
        <w:rPr>
          <w:rFonts w:hint="eastAsia" w:ascii="宋体" w:hAnsi="宋体" w:eastAsia="宋体" w:cs="宋体"/>
          <w:b/>
          <w:color w:val="auto"/>
          <w:spacing w:val="6"/>
          <w:sz w:val="32"/>
          <w:szCs w:val="32"/>
          <w:highlight w:val="none"/>
        </w:rPr>
      </w:pPr>
    </w:p>
    <w:p w14:paraId="59EC13D5">
      <w:pPr>
        <w:autoSpaceDE w:val="0"/>
        <w:autoSpaceDN w:val="0"/>
        <w:jc w:val="center"/>
        <w:rPr>
          <w:rFonts w:hint="eastAsia" w:ascii="宋体" w:hAnsi="宋体" w:eastAsia="宋体" w:cs="宋体"/>
          <w:b/>
          <w:color w:val="auto"/>
          <w:spacing w:val="6"/>
          <w:sz w:val="32"/>
          <w:szCs w:val="32"/>
          <w:highlight w:val="none"/>
        </w:rPr>
      </w:pPr>
    </w:p>
    <w:p w14:paraId="0F610A43">
      <w:pPr>
        <w:autoSpaceDE w:val="0"/>
        <w:autoSpaceDN w:val="0"/>
        <w:jc w:val="center"/>
        <w:rPr>
          <w:rFonts w:hint="eastAsia" w:ascii="宋体" w:hAnsi="宋体" w:eastAsia="宋体" w:cs="宋体"/>
          <w:b/>
          <w:color w:val="auto"/>
          <w:spacing w:val="6"/>
          <w:sz w:val="32"/>
          <w:szCs w:val="32"/>
          <w:highlight w:val="none"/>
        </w:rPr>
      </w:pPr>
    </w:p>
    <w:p w14:paraId="646C24CB">
      <w:pPr>
        <w:autoSpaceDE w:val="0"/>
        <w:autoSpaceDN w:val="0"/>
        <w:jc w:val="center"/>
        <w:rPr>
          <w:rFonts w:hint="eastAsia" w:ascii="宋体" w:hAnsi="宋体" w:eastAsia="宋体" w:cs="宋体"/>
          <w:b/>
          <w:color w:val="auto"/>
          <w:spacing w:val="6"/>
          <w:sz w:val="32"/>
          <w:szCs w:val="32"/>
          <w:highlight w:val="none"/>
        </w:rPr>
      </w:pPr>
    </w:p>
    <w:p w14:paraId="16581D50">
      <w:pPr>
        <w:autoSpaceDE w:val="0"/>
        <w:autoSpaceDN w:val="0"/>
        <w:jc w:val="center"/>
        <w:rPr>
          <w:rFonts w:hint="eastAsia" w:ascii="宋体" w:hAnsi="宋体" w:eastAsia="宋体" w:cs="宋体"/>
          <w:b/>
          <w:color w:val="auto"/>
          <w:spacing w:val="6"/>
          <w:sz w:val="32"/>
          <w:szCs w:val="32"/>
          <w:highlight w:val="none"/>
        </w:rPr>
      </w:pPr>
    </w:p>
    <w:p w14:paraId="6838BE6C">
      <w:pPr>
        <w:autoSpaceDE w:val="0"/>
        <w:autoSpaceDN w:val="0"/>
        <w:jc w:val="center"/>
        <w:rPr>
          <w:rFonts w:hint="eastAsia" w:ascii="宋体" w:hAnsi="宋体" w:eastAsia="宋体" w:cs="宋体"/>
          <w:b/>
          <w:color w:val="auto"/>
          <w:spacing w:val="6"/>
          <w:sz w:val="32"/>
          <w:szCs w:val="32"/>
          <w:highlight w:val="none"/>
        </w:rPr>
      </w:pPr>
    </w:p>
    <w:p w14:paraId="6151D81F">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19EDA44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25C8DD98">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u w:val="single"/>
          <w14:ligatures w14:val="none"/>
        </w:rPr>
        <w:t>（联合体所有成员名称）</w:t>
      </w:r>
      <w:r>
        <w:rPr>
          <w:rFonts w:hint="eastAsia" w:ascii="宋体" w:hAnsi="宋体" w:cs="宋体"/>
          <w:color w:val="auto"/>
          <w:kern w:val="0"/>
          <w:sz w:val="24"/>
          <w:szCs w:val="24"/>
          <w:highlight w:val="none"/>
          <w14:ligatures w14:val="none"/>
        </w:rPr>
        <w:t>自愿</w:t>
      </w:r>
      <w:r>
        <w:rPr>
          <w:rFonts w:hint="eastAsia" w:ascii="宋体" w:hAnsi="宋体" w:cs="宋体"/>
          <w:color w:val="auto"/>
          <w:kern w:val="0"/>
          <w:sz w:val="24"/>
          <w:szCs w:val="24"/>
          <w:highlight w:val="none"/>
          <w:lang w:val="zh-CN"/>
          <w14:ligatures w14:val="none"/>
        </w:rPr>
        <w:t>组成一个联合体，以一个投标人的身份</w:t>
      </w:r>
      <w:r>
        <w:rPr>
          <w:rFonts w:hint="eastAsia" w:ascii="宋体" w:hAnsi="宋体" w:cs="宋体"/>
          <w:color w:val="auto"/>
          <w:kern w:val="0"/>
          <w:sz w:val="24"/>
          <w:szCs w:val="24"/>
          <w:highlight w:val="none"/>
          <w14:ligatures w14:val="none"/>
        </w:rPr>
        <w:t>参加</w:t>
      </w:r>
      <w:r>
        <w:rPr>
          <w:rFonts w:hint="eastAsia" w:ascii="宋体" w:hAnsi="宋体" w:cs="宋体"/>
          <w:color w:val="auto"/>
          <w:sz w:val="24"/>
          <w:szCs w:val="24"/>
          <w:highlight w:val="none"/>
          <w14:ligatures w14:val="none"/>
        </w:rPr>
        <w:t>（项目名称）【招标编号：（采购编号）】</w:t>
      </w:r>
      <w:r>
        <w:rPr>
          <w:rFonts w:hint="eastAsia" w:ascii="宋体" w:hAnsi="宋体" w:cs="宋体"/>
          <w:color w:val="auto"/>
          <w:kern w:val="0"/>
          <w:sz w:val="24"/>
          <w:szCs w:val="24"/>
          <w:highlight w:val="none"/>
          <w:lang w:val="zh-CN"/>
          <w14:ligatures w14:val="none"/>
        </w:rPr>
        <w:t xml:space="preserve">投标。 </w:t>
      </w:r>
    </w:p>
    <w:p w14:paraId="25E9E9E9">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一、各方一致决定，</w:t>
      </w:r>
      <w:r>
        <w:rPr>
          <w:rFonts w:hint="eastAsia" w:ascii="宋体" w:hAnsi="宋体" w:cs="宋体"/>
          <w:color w:val="auto"/>
          <w:kern w:val="0"/>
          <w:sz w:val="24"/>
          <w:szCs w:val="24"/>
          <w:highlight w:val="none"/>
          <w:u w:val="single"/>
          <w14:ligatures w14:val="none"/>
        </w:rPr>
        <w:t>（某联合体成员名称）</w:t>
      </w:r>
      <w:r>
        <w:rPr>
          <w:rFonts w:hint="eastAsia" w:ascii="宋体" w:hAnsi="宋体" w:cs="宋体"/>
          <w:color w:val="auto"/>
          <w:kern w:val="0"/>
          <w:sz w:val="24"/>
          <w:szCs w:val="24"/>
          <w:highlight w:val="none"/>
          <w14:ligatures w14:val="none"/>
        </w:rPr>
        <w:t>为联合体</w:t>
      </w:r>
      <w:r>
        <w:rPr>
          <w:rFonts w:hint="eastAsia" w:ascii="宋体" w:hAnsi="宋体" w:cs="宋体"/>
          <w:color w:val="auto"/>
          <w:kern w:val="0"/>
          <w:sz w:val="24"/>
          <w:szCs w:val="24"/>
          <w:highlight w:val="none"/>
          <w:lang w:val="zh-CN"/>
          <w14:ligatures w14:val="none"/>
        </w:rPr>
        <w:t>牵头人</w:t>
      </w:r>
      <w:r>
        <w:rPr>
          <w:rFonts w:hint="eastAsia" w:ascii="宋体" w:hAnsi="宋体" w:cs="宋体"/>
          <w:color w:val="auto"/>
          <w:sz w:val="24"/>
          <w:szCs w:val="24"/>
          <w:highlight w:val="none"/>
          <w14:ligatures w14:val="none"/>
        </w:rPr>
        <w:t>，代表所有联合体成员负责投标和合同实施阶段的主办、协调工作</w:t>
      </w:r>
      <w:r>
        <w:rPr>
          <w:rFonts w:hint="eastAsia" w:ascii="宋体" w:hAnsi="宋体" w:cs="宋体"/>
          <w:color w:val="auto"/>
          <w:kern w:val="0"/>
          <w:sz w:val="24"/>
          <w:szCs w:val="24"/>
          <w:highlight w:val="none"/>
          <w:lang w:val="zh-CN"/>
          <w14:ligatures w14:val="none"/>
        </w:rPr>
        <w:t>。</w:t>
      </w:r>
    </w:p>
    <w:p w14:paraId="19BF5362">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二、</w:t>
      </w:r>
      <w:r>
        <w:rPr>
          <w:rFonts w:hint="eastAsia" w:ascii="宋体" w:hAnsi="宋体" w:cs="宋体"/>
          <w:color w:val="auto"/>
          <w:sz w:val="24"/>
          <w:szCs w:val="24"/>
          <w:highlight w:val="none"/>
          <w14:ligatures w14:val="none"/>
        </w:rPr>
        <w:t>所有联合体成员各方签署授权书，授权书载明的</w:t>
      </w:r>
      <w:r>
        <w:rPr>
          <w:rFonts w:hint="eastAsia" w:ascii="宋体" w:hAnsi="宋体" w:cs="宋体"/>
          <w:color w:val="auto"/>
          <w:kern w:val="0"/>
          <w:sz w:val="24"/>
          <w:szCs w:val="24"/>
          <w:highlight w:val="none"/>
          <w:lang w:val="zh-CN"/>
          <w14:ligatures w14:val="none"/>
        </w:rPr>
        <w:t>授权代表根据招标文件规定及投标内容而对采购人、采购代理机构所作的任何合法承诺，包括书面澄清及相应等均对联合投标各方产生约束力。</w:t>
      </w:r>
    </w:p>
    <w:p w14:paraId="5BEE91DE">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三、本次联合投标中，分工如下：</w:t>
      </w:r>
    </w:p>
    <w:p w14:paraId="6A5EE57C">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u w:val="single"/>
          <w14:ligatures w14:val="none"/>
        </w:rPr>
        <w:t>（联合体成员1）</w:t>
      </w:r>
      <w:r>
        <w:rPr>
          <w:rFonts w:hint="eastAsia" w:ascii="宋体" w:hAnsi="宋体" w:cs="宋体"/>
          <w:color w:val="auto"/>
          <w:kern w:val="0"/>
          <w:sz w:val="24"/>
          <w:szCs w:val="24"/>
          <w:highlight w:val="none"/>
          <w:lang w:val="zh-CN"/>
          <w14:ligatures w14:val="none"/>
        </w:rPr>
        <w:t>承担的工作和义务为：</w:t>
      </w:r>
      <w:r>
        <w:rPr>
          <w:rFonts w:hint="eastAsia" w:ascii="宋体" w:hAnsi="宋体" w:cs="宋体"/>
          <w:color w:val="auto"/>
          <w:sz w:val="24"/>
          <w:szCs w:val="24"/>
          <w:highlight w:val="none"/>
          <w:u w:val="single"/>
          <w14:ligatures w14:val="none"/>
        </w:rPr>
        <w:t xml:space="preserve">             </w:t>
      </w:r>
      <w:r>
        <w:rPr>
          <w:rFonts w:hint="eastAsia" w:ascii="宋体" w:hAnsi="宋体" w:cs="宋体"/>
          <w:color w:val="auto"/>
          <w:kern w:val="0"/>
          <w:sz w:val="24"/>
          <w:szCs w:val="24"/>
          <w:highlight w:val="none"/>
          <w:lang w:val="zh-CN"/>
          <w14:ligatures w14:val="none"/>
        </w:rPr>
        <w:t>；</w:t>
      </w:r>
    </w:p>
    <w:p w14:paraId="5596BF34">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u w:val="single"/>
          <w14:ligatures w14:val="none"/>
        </w:rPr>
        <w:t>（联合体成员</w:t>
      </w:r>
      <w:r>
        <w:rPr>
          <w:rFonts w:ascii="宋体" w:hAnsi="宋体" w:cs="宋体"/>
          <w:color w:val="auto"/>
          <w:kern w:val="0"/>
          <w:sz w:val="24"/>
          <w:szCs w:val="24"/>
          <w:highlight w:val="none"/>
          <w:u w:val="single"/>
          <w14:ligatures w14:val="none"/>
        </w:rPr>
        <w:t>2</w:t>
      </w:r>
      <w:r>
        <w:rPr>
          <w:rFonts w:hint="eastAsia" w:ascii="宋体" w:hAnsi="宋体" w:cs="宋体"/>
          <w:color w:val="auto"/>
          <w:kern w:val="0"/>
          <w:sz w:val="24"/>
          <w:szCs w:val="24"/>
          <w:highlight w:val="none"/>
          <w:u w:val="single"/>
          <w14:ligatures w14:val="none"/>
        </w:rPr>
        <w:t>）</w:t>
      </w:r>
      <w:r>
        <w:rPr>
          <w:rFonts w:hint="eastAsia" w:ascii="宋体" w:hAnsi="宋体" w:cs="宋体"/>
          <w:color w:val="auto"/>
          <w:kern w:val="0"/>
          <w:sz w:val="24"/>
          <w:szCs w:val="24"/>
          <w:highlight w:val="none"/>
          <w:lang w:val="zh-CN"/>
          <w14:ligatures w14:val="none"/>
        </w:rPr>
        <w:t>承担的工作和义务为：</w:t>
      </w:r>
      <w:r>
        <w:rPr>
          <w:rFonts w:hint="eastAsia" w:ascii="宋体" w:hAnsi="宋体" w:cs="宋体"/>
          <w:color w:val="auto"/>
          <w:sz w:val="24"/>
          <w:szCs w:val="24"/>
          <w:highlight w:val="none"/>
          <w:u w:val="single"/>
          <w14:ligatures w14:val="none"/>
        </w:rPr>
        <w:t xml:space="preserve">             </w:t>
      </w:r>
      <w:r>
        <w:rPr>
          <w:rFonts w:hint="eastAsia" w:ascii="宋体" w:hAnsi="宋体" w:cs="宋体"/>
          <w:color w:val="auto"/>
          <w:kern w:val="0"/>
          <w:sz w:val="24"/>
          <w:szCs w:val="24"/>
          <w:highlight w:val="none"/>
          <w:lang w:val="zh-CN"/>
          <w14:ligatures w14:val="none"/>
        </w:rPr>
        <w:t>；</w:t>
      </w:r>
    </w:p>
    <w:p w14:paraId="13322315">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w:t>
      </w:r>
    </w:p>
    <w:p w14:paraId="05789368">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四、联合体成员中小企业合同份额。</w:t>
      </w:r>
    </w:p>
    <w:p w14:paraId="7DBBA7C9">
      <w:pPr>
        <w:snapToGrid w:val="0"/>
        <w:spacing w:line="360" w:lineRule="auto"/>
        <w:ind w:firstLine="480"/>
        <w:rPr>
          <w:rFonts w:hint="eastAsia" w:ascii="宋体" w:hAnsi="宋体" w:cs="宋体"/>
          <w:b/>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1、</w:t>
      </w:r>
      <w:r>
        <w:rPr>
          <w:rFonts w:hint="eastAsia" w:ascii="宋体" w:hAnsi="宋体" w:cs="宋体"/>
          <w:color w:val="auto"/>
          <w:kern w:val="0"/>
          <w:sz w:val="24"/>
          <w:szCs w:val="24"/>
          <w:highlight w:val="none"/>
          <w:u w:val="single"/>
          <w14:ligatures w14:val="none"/>
        </w:rPr>
        <w:t>（</w:t>
      </w:r>
      <w:bookmarkStart w:id="409" w:name="_Hlk101131882"/>
      <w:r>
        <w:rPr>
          <w:rFonts w:hint="eastAsia" w:ascii="宋体" w:hAnsi="宋体" w:cs="宋体"/>
          <w:color w:val="auto"/>
          <w:kern w:val="0"/>
          <w:sz w:val="24"/>
          <w:szCs w:val="24"/>
          <w:highlight w:val="none"/>
          <w:u w:val="single"/>
          <w14:ligatures w14:val="none"/>
        </w:rPr>
        <w:t>联合体成员X</w:t>
      </w:r>
      <w:r>
        <w:rPr>
          <w:rFonts w:ascii="宋体" w:hAnsi="宋体" w:cs="宋体"/>
          <w:color w:val="auto"/>
          <w:kern w:val="0"/>
          <w:sz w:val="24"/>
          <w:szCs w:val="24"/>
          <w:highlight w:val="none"/>
          <w:u w:val="single"/>
          <w14:ligatures w14:val="none"/>
        </w:rPr>
        <w:t>,</w:t>
      </w:r>
      <w:r>
        <w:rPr>
          <w:rFonts w:hint="eastAsia" w:ascii="宋体" w:hAnsi="宋体" w:cs="宋体"/>
          <w:color w:val="auto"/>
          <w:kern w:val="0"/>
          <w:sz w:val="24"/>
          <w:szCs w:val="24"/>
          <w:highlight w:val="none"/>
          <w:u w:val="single"/>
          <w14:ligatures w14:val="none"/>
        </w:rPr>
        <w:t>……</w:t>
      </w:r>
      <w:bookmarkEnd w:id="409"/>
      <w:r>
        <w:rPr>
          <w:rFonts w:hint="eastAsia" w:ascii="宋体" w:hAnsi="宋体" w:cs="宋体"/>
          <w:color w:val="auto"/>
          <w:kern w:val="0"/>
          <w:sz w:val="24"/>
          <w:szCs w:val="24"/>
          <w:highlight w:val="none"/>
          <w:u w:val="single"/>
          <w14:ligatures w14:val="none"/>
        </w:rPr>
        <w:t>）</w:t>
      </w:r>
      <w:r>
        <w:rPr>
          <w:rFonts w:hint="eastAsia" w:ascii="宋体" w:hAnsi="宋体" w:cs="宋体"/>
          <w:color w:val="auto"/>
          <w:kern w:val="0"/>
          <w:sz w:val="24"/>
          <w:szCs w:val="24"/>
          <w:highlight w:val="none"/>
          <w14:ligatures w14:val="none"/>
        </w:rPr>
        <w:t>提供的服务由小微企业承接，其合同份额占到合同总金额</w:t>
      </w:r>
      <w:r>
        <w:rPr>
          <w:rFonts w:hint="eastAsia" w:ascii="宋体" w:hAnsi="宋体" w:cs="宋体"/>
          <w:color w:val="auto"/>
          <w:kern w:val="0"/>
          <w:sz w:val="24"/>
          <w:szCs w:val="24"/>
          <w:highlight w:val="none"/>
          <w:u w:val="single"/>
          <w14:ligatures w14:val="none"/>
        </w:rPr>
        <w:t xml:space="preserve">     </w:t>
      </w:r>
      <w:r>
        <w:rPr>
          <w:rFonts w:hint="eastAsia" w:ascii="宋体" w:hAnsi="宋体" w:cs="宋体"/>
          <w:color w:val="auto"/>
          <w:kern w:val="0"/>
          <w:sz w:val="24"/>
          <w:szCs w:val="24"/>
          <w:highlight w:val="none"/>
          <w14:ligatures w14:val="none"/>
        </w:rPr>
        <w:t>%以上</w:t>
      </w:r>
      <w:r>
        <w:rPr>
          <w:rFonts w:hint="eastAsia" w:ascii="宋体" w:hAnsi="宋体" w:cs="宋体"/>
          <w:color w:val="auto"/>
          <w:kern w:val="0"/>
          <w:sz w:val="24"/>
          <w:szCs w:val="24"/>
          <w:highlight w:val="none"/>
          <w:lang w:val="zh-CN"/>
          <w14:ligatures w14:val="none"/>
        </w:rPr>
        <w:t>。</w:t>
      </w:r>
      <w:r>
        <w:rPr>
          <w:rFonts w:hint="eastAsia" w:ascii="宋体" w:hAnsi="宋体" w:cs="宋体"/>
          <w:b/>
          <w:color w:val="auto"/>
          <w:kern w:val="0"/>
          <w:sz w:val="24"/>
          <w:szCs w:val="24"/>
          <w:highlight w:val="none"/>
          <w:lang w:val="zh-CN"/>
          <w14:ligatures w14:val="none"/>
        </w:rPr>
        <w:t>（</w:t>
      </w:r>
      <w:bookmarkStart w:id="410" w:name="_Hlk101133598"/>
      <w:r>
        <w:rPr>
          <w:rFonts w:hint="eastAsia" w:ascii="宋体" w:hAnsi="宋体" w:cs="宋体"/>
          <w:b/>
          <w:color w:val="auto"/>
          <w:kern w:val="0"/>
          <w:sz w:val="24"/>
          <w:szCs w:val="24"/>
          <w:highlight w:val="none"/>
          <w:lang w:val="zh-CN"/>
          <w14:ligatures w14:val="none"/>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szCs w:val="24"/>
          <w:highlight w:val="none"/>
          <w14:ligatures w14:val="none"/>
        </w:rPr>
        <w:t>拟享受以上价格扣除政策的，填写有关内容。</w:t>
      </w:r>
      <w:bookmarkEnd w:id="410"/>
      <w:r>
        <w:rPr>
          <w:rFonts w:hint="eastAsia" w:ascii="宋体" w:hAnsi="宋体" w:cs="宋体"/>
          <w:b/>
          <w:color w:val="auto"/>
          <w:kern w:val="0"/>
          <w:sz w:val="24"/>
          <w:szCs w:val="24"/>
          <w:highlight w:val="none"/>
          <w:lang w:val="zh-CN"/>
          <w14:ligatures w14:val="none"/>
        </w:rPr>
        <w:t>）</w:t>
      </w:r>
    </w:p>
    <w:p w14:paraId="2320D444">
      <w:pPr>
        <w:spacing w:line="360" w:lineRule="auto"/>
        <w:ind w:firstLine="480" w:firstLineChars="200"/>
        <w:rPr>
          <w:rFonts w:hint="eastAsia" w:ascii="宋体" w:hAnsi="宋体" w:cs="宋体"/>
          <w:b/>
          <w:bCs/>
          <w:color w:val="auto"/>
          <w:kern w:val="0"/>
          <w:sz w:val="24"/>
          <w:szCs w:val="24"/>
          <w:highlight w:val="none"/>
          <w:lang w:val="zh-CN"/>
          <w14:ligatures w14:val="none"/>
        </w:rPr>
      </w:pPr>
      <w:r>
        <w:rPr>
          <w:rFonts w:hint="eastAsia" w:ascii="宋体" w:hAnsi="宋体" w:cs="宋体"/>
          <w:color w:val="auto"/>
          <w:sz w:val="24"/>
          <w:szCs w:val="24"/>
          <w:highlight w:val="none"/>
          <w14:ligatures w14:val="none"/>
        </w:rPr>
        <w:t>2、中小企业合同金额达到</w:t>
      </w:r>
      <w:r>
        <w:rPr>
          <w:rFonts w:hint="eastAsia" w:ascii="宋体" w:hAnsi="宋体" w:cs="宋体"/>
          <w:color w:val="auto"/>
          <w:sz w:val="24"/>
          <w:szCs w:val="24"/>
          <w:highlight w:val="none"/>
          <w:u w:val="single"/>
          <w14:ligatures w14:val="none"/>
        </w:rPr>
        <w:t xml:space="preserve">  </w:t>
      </w:r>
      <w:r>
        <w:rPr>
          <w:rFonts w:hint="eastAsia" w:ascii="宋体" w:hAnsi="宋体" w:cs="宋体"/>
          <w:color w:val="auto"/>
          <w:sz w:val="24"/>
          <w:szCs w:val="24"/>
          <w:highlight w:val="none"/>
          <w14:ligatures w14:val="none"/>
        </w:rPr>
        <w:t>%，小微企业合同金额达到</w:t>
      </w:r>
      <w:r>
        <w:rPr>
          <w:rFonts w:hint="eastAsia" w:ascii="宋体" w:hAnsi="宋体" w:cs="宋体"/>
          <w:color w:val="auto"/>
          <w:sz w:val="24"/>
          <w:szCs w:val="24"/>
          <w:highlight w:val="none"/>
          <w:u w:val="single"/>
          <w14:ligatures w14:val="none"/>
        </w:rPr>
        <w:t xml:space="preserve"> </w:t>
      </w:r>
      <w:r>
        <w:rPr>
          <w:rFonts w:hint="eastAsia" w:ascii="宋体" w:hAnsi="宋体" w:cs="宋体"/>
          <w:color w:val="auto"/>
          <w:sz w:val="24"/>
          <w:szCs w:val="24"/>
          <w:highlight w:val="none"/>
          <w14:ligatures w14:val="none"/>
        </w:rPr>
        <w:t>%</w:t>
      </w:r>
      <w:r>
        <w:rPr>
          <w:rFonts w:hint="eastAsia" w:ascii="宋体" w:hAnsi="宋体" w:cs="宋体"/>
          <w:color w:val="auto"/>
          <w:kern w:val="0"/>
          <w:sz w:val="24"/>
          <w:szCs w:val="24"/>
          <w:highlight w:val="none"/>
          <w:lang w:val="zh-CN"/>
          <w14:ligatures w14:val="none"/>
        </w:rPr>
        <w:t>。</w:t>
      </w:r>
      <w:r>
        <w:rPr>
          <w:rFonts w:hint="eastAsia" w:ascii="宋体" w:hAnsi="宋体" w:cs="宋体"/>
          <w:b/>
          <w:bCs/>
          <w:color w:val="auto"/>
          <w:kern w:val="0"/>
          <w:sz w:val="24"/>
          <w:szCs w:val="24"/>
          <w:highlight w:val="none"/>
          <w:lang w:val="zh-CN"/>
          <w14:ligatures w14:val="none"/>
        </w:rPr>
        <w:t>（</w:t>
      </w:r>
      <w:r>
        <w:rPr>
          <w:rFonts w:hint="eastAsia" w:ascii="宋体" w:hAnsi="宋体" w:cs="宋体"/>
          <w:b/>
          <w:bCs/>
          <w:color w:val="auto"/>
          <w:sz w:val="24"/>
          <w:szCs w:val="24"/>
          <w:highlight w:val="none"/>
          <w14:ligatures w14: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szCs w:val="24"/>
          <w:highlight w:val="none"/>
          <w:lang w:val="zh-CN"/>
          <w14:ligatures w14:val="none"/>
        </w:rPr>
        <w:t>）</w:t>
      </w:r>
    </w:p>
    <w:p w14:paraId="3D7BED20">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五、如果中标，</w:t>
      </w:r>
      <w:r>
        <w:rPr>
          <w:rFonts w:hint="eastAsia" w:ascii="宋体" w:hAnsi="宋体" w:cs="宋体"/>
          <w:color w:val="auto"/>
          <w:sz w:val="24"/>
          <w:szCs w:val="24"/>
          <w:highlight w:val="none"/>
          <w14:ligatures w14:val="none"/>
        </w:rPr>
        <w:t>联合体各成员方共同与采购人签订合同，并就采购合同约定的事项对采购人承担连带责任。</w:t>
      </w:r>
    </w:p>
    <w:p w14:paraId="5644B5D9">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六、有关本次联合投标的其他事宜：</w:t>
      </w:r>
    </w:p>
    <w:p w14:paraId="25011BC7">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1、联合体各方不再单独参加或者与其他供应商另外组成联合体参加同一合同项下的政府采购活动。</w:t>
      </w:r>
    </w:p>
    <w:p w14:paraId="369361E2">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2、联合体中有同类资质的各方按照联合体分工承担相同工作的，按照资质等级较低的供应商确定资质等级。</w:t>
      </w:r>
    </w:p>
    <w:p w14:paraId="4F1EE49B">
      <w:pPr>
        <w:snapToGrid w:val="0"/>
        <w:spacing w:line="360" w:lineRule="auto"/>
        <w:ind w:firstLine="48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3、本协议提交采购人、采购代理机构后，联合体各方不得以任何形式对上述内容进行修改或撤销。</w:t>
      </w:r>
    </w:p>
    <w:p w14:paraId="6F34EF6A">
      <w:pPr>
        <w:snapToGrid w:val="0"/>
        <w:spacing w:line="360" w:lineRule="auto"/>
        <w:ind w:firstLine="5040" w:firstLineChars="210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联合体成员名称(电子签名/公章)：</w:t>
      </w:r>
    </w:p>
    <w:p w14:paraId="5CD19EEE">
      <w:pPr>
        <w:snapToGrid w:val="0"/>
        <w:spacing w:line="360" w:lineRule="auto"/>
        <w:ind w:firstLine="5040" w:firstLineChars="2100"/>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联合体成员名称(电子签名/公章)：</w:t>
      </w:r>
    </w:p>
    <w:p w14:paraId="70CB002D">
      <w:pPr>
        <w:snapToGrid w:val="0"/>
        <w:spacing w:line="360" w:lineRule="auto"/>
        <w:ind w:right="960" w:firstLine="480"/>
        <w:jc w:val="center"/>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 xml:space="preserve">                   ……</w:t>
      </w:r>
    </w:p>
    <w:p w14:paraId="36D2B7E2">
      <w:pPr>
        <w:snapToGrid w:val="0"/>
        <w:spacing w:line="360" w:lineRule="auto"/>
        <w:ind w:firstLine="480"/>
        <w:jc w:val="right"/>
        <w:rPr>
          <w:rFonts w:hint="eastAsia" w:ascii="宋体" w:hAnsi="宋体" w:cs="宋体"/>
          <w:color w:val="auto"/>
          <w:kern w:val="0"/>
          <w:sz w:val="24"/>
          <w:szCs w:val="24"/>
          <w:highlight w:val="none"/>
          <w:lang w:val="zh-CN"/>
          <w14:ligatures w14:val="none"/>
        </w:rPr>
      </w:pPr>
      <w:r>
        <w:rPr>
          <w:rFonts w:hint="eastAsia" w:ascii="宋体" w:hAnsi="宋体" w:cs="宋体"/>
          <w:color w:val="auto"/>
          <w:kern w:val="0"/>
          <w:sz w:val="24"/>
          <w:szCs w:val="24"/>
          <w:highlight w:val="none"/>
          <w:lang w:val="zh-CN"/>
          <w14:ligatures w14:val="none"/>
        </w:rPr>
        <w:t>日期：  年  月   日</w:t>
      </w:r>
    </w:p>
    <w:p w14:paraId="401F08DA">
      <w:pPr>
        <w:snapToGrid w:val="0"/>
        <w:spacing w:line="360" w:lineRule="auto"/>
        <w:jc w:val="right"/>
        <w:rPr>
          <w:rFonts w:hint="eastAsia" w:ascii="宋体" w:hAnsi="宋体" w:eastAsia="宋体" w:cs="宋体"/>
          <w:color w:val="auto"/>
          <w:kern w:val="0"/>
          <w:sz w:val="24"/>
          <w:highlight w:val="none"/>
          <w:lang w:val="zh-CN"/>
        </w:rPr>
      </w:pPr>
    </w:p>
    <w:p w14:paraId="432D2F1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0A97720">
      <w:pPr>
        <w:autoSpaceDE w:val="0"/>
        <w:autoSpaceDN w:val="0"/>
        <w:jc w:val="center"/>
        <w:rPr>
          <w:rFonts w:hint="eastAsia" w:ascii="宋体" w:hAnsi="宋体" w:eastAsia="宋体" w:cs="宋体"/>
          <w:b/>
          <w:color w:val="auto"/>
          <w:spacing w:val="6"/>
          <w:sz w:val="32"/>
          <w:szCs w:val="32"/>
          <w:highlight w:val="none"/>
        </w:rPr>
      </w:pPr>
    </w:p>
    <w:p w14:paraId="627B3C42">
      <w:pPr>
        <w:autoSpaceDE w:val="0"/>
        <w:autoSpaceDN w:val="0"/>
        <w:jc w:val="center"/>
        <w:rPr>
          <w:rFonts w:hint="eastAsia" w:ascii="宋体" w:hAnsi="宋体" w:eastAsia="宋体" w:cs="宋体"/>
          <w:b/>
          <w:color w:val="auto"/>
          <w:spacing w:val="6"/>
          <w:sz w:val="32"/>
          <w:szCs w:val="32"/>
          <w:highlight w:val="none"/>
        </w:rPr>
      </w:pPr>
    </w:p>
    <w:p w14:paraId="0E8B39ED">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15AD2271">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C56F0F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40D6C6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7D7F83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215C111">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DD064C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6C513913">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w:t>
      </w:r>
      <w:r>
        <w:rPr>
          <w:rFonts w:hint="eastAsia" w:ascii="宋体" w:hAnsi="宋体" w:cs="宋体"/>
          <w:color w:val="auto"/>
          <w:kern w:val="0"/>
          <w:sz w:val="24"/>
          <w:highlight w:val="none"/>
          <w:u w:val="single"/>
          <w:lang w:eastAsia="zh-CN"/>
        </w:rPr>
        <w:t>服务</w:t>
      </w:r>
      <w:r>
        <w:rPr>
          <w:rFonts w:hint="eastAsia" w:ascii="宋体" w:hAnsi="宋体" w:eastAsia="宋体" w:cs="宋体"/>
          <w:color w:val="auto"/>
          <w:kern w:val="0"/>
          <w:sz w:val="24"/>
          <w:highlight w:val="none"/>
          <w:u w:val="single"/>
        </w:rPr>
        <w:t>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58927F3">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11"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411"/>
    </w:p>
    <w:p w14:paraId="7959734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2344B7C0">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AB068E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2185AB0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06A3BB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3A7776CD">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C9036A7">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1204DAC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8DCC04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7B6D93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FAD5BD9">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77645D3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05AA624E">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052C79A">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934158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34E82B1">
      <w:pPr>
        <w:autoSpaceDE w:val="0"/>
        <w:autoSpaceDN w:val="0"/>
        <w:jc w:val="center"/>
        <w:rPr>
          <w:rFonts w:hint="eastAsia" w:ascii="宋体" w:hAnsi="宋体" w:eastAsia="宋体" w:cs="宋体"/>
          <w:b/>
          <w:color w:val="auto"/>
          <w:spacing w:val="6"/>
          <w:sz w:val="32"/>
          <w:szCs w:val="32"/>
          <w:highlight w:val="none"/>
        </w:rPr>
      </w:pPr>
    </w:p>
    <w:p w14:paraId="0FE5654F">
      <w:pPr>
        <w:autoSpaceDE w:val="0"/>
        <w:autoSpaceDN w:val="0"/>
        <w:jc w:val="center"/>
        <w:rPr>
          <w:rFonts w:hint="eastAsia" w:ascii="宋体" w:hAnsi="宋体" w:eastAsia="宋体" w:cs="宋体"/>
          <w:b/>
          <w:color w:val="auto"/>
          <w:spacing w:val="6"/>
          <w:sz w:val="32"/>
          <w:szCs w:val="32"/>
          <w:highlight w:val="none"/>
        </w:rPr>
      </w:pPr>
    </w:p>
    <w:p w14:paraId="7935B76C">
      <w:pPr>
        <w:autoSpaceDE w:val="0"/>
        <w:autoSpaceDN w:val="0"/>
        <w:jc w:val="center"/>
        <w:rPr>
          <w:rFonts w:hint="eastAsia" w:ascii="宋体" w:hAnsi="宋体" w:eastAsia="宋体" w:cs="宋体"/>
          <w:b/>
          <w:color w:val="auto"/>
          <w:spacing w:val="6"/>
          <w:sz w:val="32"/>
          <w:szCs w:val="32"/>
          <w:highlight w:val="none"/>
        </w:rPr>
      </w:pPr>
    </w:p>
    <w:p w14:paraId="6D370A40">
      <w:pPr>
        <w:autoSpaceDE w:val="0"/>
        <w:autoSpaceDN w:val="0"/>
        <w:jc w:val="center"/>
        <w:rPr>
          <w:rFonts w:hint="eastAsia" w:ascii="宋体" w:hAnsi="宋体" w:eastAsia="宋体" w:cs="宋体"/>
          <w:b/>
          <w:color w:val="auto"/>
          <w:spacing w:val="6"/>
          <w:sz w:val="32"/>
          <w:szCs w:val="32"/>
          <w:highlight w:val="none"/>
        </w:rPr>
      </w:pPr>
    </w:p>
    <w:p w14:paraId="4D94516E">
      <w:pPr>
        <w:autoSpaceDE w:val="0"/>
        <w:autoSpaceDN w:val="0"/>
        <w:jc w:val="center"/>
        <w:rPr>
          <w:rFonts w:hint="eastAsia" w:ascii="宋体" w:hAnsi="宋体" w:eastAsia="宋体" w:cs="宋体"/>
          <w:b/>
          <w:color w:val="auto"/>
          <w:spacing w:val="6"/>
          <w:sz w:val="32"/>
          <w:szCs w:val="32"/>
          <w:highlight w:val="none"/>
        </w:rPr>
      </w:pPr>
    </w:p>
    <w:p w14:paraId="70B72DBF">
      <w:pPr>
        <w:autoSpaceDE w:val="0"/>
        <w:autoSpaceDN w:val="0"/>
        <w:jc w:val="center"/>
        <w:rPr>
          <w:rFonts w:hint="eastAsia" w:ascii="宋体" w:hAnsi="宋体" w:eastAsia="宋体" w:cs="宋体"/>
          <w:b/>
          <w:color w:val="auto"/>
          <w:spacing w:val="6"/>
          <w:sz w:val="32"/>
          <w:szCs w:val="32"/>
          <w:highlight w:val="none"/>
        </w:rPr>
      </w:pPr>
    </w:p>
    <w:p w14:paraId="70C5A53C">
      <w:pPr>
        <w:autoSpaceDE w:val="0"/>
        <w:autoSpaceDN w:val="0"/>
        <w:jc w:val="center"/>
        <w:rPr>
          <w:rFonts w:hint="eastAsia" w:ascii="宋体" w:hAnsi="宋体" w:eastAsia="宋体" w:cs="宋体"/>
          <w:b/>
          <w:color w:val="auto"/>
          <w:spacing w:val="6"/>
          <w:sz w:val="32"/>
          <w:szCs w:val="32"/>
          <w:highlight w:val="none"/>
        </w:rPr>
      </w:pPr>
    </w:p>
    <w:p w14:paraId="24A1F3E3">
      <w:pPr>
        <w:autoSpaceDE w:val="0"/>
        <w:autoSpaceDN w:val="0"/>
        <w:jc w:val="center"/>
        <w:rPr>
          <w:rFonts w:hint="eastAsia" w:ascii="宋体" w:hAnsi="宋体" w:eastAsia="宋体" w:cs="宋体"/>
          <w:b/>
          <w:color w:val="auto"/>
          <w:spacing w:val="6"/>
          <w:sz w:val="32"/>
          <w:szCs w:val="32"/>
          <w:highlight w:val="none"/>
        </w:rPr>
      </w:pPr>
    </w:p>
    <w:p w14:paraId="0E3A1AE7">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B7D375E">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7552FFE6">
      <w:pPr>
        <w:spacing w:line="360" w:lineRule="auto"/>
        <w:jc w:val="center"/>
        <w:rPr>
          <w:rFonts w:hint="eastAsia" w:ascii="宋体" w:hAnsi="宋体" w:eastAsia="宋体" w:cs="宋体"/>
          <w:color w:val="auto"/>
          <w:sz w:val="24"/>
          <w:highlight w:val="none"/>
          <w:u w:val="single"/>
        </w:rPr>
      </w:pPr>
    </w:p>
    <w:p w14:paraId="1DFC8227">
      <w:pPr>
        <w:shd w:val="clear" w:color="auto" w:fill="auto"/>
        <w:spacing w:line="360" w:lineRule="auto"/>
        <w:ind w:firstLine="482" w:firstLineChars="150"/>
        <w:jc w:val="center"/>
        <w:rPr>
          <w:rFonts w:hint="eastAsia" w:ascii="宋体" w:hAnsi="宋体" w:cs="宋体"/>
          <w:color w:val="auto"/>
          <w:sz w:val="24"/>
          <w:highlight w:val="none"/>
        </w:rPr>
      </w:pPr>
      <w:r>
        <w:rPr>
          <w:rFonts w:hint="eastAsia" w:ascii="宋体" w:hAnsi="宋体" w:eastAsia="宋体" w:cs="宋体"/>
          <w:b/>
          <w:color w:val="auto"/>
          <w:sz w:val="32"/>
          <w:szCs w:val="32"/>
          <w:highlight w:val="none"/>
        </w:rPr>
        <w:t>中小企业声明函（服务）</w:t>
      </w:r>
    </w:p>
    <w:p w14:paraId="5FB5D3DB">
      <w:pPr>
        <w:shd w:val="clear" w:color="auto" w:fill="auto"/>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lang w:eastAsia="zh-CN"/>
        </w:rPr>
        <w:t>杭州市钱塘区人民政府前进街道办事处</w:t>
      </w:r>
      <w:r>
        <w:rPr>
          <w:rFonts w:hint="eastAsia" w:ascii="宋体" w:hAnsi="宋体" w:cs="宋体"/>
          <w:color w:val="auto"/>
          <w:sz w:val="24"/>
          <w:highlight w:val="none"/>
        </w:rPr>
        <w:t>（单位名称）的</w:t>
      </w:r>
      <w:r>
        <w:rPr>
          <w:rFonts w:hint="eastAsia" w:ascii="宋体" w:hAnsi="宋体" w:cs="宋体"/>
          <w:color w:val="auto"/>
          <w:sz w:val="24"/>
          <w:highlight w:val="none"/>
          <w:u w:val="single"/>
          <w:lang w:eastAsia="zh-CN"/>
        </w:rPr>
        <w:t>前进街道四工段横河等水环境治理服务项目</w:t>
      </w:r>
      <w:r>
        <w:rPr>
          <w:rFonts w:hint="eastAsia" w:ascii="宋体" w:hAnsi="宋体" w:cs="宋体"/>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52D711E8">
      <w:pPr>
        <w:shd w:val="clear" w:color="auto" w:fill="auto"/>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lang w:eastAsia="zh-CN"/>
        </w:rPr>
        <w:t>前进街道四工段横河等水环境治理服务项目</w:t>
      </w:r>
      <w:r>
        <w:rPr>
          <w:rFonts w:hint="eastAsia" w:ascii="宋体" w:hAnsi="宋体" w:cs="宋体"/>
          <w:color w:val="auto"/>
          <w:sz w:val="24"/>
          <w:highlight w:val="none"/>
        </w:rPr>
        <w:t>，属于</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w:t>
      </w:r>
      <w:r>
        <w:rPr>
          <w:rFonts w:hint="eastAsia" w:ascii="宋体" w:hAnsi="宋体" w:cs="宋体"/>
          <w:i/>
          <w:color w:val="auto"/>
          <w:sz w:val="24"/>
          <w:highlight w:val="none"/>
          <w:u w:val="single"/>
        </w:rPr>
        <w:t>此处填写企业名称</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此处填写中型企业、小型企业、微型企业其中一个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2FE1A">
      <w:pPr>
        <w:shd w:val="clear" w:color="auto" w:fill="auto"/>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此处填写标的名称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color w:val="auto"/>
          <w:sz w:val="24"/>
          <w:highlight w:val="none"/>
          <w:u w:val="single"/>
        </w:rPr>
        <w:t>此处填写采购文件中明确的所属行业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w:t>
      </w:r>
      <w:r>
        <w:rPr>
          <w:rFonts w:hint="eastAsia" w:ascii="宋体" w:hAnsi="宋体" w:cs="宋体"/>
          <w:i/>
          <w:color w:val="auto"/>
          <w:sz w:val="24"/>
          <w:highlight w:val="none"/>
          <w:u w:val="single"/>
        </w:rPr>
        <w:t>此处填写企业名称</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此处填写中型企业、小型企业、微型企业其中一个</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7C5E382">
      <w:pPr>
        <w:shd w:val="clear" w:color="auto" w:fill="auto"/>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10AAB061">
      <w:pPr>
        <w:shd w:val="clear" w:color="auto" w:fill="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C67868F">
      <w:pPr>
        <w:shd w:val="clear" w:color="auto" w:fill="auto"/>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A6F3694">
      <w:pPr>
        <w:shd w:val="clear" w:color="auto" w:fill="auto"/>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B1A6F7F">
      <w:pPr>
        <w:shd w:val="clear" w:color="auto" w:fill="auto"/>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  日</w:t>
      </w:r>
    </w:p>
    <w:p w14:paraId="2F121BF9">
      <w:pPr>
        <w:shd w:val="clear" w:color="auto" w:fill="auto"/>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从业人员、营业收入、资产总额填报上一年度数据，无上一年度数据的新成立企业可不填报。</w:t>
      </w:r>
    </w:p>
    <w:p w14:paraId="758C8D4A">
      <w:pPr>
        <w:spacing w:line="360" w:lineRule="auto"/>
        <w:ind w:right="420" w:firstLine="480" w:firstLineChars="200"/>
        <w:rPr>
          <w:rFonts w:hint="eastAsia" w:ascii="宋体" w:hAnsi="宋体" w:cs="宋体"/>
          <w:color w:val="FF0000"/>
          <w:sz w:val="24"/>
          <w:highlight w:val="none"/>
        </w:rPr>
      </w:pPr>
      <w:r>
        <w:rPr>
          <w:rFonts w:hint="eastAsia" w:ascii="宋体" w:hAnsi="宋体" w:cs="宋体"/>
          <w:color w:val="auto"/>
          <w:sz w:val="24"/>
          <w:highlight w:val="none"/>
        </w:rPr>
        <w:t xml:space="preserve">   注</w:t>
      </w:r>
      <w:r>
        <w:rPr>
          <w:rFonts w:hint="eastAsia" w:ascii="宋体" w:hAnsi="宋体" w:cs="宋体"/>
          <w:color w:val="FF0000"/>
          <w:sz w:val="24"/>
          <w:highlight w:val="none"/>
        </w:rPr>
        <w:t>：1、《中小企业声明函》填写要求及规定：</w:t>
      </w:r>
    </w:p>
    <w:p w14:paraId="7737F80A">
      <w:pPr>
        <w:spacing w:line="360" w:lineRule="auto"/>
        <w:ind w:right="420" w:firstLine="480" w:firstLineChars="200"/>
        <w:rPr>
          <w:rFonts w:hint="eastAsia" w:ascii="宋体" w:hAnsi="宋体" w:cs="宋体"/>
          <w:color w:val="FF0000"/>
          <w:sz w:val="24"/>
          <w:highlight w:val="none"/>
        </w:rPr>
      </w:pPr>
      <w:r>
        <w:rPr>
          <w:rFonts w:hint="eastAsia" w:ascii="宋体" w:hAnsi="宋体" w:cs="宋体"/>
          <w:color w:val="FF0000"/>
          <w:sz w:val="24"/>
          <w:highlight w:val="none"/>
        </w:rPr>
        <w:t>（1）“标的名称”、“采购文件中明确的所属行业”依据招标文件第二部分供应商须知前附表中“采购标的及其对应的中小企业划分标准所属行业”逐一填写，不得缺漏。</w:t>
      </w:r>
    </w:p>
    <w:p w14:paraId="3B090B4C">
      <w:pPr>
        <w:spacing w:line="360" w:lineRule="auto"/>
        <w:ind w:right="420" w:firstLine="480" w:firstLineChars="200"/>
        <w:rPr>
          <w:rFonts w:hint="eastAsia" w:ascii="宋体" w:hAnsi="宋体" w:cs="宋体"/>
          <w:color w:val="FF0000"/>
          <w:sz w:val="24"/>
          <w:highlight w:val="none"/>
          <w:u w:val="single"/>
        </w:rPr>
      </w:pPr>
      <w:r>
        <w:rPr>
          <w:rFonts w:hint="eastAsia" w:ascii="宋体" w:hAnsi="宋体" w:cs="宋体"/>
          <w:color w:val="FF0000"/>
          <w:sz w:val="24"/>
          <w:highlight w:val="none"/>
          <w:u w:val="single"/>
        </w:rPr>
        <w:t>投标人的《中小企业声明函》未包括全部采购标的，未填写“所属行业”，或者填写的“所属行业”与采购文件中明确的所属行业不一致的，《中小企业声明函》均无效。</w:t>
      </w:r>
    </w:p>
    <w:p w14:paraId="6E960467">
      <w:pPr>
        <w:spacing w:line="360" w:lineRule="auto"/>
        <w:ind w:right="420" w:firstLine="480" w:firstLineChars="200"/>
        <w:rPr>
          <w:rFonts w:hint="eastAsia" w:ascii="宋体" w:hAnsi="宋体" w:cs="宋体"/>
          <w:color w:val="FF0000"/>
          <w:sz w:val="24"/>
          <w:highlight w:val="none"/>
        </w:rPr>
      </w:pPr>
      <w:r>
        <w:rPr>
          <w:rFonts w:hint="eastAsia" w:ascii="宋体" w:hAnsi="宋体" w:cs="宋体"/>
          <w:color w:val="FF0000"/>
          <w:sz w:val="24"/>
          <w:highlight w:val="none"/>
        </w:rPr>
        <w:t>（2）“从业人员、营业收入、资产总额”等3项数据依据上一年度的数据进行填写。</w:t>
      </w:r>
    </w:p>
    <w:p w14:paraId="1F066286">
      <w:pPr>
        <w:spacing w:line="360" w:lineRule="auto"/>
        <w:ind w:right="420" w:firstLine="480" w:firstLineChars="200"/>
        <w:rPr>
          <w:rFonts w:hint="eastAsia" w:ascii="宋体" w:hAnsi="宋体" w:cs="宋体"/>
          <w:color w:val="FF0000"/>
          <w:sz w:val="24"/>
          <w:highlight w:val="none"/>
          <w:u w:val="single"/>
        </w:rPr>
      </w:pPr>
      <w:r>
        <w:rPr>
          <w:rFonts w:hint="eastAsia" w:ascii="宋体" w:hAnsi="宋体" w:cs="宋体"/>
          <w:color w:val="FF0000"/>
          <w:sz w:val="24"/>
          <w:highlight w:val="none"/>
          <w:u w:val="single"/>
        </w:rPr>
        <w:t>本年度新成立企业，无上一年度数据的，可以不填写“从业人员、营业收入、资产总额”等3项数据，但仍应对“企业类型”和“与大企业的负责人是否为同一人，或者与大企业是否存在直接控股、管理关系”进行声明，否则《中小企业声明函》无效。</w:t>
      </w:r>
    </w:p>
    <w:p w14:paraId="3E15035A">
      <w:pPr>
        <w:spacing w:line="360" w:lineRule="auto"/>
        <w:ind w:right="420" w:firstLine="480" w:firstLineChars="200"/>
        <w:rPr>
          <w:rFonts w:hint="eastAsia" w:ascii="宋体" w:hAnsi="宋体" w:cs="宋体"/>
          <w:color w:val="FF0000"/>
          <w:sz w:val="24"/>
          <w:highlight w:val="none"/>
        </w:rPr>
      </w:pPr>
      <w:r>
        <w:rPr>
          <w:rFonts w:hint="eastAsia" w:ascii="宋体" w:hAnsi="宋体" w:cs="宋体"/>
          <w:color w:val="FF0000"/>
          <w:sz w:val="24"/>
          <w:highlight w:val="none"/>
        </w:rPr>
        <w:t>（3）“企业类型”（包括“中型企业”、“小型企业”及“微型企业”三类）依据《中小企业划型标准规定》（工信部联企业〔2011〕300号），结合以上数据，进行确定并填写。</w:t>
      </w:r>
    </w:p>
    <w:p w14:paraId="71673DA5">
      <w:pPr>
        <w:spacing w:line="360" w:lineRule="auto"/>
        <w:ind w:right="420" w:firstLine="480" w:firstLineChars="200"/>
        <w:rPr>
          <w:rFonts w:hint="eastAsia" w:ascii="宋体" w:hAnsi="宋体" w:cs="宋体"/>
          <w:color w:val="FF0000"/>
          <w:sz w:val="24"/>
          <w:highlight w:val="none"/>
          <w:u w:val="single"/>
        </w:rPr>
      </w:pPr>
      <w:r>
        <w:rPr>
          <w:rFonts w:hint="eastAsia" w:ascii="宋体" w:hAnsi="宋体" w:cs="宋体"/>
          <w:color w:val="FF0000"/>
          <w:sz w:val="24"/>
          <w:highlight w:val="none"/>
          <w:u w:val="single"/>
        </w:rPr>
        <w:t>投标人未填写“企业类型”或者填写的“企业类型”与实际不符的，《中小企业声明函》无效。投标人声明的“企业类型”获得了本不应获得的利益（资格审查通过或价格扣除）的，按提供虚假材料认定，依法承担法律责任。</w:t>
      </w:r>
    </w:p>
    <w:p w14:paraId="18711ECA">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2、视同为小型、微型企业。</w:t>
      </w:r>
    </w:p>
    <w:p w14:paraId="1E566904">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（1）根据《关于促进残疾人就业政府采购政策的通知》（财库〔2017〕141号）规定，符合条件的残疾人福利性单位提供《残疾人福利性单位声明函》（后附），视同小型、微型企业。</w:t>
      </w:r>
    </w:p>
    <w:p w14:paraId="7F064746">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2）根据《关于政府采购支持监狱企业发展有关问题的通知》（财库〔2014〕68号）规定，监狱企业提供由省级以上监狱管理局、戒毒管理局（含新疆生产建设兵团）出具的属于监狱企业证明文件的，视同为小型、微型企业。</w:t>
      </w:r>
    </w:p>
    <w:p w14:paraId="79F60683">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（3）视同小型、微型企业的残疾人福利性单位、监狱企业，提供符合要求的《残疾人福利性单位声明函》或监狱企业证明文件后，不需要提供《中小企业声明函》。</w:t>
      </w:r>
    </w:p>
    <w:p w14:paraId="4F8F745A">
      <w:pPr>
        <w:spacing w:line="360" w:lineRule="auto"/>
        <w:jc w:val="center"/>
        <w:rPr>
          <w:rFonts w:hint="eastAsia" w:ascii="宋体" w:hAnsi="宋体" w:eastAsia="宋体" w:cs="宋体"/>
          <w:b/>
          <w:color w:val="auto"/>
          <w:sz w:val="32"/>
          <w:szCs w:val="32"/>
          <w:highlight w:val="none"/>
        </w:rPr>
      </w:pPr>
    </w:p>
    <w:p w14:paraId="73027A96">
      <w:pP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br w:type="page"/>
      </w:r>
    </w:p>
    <w:p w14:paraId="2FEB3C12">
      <w:pPr>
        <w:spacing w:line="360" w:lineRule="auto"/>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关于钱塘区政府采购支持中小企业信用融资相关事项通知</w:t>
      </w:r>
    </w:p>
    <w:p w14:paraId="133B27C5">
      <w:pPr>
        <w:spacing w:line="360" w:lineRule="auto"/>
        <w:jc w:val="center"/>
        <w:rPr>
          <w:rFonts w:hint="eastAsia" w:ascii="宋体" w:hAnsi="宋体" w:eastAsia="宋体" w:cs="宋体"/>
          <w:b/>
          <w:color w:val="auto"/>
          <w:sz w:val="24"/>
          <w:szCs w:val="21"/>
          <w:highlight w:val="none"/>
        </w:rPr>
      </w:pPr>
    </w:p>
    <w:p w14:paraId="7D5AD43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7AB678D8">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一、适用对象</w:t>
      </w:r>
    </w:p>
    <w:p w14:paraId="1C9B3F0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在浙江“政采云”平台注册入库，并取得钱塘区政府采购合同的中小企业供应商。</w:t>
      </w:r>
    </w:p>
    <w:p w14:paraId="322616D3">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二、相关信息获取方式</w:t>
      </w:r>
    </w:p>
    <w:p w14:paraId="387272E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请登陆杭州钱塘新区管理委员会官网（http://qt.hangzhou.gov.cn） “公告公示”专栏，查看信用融资政策文件及各相关银行服务方案。</w:t>
      </w:r>
    </w:p>
    <w:p w14:paraId="77328678">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三、申请方式和步骤</w:t>
      </w:r>
    </w:p>
    <w:p w14:paraId="0A68879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1、供应商若有融资意向，需先与钱塘区财政局合作的银行对接，办理相关融资前期手续；</w:t>
      </w:r>
    </w:p>
    <w:p w14:paraId="5087F63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2、中标后，供应商应与采购单位或者采购代理机构及时联系，告知融资需求；</w:t>
      </w:r>
    </w:p>
    <w:p w14:paraId="1F5221E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3、相关合作银行联系并审核供应商及相关中标信息，办理相关融资事宜；</w:t>
      </w:r>
    </w:p>
    <w:p w14:paraId="76F617E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、采购单位应及时将信用融资合同提交备案。</w:t>
      </w:r>
    </w:p>
    <w:p w14:paraId="5B1A4059">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四、注意事项</w:t>
      </w:r>
    </w:p>
    <w:p w14:paraId="5E5E0E4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请各采购单位和采购代理机构积极支持和配合政府采购信用融资工作，在合同备案环节务必请仔细核对收款银行、账号信息等内容。</w:t>
      </w:r>
    </w:p>
    <w:p w14:paraId="1864DF3C">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五、合作银行及联系方式</w:t>
      </w:r>
    </w:p>
    <w:tbl>
      <w:tblPr>
        <w:tblStyle w:val="63"/>
        <w:tblW w:w="0" w:type="auto"/>
        <w:tblInd w:w="95" w:type="dxa"/>
        <w:tblLayout w:type="fixed"/>
        <w:tblCellMar>
          <w:top w:w="0" w:type="dxa"/>
          <w:left w:w="108" w:type="dxa"/>
          <w:bottom w:w="0" w:type="dxa"/>
          <w:right w:w="108" w:type="dxa"/>
        </w:tblCellMar>
      </w:tblPr>
      <w:tblGrid>
        <w:gridCol w:w="1080"/>
        <w:gridCol w:w="3020"/>
        <w:gridCol w:w="1420"/>
        <w:gridCol w:w="3220"/>
      </w:tblGrid>
      <w:tr w14:paraId="005572BE">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1702AA5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51755CF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06095211">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79A39480">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电话</w:t>
            </w:r>
          </w:p>
        </w:tc>
      </w:tr>
      <w:tr w14:paraId="65D301A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9F2236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14:paraId="3C5F805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14:paraId="6B65507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14:paraId="69F9099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13065710830</w:t>
            </w:r>
          </w:p>
        </w:tc>
      </w:tr>
      <w:tr w14:paraId="4F9F5DE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DAD031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14:paraId="6A7CFF8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14:paraId="603C1145">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14:paraId="57563C8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13777889798</w:t>
            </w:r>
          </w:p>
        </w:tc>
      </w:tr>
      <w:tr w14:paraId="7641D74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1C2DA2E">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14:paraId="36C0640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14:paraId="7104321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14:paraId="1B04C0B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13906811832</w:t>
            </w:r>
          </w:p>
        </w:tc>
      </w:tr>
      <w:tr w14:paraId="69C65C16">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C762AF8">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14:paraId="50CCE4B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14:paraId="36410A5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费莎</w:t>
            </w:r>
          </w:p>
          <w:p w14:paraId="15CA239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14:paraId="70E508B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13388617781</w:t>
            </w:r>
          </w:p>
          <w:p w14:paraId="4898094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13858023883</w:t>
            </w:r>
          </w:p>
        </w:tc>
      </w:tr>
      <w:tr w14:paraId="2B51AC9E">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170FAB5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14:paraId="5C4A2EA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14:paraId="5582E4E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14:paraId="4C5E8A5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13777421564</w:t>
            </w:r>
          </w:p>
        </w:tc>
      </w:tr>
      <w:tr w14:paraId="5BE6EC5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F0F8F80">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14:paraId="5B4389B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14:paraId="46C56A6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14:paraId="38C5298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13957168926</w:t>
            </w:r>
          </w:p>
        </w:tc>
      </w:tr>
      <w:tr w14:paraId="58B8B4D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02951FA">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14:paraId="269BB4D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14:paraId="3150A05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14:paraId="3BCD897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13735710338</w:t>
            </w:r>
          </w:p>
        </w:tc>
      </w:tr>
      <w:tr w14:paraId="62541D62">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4196ED6C">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14:paraId="1ACB25F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14:paraId="05FB840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14:paraId="6692725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13575745232</w:t>
            </w:r>
          </w:p>
        </w:tc>
      </w:tr>
      <w:tr w14:paraId="2F525EA7">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4AC88909">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14:paraId="16864F2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6894901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14:paraId="2BFE83A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18906520030</w:t>
            </w:r>
          </w:p>
        </w:tc>
      </w:tr>
      <w:tr w14:paraId="76E0FCD1">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14:paraId="6540627D">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14:paraId="3850121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14:paraId="31EAB93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王安东</w:t>
            </w:r>
          </w:p>
          <w:p w14:paraId="7915790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14:paraId="011028F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15158025713</w:t>
            </w:r>
          </w:p>
          <w:p w14:paraId="007A43D5">
            <w:pPr>
              <w:widowControl/>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15067483470</w:t>
            </w:r>
          </w:p>
        </w:tc>
      </w:tr>
      <w:tr w14:paraId="121280C2">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32092410">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14:paraId="5849216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1BA4F36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14:paraId="0D80DE5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82921293，18258888258</w:t>
            </w:r>
          </w:p>
        </w:tc>
      </w:tr>
      <w:tr w14:paraId="1C5847DA">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660A3AE7">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14:paraId="7E6FFFA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14:paraId="0E5A47A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14:paraId="49DB3B4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18805812679</w:t>
            </w:r>
          </w:p>
        </w:tc>
      </w:tr>
    </w:tbl>
    <w:p w14:paraId="6F851AD9">
      <w:pPr>
        <w:spacing w:line="360" w:lineRule="auto"/>
        <w:ind w:left="5060" w:hanging="5060" w:hangingChars="2100"/>
        <w:rPr>
          <w:rFonts w:hint="eastAsia" w:ascii="宋体" w:hAnsi="宋体" w:eastAsia="宋体" w:cs="宋体"/>
          <w:b/>
          <w:bCs/>
          <w:color w:val="auto"/>
          <w:kern w:val="0"/>
          <w:sz w:val="24"/>
          <w:highlight w:val="none"/>
        </w:rPr>
      </w:pPr>
    </w:p>
    <w:p w14:paraId="3F8D4C51">
      <w:pP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br w:type="page"/>
      </w:r>
    </w:p>
    <w:p w14:paraId="055F9EA8">
      <w:pPr>
        <w:spacing w:line="360" w:lineRule="auto"/>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附件：《中小企业划型标准规定》工信部联企业〔2011〕300号</w:t>
      </w:r>
    </w:p>
    <w:tbl>
      <w:tblPr>
        <w:tblStyle w:val="63"/>
        <w:tblW w:w="9593" w:type="dxa"/>
        <w:tblInd w:w="102" w:type="dxa"/>
        <w:tblLayout w:type="fixed"/>
        <w:tblCellMar>
          <w:top w:w="0" w:type="dxa"/>
          <w:left w:w="108" w:type="dxa"/>
          <w:bottom w:w="0" w:type="dxa"/>
          <w:right w:w="108" w:type="dxa"/>
        </w:tblCellMar>
      </w:tblPr>
      <w:tblGrid>
        <w:gridCol w:w="643"/>
        <w:gridCol w:w="967"/>
        <w:gridCol w:w="1093"/>
        <w:gridCol w:w="1892"/>
        <w:gridCol w:w="1666"/>
        <w:gridCol w:w="1666"/>
        <w:gridCol w:w="1666"/>
      </w:tblGrid>
      <w:tr w14:paraId="6E24B5AB">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vAlign w:val="center"/>
          </w:tcPr>
          <w:p w14:paraId="6850D9E4">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序号</w:t>
            </w:r>
          </w:p>
        </w:tc>
        <w:tc>
          <w:tcPr>
            <w:tcW w:w="2060" w:type="dxa"/>
            <w:gridSpan w:val="2"/>
            <w:tcBorders>
              <w:top w:val="single" w:color="000000" w:sz="4" w:space="0"/>
              <w:left w:val="single" w:color="000000" w:sz="4" w:space="0"/>
              <w:bottom w:val="single" w:color="000000" w:sz="4" w:space="0"/>
              <w:right w:val="single" w:color="000000" w:sz="4" w:space="0"/>
            </w:tcBorders>
            <w:vAlign w:val="center"/>
          </w:tcPr>
          <w:p w14:paraId="11D71A40">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行业分类</w:t>
            </w:r>
          </w:p>
        </w:tc>
        <w:tc>
          <w:tcPr>
            <w:tcW w:w="1892" w:type="dxa"/>
            <w:tcBorders>
              <w:top w:val="single" w:color="000000" w:sz="4" w:space="0"/>
              <w:left w:val="single" w:color="000000" w:sz="4" w:space="0"/>
              <w:bottom w:val="single" w:color="000000" w:sz="4" w:space="0"/>
              <w:right w:val="single" w:color="000000" w:sz="4" w:space="0"/>
            </w:tcBorders>
            <w:vAlign w:val="center"/>
          </w:tcPr>
          <w:p w14:paraId="59BDDF01">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中小微型企业总要求</w:t>
            </w:r>
          </w:p>
        </w:tc>
        <w:tc>
          <w:tcPr>
            <w:tcW w:w="1666" w:type="dxa"/>
            <w:tcBorders>
              <w:top w:val="single" w:color="000000" w:sz="4" w:space="0"/>
              <w:left w:val="single" w:color="000000" w:sz="4" w:space="0"/>
              <w:bottom w:val="single" w:color="000000" w:sz="4" w:space="0"/>
              <w:right w:val="single" w:color="000000" w:sz="4" w:space="0"/>
            </w:tcBorders>
            <w:vAlign w:val="center"/>
          </w:tcPr>
          <w:p w14:paraId="07F684FA">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中型企业标准</w:t>
            </w:r>
          </w:p>
        </w:tc>
        <w:tc>
          <w:tcPr>
            <w:tcW w:w="1666" w:type="dxa"/>
            <w:tcBorders>
              <w:top w:val="single" w:color="000000" w:sz="4" w:space="0"/>
              <w:left w:val="single" w:color="000000" w:sz="4" w:space="0"/>
              <w:bottom w:val="single" w:color="000000" w:sz="4" w:space="0"/>
              <w:right w:val="single" w:color="000000" w:sz="4" w:space="0"/>
            </w:tcBorders>
            <w:vAlign w:val="center"/>
          </w:tcPr>
          <w:p w14:paraId="0805089A">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小型企业标准</w:t>
            </w:r>
          </w:p>
        </w:tc>
        <w:tc>
          <w:tcPr>
            <w:tcW w:w="1666" w:type="dxa"/>
            <w:tcBorders>
              <w:top w:val="single" w:color="000000" w:sz="4" w:space="0"/>
              <w:left w:val="single" w:color="000000" w:sz="4" w:space="0"/>
              <w:bottom w:val="single" w:color="000000" w:sz="4" w:space="0"/>
              <w:right w:val="single" w:color="000000" w:sz="4" w:space="0"/>
            </w:tcBorders>
            <w:vAlign w:val="center"/>
          </w:tcPr>
          <w:p w14:paraId="68B18EE6">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微型企业标准</w:t>
            </w:r>
          </w:p>
        </w:tc>
      </w:tr>
      <w:tr w14:paraId="6CDD6931">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4C24152">
            <w:pPr>
              <w:widowControl/>
              <w:adjustRightInd/>
              <w:spacing w:line="4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967" w:type="dxa"/>
            <w:tcBorders>
              <w:top w:val="single" w:color="000000" w:sz="4" w:space="0"/>
              <w:left w:val="single" w:color="000000" w:sz="4" w:space="0"/>
              <w:bottom w:val="single" w:color="000000" w:sz="4" w:space="0"/>
              <w:right w:val="single" w:color="000000" w:sz="4" w:space="0"/>
            </w:tcBorders>
            <w:vAlign w:val="center"/>
          </w:tcPr>
          <w:p w14:paraId="04A63B23">
            <w:pPr>
              <w:widowControl/>
              <w:adjustRightInd/>
              <w:spacing w:line="4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农、林、牧、渔业</w:t>
            </w:r>
          </w:p>
        </w:tc>
        <w:tc>
          <w:tcPr>
            <w:tcW w:w="1093" w:type="dxa"/>
            <w:tcBorders>
              <w:left w:val="single" w:color="000000" w:sz="4" w:space="0"/>
              <w:bottom w:val="single" w:color="000000" w:sz="4" w:space="0"/>
              <w:right w:val="single" w:color="000000" w:sz="4" w:space="0"/>
            </w:tcBorders>
            <w:vAlign w:val="center"/>
          </w:tcPr>
          <w:p w14:paraId="24E63F19">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0BEC783E">
            <w:pPr>
              <w:widowControl/>
              <w:adjustRightInd/>
              <w:spacing w:line="4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20000万以下</w:t>
            </w:r>
          </w:p>
        </w:tc>
        <w:tc>
          <w:tcPr>
            <w:tcW w:w="1666" w:type="dxa"/>
            <w:tcBorders>
              <w:top w:val="single" w:color="000000" w:sz="4" w:space="0"/>
              <w:left w:val="single" w:color="000000" w:sz="4" w:space="0"/>
              <w:bottom w:val="single" w:color="000000" w:sz="4" w:space="0"/>
              <w:right w:val="single" w:color="000000" w:sz="4" w:space="0"/>
            </w:tcBorders>
            <w:vAlign w:val="center"/>
          </w:tcPr>
          <w:p w14:paraId="323574DC">
            <w:pPr>
              <w:widowControl/>
              <w:adjustRightInd/>
              <w:spacing w:line="440" w:lineRule="exact"/>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500万及以上</w:t>
            </w:r>
          </w:p>
        </w:tc>
        <w:tc>
          <w:tcPr>
            <w:tcW w:w="1666" w:type="dxa"/>
            <w:tcBorders>
              <w:top w:val="single" w:color="000000" w:sz="4" w:space="0"/>
              <w:left w:val="single" w:color="000000" w:sz="4" w:space="0"/>
              <w:bottom w:val="single" w:color="000000" w:sz="4" w:space="0"/>
              <w:right w:val="single" w:color="000000" w:sz="4" w:space="0"/>
            </w:tcBorders>
            <w:vAlign w:val="center"/>
          </w:tcPr>
          <w:p w14:paraId="213BA910">
            <w:pPr>
              <w:widowControl/>
              <w:adjustRightInd/>
              <w:spacing w:line="440" w:lineRule="exact"/>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bCs/>
                <w:color w:val="auto"/>
                <w:sz w:val="18"/>
                <w:szCs w:val="18"/>
                <w:highlight w:val="none"/>
              </w:rPr>
              <w:t>50万元及以上</w:t>
            </w:r>
          </w:p>
        </w:tc>
        <w:tc>
          <w:tcPr>
            <w:tcW w:w="1666" w:type="dxa"/>
            <w:tcBorders>
              <w:top w:val="single" w:color="000000" w:sz="4" w:space="0"/>
              <w:left w:val="single" w:color="000000" w:sz="4" w:space="0"/>
              <w:bottom w:val="single" w:color="000000" w:sz="4" w:space="0"/>
              <w:right w:val="single" w:color="000000" w:sz="4" w:space="0"/>
            </w:tcBorders>
            <w:vAlign w:val="center"/>
          </w:tcPr>
          <w:p w14:paraId="7FD3A19C">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50万元以下</w:t>
            </w:r>
          </w:p>
        </w:tc>
      </w:tr>
      <w:tr w14:paraId="69DEBAE8">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4651209">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967" w:type="dxa"/>
            <w:tcBorders>
              <w:top w:val="single" w:color="000000" w:sz="4" w:space="0"/>
              <w:left w:val="single" w:color="000000" w:sz="4" w:space="0"/>
              <w:bottom w:val="single" w:color="000000" w:sz="4" w:space="0"/>
              <w:right w:val="single" w:color="000000" w:sz="4" w:space="0"/>
            </w:tcBorders>
            <w:vAlign w:val="center"/>
          </w:tcPr>
          <w:p w14:paraId="3300FAD0">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工业</w:t>
            </w:r>
          </w:p>
        </w:tc>
        <w:tc>
          <w:tcPr>
            <w:tcW w:w="1093" w:type="dxa"/>
            <w:tcBorders>
              <w:left w:val="single" w:color="000000" w:sz="4" w:space="0"/>
              <w:bottom w:val="single" w:color="000000" w:sz="4" w:space="0"/>
              <w:right w:val="single" w:color="000000" w:sz="4" w:space="0"/>
            </w:tcBorders>
            <w:vAlign w:val="center"/>
          </w:tcPr>
          <w:p w14:paraId="5BAD665C">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015FD0A7">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010CBFD0">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bCs/>
                <w:color w:val="auto"/>
                <w:sz w:val="18"/>
                <w:szCs w:val="18"/>
                <w:highlight w:val="none"/>
              </w:rPr>
              <w:t>从业人员1000人以下或营业收入40000万元以下</w:t>
            </w:r>
          </w:p>
        </w:tc>
        <w:tc>
          <w:tcPr>
            <w:tcW w:w="1666" w:type="dxa"/>
            <w:tcBorders>
              <w:top w:val="single" w:color="000000" w:sz="4" w:space="0"/>
              <w:left w:val="single" w:color="000000" w:sz="4" w:space="0"/>
              <w:bottom w:val="single" w:color="000000" w:sz="4" w:space="0"/>
              <w:right w:val="single" w:color="000000" w:sz="4" w:space="0"/>
            </w:tcBorders>
            <w:vAlign w:val="center"/>
          </w:tcPr>
          <w:p w14:paraId="1806158D">
            <w:pPr>
              <w:widowControl/>
              <w:adjustRightInd/>
              <w:spacing w:line="440" w:lineRule="exact"/>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bCs/>
                <w:color w:val="auto"/>
                <w:sz w:val="18"/>
                <w:szCs w:val="18"/>
                <w:highlight w:val="none"/>
              </w:rPr>
              <w:t>从业人员300人及以上，且营业收入2000万元及以上的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5BDDAF1">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从业人员20人及以上，且营业收入300万元及以上的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D0579C6">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从业人员20人以下或营业收入300万元以下</w:t>
            </w:r>
          </w:p>
        </w:tc>
      </w:tr>
      <w:tr w14:paraId="6CBE7A4E">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6FADC20">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967" w:type="dxa"/>
            <w:tcBorders>
              <w:top w:val="single" w:color="000000" w:sz="4" w:space="0"/>
              <w:left w:val="single" w:color="000000" w:sz="4" w:space="0"/>
              <w:bottom w:val="single" w:color="000000" w:sz="4" w:space="0"/>
              <w:right w:val="single" w:color="000000" w:sz="4" w:space="0"/>
            </w:tcBorders>
            <w:vAlign w:val="center"/>
          </w:tcPr>
          <w:p w14:paraId="02A1C540">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建筑业</w:t>
            </w:r>
          </w:p>
        </w:tc>
        <w:tc>
          <w:tcPr>
            <w:tcW w:w="1093" w:type="dxa"/>
            <w:tcBorders>
              <w:left w:val="single" w:color="000000" w:sz="4" w:space="0"/>
              <w:bottom w:val="single" w:color="000000" w:sz="4" w:space="0"/>
              <w:right w:val="single" w:color="000000" w:sz="4" w:space="0"/>
            </w:tcBorders>
            <w:vAlign w:val="center"/>
          </w:tcPr>
          <w:p w14:paraId="6DA24FAF">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p w14:paraId="7FCF8882">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资产总额（万元）</w:t>
            </w:r>
          </w:p>
        </w:tc>
        <w:tc>
          <w:tcPr>
            <w:tcW w:w="1892" w:type="dxa"/>
            <w:tcBorders>
              <w:left w:val="single" w:color="000000" w:sz="4" w:space="0"/>
              <w:bottom w:val="single" w:color="000000" w:sz="4" w:space="0"/>
              <w:right w:val="single" w:color="000000" w:sz="4" w:space="0"/>
            </w:tcBorders>
            <w:vAlign w:val="center"/>
          </w:tcPr>
          <w:p w14:paraId="05DD8166">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营业收入80000万元以下或资产总额80000万元以下的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AF5D0EE">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营业收入6000万元及以上，且资产总额5000万元及以上的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E45A2C6">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营业收入300万元及以上，且资产总额300万元及以上的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04FB207">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营业收入300万元以下或资产总额300万元以下的</w:t>
            </w:r>
          </w:p>
        </w:tc>
      </w:tr>
      <w:tr w14:paraId="6E28655E">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21E9F8B">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967" w:type="dxa"/>
            <w:tcBorders>
              <w:top w:val="single" w:color="000000" w:sz="4" w:space="0"/>
              <w:left w:val="single" w:color="000000" w:sz="4" w:space="0"/>
              <w:bottom w:val="single" w:color="000000" w:sz="4" w:space="0"/>
              <w:right w:val="single" w:color="000000" w:sz="4" w:space="0"/>
            </w:tcBorders>
            <w:vAlign w:val="center"/>
          </w:tcPr>
          <w:p w14:paraId="64FE405C">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批发业</w:t>
            </w:r>
          </w:p>
        </w:tc>
        <w:tc>
          <w:tcPr>
            <w:tcW w:w="1093" w:type="dxa"/>
            <w:tcBorders>
              <w:left w:val="single" w:color="000000" w:sz="4" w:space="0"/>
              <w:bottom w:val="single" w:color="000000" w:sz="4" w:space="0"/>
              <w:right w:val="single" w:color="000000" w:sz="4" w:space="0"/>
            </w:tcBorders>
            <w:vAlign w:val="center"/>
          </w:tcPr>
          <w:p w14:paraId="6588D05C">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1F24C909">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2D2EA00D">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从业人员200人以下或营业收入40000万元以下的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B37B908">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从业人员20人及以上，且营业收入5000万元及以上的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E7610A0">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从业人员5人及以上，且营业收入1000万元及以上的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68C5B4E">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从业人员5人以下或营业收入1000万元以下的</w:t>
            </w:r>
          </w:p>
        </w:tc>
      </w:tr>
      <w:tr w14:paraId="6E90D968">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17D6BC7">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w:t>
            </w:r>
          </w:p>
        </w:tc>
        <w:tc>
          <w:tcPr>
            <w:tcW w:w="967" w:type="dxa"/>
            <w:tcBorders>
              <w:top w:val="single" w:color="000000" w:sz="4" w:space="0"/>
              <w:left w:val="single" w:color="000000" w:sz="4" w:space="0"/>
              <w:bottom w:val="single" w:color="000000" w:sz="4" w:space="0"/>
              <w:right w:val="single" w:color="000000" w:sz="4" w:space="0"/>
            </w:tcBorders>
            <w:vAlign w:val="center"/>
          </w:tcPr>
          <w:p w14:paraId="1CAA4C62">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零售业</w:t>
            </w:r>
          </w:p>
        </w:tc>
        <w:tc>
          <w:tcPr>
            <w:tcW w:w="1093" w:type="dxa"/>
            <w:tcBorders>
              <w:left w:val="single" w:color="000000" w:sz="4" w:space="0"/>
              <w:bottom w:val="single" w:color="000000" w:sz="4" w:space="0"/>
              <w:right w:val="single" w:color="000000" w:sz="4" w:space="0"/>
            </w:tcBorders>
            <w:vAlign w:val="center"/>
          </w:tcPr>
          <w:p w14:paraId="5B34924C">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4688BF18">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7DA885D3">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从业人员300人以下或营业收入20000万元以下的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741913C">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从业人员50人及以上，且营业收入500万元及以上的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27BDB74">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90B2E91">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从业人员10人以下或营业收入100万元以下的</w:t>
            </w:r>
          </w:p>
        </w:tc>
      </w:tr>
      <w:tr w14:paraId="01294F94">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AB7B391">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w:t>
            </w:r>
          </w:p>
        </w:tc>
        <w:tc>
          <w:tcPr>
            <w:tcW w:w="967" w:type="dxa"/>
            <w:tcBorders>
              <w:top w:val="single" w:color="000000" w:sz="4" w:space="0"/>
              <w:left w:val="single" w:color="000000" w:sz="4" w:space="0"/>
              <w:bottom w:val="single" w:color="000000" w:sz="4" w:space="0"/>
              <w:right w:val="single" w:color="000000" w:sz="4" w:space="0"/>
            </w:tcBorders>
            <w:vAlign w:val="center"/>
          </w:tcPr>
          <w:p w14:paraId="60DFF5F5">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交通运输业</w:t>
            </w:r>
          </w:p>
        </w:tc>
        <w:tc>
          <w:tcPr>
            <w:tcW w:w="1093" w:type="dxa"/>
            <w:tcBorders>
              <w:left w:val="single" w:color="000000" w:sz="4" w:space="0"/>
              <w:bottom w:val="single" w:color="000000" w:sz="4" w:space="0"/>
              <w:right w:val="single" w:color="000000" w:sz="4" w:space="0"/>
            </w:tcBorders>
            <w:vAlign w:val="center"/>
          </w:tcPr>
          <w:p w14:paraId="700A18F3">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30C83B71">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0C627B9B">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AB5688C">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从业人员300人及以上，且营业收入3000万元及以上的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9450AAC">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从业人员20人及以上，且营业收入200万元及以上的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42429F6">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从业人员20人以下或营业收入200万元以下的</w:t>
            </w:r>
          </w:p>
        </w:tc>
      </w:tr>
      <w:tr w14:paraId="27BF7368">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9FF65D5">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w:t>
            </w:r>
          </w:p>
        </w:tc>
        <w:tc>
          <w:tcPr>
            <w:tcW w:w="967" w:type="dxa"/>
            <w:tcBorders>
              <w:top w:val="single" w:color="000000" w:sz="4" w:space="0"/>
              <w:left w:val="single" w:color="000000" w:sz="4" w:space="0"/>
              <w:bottom w:val="single" w:color="000000" w:sz="4" w:space="0"/>
              <w:right w:val="single" w:color="000000" w:sz="4" w:space="0"/>
            </w:tcBorders>
            <w:vAlign w:val="center"/>
          </w:tcPr>
          <w:p w14:paraId="3C6A35F9">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仓储业</w:t>
            </w:r>
          </w:p>
        </w:tc>
        <w:tc>
          <w:tcPr>
            <w:tcW w:w="1093" w:type="dxa"/>
            <w:tcBorders>
              <w:left w:val="single" w:color="000000" w:sz="4" w:space="0"/>
              <w:bottom w:val="single" w:color="000000" w:sz="4" w:space="0"/>
              <w:right w:val="single" w:color="000000" w:sz="4" w:space="0"/>
            </w:tcBorders>
            <w:vAlign w:val="center"/>
          </w:tcPr>
          <w:p w14:paraId="349DFCFB">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0352214D">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00C5DBF0">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A0A130B">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C5F6B67">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0730D4D">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从业人员20人以下或营业收入100万元以下的</w:t>
            </w:r>
          </w:p>
        </w:tc>
      </w:tr>
      <w:tr w14:paraId="1F641830">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6F5305E">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w:t>
            </w:r>
          </w:p>
        </w:tc>
        <w:tc>
          <w:tcPr>
            <w:tcW w:w="967" w:type="dxa"/>
            <w:tcBorders>
              <w:top w:val="single" w:color="000000" w:sz="4" w:space="0"/>
              <w:left w:val="single" w:color="000000" w:sz="4" w:space="0"/>
              <w:bottom w:val="single" w:color="000000" w:sz="4" w:space="0"/>
              <w:right w:val="single" w:color="000000" w:sz="4" w:space="0"/>
            </w:tcBorders>
            <w:vAlign w:val="center"/>
          </w:tcPr>
          <w:p w14:paraId="29A36A05">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邮政业</w:t>
            </w:r>
          </w:p>
        </w:tc>
        <w:tc>
          <w:tcPr>
            <w:tcW w:w="1093" w:type="dxa"/>
            <w:tcBorders>
              <w:left w:val="single" w:color="000000" w:sz="4" w:space="0"/>
              <w:bottom w:val="single" w:color="000000" w:sz="4" w:space="0"/>
              <w:right w:val="single" w:color="000000" w:sz="4" w:space="0"/>
            </w:tcBorders>
            <w:vAlign w:val="center"/>
          </w:tcPr>
          <w:p w14:paraId="067C1504">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6425CA1A">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11B5BBA6">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CB6CE69">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FDC0782">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34878D6">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从业人员20人以下或营业收入100万元以下的</w:t>
            </w:r>
          </w:p>
        </w:tc>
      </w:tr>
      <w:tr w14:paraId="667CF5DF">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CE76503">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w:t>
            </w:r>
          </w:p>
        </w:tc>
        <w:tc>
          <w:tcPr>
            <w:tcW w:w="967" w:type="dxa"/>
            <w:tcBorders>
              <w:top w:val="single" w:color="000000" w:sz="4" w:space="0"/>
              <w:left w:val="single" w:color="000000" w:sz="4" w:space="0"/>
              <w:bottom w:val="single" w:color="000000" w:sz="4" w:space="0"/>
              <w:right w:val="single" w:color="000000" w:sz="4" w:space="0"/>
            </w:tcBorders>
            <w:vAlign w:val="center"/>
          </w:tcPr>
          <w:p w14:paraId="4187031A">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住宿业</w:t>
            </w:r>
          </w:p>
        </w:tc>
        <w:tc>
          <w:tcPr>
            <w:tcW w:w="1093" w:type="dxa"/>
            <w:tcBorders>
              <w:left w:val="single" w:color="000000" w:sz="4" w:space="0"/>
              <w:bottom w:val="single" w:color="000000" w:sz="4" w:space="0"/>
              <w:right w:val="single" w:color="000000" w:sz="4" w:space="0"/>
            </w:tcBorders>
            <w:vAlign w:val="center"/>
          </w:tcPr>
          <w:p w14:paraId="33047132">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5C98C4CD">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76D654A2">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5DB1EFF">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22F524F">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E8510D9">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从业人员10人以下或营业收入100万元以下的</w:t>
            </w:r>
          </w:p>
        </w:tc>
      </w:tr>
      <w:tr w14:paraId="7CDF36C5">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4050FCD8">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w:t>
            </w:r>
          </w:p>
        </w:tc>
        <w:tc>
          <w:tcPr>
            <w:tcW w:w="967" w:type="dxa"/>
            <w:tcBorders>
              <w:top w:val="single" w:color="000000" w:sz="4" w:space="0"/>
              <w:left w:val="single" w:color="000000" w:sz="4" w:space="0"/>
              <w:bottom w:val="single" w:color="000000" w:sz="4" w:space="0"/>
              <w:right w:val="single" w:color="000000" w:sz="4" w:space="0"/>
            </w:tcBorders>
            <w:vAlign w:val="center"/>
          </w:tcPr>
          <w:p w14:paraId="3ACFB2DF">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餐饮业</w:t>
            </w:r>
          </w:p>
        </w:tc>
        <w:tc>
          <w:tcPr>
            <w:tcW w:w="1093" w:type="dxa"/>
            <w:tcBorders>
              <w:left w:val="single" w:color="000000" w:sz="4" w:space="0"/>
              <w:bottom w:val="single" w:color="000000" w:sz="4" w:space="0"/>
              <w:right w:val="single" w:color="000000" w:sz="4" w:space="0"/>
            </w:tcBorders>
            <w:vAlign w:val="center"/>
          </w:tcPr>
          <w:p w14:paraId="333D8AE3">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3DCC6388">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1E43F300">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DD43F5C">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143BE79">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DB1A4E2">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从业人员10人以下或营业收入100万元以下的</w:t>
            </w:r>
          </w:p>
        </w:tc>
      </w:tr>
      <w:tr w14:paraId="271F0479">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B97A383">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w:t>
            </w:r>
          </w:p>
        </w:tc>
        <w:tc>
          <w:tcPr>
            <w:tcW w:w="967" w:type="dxa"/>
            <w:tcBorders>
              <w:top w:val="single" w:color="000000" w:sz="4" w:space="0"/>
              <w:left w:val="single" w:color="000000" w:sz="4" w:space="0"/>
              <w:bottom w:val="single" w:color="000000" w:sz="4" w:space="0"/>
              <w:right w:val="single" w:color="000000" w:sz="4" w:space="0"/>
            </w:tcBorders>
            <w:vAlign w:val="center"/>
          </w:tcPr>
          <w:p w14:paraId="0F496372">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信息传输业</w:t>
            </w:r>
          </w:p>
        </w:tc>
        <w:tc>
          <w:tcPr>
            <w:tcW w:w="1093" w:type="dxa"/>
            <w:tcBorders>
              <w:left w:val="single" w:color="000000" w:sz="4" w:space="0"/>
              <w:bottom w:val="single" w:color="000000" w:sz="4" w:space="0"/>
              <w:right w:val="single" w:color="000000" w:sz="4" w:space="0"/>
            </w:tcBorders>
            <w:vAlign w:val="center"/>
          </w:tcPr>
          <w:p w14:paraId="26EDC63D">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56277300">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5670BF55">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从业人员2000人以下或营业收入100000万元以下的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01E67B8">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670E700">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0012537">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从业人员10人以下或营业收入100万元以下的</w:t>
            </w:r>
          </w:p>
        </w:tc>
      </w:tr>
      <w:tr w14:paraId="4B99C078">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44A69C52">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12</w:t>
            </w:r>
          </w:p>
        </w:tc>
        <w:tc>
          <w:tcPr>
            <w:tcW w:w="967" w:type="dxa"/>
            <w:tcBorders>
              <w:top w:val="single" w:color="000000" w:sz="4" w:space="0"/>
              <w:left w:val="single" w:color="000000" w:sz="4" w:space="0"/>
              <w:bottom w:val="single" w:color="000000" w:sz="4" w:space="0"/>
              <w:right w:val="single" w:color="000000" w:sz="4" w:space="0"/>
            </w:tcBorders>
            <w:vAlign w:val="center"/>
          </w:tcPr>
          <w:p w14:paraId="71F948D1">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软件和信息技术服务业</w:t>
            </w:r>
          </w:p>
        </w:tc>
        <w:tc>
          <w:tcPr>
            <w:tcW w:w="1093" w:type="dxa"/>
            <w:tcBorders>
              <w:left w:val="single" w:color="000000" w:sz="4" w:space="0"/>
              <w:bottom w:val="single" w:color="000000" w:sz="4" w:space="0"/>
              <w:right w:val="single" w:color="000000" w:sz="4" w:space="0"/>
            </w:tcBorders>
            <w:vAlign w:val="center"/>
          </w:tcPr>
          <w:p w14:paraId="4693164C">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639805D6">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6F6F9FDD">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88F14A1">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BBE6544">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从业人员10人及以上，且营业收入50万元及以上的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FC69E07">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从业人员10人以下或营业收入50万元以下的</w:t>
            </w:r>
          </w:p>
        </w:tc>
      </w:tr>
      <w:tr w14:paraId="10003ACE">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F8875D2">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13</w:t>
            </w:r>
          </w:p>
        </w:tc>
        <w:tc>
          <w:tcPr>
            <w:tcW w:w="967" w:type="dxa"/>
            <w:tcBorders>
              <w:top w:val="single" w:color="000000" w:sz="4" w:space="0"/>
              <w:left w:val="single" w:color="000000" w:sz="4" w:space="0"/>
              <w:bottom w:val="single" w:color="000000" w:sz="4" w:space="0"/>
              <w:right w:val="single" w:color="000000" w:sz="4" w:space="0"/>
            </w:tcBorders>
            <w:vAlign w:val="center"/>
          </w:tcPr>
          <w:p w14:paraId="702E5BA7">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房地产开发经营</w:t>
            </w:r>
          </w:p>
        </w:tc>
        <w:tc>
          <w:tcPr>
            <w:tcW w:w="1093" w:type="dxa"/>
            <w:tcBorders>
              <w:left w:val="single" w:color="000000" w:sz="4" w:space="0"/>
              <w:bottom w:val="single" w:color="000000" w:sz="4" w:space="0"/>
              <w:right w:val="single" w:color="000000" w:sz="4" w:space="0"/>
            </w:tcBorders>
            <w:vAlign w:val="center"/>
          </w:tcPr>
          <w:p w14:paraId="4D9C614C">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p w14:paraId="77950046">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资产总额（万元）</w:t>
            </w:r>
          </w:p>
        </w:tc>
        <w:tc>
          <w:tcPr>
            <w:tcW w:w="1892" w:type="dxa"/>
            <w:tcBorders>
              <w:left w:val="single" w:color="000000" w:sz="4" w:space="0"/>
              <w:bottom w:val="single" w:color="000000" w:sz="4" w:space="0"/>
              <w:right w:val="single" w:color="000000" w:sz="4" w:space="0"/>
            </w:tcBorders>
            <w:vAlign w:val="center"/>
          </w:tcPr>
          <w:p w14:paraId="0713FB5B">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营业收入200000万元以下或资产总额10000万元以下的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F87EE32">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营业收入1000万元及以上，且资产总额5000万元及以上的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0CCE0CE">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营业收入100万元及以上，且资产总额2000万元及以上的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CA5295A">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营业收入100万元以下或资产总额2000万元以下的</w:t>
            </w:r>
          </w:p>
        </w:tc>
      </w:tr>
      <w:tr w14:paraId="29DAC090">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9406779">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14</w:t>
            </w:r>
          </w:p>
        </w:tc>
        <w:tc>
          <w:tcPr>
            <w:tcW w:w="967" w:type="dxa"/>
            <w:tcBorders>
              <w:top w:val="single" w:color="000000" w:sz="4" w:space="0"/>
              <w:left w:val="single" w:color="000000" w:sz="4" w:space="0"/>
              <w:bottom w:val="single" w:color="000000" w:sz="4" w:space="0"/>
              <w:right w:val="single" w:color="000000" w:sz="4" w:space="0"/>
            </w:tcBorders>
            <w:vAlign w:val="center"/>
          </w:tcPr>
          <w:p w14:paraId="4A695BD1">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物业管理</w:t>
            </w:r>
          </w:p>
        </w:tc>
        <w:tc>
          <w:tcPr>
            <w:tcW w:w="1093" w:type="dxa"/>
            <w:tcBorders>
              <w:left w:val="single" w:color="000000" w:sz="4" w:space="0"/>
              <w:bottom w:val="single" w:color="000000" w:sz="4" w:space="0"/>
              <w:right w:val="single" w:color="000000" w:sz="4" w:space="0"/>
            </w:tcBorders>
            <w:vAlign w:val="center"/>
          </w:tcPr>
          <w:p w14:paraId="0EC71B4E">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p w14:paraId="31EDB68F">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tc>
        <w:tc>
          <w:tcPr>
            <w:tcW w:w="1892" w:type="dxa"/>
            <w:tcBorders>
              <w:left w:val="single" w:color="000000" w:sz="4" w:space="0"/>
              <w:bottom w:val="single" w:color="000000" w:sz="4" w:space="0"/>
              <w:right w:val="single" w:color="000000" w:sz="4" w:space="0"/>
            </w:tcBorders>
            <w:vAlign w:val="center"/>
          </w:tcPr>
          <w:p w14:paraId="485C34E1">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从业人员1000人以下或营业收入5000万元以下的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2645FDA">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AA5AACC">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从业人员100人及以上，且营业收入500万元及以上的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6EF07D0">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从业人员100人以下或营业收入500万元以下的</w:t>
            </w:r>
          </w:p>
        </w:tc>
      </w:tr>
      <w:tr w14:paraId="6A382476">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9CC81BE">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15</w:t>
            </w:r>
          </w:p>
        </w:tc>
        <w:tc>
          <w:tcPr>
            <w:tcW w:w="967" w:type="dxa"/>
            <w:tcBorders>
              <w:top w:val="single" w:color="000000" w:sz="4" w:space="0"/>
              <w:left w:val="single" w:color="000000" w:sz="4" w:space="0"/>
              <w:bottom w:val="single" w:color="000000" w:sz="4" w:space="0"/>
              <w:right w:val="single" w:color="000000" w:sz="4" w:space="0"/>
            </w:tcBorders>
            <w:vAlign w:val="center"/>
          </w:tcPr>
          <w:p w14:paraId="455CC9AC">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租赁和商务服务业</w:t>
            </w:r>
          </w:p>
        </w:tc>
        <w:tc>
          <w:tcPr>
            <w:tcW w:w="1093" w:type="dxa"/>
            <w:tcBorders>
              <w:left w:val="single" w:color="000000" w:sz="4" w:space="0"/>
              <w:bottom w:val="single" w:color="000000" w:sz="4" w:space="0"/>
              <w:right w:val="single" w:color="000000" w:sz="4" w:space="0"/>
            </w:tcBorders>
            <w:vAlign w:val="center"/>
          </w:tcPr>
          <w:p w14:paraId="672AE4C1">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营业收入（万元）</w:t>
            </w:r>
          </w:p>
          <w:p w14:paraId="36BC679C">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资产总额（万元）</w:t>
            </w:r>
          </w:p>
        </w:tc>
        <w:tc>
          <w:tcPr>
            <w:tcW w:w="1892" w:type="dxa"/>
            <w:tcBorders>
              <w:left w:val="single" w:color="000000" w:sz="4" w:space="0"/>
              <w:bottom w:val="single" w:color="000000" w:sz="4" w:space="0"/>
              <w:right w:val="single" w:color="000000" w:sz="4" w:space="0"/>
            </w:tcBorders>
            <w:vAlign w:val="center"/>
          </w:tcPr>
          <w:p w14:paraId="1257C9BA">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从业人员300人以下或资产总额120000万元以下的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376DD22">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从业人员100人及以上，且资产总额8000万元及以上的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DDE18E2">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从业人员10人及以上，且资产总额100万元及以上的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2782BD3">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从业人员10人以下或资产总额100万元以下的</w:t>
            </w:r>
          </w:p>
        </w:tc>
      </w:tr>
      <w:tr w14:paraId="55B8E57A">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EB277BC">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16</w:t>
            </w:r>
          </w:p>
        </w:tc>
        <w:tc>
          <w:tcPr>
            <w:tcW w:w="967" w:type="dxa"/>
            <w:tcBorders>
              <w:top w:val="single" w:color="000000" w:sz="4" w:space="0"/>
              <w:left w:val="single" w:color="000000" w:sz="4" w:space="0"/>
              <w:bottom w:val="single" w:color="000000" w:sz="4" w:space="0"/>
              <w:right w:val="single" w:color="000000" w:sz="4" w:space="0"/>
            </w:tcBorders>
            <w:vAlign w:val="center"/>
          </w:tcPr>
          <w:p w14:paraId="7858B221">
            <w:pPr>
              <w:widowControl/>
              <w:adjustRightInd/>
              <w:spacing w:line="4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其他未列明行业</w:t>
            </w:r>
          </w:p>
        </w:tc>
        <w:tc>
          <w:tcPr>
            <w:tcW w:w="1093" w:type="dxa"/>
            <w:tcBorders>
              <w:left w:val="single" w:color="000000" w:sz="4" w:space="0"/>
              <w:bottom w:val="single" w:color="000000" w:sz="4" w:space="0"/>
              <w:right w:val="single" w:color="000000" w:sz="4" w:space="0"/>
            </w:tcBorders>
            <w:vAlign w:val="center"/>
          </w:tcPr>
          <w:p w14:paraId="63068EC1">
            <w:pPr>
              <w:widowControl/>
              <w:adjustRightInd/>
              <w:spacing w:line="440" w:lineRule="exact"/>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从业人员(人）</w:t>
            </w:r>
          </w:p>
        </w:tc>
        <w:tc>
          <w:tcPr>
            <w:tcW w:w="1892" w:type="dxa"/>
            <w:tcBorders>
              <w:left w:val="single" w:color="000000" w:sz="4" w:space="0"/>
              <w:bottom w:val="single" w:color="000000" w:sz="4" w:space="0"/>
              <w:right w:val="single" w:color="000000" w:sz="4" w:space="0"/>
            </w:tcBorders>
            <w:vAlign w:val="center"/>
          </w:tcPr>
          <w:p w14:paraId="1AB90203">
            <w:pPr>
              <w:widowControl/>
              <w:adjustRightInd/>
              <w:spacing w:line="44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从业人员300人以下的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CB7CB54">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从业人员100人及以上的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DEF0B37">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350B911">
            <w:pPr>
              <w:widowControl/>
              <w:adjustRightInd/>
              <w:spacing w:line="440" w:lineRule="exact"/>
              <w:jc w:val="center"/>
              <w:textAlignment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从业人员10人以下的</w:t>
            </w:r>
          </w:p>
        </w:tc>
      </w:tr>
    </w:tbl>
    <w:p w14:paraId="3762F406">
      <w:pPr>
        <w:spacing w:line="360" w:lineRule="auto"/>
        <w:jc w:val="both"/>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Songti SC">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D9FC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A9E5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DCCE9">
    <w:pPr>
      <w:pStyle w:val="40"/>
      <w:framePr w:wrap="around" w:vAnchor="text" w:hAnchor="margin" w:xAlign="right" w:y="1"/>
      <w:rPr>
        <w:rStyle w:val="73"/>
      </w:rPr>
    </w:pPr>
    <w:r>
      <w:fldChar w:fldCharType="begin"/>
    </w:r>
    <w:r>
      <w:rPr>
        <w:rStyle w:val="73"/>
      </w:rPr>
      <w:instrText xml:space="preserve">PAGE  </w:instrText>
    </w:r>
    <w:r>
      <w:fldChar w:fldCharType="end"/>
    </w:r>
  </w:p>
  <w:p w14:paraId="23BE6021">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D5E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2" w:name="_Toc164085800"/>
    <w:bookmarkStart w:id="413" w:name="_Toc91899912"/>
    <w:bookmarkStart w:id="414" w:name="_Toc36110187"/>
    <w:bookmarkStart w:id="415" w:name="_Toc131845147"/>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F021D">
    <w:pPr>
      <w:pStyle w:val="40"/>
      <w:framePr w:wrap="around" w:vAnchor="text" w:hAnchor="margin" w:xAlign="right" w:y="1"/>
      <w:rPr>
        <w:rStyle w:val="73"/>
      </w:rPr>
    </w:pPr>
    <w:r>
      <w:fldChar w:fldCharType="begin"/>
    </w:r>
    <w:r>
      <w:rPr>
        <w:rStyle w:val="73"/>
      </w:rPr>
      <w:instrText xml:space="preserve">PAGE  </w:instrText>
    </w:r>
    <w:r>
      <w:fldChar w:fldCharType="end"/>
    </w:r>
  </w:p>
  <w:p w14:paraId="064DE13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F163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047A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E553E7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B431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A508E2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0DEF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1DCFD9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1215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95C124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FB6D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30E1ED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64BE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B72B0E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9CEE1">
    <w:pPr>
      <w:pStyle w:val="41"/>
      <w:pBdr>
        <w:bottom w:val="single" w:color="auto" w:sz="6" w:space="4"/>
      </w:pBdr>
      <w:jc w:val="right"/>
    </w:pPr>
    <w:r>
      <w:t></w:t>
    </w:r>
    <w:r>
      <w:rPr>
        <w:rFonts w:hint="eastAsia"/>
      </w:rPr>
      <w:t xml:space="preserve">             </w:t>
    </w:r>
    <w:r>
      <w:t>杭州市政府采购公开招标文件</w:t>
    </w:r>
  </w:p>
  <w:p w14:paraId="5024348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D635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3EE4F">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E6EDE">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C2680">
    <w:pPr>
      <w:pStyle w:val="41"/>
    </w:pPr>
    <w:r>
      <w:t></w:t>
    </w:r>
    <w:r>
      <w:rPr>
        <w:rFonts w:hint="eastAsia"/>
      </w:rPr>
      <w:t xml:space="preserve">         </w:t>
    </w:r>
  </w:p>
  <w:p w14:paraId="3E0EF17F">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832E4">
    <w:pPr>
      <w:pStyle w:val="41"/>
      <w:rPr>
        <w:rFonts w:ascii="仿宋_GB2312" w:eastAsia="仿宋_GB2312"/>
        <w:b/>
        <w:i/>
        <w:u w:val="single"/>
      </w:rPr>
    </w:pPr>
    <w:r>
      <w:t></w:t>
    </w:r>
    <w:r>
      <w:rPr>
        <w:rFonts w:hint="eastAsia"/>
      </w:rPr>
      <w:t xml:space="preserve">                                                </w:t>
    </w:r>
    <w:r>
      <w:t xml:space="preserve"> 杭州市政府采购公开招标文件</w:t>
    </w:r>
  </w:p>
  <w:p w14:paraId="136914D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F8E54">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043E3">
    <w:pPr>
      <w:pStyle w:val="41"/>
      <w:jc w:val="right"/>
      <w:rPr>
        <w:rFonts w:ascii="仿宋_GB2312" w:eastAsia="仿宋_GB2312"/>
        <w:b/>
        <w:i/>
        <w:u w:val="single"/>
      </w:rPr>
    </w:pPr>
    <w:r>
      <w:rPr>
        <w:rFonts w:hint="eastAsia"/>
      </w:rPr>
      <w:t xml:space="preserve">                                  </w:t>
    </w:r>
    <w:r>
      <w:t>杭州市政府采购公开招标文件</w:t>
    </w:r>
  </w:p>
  <w:p w14:paraId="3AF32C3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C635">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E417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820284"/>
    <w:multiLevelType w:val="singleLevel"/>
    <w:tmpl w:val="4E820284"/>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1ZjM1ZjljZjc3NmZiMTRjMThiODBmOTg5OTdmY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84"/>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2FE0"/>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1BE"/>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758"/>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75E"/>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329"/>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0E35"/>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924"/>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0F5"/>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86E"/>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5B9"/>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4FC3"/>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2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52A"/>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B97"/>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783"/>
    <w:rsid w:val="00ED4A77"/>
    <w:rsid w:val="00ED4B6E"/>
    <w:rsid w:val="00ED5981"/>
    <w:rsid w:val="00ED5BB5"/>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3A6"/>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D115B"/>
    <w:rsid w:val="019F7441"/>
    <w:rsid w:val="01B37585"/>
    <w:rsid w:val="01D55165"/>
    <w:rsid w:val="01DF6BF8"/>
    <w:rsid w:val="01EC2C57"/>
    <w:rsid w:val="021B4775"/>
    <w:rsid w:val="022B3A92"/>
    <w:rsid w:val="024B505A"/>
    <w:rsid w:val="025F0711"/>
    <w:rsid w:val="026B2E25"/>
    <w:rsid w:val="02824D4D"/>
    <w:rsid w:val="0293255D"/>
    <w:rsid w:val="02DC4B10"/>
    <w:rsid w:val="02DD76CE"/>
    <w:rsid w:val="02F36323"/>
    <w:rsid w:val="02F5619C"/>
    <w:rsid w:val="0326446A"/>
    <w:rsid w:val="032D5555"/>
    <w:rsid w:val="036634D2"/>
    <w:rsid w:val="03DD35E4"/>
    <w:rsid w:val="03E70181"/>
    <w:rsid w:val="04076900"/>
    <w:rsid w:val="04185410"/>
    <w:rsid w:val="041A5A3B"/>
    <w:rsid w:val="042311BA"/>
    <w:rsid w:val="042B157A"/>
    <w:rsid w:val="042F4508"/>
    <w:rsid w:val="0483014C"/>
    <w:rsid w:val="048F763B"/>
    <w:rsid w:val="049F330E"/>
    <w:rsid w:val="04AA775C"/>
    <w:rsid w:val="04AF1889"/>
    <w:rsid w:val="04F66F48"/>
    <w:rsid w:val="05251E14"/>
    <w:rsid w:val="05524952"/>
    <w:rsid w:val="05A16594"/>
    <w:rsid w:val="05A7762D"/>
    <w:rsid w:val="060E5941"/>
    <w:rsid w:val="06110FAF"/>
    <w:rsid w:val="062C1A0D"/>
    <w:rsid w:val="0644429B"/>
    <w:rsid w:val="06493CA7"/>
    <w:rsid w:val="065A6178"/>
    <w:rsid w:val="066F1CF3"/>
    <w:rsid w:val="06930BB8"/>
    <w:rsid w:val="07245D42"/>
    <w:rsid w:val="07264C62"/>
    <w:rsid w:val="0779354C"/>
    <w:rsid w:val="07F10452"/>
    <w:rsid w:val="08061376"/>
    <w:rsid w:val="08452D77"/>
    <w:rsid w:val="086401F8"/>
    <w:rsid w:val="08751CAA"/>
    <w:rsid w:val="087E4C40"/>
    <w:rsid w:val="08A871D0"/>
    <w:rsid w:val="08D66AD6"/>
    <w:rsid w:val="08DA33A3"/>
    <w:rsid w:val="08E80F13"/>
    <w:rsid w:val="09335624"/>
    <w:rsid w:val="0944690F"/>
    <w:rsid w:val="0946032A"/>
    <w:rsid w:val="09535675"/>
    <w:rsid w:val="095F057D"/>
    <w:rsid w:val="09611CF3"/>
    <w:rsid w:val="09642282"/>
    <w:rsid w:val="09733572"/>
    <w:rsid w:val="09772C16"/>
    <w:rsid w:val="098353B5"/>
    <w:rsid w:val="09A92330"/>
    <w:rsid w:val="09B06B87"/>
    <w:rsid w:val="09B41737"/>
    <w:rsid w:val="09BA4874"/>
    <w:rsid w:val="09C13146"/>
    <w:rsid w:val="09E04166"/>
    <w:rsid w:val="0A1C0718"/>
    <w:rsid w:val="0A3E7710"/>
    <w:rsid w:val="0A5B7E63"/>
    <w:rsid w:val="0AA374A5"/>
    <w:rsid w:val="0AAB7649"/>
    <w:rsid w:val="0ABC5606"/>
    <w:rsid w:val="0AC51722"/>
    <w:rsid w:val="0B30404E"/>
    <w:rsid w:val="0B4C6C14"/>
    <w:rsid w:val="0B547599"/>
    <w:rsid w:val="0B631A88"/>
    <w:rsid w:val="0B683D45"/>
    <w:rsid w:val="0B7F3F11"/>
    <w:rsid w:val="0B884417"/>
    <w:rsid w:val="0BF21886"/>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27DD8"/>
    <w:rsid w:val="0D4A7419"/>
    <w:rsid w:val="0D827401"/>
    <w:rsid w:val="0D84094E"/>
    <w:rsid w:val="0D8A00E9"/>
    <w:rsid w:val="0D8D589E"/>
    <w:rsid w:val="0DA01C73"/>
    <w:rsid w:val="0DD63300"/>
    <w:rsid w:val="0DF50604"/>
    <w:rsid w:val="0DF702FE"/>
    <w:rsid w:val="0E060E51"/>
    <w:rsid w:val="0E5604B2"/>
    <w:rsid w:val="0E6D5D79"/>
    <w:rsid w:val="0E9D0089"/>
    <w:rsid w:val="0EA31D7A"/>
    <w:rsid w:val="0EAD49A7"/>
    <w:rsid w:val="0EB803EE"/>
    <w:rsid w:val="0EF94D4B"/>
    <w:rsid w:val="0F4958DC"/>
    <w:rsid w:val="0F515DF7"/>
    <w:rsid w:val="0F596BA8"/>
    <w:rsid w:val="0F6248D2"/>
    <w:rsid w:val="0F693536"/>
    <w:rsid w:val="0F7B0511"/>
    <w:rsid w:val="0F7B76D9"/>
    <w:rsid w:val="0F816ACD"/>
    <w:rsid w:val="0F9832DB"/>
    <w:rsid w:val="0FBF3FD2"/>
    <w:rsid w:val="0FBF7FF3"/>
    <w:rsid w:val="10374E70"/>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10F7E"/>
    <w:rsid w:val="13BF3CE4"/>
    <w:rsid w:val="141008D8"/>
    <w:rsid w:val="14125FE6"/>
    <w:rsid w:val="146D271E"/>
    <w:rsid w:val="14982588"/>
    <w:rsid w:val="149A5AD9"/>
    <w:rsid w:val="14A7619D"/>
    <w:rsid w:val="14CF3D09"/>
    <w:rsid w:val="150536C3"/>
    <w:rsid w:val="150C1963"/>
    <w:rsid w:val="151447A0"/>
    <w:rsid w:val="153C6A85"/>
    <w:rsid w:val="154A6454"/>
    <w:rsid w:val="15762120"/>
    <w:rsid w:val="15960139"/>
    <w:rsid w:val="16A8729C"/>
    <w:rsid w:val="16B33777"/>
    <w:rsid w:val="16BC70A7"/>
    <w:rsid w:val="16C6339E"/>
    <w:rsid w:val="172F2D79"/>
    <w:rsid w:val="17557BEF"/>
    <w:rsid w:val="17D349C1"/>
    <w:rsid w:val="17D82A95"/>
    <w:rsid w:val="18244F26"/>
    <w:rsid w:val="1830729E"/>
    <w:rsid w:val="1870062C"/>
    <w:rsid w:val="18817102"/>
    <w:rsid w:val="18830A15"/>
    <w:rsid w:val="18852B28"/>
    <w:rsid w:val="188B5321"/>
    <w:rsid w:val="18A04B0D"/>
    <w:rsid w:val="18A137CE"/>
    <w:rsid w:val="19932372"/>
    <w:rsid w:val="19A20DD5"/>
    <w:rsid w:val="19AE03F1"/>
    <w:rsid w:val="1A071A03"/>
    <w:rsid w:val="1A1F16AE"/>
    <w:rsid w:val="1A3B5C77"/>
    <w:rsid w:val="1A984BAD"/>
    <w:rsid w:val="1AB8220E"/>
    <w:rsid w:val="1ABF7563"/>
    <w:rsid w:val="1AE4166C"/>
    <w:rsid w:val="1AF06CFB"/>
    <w:rsid w:val="1AF11B8D"/>
    <w:rsid w:val="1B11359C"/>
    <w:rsid w:val="1B2A271F"/>
    <w:rsid w:val="1B4A3CA9"/>
    <w:rsid w:val="1B530544"/>
    <w:rsid w:val="1B713184"/>
    <w:rsid w:val="1BA209CF"/>
    <w:rsid w:val="1BB4777D"/>
    <w:rsid w:val="1BD75AB8"/>
    <w:rsid w:val="1C0459C2"/>
    <w:rsid w:val="1C1B3B4A"/>
    <w:rsid w:val="1C3D55BC"/>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1403F"/>
    <w:rsid w:val="1EB7330C"/>
    <w:rsid w:val="1EF92BA8"/>
    <w:rsid w:val="1F0A0FF3"/>
    <w:rsid w:val="1F5771FF"/>
    <w:rsid w:val="1FD52574"/>
    <w:rsid w:val="1FE868A9"/>
    <w:rsid w:val="20034907"/>
    <w:rsid w:val="20173E4B"/>
    <w:rsid w:val="204E48BC"/>
    <w:rsid w:val="2059238D"/>
    <w:rsid w:val="208921B3"/>
    <w:rsid w:val="20973DEB"/>
    <w:rsid w:val="20B26522"/>
    <w:rsid w:val="20B44310"/>
    <w:rsid w:val="211116EB"/>
    <w:rsid w:val="216133FC"/>
    <w:rsid w:val="21D56769"/>
    <w:rsid w:val="21E52EF3"/>
    <w:rsid w:val="21FB5D7B"/>
    <w:rsid w:val="22015E94"/>
    <w:rsid w:val="220B1C3D"/>
    <w:rsid w:val="220B1CB9"/>
    <w:rsid w:val="220F1962"/>
    <w:rsid w:val="221D1D20"/>
    <w:rsid w:val="22334A87"/>
    <w:rsid w:val="224A27E1"/>
    <w:rsid w:val="224C4B4B"/>
    <w:rsid w:val="22BE6801"/>
    <w:rsid w:val="22FA21AD"/>
    <w:rsid w:val="233500BF"/>
    <w:rsid w:val="23377FF7"/>
    <w:rsid w:val="236B425F"/>
    <w:rsid w:val="23836192"/>
    <w:rsid w:val="23901F29"/>
    <w:rsid w:val="239C0061"/>
    <w:rsid w:val="23B908A4"/>
    <w:rsid w:val="23E95BEF"/>
    <w:rsid w:val="23FD0064"/>
    <w:rsid w:val="24376D95"/>
    <w:rsid w:val="245375B0"/>
    <w:rsid w:val="24642C0A"/>
    <w:rsid w:val="24B22173"/>
    <w:rsid w:val="24B95AD9"/>
    <w:rsid w:val="24BE24DA"/>
    <w:rsid w:val="24CF5825"/>
    <w:rsid w:val="24D32F62"/>
    <w:rsid w:val="24D663E6"/>
    <w:rsid w:val="24D77F2B"/>
    <w:rsid w:val="258B00E2"/>
    <w:rsid w:val="25A917A6"/>
    <w:rsid w:val="25BE27CC"/>
    <w:rsid w:val="25F74A5C"/>
    <w:rsid w:val="2628662C"/>
    <w:rsid w:val="262D45DE"/>
    <w:rsid w:val="26871DC8"/>
    <w:rsid w:val="26A53EF9"/>
    <w:rsid w:val="26A94201"/>
    <w:rsid w:val="26AC274F"/>
    <w:rsid w:val="26AF5308"/>
    <w:rsid w:val="27044A29"/>
    <w:rsid w:val="271D34C8"/>
    <w:rsid w:val="276142BF"/>
    <w:rsid w:val="27783712"/>
    <w:rsid w:val="27907362"/>
    <w:rsid w:val="28333E1D"/>
    <w:rsid w:val="283A5862"/>
    <w:rsid w:val="283D6944"/>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66380"/>
    <w:rsid w:val="2B437463"/>
    <w:rsid w:val="2B746468"/>
    <w:rsid w:val="2B7807EE"/>
    <w:rsid w:val="2BA50BF7"/>
    <w:rsid w:val="2BBF00EC"/>
    <w:rsid w:val="2BC37CFD"/>
    <w:rsid w:val="2BD5237F"/>
    <w:rsid w:val="2BE536CE"/>
    <w:rsid w:val="2BE758D9"/>
    <w:rsid w:val="2BF346BB"/>
    <w:rsid w:val="2BFD741C"/>
    <w:rsid w:val="2C09049E"/>
    <w:rsid w:val="2C0A653C"/>
    <w:rsid w:val="2C191F85"/>
    <w:rsid w:val="2CE82D6F"/>
    <w:rsid w:val="2D262F43"/>
    <w:rsid w:val="2D343236"/>
    <w:rsid w:val="2D376E0C"/>
    <w:rsid w:val="2D575011"/>
    <w:rsid w:val="2DB94CBF"/>
    <w:rsid w:val="2DD15014"/>
    <w:rsid w:val="2DDF7BB2"/>
    <w:rsid w:val="2DF72DE4"/>
    <w:rsid w:val="2E0220AF"/>
    <w:rsid w:val="2E4B082A"/>
    <w:rsid w:val="2E5D4E86"/>
    <w:rsid w:val="2E5D790B"/>
    <w:rsid w:val="2E9A3C18"/>
    <w:rsid w:val="2EBB0FEE"/>
    <w:rsid w:val="2EC63002"/>
    <w:rsid w:val="2EF064BE"/>
    <w:rsid w:val="2F0A6B38"/>
    <w:rsid w:val="2F573BD2"/>
    <w:rsid w:val="2F946CCB"/>
    <w:rsid w:val="2FD25781"/>
    <w:rsid w:val="2FDC745C"/>
    <w:rsid w:val="2FFD7934"/>
    <w:rsid w:val="30733ACD"/>
    <w:rsid w:val="308C3862"/>
    <w:rsid w:val="309379D8"/>
    <w:rsid w:val="30A270F7"/>
    <w:rsid w:val="30C776F3"/>
    <w:rsid w:val="30DF1478"/>
    <w:rsid w:val="30EC586F"/>
    <w:rsid w:val="319C6071"/>
    <w:rsid w:val="31AC537E"/>
    <w:rsid w:val="31E3679B"/>
    <w:rsid w:val="31E732FD"/>
    <w:rsid w:val="32517576"/>
    <w:rsid w:val="326571C3"/>
    <w:rsid w:val="326F2DD3"/>
    <w:rsid w:val="32914607"/>
    <w:rsid w:val="32BE5C2C"/>
    <w:rsid w:val="32FB6478"/>
    <w:rsid w:val="33263B3F"/>
    <w:rsid w:val="336963EB"/>
    <w:rsid w:val="33816EEB"/>
    <w:rsid w:val="3381760D"/>
    <w:rsid w:val="33EB55CD"/>
    <w:rsid w:val="33EC4C02"/>
    <w:rsid w:val="340D2360"/>
    <w:rsid w:val="341058B9"/>
    <w:rsid w:val="3410665D"/>
    <w:rsid w:val="34211214"/>
    <w:rsid w:val="342E63AB"/>
    <w:rsid w:val="34950E68"/>
    <w:rsid w:val="34986E94"/>
    <w:rsid w:val="34AF62C9"/>
    <w:rsid w:val="34CB4388"/>
    <w:rsid w:val="34FA6E12"/>
    <w:rsid w:val="35044A71"/>
    <w:rsid w:val="354D7158"/>
    <w:rsid w:val="358D5588"/>
    <w:rsid w:val="35FA30BB"/>
    <w:rsid w:val="363A3B40"/>
    <w:rsid w:val="365302AE"/>
    <w:rsid w:val="36607A0A"/>
    <w:rsid w:val="366E227C"/>
    <w:rsid w:val="366F2E0D"/>
    <w:rsid w:val="367B6A5C"/>
    <w:rsid w:val="36A74ADA"/>
    <w:rsid w:val="36AD60D5"/>
    <w:rsid w:val="36B224F9"/>
    <w:rsid w:val="36EC0CC9"/>
    <w:rsid w:val="36F823B4"/>
    <w:rsid w:val="372633C5"/>
    <w:rsid w:val="373F410B"/>
    <w:rsid w:val="37EE7094"/>
    <w:rsid w:val="37EF613E"/>
    <w:rsid w:val="38296C89"/>
    <w:rsid w:val="383002EB"/>
    <w:rsid w:val="384004B6"/>
    <w:rsid w:val="38586797"/>
    <w:rsid w:val="385D15DF"/>
    <w:rsid w:val="38BC0149"/>
    <w:rsid w:val="38D87D1C"/>
    <w:rsid w:val="395C1B6C"/>
    <w:rsid w:val="39636459"/>
    <w:rsid w:val="396B7F6C"/>
    <w:rsid w:val="39B417A9"/>
    <w:rsid w:val="39C064A6"/>
    <w:rsid w:val="39FC5695"/>
    <w:rsid w:val="3A006D8E"/>
    <w:rsid w:val="3A3651E5"/>
    <w:rsid w:val="3A744481"/>
    <w:rsid w:val="3A8C7BEF"/>
    <w:rsid w:val="3A906246"/>
    <w:rsid w:val="3B2349B7"/>
    <w:rsid w:val="3B616CFF"/>
    <w:rsid w:val="3B6259F6"/>
    <w:rsid w:val="3B63A658"/>
    <w:rsid w:val="3B7641EF"/>
    <w:rsid w:val="3B976654"/>
    <w:rsid w:val="3BC01EFC"/>
    <w:rsid w:val="3BC44F5A"/>
    <w:rsid w:val="3BCA786A"/>
    <w:rsid w:val="3BD31E2F"/>
    <w:rsid w:val="3BF15831"/>
    <w:rsid w:val="3C105946"/>
    <w:rsid w:val="3C29300F"/>
    <w:rsid w:val="3C471448"/>
    <w:rsid w:val="3C5F759A"/>
    <w:rsid w:val="3C6C525A"/>
    <w:rsid w:val="3CCE23CB"/>
    <w:rsid w:val="3CD17D17"/>
    <w:rsid w:val="3CD21A99"/>
    <w:rsid w:val="3CF621AB"/>
    <w:rsid w:val="3D3C7F39"/>
    <w:rsid w:val="3D440F09"/>
    <w:rsid w:val="3D4504A0"/>
    <w:rsid w:val="3D8734BB"/>
    <w:rsid w:val="3D9A11D4"/>
    <w:rsid w:val="3DA16D89"/>
    <w:rsid w:val="3DA364BE"/>
    <w:rsid w:val="3DD3602E"/>
    <w:rsid w:val="3DE041CB"/>
    <w:rsid w:val="3E0B6E71"/>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D04BF"/>
    <w:rsid w:val="3F756B8F"/>
    <w:rsid w:val="3F95482B"/>
    <w:rsid w:val="4019356B"/>
    <w:rsid w:val="40592157"/>
    <w:rsid w:val="406E1CAE"/>
    <w:rsid w:val="40A0133A"/>
    <w:rsid w:val="40A435AC"/>
    <w:rsid w:val="40C31A53"/>
    <w:rsid w:val="40FF545D"/>
    <w:rsid w:val="410067C8"/>
    <w:rsid w:val="418F0D2A"/>
    <w:rsid w:val="419F4DE7"/>
    <w:rsid w:val="41D01505"/>
    <w:rsid w:val="42474939"/>
    <w:rsid w:val="424C3C57"/>
    <w:rsid w:val="42613FF3"/>
    <w:rsid w:val="42660D96"/>
    <w:rsid w:val="428667D2"/>
    <w:rsid w:val="42B71375"/>
    <w:rsid w:val="42CD1CE0"/>
    <w:rsid w:val="42D261AF"/>
    <w:rsid w:val="42E1381E"/>
    <w:rsid w:val="42ED6459"/>
    <w:rsid w:val="42FE58DD"/>
    <w:rsid w:val="43174B3D"/>
    <w:rsid w:val="434B790E"/>
    <w:rsid w:val="4360274F"/>
    <w:rsid w:val="43977AB6"/>
    <w:rsid w:val="43A3342B"/>
    <w:rsid w:val="43C77C27"/>
    <w:rsid w:val="43DE09EE"/>
    <w:rsid w:val="44002FAD"/>
    <w:rsid w:val="446C43E1"/>
    <w:rsid w:val="449101DD"/>
    <w:rsid w:val="44A83033"/>
    <w:rsid w:val="44BA4460"/>
    <w:rsid w:val="44DE1391"/>
    <w:rsid w:val="451B225C"/>
    <w:rsid w:val="452410C9"/>
    <w:rsid w:val="45317DFB"/>
    <w:rsid w:val="455F591C"/>
    <w:rsid w:val="456D3CE4"/>
    <w:rsid w:val="4579042C"/>
    <w:rsid w:val="457F0571"/>
    <w:rsid w:val="45851176"/>
    <w:rsid w:val="45967968"/>
    <w:rsid w:val="45C63B94"/>
    <w:rsid w:val="460E7DA5"/>
    <w:rsid w:val="46422483"/>
    <w:rsid w:val="4659254A"/>
    <w:rsid w:val="465B0637"/>
    <w:rsid w:val="465E3F0D"/>
    <w:rsid w:val="466A16E6"/>
    <w:rsid w:val="46893F2B"/>
    <w:rsid w:val="46C4686E"/>
    <w:rsid w:val="46CC1167"/>
    <w:rsid w:val="46FB67C1"/>
    <w:rsid w:val="47484C91"/>
    <w:rsid w:val="477B778F"/>
    <w:rsid w:val="478203EC"/>
    <w:rsid w:val="47B025FA"/>
    <w:rsid w:val="4809698F"/>
    <w:rsid w:val="4811697D"/>
    <w:rsid w:val="481933D9"/>
    <w:rsid w:val="487A3E25"/>
    <w:rsid w:val="488B5503"/>
    <w:rsid w:val="48937E21"/>
    <w:rsid w:val="489A0361"/>
    <w:rsid w:val="48B94FF3"/>
    <w:rsid w:val="48DB5895"/>
    <w:rsid w:val="48E37AAB"/>
    <w:rsid w:val="48FD4B4C"/>
    <w:rsid w:val="490A68E0"/>
    <w:rsid w:val="491055FE"/>
    <w:rsid w:val="495F5B3E"/>
    <w:rsid w:val="496F77D7"/>
    <w:rsid w:val="497654FD"/>
    <w:rsid w:val="49B64211"/>
    <w:rsid w:val="49C10C05"/>
    <w:rsid w:val="49F6167F"/>
    <w:rsid w:val="4A064FA0"/>
    <w:rsid w:val="4A16615C"/>
    <w:rsid w:val="4A4424D7"/>
    <w:rsid w:val="4AB82D0F"/>
    <w:rsid w:val="4AEB7664"/>
    <w:rsid w:val="4AFD7C19"/>
    <w:rsid w:val="4B014A4C"/>
    <w:rsid w:val="4B0567D1"/>
    <w:rsid w:val="4B236AAE"/>
    <w:rsid w:val="4B707271"/>
    <w:rsid w:val="4B7A3887"/>
    <w:rsid w:val="4B9739F7"/>
    <w:rsid w:val="4BEE2503"/>
    <w:rsid w:val="4C245A30"/>
    <w:rsid w:val="4CB6685F"/>
    <w:rsid w:val="4CC367FE"/>
    <w:rsid w:val="4D077F3C"/>
    <w:rsid w:val="4D094EC3"/>
    <w:rsid w:val="4D123355"/>
    <w:rsid w:val="4D2A3B31"/>
    <w:rsid w:val="4D312C52"/>
    <w:rsid w:val="4D905305"/>
    <w:rsid w:val="4D964A72"/>
    <w:rsid w:val="4D9C1254"/>
    <w:rsid w:val="4E2360FA"/>
    <w:rsid w:val="4E793892"/>
    <w:rsid w:val="4E800872"/>
    <w:rsid w:val="4EC569ED"/>
    <w:rsid w:val="4ED50EA1"/>
    <w:rsid w:val="4EEC050C"/>
    <w:rsid w:val="4F104EC3"/>
    <w:rsid w:val="4F47354A"/>
    <w:rsid w:val="4F911C54"/>
    <w:rsid w:val="4FE625E0"/>
    <w:rsid w:val="5021480F"/>
    <w:rsid w:val="5043249A"/>
    <w:rsid w:val="50962ECB"/>
    <w:rsid w:val="50A42E38"/>
    <w:rsid w:val="50A4577F"/>
    <w:rsid w:val="50B73D1F"/>
    <w:rsid w:val="50BD5BC9"/>
    <w:rsid w:val="50C11EEE"/>
    <w:rsid w:val="50E97CFC"/>
    <w:rsid w:val="50FA4028"/>
    <w:rsid w:val="510D65B7"/>
    <w:rsid w:val="511157AB"/>
    <w:rsid w:val="51197AA1"/>
    <w:rsid w:val="5142540C"/>
    <w:rsid w:val="518832C8"/>
    <w:rsid w:val="519D3C50"/>
    <w:rsid w:val="51A0432A"/>
    <w:rsid w:val="51A86090"/>
    <w:rsid w:val="51B7396D"/>
    <w:rsid w:val="522E4CC3"/>
    <w:rsid w:val="523E560F"/>
    <w:rsid w:val="5244713B"/>
    <w:rsid w:val="52615633"/>
    <w:rsid w:val="526F4DE4"/>
    <w:rsid w:val="52977FD4"/>
    <w:rsid w:val="52A25790"/>
    <w:rsid w:val="52A96B6F"/>
    <w:rsid w:val="52B45975"/>
    <w:rsid w:val="52D94AA4"/>
    <w:rsid w:val="52EA3A62"/>
    <w:rsid w:val="52F50BB8"/>
    <w:rsid w:val="53097272"/>
    <w:rsid w:val="53165C44"/>
    <w:rsid w:val="531E71EE"/>
    <w:rsid w:val="53544462"/>
    <w:rsid w:val="5397158E"/>
    <w:rsid w:val="54013861"/>
    <w:rsid w:val="54105DF7"/>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0569C"/>
    <w:rsid w:val="597E3DD8"/>
    <w:rsid w:val="59E051FD"/>
    <w:rsid w:val="59F80043"/>
    <w:rsid w:val="59FB3DE5"/>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66216"/>
    <w:rsid w:val="5BD52A47"/>
    <w:rsid w:val="5C02690E"/>
    <w:rsid w:val="5C1178F0"/>
    <w:rsid w:val="5C196DA7"/>
    <w:rsid w:val="5C2A048C"/>
    <w:rsid w:val="5C80234E"/>
    <w:rsid w:val="5C8A680C"/>
    <w:rsid w:val="5D0C4701"/>
    <w:rsid w:val="5D0F0395"/>
    <w:rsid w:val="5D1D1474"/>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21609C"/>
    <w:rsid w:val="5F3A3602"/>
    <w:rsid w:val="5F45733B"/>
    <w:rsid w:val="5F6277C6"/>
    <w:rsid w:val="5F6D0B1D"/>
    <w:rsid w:val="5F816EBD"/>
    <w:rsid w:val="5F8D0B82"/>
    <w:rsid w:val="5FCC5339"/>
    <w:rsid w:val="5FE34A5B"/>
    <w:rsid w:val="5FFE1E36"/>
    <w:rsid w:val="60232584"/>
    <w:rsid w:val="606C4651"/>
    <w:rsid w:val="607330CE"/>
    <w:rsid w:val="60825176"/>
    <w:rsid w:val="609F2AC4"/>
    <w:rsid w:val="60A16188"/>
    <w:rsid w:val="60FA2EE8"/>
    <w:rsid w:val="61054A27"/>
    <w:rsid w:val="610A52BC"/>
    <w:rsid w:val="611D2366"/>
    <w:rsid w:val="61421856"/>
    <w:rsid w:val="614C33F7"/>
    <w:rsid w:val="615227C4"/>
    <w:rsid w:val="61654E3F"/>
    <w:rsid w:val="6170071F"/>
    <w:rsid w:val="6182292A"/>
    <w:rsid w:val="619F7F92"/>
    <w:rsid w:val="61E810F3"/>
    <w:rsid w:val="61F94C26"/>
    <w:rsid w:val="62000E56"/>
    <w:rsid w:val="62103E3F"/>
    <w:rsid w:val="624F3E49"/>
    <w:rsid w:val="62632286"/>
    <w:rsid w:val="62885958"/>
    <w:rsid w:val="62C05BCC"/>
    <w:rsid w:val="62F40B65"/>
    <w:rsid w:val="62FC2CFE"/>
    <w:rsid w:val="63024505"/>
    <w:rsid w:val="634C5BD2"/>
    <w:rsid w:val="635600A5"/>
    <w:rsid w:val="635B1DB5"/>
    <w:rsid w:val="63711FED"/>
    <w:rsid w:val="63880DDC"/>
    <w:rsid w:val="638906B4"/>
    <w:rsid w:val="638D750D"/>
    <w:rsid w:val="639037F0"/>
    <w:rsid w:val="63AC6CC0"/>
    <w:rsid w:val="63AD1FEB"/>
    <w:rsid w:val="64055776"/>
    <w:rsid w:val="64240056"/>
    <w:rsid w:val="643E143A"/>
    <w:rsid w:val="64491666"/>
    <w:rsid w:val="648B6EEF"/>
    <w:rsid w:val="64AA03AE"/>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4D799B"/>
    <w:rsid w:val="68551F4F"/>
    <w:rsid w:val="687C10C9"/>
    <w:rsid w:val="68840C16"/>
    <w:rsid w:val="68876EFB"/>
    <w:rsid w:val="68884654"/>
    <w:rsid w:val="689F444F"/>
    <w:rsid w:val="68B96DBB"/>
    <w:rsid w:val="68CA2805"/>
    <w:rsid w:val="68E937A3"/>
    <w:rsid w:val="68F16ADF"/>
    <w:rsid w:val="693E15D3"/>
    <w:rsid w:val="69627681"/>
    <w:rsid w:val="6977531D"/>
    <w:rsid w:val="69CC2BFF"/>
    <w:rsid w:val="69FD55B8"/>
    <w:rsid w:val="6A0B1C62"/>
    <w:rsid w:val="6A2406C8"/>
    <w:rsid w:val="6ADE0BD1"/>
    <w:rsid w:val="6AE96859"/>
    <w:rsid w:val="6AFE1933"/>
    <w:rsid w:val="6B147746"/>
    <w:rsid w:val="6B24787C"/>
    <w:rsid w:val="6B573233"/>
    <w:rsid w:val="6B5B6274"/>
    <w:rsid w:val="6B935D53"/>
    <w:rsid w:val="6BD80EE5"/>
    <w:rsid w:val="6C0E47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DF6201A"/>
    <w:rsid w:val="6E436A40"/>
    <w:rsid w:val="6E8335BD"/>
    <w:rsid w:val="6E8E12EF"/>
    <w:rsid w:val="6E972936"/>
    <w:rsid w:val="6ED446C5"/>
    <w:rsid w:val="6EF03395"/>
    <w:rsid w:val="6F2A7D94"/>
    <w:rsid w:val="6F433E0D"/>
    <w:rsid w:val="6F8331F1"/>
    <w:rsid w:val="6FAE1A09"/>
    <w:rsid w:val="6FD75BF8"/>
    <w:rsid w:val="6FEF392B"/>
    <w:rsid w:val="70494DBB"/>
    <w:rsid w:val="707723D0"/>
    <w:rsid w:val="70AD5DA7"/>
    <w:rsid w:val="70F5661B"/>
    <w:rsid w:val="71325EE7"/>
    <w:rsid w:val="71360107"/>
    <w:rsid w:val="713B688E"/>
    <w:rsid w:val="71D43752"/>
    <w:rsid w:val="71F1796A"/>
    <w:rsid w:val="72154626"/>
    <w:rsid w:val="72262B5D"/>
    <w:rsid w:val="72283FF7"/>
    <w:rsid w:val="722E7212"/>
    <w:rsid w:val="723A0474"/>
    <w:rsid w:val="725923E4"/>
    <w:rsid w:val="72864BF7"/>
    <w:rsid w:val="729023FC"/>
    <w:rsid w:val="73C0646E"/>
    <w:rsid w:val="73E3171A"/>
    <w:rsid w:val="742222F5"/>
    <w:rsid w:val="742C4E6F"/>
    <w:rsid w:val="74476126"/>
    <w:rsid w:val="74706664"/>
    <w:rsid w:val="747F3682"/>
    <w:rsid w:val="749C4185"/>
    <w:rsid w:val="75067759"/>
    <w:rsid w:val="752E6DCD"/>
    <w:rsid w:val="7551380D"/>
    <w:rsid w:val="75600BE5"/>
    <w:rsid w:val="7564475C"/>
    <w:rsid w:val="7583797F"/>
    <w:rsid w:val="75A2437B"/>
    <w:rsid w:val="75D20F1D"/>
    <w:rsid w:val="75DA2C18"/>
    <w:rsid w:val="75DE7597"/>
    <w:rsid w:val="75F54412"/>
    <w:rsid w:val="761D08E0"/>
    <w:rsid w:val="765D347C"/>
    <w:rsid w:val="76826699"/>
    <w:rsid w:val="76C87133"/>
    <w:rsid w:val="76CD08D5"/>
    <w:rsid w:val="76DB4B92"/>
    <w:rsid w:val="77052AA4"/>
    <w:rsid w:val="77136511"/>
    <w:rsid w:val="77340A39"/>
    <w:rsid w:val="77351FD0"/>
    <w:rsid w:val="77472422"/>
    <w:rsid w:val="777F31F2"/>
    <w:rsid w:val="77D1700D"/>
    <w:rsid w:val="77DA6317"/>
    <w:rsid w:val="77EC04CC"/>
    <w:rsid w:val="78775729"/>
    <w:rsid w:val="78A42DB0"/>
    <w:rsid w:val="78A656AB"/>
    <w:rsid w:val="78B2245C"/>
    <w:rsid w:val="78D930EC"/>
    <w:rsid w:val="78E172CC"/>
    <w:rsid w:val="78EA1D1F"/>
    <w:rsid w:val="78EE6B97"/>
    <w:rsid w:val="790068CB"/>
    <w:rsid w:val="7904172F"/>
    <w:rsid w:val="790F7E27"/>
    <w:rsid w:val="792A231A"/>
    <w:rsid w:val="79316829"/>
    <w:rsid w:val="79344461"/>
    <w:rsid w:val="794744F9"/>
    <w:rsid w:val="797E66A9"/>
    <w:rsid w:val="798518A4"/>
    <w:rsid w:val="798E18C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1D782A"/>
    <w:rsid w:val="7D491C6C"/>
    <w:rsid w:val="7D5429C0"/>
    <w:rsid w:val="7D6E6D43"/>
    <w:rsid w:val="7DB57A34"/>
    <w:rsid w:val="7DC17223"/>
    <w:rsid w:val="7DE60973"/>
    <w:rsid w:val="7DEF0916"/>
    <w:rsid w:val="7E1E5218"/>
    <w:rsid w:val="7E9A4E1F"/>
    <w:rsid w:val="7EA7723A"/>
    <w:rsid w:val="7EB4241F"/>
    <w:rsid w:val="7EF56FBB"/>
    <w:rsid w:val="7F0768EB"/>
    <w:rsid w:val="7F143BEC"/>
    <w:rsid w:val="7F327395"/>
    <w:rsid w:val="7F6556D9"/>
    <w:rsid w:val="7F715AF2"/>
    <w:rsid w:val="7F886E69"/>
    <w:rsid w:val="7FA206DC"/>
    <w:rsid w:val="7FED5443"/>
    <w:rsid w:val="BB7FA927"/>
    <w:rsid w:val="BBC6F077"/>
    <w:rsid w:val="DBAF9DDD"/>
    <w:rsid w:val="E73EEFE1"/>
    <w:rsid w:val="F07FFF23"/>
    <w:rsid w:val="F5FFD31F"/>
    <w:rsid w:val="FDAF7D29"/>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styleId="25">
    <w:name w:val="envelope return"/>
    <w:basedOn w:val="1"/>
    <w:qFormat/>
    <w:uiPriority w:val="0"/>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23"/>
    <w:next w:val="1"/>
    <w:link w:val="321"/>
    <w:qFormat/>
    <w:uiPriority w:val="0"/>
    <w:pPr>
      <w:ind w:firstLine="420"/>
    </w:pPr>
    <w:rPr>
      <w:rFonts w:hAnsi="Calibri" w:cs="Times New Roman"/>
      <w:snapToGrid/>
      <w:szCs w:val="20"/>
    </w:rPr>
  </w:style>
  <w:style w:type="paragraph" w:styleId="62">
    <w:name w:val="Body Text First Indent 2"/>
    <w:basedOn w:val="24"/>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1">
    <w:name w:val="正文 "/>
    <w:basedOn w:val="1"/>
    <w:qFormat/>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fontstyle01"/>
    <w:qFormat/>
    <w:uiPriority w:val="0"/>
    <w:rPr>
      <w:rFonts w:hint="eastAsia" w:ascii="仿宋_GB2312" w:hAnsi="Times New Roman" w:eastAsia="仿宋_GB2312" w:cs="Times New Roman"/>
      <w:color w:val="000000"/>
      <w:sz w:val="24"/>
      <w:szCs w:val="24"/>
    </w:rPr>
  </w:style>
  <w:style w:type="paragraph" w:customStyle="1" w:styleId="965">
    <w:name w:val="单行图表"/>
    <w:basedOn w:val="966"/>
    <w:qFormat/>
    <w:uiPriority w:val="0"/>
    <w:pPr>
      <w:spacing w:line="240" w:lineRule="auto"/>
    </w:pPr>
    <w:rPr>
      <w:rFonts w:ascii="Times New Roman" w:hAnsi="Times New Roman"/>
    </w:rPr>
  </w:style>
  <w:style w:type="paragraph" w:customStyle="1" w:styleId="966">
    <w:name w:val="图表"/>
    <w:basedOn w:val="1"/>
    <w:next w:val="1"/>
    <w:qFormat/>
    <w:uiPriority w:val="0"/>
    <w:pPr>
      <w:spacing w:line="360" w:lineRule="auto"/>
      <w:ind w:firstLine="0" w:firstLineChars="0"/>
      <w:jc w:val="center"/>
    </w:pPr>
    <w:rPr>
      <w:rFonts w:ascii="Times New Roman" w:hAnsi="Times New Roman" w:eastAsia="Songti SC"/>
      <w:sz w:val="21"/>
    </w:rPr>
  </w:style>
  <w:style w:type="table" w:customStyle="1" w:styleId="96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16882</Words>
  <Characters>18222</Characters>
  <Lines>371</Lines>
  <Paragraphs>104</Paragraphs>
  <TotalTime>13</TotalTime>
  <ScaleCrop>false</ScaleCrop>
  <LinksUpToDate>false</LinksUpToDate>
  <CharactersWithSpaces>18674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2023-12-17T14:14:00Z</dcterms:created>
  <dc:creator>玥</dc:creator>
  <cp:lastModifiedBy>吃货旅程</cp:lastModifiedBy>
  <cp:lastPrinted>2025-03-01T08:04:00Z</cp:lastPrinted>
  <dcterms:modified xsi:type="dcterms:W3CDTF">2025-03-10T08:51:58Z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E8F73D0E16E24B8E97B0006E81086570_13</vt:lpwstr>
  </property>
  <property fmtid="{D5CDD505-2E9C-101B-9397-08002B2CF9AE}" pid="5" name="KSOTemplateDocerSaveRecord">
    <vt:lpwstr>eyJoZGlkIjoiN2E1ZjM1ZjljZjc3NmZiMTRjMThiODBmOTg5OTdmYWYiLCJ1c2VySWQiOiIyOTcyNzgzMTMifQ==</vt:lpwstr>
  </property>
</Properties>
</file>