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良渚街道2024年未来社区文化标识标牌项目</w:t>
      </w:r>
    </w:p>
    <w:p>
      <w:pPr>
        <w:adjustRightInd/>
        <w:spacing w:line="360" w:lineRule="auto"/>
        <w:jc w:val="center"/>
        <w:rPr>
          <w:rFonts w:ascii="宋体" w:hAnsi="宋体" w:cs="宋体"/>
          <w:color w:val="auto"/>
          <w:sz w:val="48"/>
          <w:szCs w:val="48"/>
        </w:rPr>
      </w:pPr>
    </w:p>
    <w:p>
      <w:pPr>
        <w:adjustRightInd/>
        <w:spacing w:line="360" w:lineRule="auto"/>
        <w:jc w:val="center"/>
        <w:rPr>
          <w:rFonts w:ascii="宋体" w:hAnsi="宋体" w:cs="宋体"/>
          <w:color w:val="auto"/>
          <w:sz w:val="48"/>
          <w:szCs w:val="48"/>
        </w:rPr>
      </w:pPr>
    </w:p>
    <w:p>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pPr>
        <w:snapToGrid w:val="0"/>
        <w:spacing w:line="360" w:lineRule="auto"/>
        <w:jc w:val="center"/>
        <w:rPr>
          <w:rFonts w:ascii="宋体" w:hAnsi="宋体" w:cs="宋体"/>
          <w:color w:val="auto"/>
          <w:sz w:val="30"/>
          <w:szCs w:val="30"/>
        </w:rPr>
      </w:pPr>
      <w:r>
        <w:rPr>
          <w:rFonts w:hint="eastAsia" w:ascii="宋体" w:hAnsi="宋体" w:cs="宋体"/>
          <w:color w:val="auto"/>
          <w:sz w:val="30"/>
          <w:szCs w:val="30"/>
        </w:rPr>
        <w:t>编号:（TSZFCG2024-005）</w:t>
      </w:r>
    </w:p>
    <w:p>
      <w:pPr>
        <w:adjustRightInd/>
        <w:spacing w:line="360" w:lineRule="auto"/>
        <w:rPr>
          <w:rFonts w:ascii="宋体" w:hAnsi="宋体" w:cs="宋体"/>
          <w:color w:val="auto"/>
          <w:sz w:val="28"/>
          <w:szCs w:val="20"/>
        </w:rPr>
      </w:pPr>
    </w:p>
    <w:p>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pPr>
        <w:spacing w:line="360" w:lineRule="auto"/>
        <w:jc w:val="center"/>
        <w:rPr>
          <w:rFonts w:ascii="宋体" w:hAnsi="宋体" w:cs="宋体"/>
          <w:b/>
          <w:color w:val="auto"/>
          <w:sz w:val="44"/>
          <w:szCs w:val="44"/>
        </w:rPr>
      </w:pPr>
    </w:p>
    <w:p>
      <w:pPr>
        <w:spacing w:line="360" w:lineRule="auto"/>
        <w:jc w:val="center"/>
        <w:rPr>
          <w:rFonts w:ascii="宋体" w:hAnsi="宋体" w:cs="宋体"/>
          <w:color w:val="auto"/>
          <w:sz w:val="24"/>
        </w:rPr>
      </w:pPr>
    </w:p>
    <w:p>
      <w:pPr>
        <w:spacing w:line="360" w:lineRule="auto"/>
        <w:jc w:val="center"/>
        <w:rPr>
          <w:rFonts w:ascii="宋体" w:hAnsi="宋体" w:cs="宋体"/>
          <w:color w:val="auto"/>
          <w:sz w:val="24"/>
        </w:rPr>
      </w:pPr>
    </w:p>
    <w:p>
      <w:pPr>
        <w:spacing w:line="360" w:lineRule="auto"/>
        <w:rPr>
          <w:rFonts w:ascii="宋体" w:hAnsi="宋体" w:cs="宋体"/>
          <w:color w:val="auto"/>
          <w:sz w:val="32"/>
          <w:szCs w:val="32"/>
        </w:rPr>
      </w:pPr>
    </w:p>
    <w:p>
      <w:pPr>
        <w:snapToGrid w:val="0"/>
        <w:spacing w:line="360" w:lineRule="auto"/>
        <w:jc w:val="center"/>
        <w:rPr>
          <w:rFonts w:ascii="宋体" w:hAnsi="宋体" w:cs="宋体"/>
          <w:color w:val="auto"/>
          <w:sz w:val="32"/>
          <w:szCs w:val="32"/>
        </w:rPr>
      </w:pPr>
      <w:r>
        <w:rPr>
          <w:rFonts w:hint="eastAsia" w:ascii="宋体" w:hAnsi="宋体" w:cs="宋体"/>
          <w:color w:val="auto"/>
          <w:sz w:val="32"/>
          <w:szCs w:val="32"/>
        </w:rPr>
        <w:t>（采购人）杭州市余杭区人民政府良渚街道办事处</w:t>
      </w:r>
    </w:p>
    <w:p>
      <w:pPr>
        <w:spacing w:line="360" w:lineRule="auto"/>
        <w:ind w:firstLine="960" w:firstLineChars="300"/>
        <w:rPr>
          <w:rFonts w:ascii="宋体" w:hAnsi="宋体" w:cs="宋体"/>
          <w:bCs/>
          <w:color w:val="auto"/>
          <w:sz w:val="32"/>
          <w:szCs w:val="32"/>
        </w:rPr>
      </w:pPr>
    </w:p>
    <w:p>
      <w:pPr>
        <w:spacing w:line="360" w:lineRule="auto"/>
        <w:ind w:firstLine="960" w:firstLineChars="300"/>
        <w:rPr>
          <w:rFonts w:ascii="宋体" w:hAnsi="宋体" w:cs="宋体"/>
          <w:bCs/>
          <w:color w:val="auto"/>
          <w:sz w:val="32"/>
          <w:szCs w:val="32"/>
        </w:rPr>
      </w:pPr>
      <w:r>
        <w:rPr>
          <w:rFonts w:hint="eastAsia" w:ascii="宋体" w:hAnsi="宋体" w:cs="宋体"/>
          <w:bCs/>
          <w:color w:val="auto"/>
          <w:sz w:val="32"/>
          <w:szCs w:val="32"/>
        </w:rPr>
        <w:t>（采购代理机构）天盛浙创工程咨询有限公司</w:t>
      </w:r>
    </w:p>
    <w:p>
      <w:pPr>
        <w:snapToGrid w:val="0"/>
        <w:spacing w:line="360" w:lineRule="auto"/>
        <w:jc w:val="center"/>
        <w:rPr>
          <w:rFonts w:ascii="宋体" w:hAnsi="宋体" w:cs="宋体"/>
          <w:bCs/>
          <w:color w:val="auto"/>
          <w:sz w:val="32"/>
          <w:szCs w:val="32"/>
        </w:rPr>
      </w:pPr>
    </w:p>
    <w:p>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二〇二四年</w:t>
      </w:r>
      <w:r>
        <w:rPr>
          <w:rFonts w:hint="eastAsia" w:ascii="宋体" w:hAnsi="宋体" w:cs="宋体"/>
          <w:bCs/>
          <w:color w:val="auto"/>
          <w:sz w:val="32"/>
          <w:szCs w:val="32"/>
          <w:lang w:val="en-US" w:eastAsia="zh-CN"/>
        </w:rPr>
        <w:t>九</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十八</w:t>
      </w:r>
      <w:r>
        <w:rPr>
          <w:rFonts w:hint="eastAsia" w:ascii="宋体" w:hAnsi="宋体" w:cs="宋体"/>
          <w:bCs/>
          <w:color w:val="auto"/>
          <w:sz w:val="32"/>
          <w:szCs w:val="32"/>
        </w:rPr>
        <w:t>日</w:t>
      </w:r>
    </w:p>
    <w:p>
      <w:pPr>
        <w:spacing w:line="360" w:lineRule="auto"/>
        <w:jc w:val="center"/>
        <w:rPr>
          <w:rFonts w:ascii="宋体" w:hAnsi="宋体" w:cs="宋体"/>
          <w:color w:val="auto"/>
          <w:sz w:val="24"/>
        </w:rPr>
      </w:pPr>
      <w:r>
        <w:rPr>
          <w:rFonts w:hint="eastAsia" w:ascii="宋体" w:hAnsi="宋体" w:cs="宋体"/>
          <w:color w:val="auto"/>
          <w:sz w:val="24"/>
        </w:rPr>
        <w:br w:type="page"/>
      </w:r>
      <w:bookmarkStart w:id="0" w:name="_Hlt67893495"/>
      <w:bookmarkEnd w:id="0"/>
    </w:p>
    <w:p>
      <w:pPr>
        <w:spacing w:line="360" w:lineRule="auto"/>
        <w:jc w:val="center"/>
        <w:rPr>
          <w:rFonts w:ascii="宋体" w:hAnsi="宋体" w:cs="宋体"/>
          <w:color w:val="auto"/>
          <w:sz w:val="24"/>
        </w:rPr>
      </w:pPr>
    </w:p>
    <w:p>
      <w:pPr>
        <w:spacing w:line="360" w:lineRule="auto"/>
        <w:jc w:val="center"/>
        <w:rPr>
          <w:rFonts w:ascii="宋体" w:hAnsi="宋体" w:cs="宋体"/>
          <w:b/>
          <w:color w:val="auto"/>
          <w:sz w:val="48"/>
          <w:szCs w:val="48"/>
        </w:rPr>
      </w:pPr>
      <w:r>
        <w:rPr>
          <w:rFonts w:hint="eastAsia" w:ascii="宋体" w:hAnsi="宋体" w:cs="宋体"/>
          <w:b/>
          <w:color w:val="auto"/>
          <w:sz w:val="48"/>
          <w:szCs w:val="48"/>
        </w:rPr>
        <w:t>目  录</w:t>
      </w:r>
    </w:p>
    <w:p>
      <w:pPr>
        <w:spacing w:line="360" w:lineRule="auto"/>
        <w:rPr>
          <w:rFonts w:ascii="宋体" w:hAnsi="宋体" w:cs="宋体"/>
          <w:color w:val="auto"/>
          <w:sz w:val="32"/>
          <w:szCs w:val="32"/>
        </w:rPr>
      </w:pPr>
    </w:p>
    <w:p>
      <w:pPr>
        <w:spacing w:line="360" w:lineRule="auto"/>
        <w:rPr>
          <w:rFonts w:ascii="宋体" w:hAnsi="宋体" w:cs="宋体"/>
          <w:color w:val="auto"/>
          <w:sz w:val="32"/>
          <w:szCs w:val="32"/>
        </w:rPr>
      </w:pPr>
    </w:p>
    <w:p>
      <w:pPr>
        <w:spacing w:line="360" w:lineRule="auto"/>
        <w:ind w:firstLine="1280" w:firstLineChars="400"/>
        <w:rPr>
          <w:rFonts w:hint="eastAsia" w:ascii="宋体" w:hAnsi="宋体" w:eastAsia="宋体" w:cs="宋体"/>
          <w:color w:val="auto"/>
          <w:sz w:val="32"/>
          <w:szCs w:val="32"/>
          <w:lang w:val="en-US" w:eastAsia="zh-CN"/>
        </w:rPr>
      </w:pPr>
      <w:r>
        <w:rPr>
          <w:rFonts w:hint="eastAsia" w:ascii="宋体" w:hAnsi="宋体" w:cs="宋体"/>
          <w:color w:val="auto"/>
          <w:sz w:val="32"/>
          <w:szCs w:val="32"/>
        </w:rPr>
        <w:t>第一部分      招标公告....................</w:t>
      </w:r>
      <w:r>
        <w:rPr>
          <w:rFonts w:hint="eastAsia" w:ascii="宋体" w:hAnsi="宋体" w:cs="宋体"/>
          <w:color w:val="auto"/>
          <w:sz w:val="32"/>
          <w:szCs w:val="32"/>
          <w:lang w:val="en-US" w:eastAsia="zh-CN"/>
        </w:rPr>
        <w:t>3</w:t>
      </w:r>
    </w:p>
    <w:p>
      <w:pPr>
        <w:spacing w:line="360" w:lineRule="auto"/>
        <w:ind w:firstLine="1280" w:firstLineChars="400"/>
        <w:rPr>
          <w:rFonts w:hint="eastAsia" w:ascii="宋体" w:hAnsi="宋体" w:eastAsia="宋体" w:cs="宋体"/>
          <w:color w:val="auto"/>
          <w:sz w:val="32"/>
          <w:szCs w:val="32"/>
          <w:lang w:val="en-US" w:eastAsia="zh-CN"/>
        </w:rPr>
      </w:pPr>
      <w:r>
        <w:rPr>
          <w:rFonts w:hint="eastAsia" w:ascii="宋体" w:hAnsi="宋体" w:cs="宋体"/>
          <w:color w:val="auto"/>
          <w:sz w:val="32"/>
          <w:szCs w:val="32"/>
        </w:rPr>
        <w:t>第二部分      投标人须知..................</w:t>
      </w:r>
      <w:r>
        <w:rPr>
          <w:rFonts w:hint="eastAsia" w:ascii="宋体" w:hAnsi="宋体" w:cs="宋体"/>
          <w:color w:val="auto"/>
          <w:sz w:val="32"/>
          <w:szCs w:val="32"/>
          <w:lang w:val="en-US" w:eastAsia="zh-CN"/>
        </w:rPr>
        <w:t>8</w:t>
      </w:r>
    </w:p>
    <w:p>
      <w:pPr>
        <w:spacing w:line="360" w:lineRule="auto"/>
        <w:ind w:firstLine="1280" w:firstLineChars="400"/>
        <w:rPr>
          <w:rFonts w:hint="default" w:ascii="宋体" w:hAnsi="宋体" w:eastAsia="宋体" w:cs="宋体"/>
          <w:color w:val="auto"/>
          <w:sz w:val="32"/>
          <w:szCs w:val="32"/>
          <w:lang w:val="en-US" w:eastAsia="zh-CN"/>
        </w:rPr>
      </w:pPr>
      <w:r>
        <w:rPr>
          <w:rFonts w:hint="eastAsia" w:ascii="宋体" w:hAnsi="宋体" w:cs="宋体"/>
          <w:color w:val="auto"/>
          <w:sz w:val="32"/>
          <w:szCs w:val="32"/>
        </w:rPr>
        <w:t>第三部分      采购需求....................</w:t>
      </w:r>
      <w:r>
        <w:rPr>
          <w:rFonts w:hint="eastAsia" w:ascii="宋体" w:hAnsi="宋体" w:cs="宋体"/>
          <w:color w:val="auto"/>
          <w:sz w:val="32"/>
          <w:szCs w:val="32"/>
          <w:lang w:val="en-US" w:eastAsia="zh-CN"/>
        </w:rPr>
        <w:t>26</w:t>
      </w:r>
    </w:p>
    <w:p>
      <w:pPr>
        <w:spacing w:line="360" w:lineRule="auto"/>
        <w:ind w:firstLine="1280" w:firstLineChars="400"/>
        <w:rPr>
          <w:rFonts w:hint="default" w:ascii="宋体" w:hAnsi="宋体" w:eastAsia="宋体" w:cs="宋体"/>
          <w:color w:val="auto"/>
          <w:sz w:val="32"/>
          <w:szCs w:val="32"/>
          <w:lang w:val="en-US" w:eastAsia="zh-CN"/>
        </w:rPr>
      </w:pPr>
      <w:r>
        <w:rPr>
          <w:rFonts w:hint="eastAsia" w:ascii="宋体" w:hAnsi="宋体" w:cs="宋体"/>
          <w:color w:val="auto"/>
          <w:sz w:val="32"/>
          <w:szCs w:val="32"/>
        </w:rPr>
        <w:t>第四部分      评标办法....................</w:t>
      </w:r>
      <w:r>
        <w:rPr>
          <w:rFonts w:hint="eastAsia" w:ascii="宋体" w:hAnsi="宋体" w:cs="宋体"/>
          <w:color w:val="auto"/>
          <w:sz w:val="32"/>
          <w:szCs w:val="32"/>
          <w:lang w:val="en-US" w:eastAsia="zh-CN"/>
        </w:rPr>
        <w:t>34</w:t>
      </w:r>
    </w:p>
    <w:p>
      <w:pPr>
        <w:spacing w:line="360" w:lineRule="auto"/>
        <w:ind w:firstLine="1280" w:firstLineChars="400"/>
        <w:rPr>
          <w:rFonts w:hint="default" w:ascii="宋体" w:hAnsi="宋体" w:eastAsia="宋体" w:cs="宋体"/>
          <w:color w:val="auto"/>
          <w:sz w:val="32"/>
          <w:szCs w:val="32"/>
          <w:lang w:val="en-US" w:eastAsia="zh-CN"/>
        </w:rPr>
      </w:pPr>
      <w:r>
        <w:rPr>
          <w:rFonts w:hint="eastAsia" w:ascii="宋体" w:hAnsi="宋体" w:cs="宋体"/>
          <w:color w:val="auto"/>
          <w:sz w:val="32"/>
          <w:szCs w:val="32"/>
        </w:rPr>
        <w:t>第五部分      拟签订的合同文本............</w:t>
      </w:r>
      <w:r>
        <w:rPr>
          <w:rFonts w:hint="eastAsia" w:ascii="宋体" w:hAnsi="宋体" w:cs="宋体"/>
          <w:color w:val="auto"/>
          <w:sz w:val="32"/>
          <w:szCs w:val="32"/>
          <w:lang w:val="en-US" w:eastAsia="zh-CN"/>
        </w:rPr>
        <w:t>40</w:t>
      </w:r>
    </w:p>
    <w:p>
      <w:pPr>
        <w:spacing w:line="360" w:lineRule="auto"/>
        <w:ind w:firstLine="1280" w:firstLineChars="400"/>
        <w:rPr>
          <w:rFonts w:hint="default" w:ascii="宋体" w:hAnsi="宋体" w:eastAsia="宋体" w:cs="宋体"/>
          <w:color w:val="auto"/>
          <w:sz w:val="32"/>
          <w:szCs w:val="32"/>
          <w:lang w:val="en-US" w:eastAsia="zh-CN"/>
        </w:rPr>
      </w:pPr>
      <w:r>
        <w:rPr>
          <w:rFonts w:hint="eastAsia" w:ascii="宋体" w:hAnsi="宋体" w:cs="宋体"/>
          <w:color w:val="auto"/>
          <w:sz w:val="32"/>
          <w:szCs w:val="32"/>
        </w:rPr>
        <w:t>第六部分      应提交的有关格式范例........</w:t>
      </w:r>
      <w:r>
        <w:rPr>
          <w:rFonts w:hint="eastAsia" w:ascii="宋体" w:hAnsi="宋体" w:cs="宋体"/>
          <w:color w:val="auto"/>
          <w:sz w:val="32"/>
          <w:szCs w:val="32"/>
          <w:lang w:val="en-US" w:eastAsia="zh-CN"/>
        </w:rPr>
        <w:t>51</w:t>
      </w:r>
    </w:p>
    <w:p>
      <w:pPr>
        <w:spacing w:line="360" w:lineRule="auto"/>
        <w:ind w:firstLine="549" w:firstLineChars="229"/>
        <w:rPr>
          <w:rFonts w:ascii="宋体" w:hAnsi="宋体" w:cs="宋体"/>
          <w:color w:val="auto"/>
          <w:sz w:val="24"/>
        </w:rPr>
      </w:pPr>
      <w:bookmarkStart w:id="1" w:name="_Hlt91233176"/>
      <w:bookmarkEnd w:id="1"/>
      <w:bookmarkStart w:id="2" w:name="_Toc91899869"/>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ind w:firstLine="549" w:firstLineChars="229"/>
        <w:rPr>
          <w:rFonts w:ascii="宋体" w:hAnsi="宋体" w:cs="宋体"/>
          <w:color w:val="auto"/>
          <w:sz w:val="24"/>
        </w:rPr>
      </w:pPr>
    </w:p>
    <w:p>
      <w:pPr>
        <w:spacing w:line="360" w:lineRule="auto"/>
        <w:rPr>
          <w:rFonts w:ascii="宋体" w:hAnsi="宋体" w:cs="宋体"/>
          <w:color w:val="auto"/>
          <w:sz w:val="24"/>
        </w:rPr>
      </w:pPr>
    </w:p>
    <w:p>
      <w:pPr>
        <w:adjustRightInd/>
        <w:spacing w:line="360" w:lineRule="auto"/>
        <w:jc w:val="center"/>
        <w:outlineLvl w:val="0"/>
        <w:rPr>
          <w:rFonts w:ascii="宋体" w:hAnsi="宋体" w:cs="宋体"/>
          <w:b/>
          <w:color w:val="auto"/>
          <w:sz w:val="36"/>
          <w:szCs w:val="20"/>
        </w:rPr>
      </w:pPr>
      <w:bookmarkStart w:id="3" w:name="第一部分"/>
      <w:r>
        <w:rPr>
          <w:rFonts w:hint="eastAsia" w:ascii="宋体" w:hAnsi="宋体" w:cs="宋体"/>
          <w:b/>
          <w:color w:val="auto"/>
          <w:sz w:val="36"/>
          <w:szCs w:val="36"/>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rPr>
        <w:t>第一部分 招标公告</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项目概况</w:t>
      </w:r>
    </w:p>
    <w:p>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color w:val="auto"/>
          <w:sz w:val="24"/>
          <w:u w:val="single"/>
        </w:rPr>
      </w:pPr>
      <w:r>
        <w:rPr>
          <w:rFonts w:hint="eastAsia" w:asciiTheme="minorEastAsia" w:hAnsiTheme="minorEastAsia" w:eastAsiaTheme="minorEastAsia"/>
          <w:color w:val="auto"/>
          <w:sz w:val="24"/>
          <w:u w:val="single"/>
        </w:rPr>
        <w:t>良渚街道2024年未来社区文化标识标牌项目</w:t>
      </w:r>
      <w:r>
        <w:rPr>
          <w:rFonts w:hint="eastAsia" w:asciiTheme="minorEastAsia" w:hAnsiTheme="minorEastAsia" w:eastAsiaTheme="minorEastAsia"/>
          <w:color w:val="auto"/>
          <w:sz w:val="24"/>
        </w:rPr>
        <w:t>招标项目的潜在投标人应在政采云平台（</w:t>
      </w:r>
      <w:r>
        <w:rPr>
          <w:color w:val="auto"/>
        </w:rPr>
        <w:fldChar w:fldCharType="begin"/>
      </w:r>
      <w:r>
        <w:rPr>
          <w:color w:val="auto"/>
        </w:rPr>
        <w:instrText xml:space="preserve"> HYPERLINK "https://www.zcygov.cn/）获取（下载）招标文件，并于202%20年%20月%20日%20点%20分00秒" </w:instrText>
      </w:r>
      <w:r>
        <w:rPr>
          <w:color w:val="auto"/>
        </w:rPr>
        <w:fldChar w:fldCharType="separate"/>
      </w:r>
      <w:r>
        <w:rPr>
          <w:rStyle w:val="76"/>
          <w:rFonts w:cs="Times New Roman" w:asciiTheme="minorEastAsia" w:hAnsiTheme="minorEastAsia" w:eastAsiaTheme="minorEastAsia"/>
          <w:snapToGrid/>
          <w:color w:val="auto"/>
          <w:kern w:val="2"/>
          <w:sz w:val="24"/>
          <w:szCs w:val="24"/>
        </w:rPr>
        <w:t>https://www.zcygov.cn/）获取（下载）招标文件，并于</w:t>
      </w:r>
      <w:r>
        <w:rPr>
          <w:rStyle w:val="76"/>
          <w:rFonts w:hint="eastAsia" w:cs="Times New Roman" w:asciiTheme="minorEastAsia" w:hAnsiTheme="minorEastAsia" w:eastAsiaTheme="minorEastAsia"/>
          <w:snapToGrid/>
          <w:color w:val="auto"/>
          <w:kern w:val="2"/>
          <w:sz w:val="24"/>
          <w:szCs w:val="24"/>
        </w:rPr>
        <w:t>2024</w:t>
      </w:r>
      <w:r>
        <w:rPr>
          <w:rStyle w:val="76"/>
          <w:rFonts w:cs="Times New Roman" w:asciiTheme="minorEastAsia" w:hAnsiTheme="minorEastAsia" w:eastAsiaTheme="minorEastAsia"/>
          <w:snapToGrid/>
          <w:color w:val="auto"/>
          <w:kern w:val="2"/>
          <w:sz w:val="24"/>
          <w:szCs w:val="24"/>
        </w:rPr>
        <w:t>年</w:t>
      </w:r>
      <w:r>
        <w:rPr>
          <w:rStyle w:val="76"/>
          <w:rFonts w:hint="eastAsia" w:cs="Times New Roman" w:asciiTheme="minorEastAsia" w:hAnsiTheme="minorEastAsia" w:eastAsiaTheme="minorEastAsia"/>
          <w:snapToGrid/>
          <w:color w:val="auto"/>
          <w:kern w:val="2"/>
          <w:sz w:val="24"/>
          <w:szCs w:val="24"/>
          <w:lang w:val="en-US" w:eastAsia="zh-CN"/>
        </w:rPr>
        <w:t>10</w:t>
      </w:r>
      <w:r>
        <w:rPr>
          <w:rStyle w:val="76"/>
          <w:rFonts w:hint="eastAsia" w:cs="Times New Roman" w:asciiTheme="minorEastAsia" w:hAnsiTheme="minorEastAsia" w:eastAsiaTheme="minorEastAsia"/>
          <w:snapToGrid/>
          <w:color w:val="auto"/>
          <w:kern w:val="2"/>
          <w:sz w:val="24"/>
          <w:szCs w:val="24"/>
        </w:rPr>
        <w:t>月</w:t>
      </w:r>
      <w:r>
        <w:rPr>
          <w:rStyle w:val="76"/>
          <w:rFonts w:hint="eastAsia" w:cs="Times New Roman" w:asciiTheme="minorEastAsia" w:hAnsiTheme="minorEastAsia" w:eastAsiaTheme="minorEastAsia"/>
          <w:snapToGrid/>
          <w:color w:val="auto"/>
          <w:kern w:val="2"/>
          <w:sz w:val="24"/>
          <w:szCs w:val="24"/>
          <w:lang w:val="en-US" w:eastAsia="zh-CN"/>
        </w:rPr>
        <w:t>9</w:t>
      </w:r>
      <w:r>
        <w:rPr>
          <w:rStyle w:val="76"/>
          <w:rFonts w:hint="eastAsia" w:cs="Times New Roman" w:asciiTheme="minorEastAsia" w:hAnsiTheme="minorEastAsia" w:eastAsiaTheme="minorEastAsia"/>
          <w:snapToGrid/>
          <w:color w:val="auto"/>
          <w:kern w:val="2"/>
          <w:sz w:val="24"/>
          <w:szCs w:val="24"/>
        </w:rPr>
        <w:t>日</w:t>
      </w:r>
      <w:r>
        <w:rPr>
          <w:rStyle w:val="76"/>
          <w:rFonts w:hint="eastAsia" w:cs="Times New Roman" w:asciiTheme="minorEastAsia" w:hAnsiTheme="minorEastAsia" w:eastAsiaTheme="minorEastAsia"/>
          <w:snapToGrid/>
          <w:color w:val="auto"/>
          <w:kern w:val="2"/>
          <w:sz w:val="24"/>
          <w:szCs w:val="24"/>
          <w:lang w:val="en-US" w:eastAsia="zh-CN"/>
        </w:rPr>
        <w:t>14</w:t>
      </w:r>
      <w:r>
        <w:rPr>
          <w:rStyle w:val="76"/>
          <w:rFonts w:hint="eastAsia" w:cs="Times New Roman" w:asciiTheme="minorEastAsia" w:hAnsiTheme="minorEastAsia" w:eastAsiaTheme="minorEastAsia"/>
          <w:snapToGrid/>
          <w:color w:val="auto"/>
          <w:kern w:val="2"/>
          <w:sz w:val="24"/>
          <w:szCs w:val="24"/>
        </w:rPr>
        <w:t>点</w:t>
      </w:r>
      <w:r>
        <w:rPr>
          <w:rStyle w:val="76"/>
          <w:rFonts w:hint="eastAsia" w:cs="Times New Roman" w:asciiTheme="minorEastAsia" w:hAnsiTheme="minorEastAsia" w:eastAsiaTheme="minorEastAsia"/>
          <w:snapToGrid/>
          <w:color w:val="auto"/>
          <w:kern w:val="2"/>
          <w:sz w:val="24"/>
          <w:szCs w:val="24"/>
          <w:lang w:val="en-US" w:eastAsia="zh-CN"/>
        </w:rPr>
        <w:t>00</w:t>
      </w:r>
      <w:r>
        <w:rPr>
          <w:rStyle w:val="76"/>
          <w:rFonts w:hint="eastAsia" w:cs="Times New Roman" w:asciiTheme="minorEastAsia" w:hAnsiTheme="minorEastAsia" w:eastAsiaTheme="minorEastAsia"/>
          <w:snapToGrid/>
          <w:color w:val="auto"/>
          <w:kern w:val="2"/>
          <w:sz w:val="24"/>
          <w:szCs w:val="24"/>
        </w:rPr>
        <w:t>分</w:t>
      </w:r>
      <w:r>
        <w:rPr>
          <w:rStyle w:val="76"/>
          <w:rFonts w:hint="eastAsia" w:cs="Times New Roman" w:asciiTheme="minorEastAsia" w:hAnsiTheme="minorEastAsia" w:eastAsiaTheme="minorEastAsia"/>
          <w:bCs/>
          <w:snapToGrid/>
          <w:color w:val="auto"/>
          <w:kern w:val="2"/>
          <w:sz w:val="24"/>
          <w:szCs w:val="24"/>
        </w:rPr>
        <w:t>00秒</w:t>
      </w:r>
      <w:r>
        <w:rPr>
          <w:rStyle w:val="76"/>
          <w:rFonts w:hint="eastAsia" w:cs="Times New Roman" w:asciiTheme="minorEastAsia" w:hAnsiTheme="minorEastAsia" w:eastAsiaTheme="minorEastAsia"/>
          <w:bCs/>
          <w:snapToGrid/>
          <w:color w:val="auto"/>
          <w:kern w:val="2"/>
          <w:sz w:val="24"/>
          <w:szCs w:val="24"/>
        </w:rPr>
        <w:fldChar w:fldCharType="end"/>
      </w:r>
      <w:r>
        <w:rPr>
          <w:rFonts w:hint="eastAsia" w:asciiTheme="minorEastAsia" w:hAnsiTheme="minorEastAsia" w:eastAsiaTheme="minorEastAsia"/>
          <w:bCs/>
          <w:color w:val="auto"/>
          <w:sz w:val="24"/>
        </w:rPr>
        <w:t>（北京时间）前</w:t>
      </w:r>
      <w:r>
        <w:rPr>
          <w:rFonts w:hint="eastAsia" w:asciiTheme="minorEastAsia" w:hAnsiTheme="minorEastAsia" w:eastAsiaTheme="minorEastAsia"/>
          <w:color w:val="auto"/>
          <w:sz w:val="24"/>
        </w:rPr>
        <w:t>递交（上传）投标文件。</w:t>
      </w:r>
    </w:p>
    <w:p>
      <w:pPr>
        <w:spacing w:line="360" w:lineRule="auto"/>
        <w:rPr>
          <w:rFonts w:ascii="宋体" w:hAnsi="宋体" w:cs="宋体"/>
          <w:b/>
          <w:color w:val="auto"/>
          <w:sz w:val="24"/>
        </w:rPr>
      </w:pPr>
      <w:r>
        <w:rPr>
          <w:rFonts w:hint="eastAsia" w:ascii="宋体" w:hAnsi="宋体" w:cs="宋体"/>
          <w:b/>
          <w:color w:val="auto"/>
          <w:sz w:val="24"/>
        </w:rPr>
        <w:t xml:space="preserve">一、项目基本情况                                            </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项目编号：TSZFCG2024-005</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rPr>
        <w:t>良渚街道2024年未来社区文化标识标牌项目</w:t>
      </w:r>
    </w:p>
    <w:p>
      <w:pPr>
        <w:spacing w:line="360" w:lineRule="auto"/>
        <w:rPr>
          <w:rFonts w:ascii="宋体" w:hAnsi="宋体" w:cs="宋体"/>
          <w:color w:val="auto"/>
          <w:sz w:val="24"/>
        </w:rPr>
      </w:pPr>
      <w:r>
        <w:rPr>
          <w:rFonts w:hint="eastAsia" w:ascii="宋体" w:hAnsi="宋体" w:cs="宋体"/>
          <w:color w:val="auto"/>
          <w:sz w:val="24"/>
        </w:rPr>
        <w:t xml:space="preserve">   </w:t>
      </w:r>
      <w:r>
        <w:rPr>
          <w:rFonts w:hint="eastAsia" w:ascii="宋体" w:hAnsi="宋体" w:cs="宋体"/>
          <w:b/>
          <w:color w:val="auto"/>
          <w:sz w:val="24"/>
        </w:rPr>
        <w:t xml:space="preserve"> 预算金额（元）：820000</w:t>
      </w:r>
    </w:p>
    <w:p>
      <w:pPr>
        <w:spacing w:line="360" w:lineRule="auto"/>
        <w:ind w:firstLine="480"/>
        <w:rPr>
          <w:rFonts w:ascii="宋体" w:hAnsi="宋体" w:cs="宋体"/>
          <w:color w:val="auto"/>
          <w:sz w:val="24"/>
        </w:rPr>
      </w:pPr>
      <w:r>
        <w:rPr>
          <w:rFonts w:hint="eastAsia" w:ascii="宋体" w:hAnsi="宋体" w:cs="宋体"/>
          <w:b/>
          <w:color w:val="auto"/>
          <w:sz w:val="24"/>
        </w:rPr>
        <w:t>最高限价（元）：820000</w:t>
      </w:r>
    </w:p>
    <w:p>
      <w:pPr>
        <w:pStyle w:val="7"/>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hAnsi="宋体" w:cs="宋体"/>
          <w:color w:val="auto"/>
          <w:sz w:val="24"/>
        </w:rPr>
        <w:t>良渚街道2024年未来社区文化标识标牌项目</w:t>
      </w:r>
      <w:r>
        <w:rPr>
          <w:rFonts w:hint="eastAsia" w:hAnsi="宋体" w:cs="宋体"/>
          <w:bCs/>
          <w:snapToGrid/>
          <w:color w:val="auto"/>
          <w:kern w:val="2"/>
          <w:sz w:val="24"/>
          <w:szCs w:val="24"/>
        </w:rPr>
        <w:t>主要内容：</w:t>
      </w:r>
      <w:r>
        <w:rPr>
          <w:rFonts w:hint="eastAsia" w:hAnsi="宋体" w:cs="宋体" w:eastAsiaTheme="minorEastAsia"/>
          <w:bCs/>
          <w:snapToGrid/>
          <w:color w:val="auto"/>
          <w:kern w:val="2"/>
          <w:sz w:val="24"/>
          <w:szCs w:val="24"/>
        </w:rPr>
        <w:t>详见</w:t>
      </w:r>
      <w:r>
        <w:rPr>
          <w:rFonts w:hint="eastAsia" w:asciiTheme="minorEastAsia" w:hAnsiTheme="minorEastAsia" w:eastAsiaTheme="minorEastAsia"/>
          <w:snapToGrid/>
          <w:color w:val="auto"/>
          <w:kern w:val="2"/>
          <w:sz w:val="24"/>
          <w:szCs w:val="24"/>
        </w:rPr>
        <w:t>招标文件第三部分采购需求为准，供应商可点击本公告下方“浏览采购文件”查看采购需求。</w:t>
      </w:r>
    </w:p>
    <w:p>
      <w:pPr>
        <w:pStyle w:val="133"/>
        <w:ind w:firstLine="482"/>
        <w:outlineLvl w:val="2"/>
        <w:rPr>
          <w:rFonts w:ascii="宋体" w:hAnsi="宋体" w:cs="宋体"/>
          <w:color w:val="auto"/>
        </w:rPr>
      </w:pPr>
      <w:r>
        <w:rPr>
          <w:rFonts w:hint="eastAsia" w:ascii="宋体" w:hAnsi="宋体" w:cs="宋体"/>
          <w:b/>
          <w:color w:val="auto"/>
        </w:rPr>
        <w:t xml:space="preserve">合同履约期限：30天 </w:t>
      </w:r>
    </w:p>
    <w:p>
      <w:pPr>
        <w:pStyle w:val="7"/>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color w:val="auto"/>
          <w:sz w:val="24"/>
        </w:rPr>
      </w:pPr>
      <w:r>
        <w:rPr>
          <w:rFonts w:hint="eastAsia" w:ascii="宋体" w:hAnsi="宋体" w:cs="宋体"/>
          <w:b/>
          <w:color w:val="auto"/>
          <w:sz w:val="24"/>
        </w:rPr>
        <w:t>二、</w:t>
      </w:r>
      <w:bookmarkStart w:id="11" w:name="_Hlk101132948"/>
      <w:r>
        <w:rPr>
          <w:rFonts w:hint="eastAsia" w:ascii="宋体" w:hAnsi="宋体" w:cs="宋体"/>
          <w:b/>
          <w:color w:val="auto"/>
          <w:sz w:val="24"/>
        </w:rPr>
        <w:t>申请人的资格要求</w:t>
      </w:r>
      <w:bookmarkEnd w:id="11"/>
      <w:r>
        <w:rPr>
          <w:rFonts w:hint="eastAsia" w:ascii="宋体" w:hAnsi="宋体" w:cs="宋体"/>
          <w:b/>
          <w:color w:val="auto"/>
          <w:sz w:val="24"/>
        </w:rPr>
        <w:t>：</w:t>
      </w:r>
    </w:p>
    <w:p>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专</w:t>
      </w:r>
      <w:r>
        <w:rPr>
          <w:rFonts w:hint="eastAsia" w:ascii="宋体" w:hAnsi="宋体" w:cs="宋体"/>
          <w:color w:val="auto"/>
          <w:sz w:val="24"/>
        </w:rPr>
        <w:t>门面向中小企业</w:t>
      </w:r>
    </w:p>
    <w:p>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sz w:val="24"/>
        </w:rPr>
        <w:t>货物全部由符合政策要求的中小企业制造，提供中小企业声明函；</w:t>
      </w:r>
    </w:p>
    <w:p>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9</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color w:val="auto"/>
          <w:sz w:val="24"/>
        </w:rPr>
      </w:pPr>
      <w:r>
        <w:rPr>
          <w:rFonts w:hint="eastAsia" w:ascii="宋体" w:hAnsi="宋体" w:cs="宋体"/>
          <w:b/>
          <w:color w:val="auto"/>
          <w:sz w:val="24"/>
        </w:rPr>
        <w:t>方式：</w:t>
      </w:r>
      <w:r>
        <w:rPr>
          <w:rFonts w:hint="eastAsia" w:ascii="宋体" w:hAnsi="宋体" w:cs="宋体"/>
          <w:color w:val="auto"/>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color w:val="auto"/>
          <w:sz w:val="24"/>
        </w:rPr>
      </w:pPr>
      <w:r>
        <w:rPr>
          <w:rFonts w:hint="eastAsia" w:ascii="宋体" w:hAnsi="宋体" w:cs="宋体"/>
          <w:b/>
          <w:color w:val="auto"/>
          <w:sz w:val="24"/>
        </w:rPr>
        <w:t>售价（元）：</w:t>
      </w:r>
      <w:r>
        <w:rPr>
          <w:rFonts w:hint="eastAsia" w:ascii="宋体" w:hAnsi="宋体" w:cs="宋体"/>
          <w:color w:val="auto"/>
          <w:sz w:val="24"/>
        </w:rPr>
        <w:t xml:space="preserve">0 </w:t>
      </w:r>
      <w:r>
        <w:rPr>
          <w:rFonts w:hint="eastAsia" w:ascii="宋体" w:hAnsi="宋体" w:cs="宋体"/>
          <w:color w:val="auto"/>
          <w:sz w:val="24"/>
        </w:rPr>
        <w:tab/>
      </w:r>
    </w:p>
    <w:p>
      <w:pPr>
        <w:spacing w:line="360" w:lineRule="auto"/>
        <w:rPr>
          <w:rFonts w:ascii="宋体" w:hAnsi="宋体" w:cs="宋体"/>
          <w:b/>
          <w:color w:val="auto"/>
          <w:sz w:val="24"/>
        </w:rPr>
      </w:pPr>
      <w:r>
        <w:rPr>
          <w:rFonts w:hint="eastAsia" w:ascii="宋体" w:hAnsi="宋体" w:cs="宋体"/>
          <w:b/>
          <w:color w:val="auto"/>
          <w:sz w:val="24"/>
        </w:rPr>
        <w:t>四、提交投标文件截止时间、开标时间和地点</w:t>
      </w:r>
    </w:p>
    <w:p>
      <w:pPr>
        <w:spacing w:line="360" w:lineRule="auto"/>
        <w:ind w:firstLine="482" w:firstLineChars="200"/>
        <w:rPr>
          <w:rFonts w:ascii="宋体" w:hAnsi="宋体" w:cs="宋体"/>
          <w:color w:val="auto"/>
          <w:sz w:val="24"/>
        </w:rPr>
      </w:pPr>
      <w:r>
        <w:rPr>
          <w:rFonts w:hint="eastAsia" w:ascii="宋体" w:hAnsi="宋体" w:cs="宋体"/>
          <w:b/>
          <w:color w:val="auto"/>
          <w:sz w:val="24"/>
        </w:rPr>
        <w:t>提交投标文件截止时间：</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9</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r>
        <w:rPr>
          <w:rFonts w:hint="eastAsia" w:ascii="宋体" w:hAnsi="宋体" w:cs="宋体"/>
          <w:color w:val="auto"/>
          <w:sz w:val="24"/>
        </w:rPr>
        <w:t>（北京时间）</w:t>
      </w:r>
    </w:p>
    <w:p>
      <w:pPr>
        <w:spacing w:line="360" w:lineRule="auto"/>
        <w:ind w:firstLine="482" w:firstLineChars="200"/>
        <w:rPr>
          <w:rFonts w:ascii="宋体" w:hAnsi="宋体" w:cs="宋体"/>
          <w:b/>
          <w:color w:val="auto"/>
          <w:sz w:val="24"/>
        </w:rPr>
      </w:pPr>
      <w:r>
        <w:rPr>
          <w:rFonts w:hint="eastAsia" w:ascii="宋体" w:hAnsi="宋体" w:cs="宋体"/>
          <w:b/>
          <w:color w:val="auto"/>
          <w:sz w:val="24"/>
        </w:rPr>
        <w:t>投标地点（网址）：</w:t>
      </w:r>
      <w:r>
        <w:rPr>
          <w:rFonts w:hint="eastAsia" w:ascii="宋体" w:hAnsi="宋体" w:cs="宋体"/>
          <w:color w:val="auto"/>
          <w:sz w:val="24"/>
        </w:rPr>
        <w:t xml:space="preserve">政采云平台（https://www.zcygov.cn/） </w:t>
      </w:r>
    </w:p>
    <w:p>
      <w:pPr>
        <w:spacing w:line="360" w:lineRule="auto"/>
        <w:ind w:firstLine="482" w:firstLineChars="200"/>
        <w:rPr>
          <w:rFonts w:ascii="宋体" w:hAnsi="宋体" w:cs="宋体"/>
          <w:bCs/>
          <w:color w:val="auto"/>
          <w:sz w:val="24"/>
          <w:u w:val="single"/>
        </w:rPr>
      </w:pPr>
      <w:r>
        <w:rPr>
          <w:rFonts w:hint="eastAsia" w:ascii="宋体" w:hAnsi="宋体" w:cs="宋体"/>
          <w:b/>
          <w:color w:val="auto"/>
          <w:sz w:val="24"/>
        </w:rPr>
        <w:t>开标时间：</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10</w:t>
      </w:r>
      <w:r>
        <w:rPr>
          <w:rFonts w:hint="eastAsia" w:ascii="宋体" w:hAnsi="宋体" w:cs="宋体"/>
          <w:color w:val="auto"/>
          <w:sz w:val="24"/>
          <w:u w:val="single"/>
        </w:rPr>
        <w:t>月</w:t>
      </w:r>
      <w:r>
        <w:rPr>
          <w:rFonts w:hint="eastAsia" w:ascii="宋体" w:hAnsi="宋体" w:cs="宋体"/>
          <w:color w:val="auto"/>
          <w:sz w:val="24"/>
          <w:u w:val="single"/>
          <w:lang w:val="en-US" w:eastAsia="zh-CN"/>
        </w:rPr>
        <w:t>9</w:t>
      </w:r>
      <w:r>
        <w:rPr>
          <w:rFonts w:hint="eastAsia" w:ascii="宋体" w:hAnsi="宋体" w:cs="宋体"/>
          <w:color w:val="auto"/>
          <w:sz w:val="24"/>
          <w:u w:val="single"/>
        </w:rPr>
        <w:t>日</w:t>
      </w:r>
      <w:r>
        <w:rPr>
          <w:rFonts w:hint="eastAsia" w:ascii="宋体" w:hAnsi="宋体" w:cs="宋体"/>
          <w:color w:val="auto"/>
          <w:sz w:val="24"/>
          <w:u w:val="single"/>
          <w:lang w:val="en-US" w:eastAsia="zh-CN"/>
        </w:rPr>
        <w:t>14</w:t>
      </w:r>
      <w:r>
        <w:rPr>
          <w:rFonts w:hint="eastAsia" w:ascii="宋体" w:hAnsi="宋体" w:cs="宋体"/>
          <w:color w:val="auto"/>
          <w:sz w:val="24"/>
          <w:u w:val="single"/>
        </w:rPr>
        <w:t>点</w:t>
      </w:r>
      <w:r>
        <w:rPr>
          <w:rFonts w:hint="eastAsia" w:ascii="宋体" w:hAnsi="宋体" w:cs="宋体"/>
          <w:color w:val="auto"/>
          <w:sz w:val="24"/>
          <w:u w:val="single"/>
          <w:lang w:val="en-US" w:eastAsia="zh-CN"/>
        </w:rPr>
        <w:t>00</w:t>
      </w:r>
      <w:r>
        <w:rPr>
          <w:rFonts w:hint="eastAsia" w:ascii="宋体" w:hAnsi="宋体" w:cs="宋体"/>
          <w:color w:val="auto"/>
          <w:sz w:val="24"/>
          <w:u w:val="single"/>
        </w:rPr>
        <w:t>分00秒</w:t>
      </w:r>
    </w:p>
    <w:p>
      <w:pPr>
        <w:spacing w:line="360" w:lineRule="auto"/>
        <w:ind w:firstLine="482" w:firstLineChars="200"/>
        <w:rPr>
          <w:rFonts w:ascii="宋体" w:hAnsi="宋体" w:cs="宋体"/>
          <w:color w:val="auto"/>
          <w:sz w:val="24"/>
        </w:rPr>
      </w:pPr>
      <w:r>
        <w:rPr>
          <w:rFonts w:hint="eastAsia" w:ascii="宋体" w:hAnsi="宋体" w:cs="宋体"/>
          <w:b/>
          <w:color w:val="auto"/>
          <w:sz w:val="24"/>
        </w:rPr>
        <w:t>开标地点（网址）：</w:t>
      </w:r>
      <w:r>
        <w:rPr>
          <w:rFonts w:hint="eastAsia" w:ascii="宋体" w:hAnsi="宋体" w:cs="宋体"/>
          <w:color w:val="auto"/>
          <w:sz w:val="24"/>
        </w:rPr>
        <w:t>政采云平台（https://www.zcygov.cn/）</w:t>
      </w:r>
    </w:p>
    <w:p>
      <w:pPr>
        <w:spacing w:line="360" w:lineRule="auto"/>
        <w:rPr>
          <w:rFonts w:ascii="宋体" w:hAnsi="宋体" w:cs="宋体"/>
          <w:color w:val="auto"/>
          <w:sz w:val="24"/>
        </w:rPr>
      </w:pPr>
      <w:r>
        <w:rPr>
          <w:rFonts w:hint="eastAsia" w:ascii="宋体" w:hAnsi="宋体" w:cs="宋体"/>
          <w:b/>
          <w:color w:val="auto"/>
          <w:sz w:val="24"/>
        </w:rPr>
        <w:t xml:space="preserve">五、公告期限 </w:t>
      </w:r>
    </w:p>
    <w:p>
      <w:pPr>
        <w:spacing w:line="360" w:lineRule="auto"/>
        <w:ind w:firstLine="480" w:firstLineChars="200"/>
        <w:rPr>
          <w:rFonts w:ascii="宋体" w:hAnsi="宋体" w:cs="宋体"/>
          <w:color w:val="auto"/>
          <w:sz w:val="24"/>
        </w:rPr>
      </w:pPr>
      <w:r>
        <w:rPr>
          <w:rFonts w:hint="eastAsia" w:ascii="宋体" w:hAnsi="宋体" w:cs="宋体"/>
          <w:color w:val="auto"/>
          <w:sz w:val="24"/>
        </w:rPr>
        <w:t>自本公告发布之日起5个工作日。</w:t>
      </w:r>
    </w:p>
    <w:p>
      <w:pPr>
        <w:spacing w:line="360" w:lineRule="auto"/>
        <w:rPr>
          <w:rFonts w:ascii="宋体" w:hAnsi="宋体" w:cs="宋体"/>
          <w:b/>
          <w:color w:val="auto"/>
          <w:sz w:val="24"/>
        </w:rPr>
      </w:pPr>
      <w:r>
        <w:rPr>
          <w:rFonts w:hint="eastAsia" w:ascii="宋体" w:hAnsi="宋体" w:cs="宋体"/>
          <w:b/>
          <w:color w:val="auto"/>
          <w:sz w:val="24"/>
        </w:rPr>
        <w:t>六、其他补充事宜</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 </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pPr>
        <w:spacing w:line="360" w:lineRule="auto"/>
        <w:rPr>
          <w:rFonts w:ascii="宋体" w:hAnsi="宋体" w:cs="宋体"/>
          <w:color w:val="auto"/>
          <w:sz w:val="24"/>
        </w:rPr>
      </w:pPr>
      <w:r>
        <w:rPr>
          <w:rFonts w:hint="eastAsia" w:ascii="宋体" w:hAnsi="宋体" w:cs="宋体"/>
          <w:color w:val="auto"/>
          <w:sz w:val="24"/>
        </w:rPr>
        <w:t xml:space="preserve">    1.采购人信息</w:t>
      </w:r>
    </w:p>
    <w:p>
      <w:pPr>
        <w:spacing w:line="360" w:lineRule="auto"/>
        <w:rPr>
          <w:rFonts w:ascii="宋体" w:hAnsi="宋体" w:cs="宋体"/>
          <w:color w:val="auto"/>
          <w:sz w:val="24"/>
        </w:rPr>
      </w:pPr>
      <w:r>
        <w:rPr>
          <w:rFonts w:hint="eastAsia" w:ascii="宋体" w:hAnsi="宋体" w:cs="宋体"/>
          <w:color w:val="auto"/>
          <w:sz w:val="24"/>
        </w:rPr>
        <w:t xml:space="preserve">    名    称：杭州市余杭区人民政府良渚街道办事处</w:t>
      </w:r>
    </w:p>
    <w:p>
      <w:pPr>
        <w:spacing w:line="360" w:lineRule="auto"/>
        <w:rPr>
          <w:rFonts w:ascii="宋体" w:hAnsi="宋体" w:cs="宋体"/>
          <w:color w:val="auto"/>
          <w:sz w:val="24"/>
        </w:rPr>
      </w:pPr>
      <w:r>
        <w:rPr>
          <w:rFonts w:hint="eastAsia" w:ascii="宋体" w:hAnsi="宋体" w:cs="宋体"/>
          <w:color w:val="auto"/>
          <w:sz w:val="24"/>
        </w:rPr>
        <w:t xml:space="preserve">    地    址：余杭区良渚街道良渚路166号        </w:t>
      </w:r>
    </w:p>
    <w:p>
      <w:pPr>
        <w:spacing w:line="360" w:lineRule="auto"/>
        <w:ind w:firstLine="480"/>
        <w:rPr>
          <w:rFonts w:ascii="宋体" w:hAnsi="宋体" w:cs="宋体"/>
          <w:color w:val="auto"/>
          <w:sz w:val="24"/>
        </w:rPr>
      </w:pPr>
      <w:r>
        <w:rPr>
          <w:rFonts w:hint="eastAsia" w:ascii="宋体" w:hAnsi="宋体" w:cs="宋体"/>
          <w:color w:val="auto"/>
          <w:sz w:val="24"/>
        </w:rPr>
        <w:t>传    真： /</w:t>
      </w:r>
    </w:p>
    <w:p>
      <w:pPr>
        <w:spacing w:line="360" w:lineRule="auto"/>
        <w:ind w:firstLine="480"/>
        <w:rPr>
          <w:rFonts w:ascii="宋体" w:hAnsi="宋体" w:cs="宋体"/>
          <w:color w:val="auto"/>
          <w:sz w:val="24"/>
        </w:rPr>
      </w:pPr>
      <w:r>
        <w:rPr>
          <w:rFonts w:hint="eastAsia" w:ascii="宋体" w:hAnsi="宋体" w:cs="宋体"/>
          <w:color w:val="auto"/>
          <w:sz w:val="24"/>
        </w:rPr>
        <w:t>项目联系人（询问）： 卜工</w:t>
      </w:r>
    </w:p>
    <w:p>
      <w:pPr>
        <w:spacing w:line="360" w:lineRule="auto"/>
        <w:rPr>
          <w:rFonts w:ascii="宋体" w:hAnsi="宋体" w:cs="宋体"/>
          <w:color w:val="auto"/>
          <w:sz w:val="24"/>
        </w:rPr>
      </w:pPr>
      <w:r>
        <w:rPr>
          <w:rFonts w:hint="eastAsia" w:ascii="宋体" w:hAnsi="宋体" w:cs="宋体"/>
          <w:color w:val="auto"/>
          <w:sz w:val="24"/>
        </w:rPr>
        <w:t xml:space="preserve">    项目联系方式（询问）：0571-88779057</w:t>
      </w:r>
      <w:bookmarkStart w:id="194" w:name="_GoBack"/>
      <w:bookmarkEnd w:id="194"/>
    </w:p>
    <w:p>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郑</w:t>
      </w:r>
      <w:r>
        <w:rPr>
          <w:rFonts w:hint="eastAsia" w:ascii="宋体" w:hAnsi="宋体" w:cs="宋体"/>
          <w:color w:val="auto"/>
          <w:sz w:val="24"/>
        </w:rPr>
        <w:t xml:space="preserve">工 </w:t>
      </w:r>
    </w:p>
    <w:p>
      <w:pPr>
        <w:spacing w:line="360" w:lineRule="auto"/>
        <w:rPr>
          <w:rFonts w:ascii="宋体" w:hAnsi="宋体" w:cs="宋体"/>
          <w:color w:val="auto"/>
          <w:sz w:val="24"/>
        </w:rPr>
      </w:pPr>
      <w:r>
        <w:rPr>
          <w:rFonts w:hint="eastAsia" w:ascii="宋体" w:hAnsi="宋体" w:cs="宋体"/>
          <w:color w:val="auto"/>
          <w:sz w:val="24"/>
        </w:rPr>
        <w:t xml:space="preserve">    质疑联系方式： </w:t>
      </w:r>
      <w:r>
        <w:rPr>
          <w:rFonts w:hint="eastAsia" w:ascii="宋体" w:hAnsi="宋体" w:cs="宋体"/>
          <w:color w:val="auto"/>
          <w:sz w:val="24"/>
          <w:u w:val="single"/>
        </w:rPr>
        <w:t>0571-88771392</w:t>
      </w:r>
    </w:p>
    <w:p>
      <w:pPr>
        <w:spacing w:line="360" w:lineRule="auto"/>
        <w:rPr>
          <w:rFonts w:ascii="宋体" w:hAnsi="宋体" w:cs="宋体"/>
          <w:color w:val="auto"/>
          <w:sz w:val="24"/>
        </w:rPr>
      </w:pPr>
      <w:r>
        <w:rPr>
          <w:rFonts w:hint="eastAsia" w:ascii="宋体" w:hAnsi="宋体" w:cs="宋体"/>
          <w:color w:val="auto"/>
          <w:sz w:val="24"/>
        </w:rPr>
        <w:t xml:space="preserve">    2.采购代理机构信息            </w:t>
      </w:r>
    </w:p>
    <w:p>
      <w:pPr>
        <w:spacing w:line="360" w:lineRule="auto"/>
        <w:ind w:firstLine="480"/>
        <w:rPr>
          <w:rFonts w:ascii="宋体" w:hAnsi="宋体" w:cs="宋体"/>
          <w:color w:val="auto"/>
          <w:sz w:val="24"/>
        </w:rPr>
      </w:pPr>
      <w:r>
        <w:rPr>
          <w:rFonts w:hint="eastAsia" w:ascii="宋体" w:hAnsi="宋体" w:cs="宋体"/>
          <w:color w:val="auto"/>
          <w:sz w:val="24"/>
        </w:rPr>
        <w:t>名    称：天盛浙创工程咨询有限公司</w:t>
      </w:r>
    </w:p>
    <w:p>
      <w:pPr>
        <w:spacing w:line="360" w:lineRule="auto"/>
        <w:ind w:firstLine="480"/>
        <w:rPr>
          <w:rFonts w:ascii="宋体" w:hAnsi="宋体" w:cs="宋体"/>
          <w:color w:val="auto"/>
          <w:sz w:val="24"/>
        </w:rPr>
      </w:pPr>
      <w:r>
        <w:rPr>
          <w:rFonts w:hint="eastAsia" w:ascii="宋体" w:hAnsi="宋体" w:cs="宋体"/>
          <w:color w:val="auto"/>
          <w:sz w:val="24"/>
        </w:rPr>
        <w:t>地    址：杭州市余杭区仓前街道龙潭路20号4幢5楼501B室</w:t>
      </w:r>
    </w:p>
    <w:p>
      <w:pPr>
        <w:spacing w:line="360" w:lineRule="auto"/>
        <w:rPr>
          <w:rFonts w:ascii="宋体" w:hAnsi="宋体" w:cs="宋体"/>
          <w:color w:val="auto"/>
          <w:sz w:val="24"/>
        </w:rPr>
      </w:pPr>
      <w:r>
        <w:rPr>
          <w:rFonts w:hint="eastAsia" w:ascii="宋体" w:hAnsi="宋体" w:cs="宋体"/>
          <w:color w:val="auto"/>
          <w:sz w:val="24"/>
        </w:rPr>
        <w:t xml:space="preserve">    传    真：</w:t>
      </w:r>
      <w:r>
        <w:rPr>
          <w:rFonts w:hint="eastAsia" w:ascii="宋体" w:hAnsi="宋体" w:cs="宋体"/>
          <w:color w:val="auto"/>
          <w:sz w:val="24"/>
          <w:lang w:val="en-US" w:eastAsia="zh-CN"/>
        </w:rPr>
        <w:t>/</w:t>
      </w:r>
      <w:r>
        <w:rPr>
          <w:rFonts w:hint="eastAsia" w:ascii="宋体" w:hAnsi="宋体" w:cs="宋体"/>
          <w:color w:val="auto"/>
          <w:sz w:val="24"/>
        </w:rPr>
        <w:t xml:space="preserve"> </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项目联系人（询问）： </w:t>
      </w:r>
      <w:r>
        <w:rPr>
          <w:rFonts w:hint="eastAsia" w:ascii="宋体" w:hAnsi="宋体" w:cs="宋体"/>
          <w:color w:val="auto"/>
          <w:sz w:val="24"/>
          <w:lang w:val="en-US" w:eastAsia="zh-CN"/>
        </w:rPr>
        <w:t>陈敏</w:t>
      </w:r>
    </w:p>
    <w:p>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项目联系方式（询问）：</w:t>
      </w:r>
      <w:r>
        <w:rPr>
          <w:rFonts w:hint="eastAsia" w:ascii="宋体" w:hAnsi="宋体" w:cs="宋体"/>
          <w:color w:val="auto"/>
          <w:sz w:val="24"/>
          <w:lang w:val="en-US" w:eastAsia="zh-CN"/>
        </w:rPr>
        <w:t>0571-89220360</w:t>
      </w:r>
    </w:p>
    <w:p>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孟工</w:t>
      </w: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质疑联系方式：0571-89220360</w:t>
      </w:r>
    </w:p>
    <w:p>
      <w:pPr>
        <w:spacing w:line="360" w:lineRule="auto"/>
        <w:rPr>
          <w:rFonts w:ascii="宋体" w:hAnsi="宋体" w:cs="宋体"/>
          <w:color w:val="auto"/>
          <w:sz w:val="24"/>
        </w:rPr>
      </w:pPr>
      <w:r>
        <w:rPr>
          <w:rFonts w:hint="eastAsia" w:ascii="宋体" w:hAnsi="宋体" w:cs="宋体"/>
          <w:color w:val="auto"/>
          <w:sz w:val="24"/>
        </w:rPr>
        <w:t xml:space="preserve">    3.</w:t>
      </w:r>
      <w:r>
        <w:rPr>
          <w:rFonts w:hint="eastAsia"/>
          <w:color w:val="auto"/>
        </w:rPr>
        <w:t xml:space="preserve"> </w:t>
      </w:r>
      <w:r>
        <w:rPr>
          <w:rFonts w:hint="eastAsia" w:ascii="宋体" w:hAnsi="宋体" w:cs="宋体"/>
          <w:color w:val="auto"/>
          <w:sz w:val="24"/>
        </w:rPr>
        <w:t xml:space="preserve">同级政府采购监督管理部门            </w:t>
      </w:r>
    </w:p>
    <w:p>
      <w:pPr>
        <w:spacing w:line="360" w:lineRule="auto"/>
        <w:rPr>
          <w:rFonts w:ascii="宋体" w:hAnsi="宋体" w:cs="宋体"/>
          <w:color w:val="auto"/>
          <w:sz w:val="24"/>
        </w:rPr>
      </w:pPr>
      <w:r>
        <w:rPr>
          <w:rFonts w:hint="eastAsia" w:ascii="宋体" w:hAnsi="宋体" w:cs="宋体"/>
          <w:color w:val="auto"/>
          <w:sz w:val="24"/>
        </w:rPr>
        <w:t xml:space="preserve">    名    称：杭州市财政局政府采购监管处 /浙江省政府采购行政裁决服务中心（杭州）</w:t>
      </w:r>
    </w:p>
    <w:p>
      <w:pPr>
        <w:spacing w:line="360" w:lineRule="auto"/>
        <w:rPr>
          <w:rFonts w:ascii="宋体" w:hAnsi="宋体" w:cs="宋体"/>
          <w:color w:val="auto"/>
          <w:sz w:val="24"/>
        </w:rPr>
      </w:pPr>
      <w:r>
        <w:rPr>
          <w:rFonts w:hint="eastAsia" w:ascii="宋体" w:hAnsi="宋体" w:cs="宋体"/>
          <w:color w:val="auto"/>
          <w:sz w:val="24"/>
        </w:rPr>
        <w:t xml:space="preserve">    地    址：杭州市上城区四季青街道新业路市民之家G03办公室 </w:t>
      </w:r>
    </w:p>
    <w:p>
      <w:pPr>
        <w:spacing w:line="360" w:lineRule="auto"/>
        <w:rPr>
          <w:rFonts w:ascii="宋体" w:hAnsi="宋体" w:cs="宋体"/>
          <w:color w:val="auto"/>
          <w:sz w:val="24"/>
        </w:rPr>
      </w:pPr>
      <w:r>
        <w:rPr>
          <w:rFonts w:hint="eastAsia" w:ascii="宋体" w:hAnsi="宋体" w:cs="宋体"/>
          <w:color w:val="auto"/>
          <w:sz w:val="24"/>
        </w:rPr>
        <w:t xml:space="preserve">    传    真： /</w:t>
      </w:r>
    </w:p>
    <w:p>
      <w:pPr>
        <w:spacing w:line="360" w:lineRule="auto"/>
        <w:rPr>
          <w:rFonts w:ascii="宋体" w:hAnsi="宋体" w:cs="宋体"/>
          <w:color w:val="auto"/>
          <w:sz w:val="24"/>
        </w:rPr>
      </w:pPr>
      <w:r>
        <w:rPr>
          <w:rFonts w:hint="eastAsia" w:ascii="宋体" w:hAnsi="宋体" w:cs="宋体"/>
          <w:color w:val="auto"/>
          <w:sz w:val="24"/>
        </w:rPr>
        <w:t xml:space="preserve">    联系人 ：朱女士、王女士</w:t>
      </w:r>
    </w:p>
    <w:p>
      <w:pPr>
        <w:spacing w:line="360" w:lineRule="auto"/>
        <w:ind w:firstLine="480"/>
        <w:rPr>
          <w:rFonts w:ascii="宋体" w:hAnsi="宋体" w:cs="宋体"/>
          <w:color w:val="auto"/>
          <w:sz w:val="24"/>
        </w:rPr>
      </w:pPr>
      <w:r>
        <w:rPr>
          <w:rFonts w:hint="eastAsia" w:ascii="宋体" w:hAnsi="宋体" w:cs="宋体"/>
          <w:color w:val="auto"/>
          <w:sz w:val="24"/>
        </w:rPr>
        <w:t>监督投诉电话：电话：0571-85252453</w:t>
      </w:r>
    </w:p>
    <w:p>
      <w:pPr>
        <w:spacing w:line="360" w:lineRule="auto"/>
        <w:ind w:firstLine="480"/>
        <w:rPr>
          <w:rFonts w:ascii="宋体" w:hAnsi="宋体" w:cs="宋体"/>
          <w:color w:val="auto"/>
          <w:sz w:val="24"/>
        </w:rPr>
      </w:pPr>
      <w:r>
        <w:rPr>
          <w:rFonts w:hint="eastAsia" w:ascii="宋体" w:hAnsi="宋体" w:cs="宋体"/>
          <w:color w:val="auto"/>
          <w:sz w:val="24"/>
        </w:rPr>
        <w:t>政策咨询：陈先生、厉先生，0571-89580460、89580456</w:t>
      </w:r>
    </w:p>
    <w:p>
      <w:pPr>
        <w:spacing w:line="360" w:lineRule="auto"/>
        <w:ind w:firstLine="480"/>
        <w:rPr>
          <w:rFonts w:ascii="宋体" w:hAnsi="宋体" w:cs="宋体"/>
          <w:color w:val="auto"/>
          <w:sz w:val="24"/>
        </w:rPr>
      </w:pP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color w:val="auto"/>
          <w:sz w:val="24"/>
        </w:rPr>
      </w:pPr>
      <w:r>
        <w:rPr>
          <w:rFonts w:hint="eastAsia" w:ascii="宋体" w:hAnsi="宋体" w:cs="宋体"/>
          <w:color w:val="auto"/>
          <w:sz w:val="24"/>
        </w:rPr>
        <w:t>CA问题联系电话（人工）：汇信CA 400-888-4636；天谷CA 400-087-8198。</w:t>
      </w:r>
    </w:p>
    <w:p>
      <w:pPr>
        <w:pStyle w:val="33"/>
        <w:spacing w:line="360" w:lineRule="auto"/>
        <w:rPr>
          <w:rFonts w:hAnsi="宋体" w:cs="宋体"/>
          <w:b/>
          <w:color w:val="auto"/>
          <w:sz w:val="36"/>
          <w:szCs w:val="20"/>
        </w:rPr>
      </w:pPr>
      <w:r>
        <w:rPr>
          <w:rFonts w:hint="eastAsia" w:hAnsi="宋体" w:cs="宋体"/>
          <w:color w:val="auto"/>
          <w:sz w:val="24"/>
        </w:rPr>
        <w:t xml:space="preserve">                        </w:t>
      </w:r>
      <w:r>
        <w:rPr>
          <w:rFonts w:hAnsi="宋体" w:cs="宋体"/>
          <w:b/>
          <w:color w:val="auto"/>
          <w:sz w:val="36"/>
          <w:szCs w:val="20"/>
        </w:rPr>
        <w:t xml:space="preserve"> </w:t>
      </w:r>
    </w:p>
    <w:p>
      <w:pPr>
        <w:pStyle w:val="5"/>
        <w:rPr>
          <w:rFonts w:ascii="宋体"/>
          <w:snapToGrid w:val="0"/>
          <w:color w:val="auto"/>
        </w:rPr>
      </w:pPr>
      <w:r>
        <w:rPr>
          <w:color w:val="auto"/>
        </w:rPr>
        <w:br w:type="page"/>
      </w:r>
    </w:p>
    <w:p>
      <w:pPr>
        <w:adjustRightInd/>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第二部分</w:t>
      </w:r>
      <w:bookmarkEnd w:id="8"/>
      <w:r>
        <w:rPr>
          <w:rFonts w:hint="eastAsia" w:ascii="宋体" w:hAnsi="宋体" w:cs="宋体"/>
          <w:b/>
          <w:color w:val="auto"/>
          <w:sz w:val="36"/>
          <w:szCs w:val="20"/>
        </w:rPr>
        <w:t xml:space="preserve"> 投标人须知</w:t>
      </w:r>
      <w:bookmarkEnd w:id="9"/>
    </w:p>
    <w:p>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b/>
                <w:color w:val="auto"/>
                <w:sz w:val="24"/>
              </w:rPr>
            </w:pPr>
            <w:r>
              <w:rPr>
                <w:rFonts w:hint="eastAsia" w:ascii="宋体" w:hAnsi="宋体" w:cs="宋体"/>
                <w:b/>
                <w:color w:val="auto"/>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u w:val="single"/>
              </w:rPr>
              <w:t>标识标牌</w:t>
            </w:r>
            <w:r>
              <w:rPr>
                <w:rFonts w:hint="eastAsia" w:ascii="宋体" w:hAnsi="宋体" w:cs="宋体"/>
                <w:color w:val="auto"/>
                <w:sz w:val="24"/>
              </w:rPr>
              <w:t>。</w:t>
            </w:r>
          </w:p>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ascii="宋体" w:hAnsi="宋体" w:cs="宋体"/>
                <w:color w:val="auto"/>
                <w:sz w:val="24"/>
                <w:u w:val="single"/>
              </w:rPr>
              <w:t>良渚街道2024年未来社区文化标识标牌项目</w:t>
            </w:r>
            <w:r>
              <w:rPr>
                <w:rFonts w:hint="eastAsia" w:ascii="宋体" w:hAnsi="宋体" w:cs="宋体"/>
                <w:color w:val="auto"/>
                <w:kern w:val="0"/>
                <w:sz w:val="24"/>
              </w:rPr>
              <w:t>，属于</w:t>
            </w:r>
            <w:r>
              <w:rPr>
                <w:rFonts w:hint="eastAsia" w:ascii="宋体" w:hAnsi="宋体" w:cs="宋体"/>
                <w:color w:val="auto"/>
                <w:kern w:val="0"/>
                <w:sz w:val="24"/>
                <w:u w:val="single"/>
              </w:rPr>
              <w:t xml:space="preserve">  其他未列明  </w:t>
            </w:r>
            <w:r>
              <w:rPr>
                <w:rFonts w:hint="eastAsia" w:ascii="宋体" w:hAnsi="宋体" w:cs="宋体"/>
                <w:color w:val="auto"/>
                <w:kern w:val="0"/>
                <w:sz w:val="24"/>
              </w:rPr>
              <w:t>行业；</w:t>
            </w:r>
          </w:p>
          <w:p>
            <w:pPr>
              <w:pStyle w:val="5"/>
              <w:rPr>
                <w:rFonts w:ascii="宋体" w:hAnsi="宋体" w:eastAsia="宋体" w:cs="宋体"/>
                <w:color w:val="auto"/>
                <w:lang w:val="en-US"/>
              </w:rPr>
            </w:pPr>
            <w:r>
              <w:rPr>
                <w:rFonts w:hint="eastAsia" w:ascii="宋体" w:hAnsi="宋体" w:eastAsia="宋体" w:cs="宋体"/>
                <w:b w:val="0"/>
                <w:bCs w:val="0"/>
                <w:color w:val="auto"/>
                <w:sz w:val="24"/>
                <w:szCs w:val="24"/>
                <w:lang w:val="en-US"/>
              </w:rPr>
              <w:t>标准详见附件8《中小企业划型标准规定》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color w:val="auto"/>
                <w:sz w:val="24"/>
              </w:rPr>
            </w:pPr>
            <w:r>
              <w:rPr>
                <w:rFonts w:hint="eastAsia" w:ascii="宋体" w:hAnsi="宋体" w:cs="宋体"/>
                <w:b/>
                <w:color w:val="auto"/>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cs="宋体"/>
                    <w:color w:val="auto"/>
                    <w:kern w:val="0"/>
                    <w:sz w:val="24"/>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21296641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sz w:val="24"/>
                <w:szCs w:val="20"/>
              </w:rPr>
            </w:pPr>
            <w:sdt>
              <w:sdtPr>
                <w:rPr>
                  <w:rFonts w:hint="eastAsia" w:ascii="宋体" w:hAnsi="宋体" w:cs="宋体"/>
                  <w:color w:val="auto"/>
                  <w:kern w:val="0"/>
                  <w:sz w:val="24"/>
                </w:rPr>
                <w:id w:val="-99980297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r>
              <w:rPr>
                <w:rFonts w:hint="eastAsia" w:ascii="宋体" w:hAnsi="宋体" w:cs="宋体"/>
                <w:color w:val="auto"/>
                <w:sz w:val="24"/>
              </w:rPr>
              <w:t>时间：</w:t>
            </w:r>
            <w:r>
              <w:rPr>
                <w:rFonts w:hint="eastAsia" w:ascii="宋体" w:hAnsi="宋体" w:cs="宋体"/>
                <w:color w:val="auto"/>
                <w:sz w:val="24"/>
                <w:u w:val="single"/>
              </w:rPr>
              <w:t xml:space="preserve">      </w:t>
            </w:r>
            <w:r>
              <w:rPr>
                <w:rFonts w:hint="eastAsia" w:ascii="宋体" w:hAnsi="宋体" w:cs="宋体"/>
                <w:color w:val="auto"/>
                <w:sz w:val="24"/>
              </w:rPr>
              <w:t>,地点：</w:t>
            </w:r>
            <w:r>
              <w:rPr>
                <w:rFonts w:hint="eastAsia" w:ascii="宋体" w:hAnsi="宋体" w:cs="宋体"/>
                <w:color w:val="auto"/>
                <w:sz w:val="24"/>
                <w:u w:val="single"/>
              </w:rPr>
              <w:t xml:space="preserve">      </w:t>
            </w:r>
            <w:r>
              <w:rPr>
                <w:rFonts w:hint="eastAsia" w:ascii="宋体" w:hAnsi="宋体" w:cs="宋体"/>
                <w:color w:val="auto"/>
                <w:sz w:val="24"/>
              </w:rPr>
              <w:t>，联系人：</w:t>
            </w:r>
            <w:r>
              <w:rPr>
                <w:rFonts w:hint="eastAsia" w:ascii="宋体" w:hAnsi="宋体" w:cs="宋体"/>
                <w:color w:val="auto"/>
                <w:sz w:val="24"/>
                <w:u w:val="single"/>
              </w:rPr>
              <w:t xml:space="preserve">      </w:t>
            </w:r>
            <w:r>
              <w:rPr>
                <w:rFonts w:hint="eastAsia" w:ascii="宋体" w:hAnsi="宋体" w:cs="宋体"/>
                <w:color w:val="auto"/>
                <w:sz w:val="24"/>
              </w:rPr>
              <w:t>，联系方式：</w:t>
            </w:r>
            <w:r>
              <w:rPr>
                <w:rFonts w:hint="eastAsia" w:ascii="宋体" w:hAnsi="宋体" w:cs="宋体"/>
                <w:color w:val="auto"/>
                <w:sz w:val="24"/>
                <w:u w:val="single"/>
              </w:rPr>
              <w:t xml:space="preserve">      </w:t>
            </w:r>
            <w:r>
              <w:rPr>
                <w:rFonts w:hint="eastAsia" w:ascii="宋体" w:hAnsi="宋体" w:cs="宋体"/>
                <w:color w:val="auto"/>
                <w:sz w:val="24"/>
                <w:szCs w:val="2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639946486"/>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不要求提供。</w:t>
            </w:r>
          </w:p>
          <w:p>
            <w:pPr>
              <w:spacing w:line="360" w:lineRule="auto"/>
              <w:rPr>
                <w:rFonts w:ascii="宋体" w:hAnsi="宋体" w:cs="宋体"/>
                <w:color w:val="auto"/>
                <w:kern w:val="0"/>
                <w:sz w:val="24"/>
              </w:rPr>
            </w:pPr>
            <w:sdt>
              <w:sdtPr>
                <w:rPr>
                  <w:rFonts w:hint="eastAsia" w:ascii="宋体" w:hAnsi="宋体" w:cs="宋体"/>
                  <w:color w:val="auto"/>
                  <w:kern w:val="0"/>
                  <w:sz w:val="24"/>
                </w:rPr>
                <w:id w:val="10268319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B要求提供，</w:t>
            </w:r>
          </w:p>
          <w:p>
            <w:pPr>
              <w:spacing w:line="360" w:lineRule="auto"/>
              <w:rPr>
                <w:rFonts w:ascii="宋体" w:hAnsi="宋体" w:cs="宋体"/>
                <w:color w:val="auto"/>
                <w:kern w:val="0"/>
                <w:sz w:val="24"/>
              </w:rPr>
            </w:pPr>
            <w:r>
              <w:rPr>
                <w:rFonts w:hint="eastAsia" w:ascii="宋体" w:hAnsi="宋体" w:cs="宋体"/>
                <w:color w:val="auto"/>
                <w:kern w:val="0"/>
                <w:sz w:val="24"/>
              </w:rPr>
              <w:t>（1）</w:t>
            </w:r>
            <w:r>
              <w:rPr>
                <w:rFonts w:hint="eastAsia" w:ascii="宋体" w:hAnsi="宋体" w:cs="宋体"/>
                <w:snapToGrid w:val="0"/>
                <w:color w:val="auto"/>
                <w:kern w:val="28"/>
                <w:sz w:val="24"/>
              </w:rPr>
              <w:t>样品：</w:t>
            </w:r>
            <w:r>
              <w:rPr>
                <w:rFonts w:hint="eastAsia" w:ascii="宋体" w:hAnsi="宋体" w:cs="宋体"/>
                <w:color w:val="auto"/>
                <w:sz w:val="24"/>
                <w:u w:val="single"/>
              </w:rPr>
              <w:t>序号1：科室牌一块</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（2）</w:t>
            </w:r>
            <w:r>
              <w:rPr>
                <w:rFonts w:hint="eastAsia" w:ascii="宋体" w:hAnsi="宋体" w:cs="宋体"/>
                <w:snapToGrid w:val="0"/>
                <w:color w:val="auto"/>
                <w:kern w:val="28"/>
                <w:sz w:val="24"/>
              </w:rPr>
              <w:t>样品制作的标准和要求：</w:t>
            </w:r>
            <w:r>
              <w:rPr>
                <w:rFonts w:hint="eastAsia" w:ascii="宋体" w:hAnsi="宋体" w:cs="宋体"/>
                <w:color w:val="auto"/>
                <w:sz w:val="24"/>
                <w:u w:val="single"/>
              </w:rPr>
              <w:t>详见采购需求</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（3）样品的评审方法以及评审标准</w:t>
            </w:r>
            <w:r>
              <w:rPr>
                <w:rFonts w:hint="eastAsia" w:ascii="宋体" w:hAnsi="宋体" w:cs="宋体"/>
                <w:snapToGrid w:val="0"/>
                <w:color w:val="auto"/>
                <w:kern w:val="28"/>
                <w:sz w:val="24"/>
              </w:rPr>
              <w:t>：详见</w:t>
            </w:r>
            <w:r>
              <w:rPr>
                <w:rFonts w:hint="eastAsia" w:ascii="宋体" w:hAnsi="宋体" w:cs="宋体"/>
                <w:color w:val="auto"/>
                <w:sz w:val="24"/>
                <w:u w:val="single"/>
              </w:rPr>
              <w:t>评标办法</w:t>
            </w:r>
            <w:r>
              <w:rPr>
                <w:rFonts w:hint="eastAsia" w:ascii="宋体" w:hAnsi="宋体" w:cs="宋体"/>
                <w:color w:val="auto"/>
                <w:kern w:val="0"/>
                <w:sz w:val="24"/>
              </w:rPr>
              <w:t>；</w:t>
            </w:r>
          </w:p>
          <w:p>
            <w:pPr>
              <w:spacing w:line="360" w:lineRule="auto"/>
              <w:rPr>
                <w:rFonts w:ascii="宋体" w:hAnsi="宋体" w:cs="宋体"/>
                <w:color w:val="auto"/>
                <w:kern w:val="0"/>
                <w:sz w:val="24"/>
              </w:rPr>
            </w:pPr>
            <w:r>
              <w:rPr>
                <w:rFonts w:hint="eastAsia" w:ascii="宋体" w:hAnsi="宋体" w:cs="宋体"/>
                <w:color w:val="auto"/>
                <w:kern w:val="0"/>
                <w:sz w:val="24"/>
              </w:rPr>
              <w:t>（4）是否需要随样品提交检测报告：</w:t>
            </w:r>
            <w:sdt>
              <w:sdtPr>
                <w:rPr>
                  <w:rFonts w:hint="eastAsia" w:ascii="宋体" w:hAnsi="宋体" w:cs="宋体"/>
                  <w:color w:val="auto"/>
                  <w:kern w:val="0"/>
                  <w:sz w:val="24"/>
                </w:rPr>
                <w:id w:val="130342145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否；</w:t>
            </w:r>
            <w:sdt>
              <w:sdtPr>
                <w:rPr>
                  <w:rFonts w:hint="eastAsia" w:ascii="宋体" w:hAnsi="宋体" w:cs="宋体"/>
                  <w:color w:val="auto"/>
                  <w:kern w:val="0"/>
                  <w:sz w:val="24"/>
                </w:rPr>
                <w:id w:val="162172843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是，检测机构的要求</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；检测内容</w:t>
            </w:r>
            <w:r>
              <w:rPr>
                <w:rFonts w:hint="eastAsia" w:ascii="宋体" w:hAnsi="宋体" w:cs="宋体"/>
                <w:color w:val="auto"/>
                <w:sz w:val="24"/>
              </w:rPr>
              <w:t>：</w:t>
            </w:r>
            <w:r>
              <w:rPr>
                <w:rFonts w:hint="eastAsia" w:ascii="宋体" w:hAnsi="宋体" w:cs="宋体"/>
                <w:color w:val="auto"/>
                <w:sz w:val="24"/>
                <w:u w:val="single"/>
              </w:rPr>
              <w:t xml:space="preserve">    </w:t>
            </w:r>
            <w:r>
              <w:rPr>
                <w:rFonts w:hint="eastAsia" w:ascii="宋体" w:hAnsi="宋体" w:cs="宋体"/>
                <w:color w:val="auto"/>
                <w:kern w:val="0"/>
                <w:sz w:val="24"/>
              </w:rPr>
              <w:t>。</w:t>
            </w:r>
          </w:p>
          <w:p>
            <w:pPr>
              <w:spacing w:line="360" w:lineRule="auto"/>
              <w:rPr>
                <w:rFonts w:ascii="宋体" w:hAnsi="宋体" w:cs="宋体"/>
                <w:color w:val="auto"/>
                <w:sz w:val="24"/>
              </w:rPr>
            </w:pPr>
            <w:r>
              <w:rPr>
                <w:rFonts w:hint="eastAsia" w:ascii="宋体" w:hAnsi="宋体" w:cs="宋体"/>
                <w:color w:val="auto"/>
                <w:sz w:val="24"/>
              </w:rPr>
              <w:t>（5）提供样品的时间：</w:t>
            </w:r>
            <w:r>
              <w:rPr>
                <w:rFonts w:hint="eastAsia" w:ascii="宋体" w:hAnsi="宋体" w:cs="宋体"/>
                <w:sz w:val="24"/>
                <w:u w:val="single"/>
                <w:lang w:val="en-US" w:eastAsia="zh-CN"/>
              </w:rPr>
              <w:t>集中时间为：</w:t>
            </w:r>
            <w:r>
              <w:rPr>
                <w:rFonts w:hint="eastAsia" w:ascii="宋体" w:hAnsi="宋体" w:eastAsia="宋体" w:cs="宋体"/>
                <w:color w:val="auto"/>
                <w:sz w:val="24"/>
                <w:szCs w:val="24"/>
                <w:highlight w:val="none"/>
                <w:u w:val="single"/>
              </w:rPr>
              <w:t>202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10</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日</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:00-1</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:00</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截止10月9日14：:00前均接收样品，逾期不再接收</w:t>
            </w:r>
            <w:r>
              <w:rPr>
                <w:rFonts w:hint="eastAsia" w:ascii="宋体" w:hAnsi="宋体" w:cs="宋体"/>
                <w:color w:val="auto"/>
                <w:sz w:val="24"/>
                <w:highlight w:val="yellow"/>
                <w:u w:val="single"/>
              </w:rPr>
              <w:t xml:space="preserve"> </w:t>
            </w:r>
            <w:r>
              <w:rPr>
                <w:rFonts w:hint="eastAsia" w:ascii="宋体" w:hAnsi="宋体" w:cs="宋体"/>
                <w:color w:val="auto"/>
                <w:kern w:val="0"/>
                <w:sz w:val="24"/>
              </w:rPr>
              <w:t>；地点：</w:t>
            </w:r>
            <w:r>
              <w:rPr>
                <w:rFonts w:hint="eastAsia" w:ascii="宋体" w:hAnsi="宋体" w:cs="宋体"/>
                <w:color w:val="auto"/>
                <w:sz w:val="24"/>
                <w:u w:val="single"/>
              </w:rPr>
              <w:t>杭州市余杭区良渚街道办事处9号楼</w:t>
            </w:r>
            <w:r>
              <w:rPr>
                <w:rFonts w:hint="eastAsia" w:ascii="宋体" w:hAnsi="宋体" w:cs="宋体"/>
                <w:color w:val="auto"/>
                <w:kern w:val="0"/>
                <w:sz w:val="24"/>
              </w:rPr>
              <w:t>；联系人</w:t>
            </w:r>
            <w:r>
              <w:rPr>
                <w:rFonts w:hint="eastAsia" w:ascii="宋体" w:hAnsi="宋体" w:cs="宋体"/>
                <w:color w:val="auto"/>
                <w:sz w:val="24"/>
              </w:rPr>
              <w:t>：</w:t>
            </w:r>
            <w:r>
              <w:rPr>
                <w:rFonts w:hint="eastAsia" w:ascii="宋体" w:hAnsi="宋体" w:cs="宋体"/>
                <w:color w:val="auto"/>
                <w:sz w:val="24"/>
                <w:u w:val="single"/>
              </w:rPr>
              <w:t>郑依</w:t>
            </w:r>
            <w:r>
              <w:rPr>
                <w:rFonts w:hint="eastAsia" w:ascii="宋体" w:hAnsi="宋体" w:cs="宋体"/>
                <w:color w:val="auto"/>
                <w:sz w:val="24"/>
              </w:rPr>
              <w:t>，</w:t>
            </w:r>
            <w:r>
              <w:rPr>
                <w:rFonts w:hint="eastAsia" w:ascii="宋体" w:hAnsi="宋体" w:cs="宋体"/>
                <w:color w:val="auto"/>
                <w:kern w:val="28"/>
                <w:sz w:val="24"/>
              </w:rPr>
              <w:t>联系电话：</w:t>
            </w:r>
            <w:r>
              <w:rPr>
                <w:rFonts w:hint="eastAsia" w:ascii="宋体" w:hAnsi="宋体" w:cs="宋体"/>
                <w:color w:val="auto"/>
                <w:sz w:val="24"/>
                <w:u w:val="single"/>
              </w:rPr>
              <w:t xml:space="preserve">  0571-88771392</w:t>
            </w:r>
            <w:r>
              <w:rPr>
                <w:rFonts w:hint="eastAsia" w:ascii="宋体" w:hAnsi="宋体" w:cs="宋体"/>
                <w:color w:val="auto"/>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color w:val="auto"/>
                <w:sz w:val="24"/>
              </w:rPr>
            </w:pPr>
            <w:r>
              <w:rPr>
                <w:rFonts w:hint="eastAsia" w:ascii="宋体" w:hAnsi="宋体" w:cs="宋体"/>
                <w:color w:val="auto"/>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spacing w:line="360" w:lineRule="auto"/>
              <w:rPr>
                <w:rFonts w:ascii="宋体" w:hAnsi="宋体" w:cs="宋体"/>
                <w:b/>
                <w:color w:val="auto"/>
                <w:sz w:val="24"/>
              </w:rPr>
            </w:pPr>
            <w:r>
              <w:rPr>
                <w:rFonts w:hint="eastAsia" w:ascii="宋体" w:hAnsi="宋体" w:cs="宋体"/>
                <w:color w:val="auto"/>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pStyle w:val="81"/>
              <w:rPr>
                <w:rFonts w:cs="宋体"/>
                <w:color w:val="auto"/>
              </w:rPr>
            </w:pPr>
          </w:p>
          <w:p>
            <w:pPr>
              <w:pStyle w:val="81"/>
              <w:rPr>
                <w:rFonts w:cs="宋体"/>
                <w:color w:val="auto"/>
              </w:rPr>
            </w:pPr>
          </w:p>
          <w:p>
            <w:pPr>
              <w:snapToGrid w:val="0"/>
              <w:spacing w:line="360" w:lineRule="auto"/>
              <w:jc w:val="center"/>
              <w:rPr>
                <w:rFonts w:ascii="宋体" w:hAnsi="宋体" w:cs="宋体"/>
                <w:color w:val="auto"/>
                <w:sz w:val="24"/>
              </w:rPr>
            </w:pPr>
            <w:r>
              <w:rPr>
                <w:rFonts w:hint="eastAsia" w:ascii="宋体" w:hAnsi="宋体" w:cs="宋体"/>
                <w:color w:val="auto"/>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rPr>
            </w:pPr>
            <w:r>
              <w:rPr>
                <w:rFonts w:hint="eastAsia" w:ascii="宋体" w:hAnsi="宋体" w:cs="宋体"/>
                <w:b/>
                <w:color w:val="auto"/>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sdt>
              <w:sdtPr>
                <w:rPr>
                  <w:rFonts w:hint="eastAsia" w:ascii="宋体" w:hAnsi="宋体" w:cs="宋体"/>
                  <w:color w:val="auto"/>
                  <w:kern w:val="0"/>
                  <w:sz w:val="24"/>
                </w:rPr>
                <w:id w:val="-1859348549"/>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eastAsia="MS Gothic" w:cs="宋体"/>
                    <w:color w:val="auto"/>
                    <w:kern w:val="0"/>
                    <w:sz w:val="24"/>
                  </w:rPr>
                  <w:t></w:t>
                </w:r>
              </w:sdtContent>
            </w:sdt>
            <w:r>
              <w:rPr>
                <w:rFonts w:hint="eastAsia" w:ascii="宋体" w:hAnsi="宋体" w:cs="宋体"/>
                <w:color w:val="auto"/>
                <w:kern w:val="0"/>
                <w:sz w:val="24"/>
              </w:rPr>
              <w:t>A</w:t>
            </w:r>
            <w:r>
              <w:rPr>
                <w:rFonts w:hint="eastAsia" w:ascii="宋体" w:hAnsi="宋体" w:cs="宋体"/>
                <w:color w:val="auto"/>
                <w:sz w:val="24"/>
              </w:rPr>
              <w:t>不组织。</w:t>
            </w:r>
          </w:p>
          <w:p>
            <w:pPr>
              <w:spacing w:line="360" w:lineRule="auto"/>
              <w:rPr>
                <w:rFonts w:ascii="宋体" w:hAnsi="宋体" w:cs="宋体"/>
                <w:color w:val="auto"/>
                <w:kern w:val="0"/>
                <w:sz w:val="24"/>
              </w:rPr>
            </w:pPr>
            <w:sdt>
              <w:sdtPr>
                <w:rPr>
                  <w:rFonts w:hint="eastAsia" w:ascii="宋体" w:hAnsi="宋体" w:cs="宋体"/>
                  <w:color w:val="auto"/>
                  <w:kern w:val="0"/>
                  <w:sz w:val="24"/>
                </w:rPr>
                <w:id w:val="1174071719"/>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B组织。</w:t>
            </w:r>
          </w:p>
          <w:p>
            <w:pPr>
              <w:snapToGrid w:val="0"/>
              <w:spacing w:line="360" w:lineRule="auto"/>
              <w:rPr>
                <w:rFonts w:ascii="宋体" w:hAnsi="宋体" w:cs="宋体"/>
                <w:color w:val="auto"/>
                <w:kern w:val="0"/>
                <w:sz w:val="24"/>
              </w:rPr>
            </w:pPr>
            <w:r>
              <w:rPr>
                <w:rFonts w:hint="eastAsia" w:ascii="宋体" w:hAnsi="宋体" w:cs="宋体"/>
                <w:color w:val="auto"/>
                <w:kern w:val="0"/>
                <w:sz w:val="24"/>
              </w:rPr>
              <w:t>（1）在评标时安排每个投标人进行方案讲解演示。每个投标人时间不超过</w:t>
            </w:r>
            <w:r>
              <w:rPr>
                <w:rFonts w:hint="eastAsia" w:ascii="宋体" w:hAnsi="宋体" w:cs="宋体"/>
                <w:color w:val="auto"/>
                <w:kern w:val="0"/>
                <w:sz w:val="24"/>
                <w:u w:val="single"/>
              </w:rPr>
              <w:t>15</w:t>
            </w:r>
            <w:r>
              <w:rPr>
                <w:rFonts w:hint="eastAsia" w:ascii="宋体" w:hAnsi="宋体" w:cs="宋体"/>
                <w:color w:val="auto"/>
                <w:kern w:val="0"/>
                <w:sz w:val="24"/>
              </w:rPr>
              <w:t>分钟，讲解次序以投标文件解密时间先后次序为准，讲解演示人员不超过</w:t>
            </w:r>
            <w:r>
              <w:rPr>
                <w:rFonts w:hint="eastAsia" w:ascii="宋体" w:hAnsi="宋体" w:cs="宋体"/>
                <w:color w:val="auto"/>
                <w:kern w:val="0"/>
                <w:sz w:val="24"/>
                <w:u w:val="single"/>
              </w:rPr>
              <w:t xml:space="preserve"> 3 </w:t>
            </w:r>
            <w:r>
              <w:rPr>
                <w:rFonts w:hint="eastAsia" w:ascii="宋体" w:hAnsi="宋体" w:cs="宋体"/>
                <w:color w:val="auto"/>
                <w:kern w:val="0"/>
                <w:sz w:val="24"/>
              </w:rPr>
              <w:t>人。讲解演示结束后按要求解答评标委员会提问。</w:t>
            </w:r>
          </w:p>
          <w:p>
            <w:pPr>
              <w:snapToGrid w:val="0"/>
              <w:spacing w:line="360" w:lineRule="auto"/>
              <w:rPr>
                <w:rFonts w:ascii="宋体" w:hAnsi="宋体" w:cs="宋体"/>
                <w:color w:val="auto"/>
                <w:kern w:val="0"/>
                <w:sz w:val="24"/>
              </w:rPr>
            </w:pPr>
            <w:r>
              <w:rPr>
                <w:rFonts w:hint="eastAsia" w:ascii="宋体" w:hAnsi="宋体" w:cs="宋体"/>
                <w:color w:val="auto"/>
                <w:kern w:val="0"/>
                <w:sz w:val="24"/>
              </w:rPr>
              <w:t>（2）方案讲解演示可选择以下其中一种方式：</w:t>
            </w:r>
          </w:p>
          <w:p>
            <w:pPr>
              <w:snapToGrid w:val="0"/>
              <w:spacing w:line="360" w:lineRule="auto"/>
              <w:rPr>
                <w:rFonts w:ascii="宋体" w:hAnsi="宋体" w:cs="宋体"/>
                <w:color w:val="auto"/>
                <w:kern w:val="0"/>
                <w:sz w:val="24"/>
              </w:rPr>
            </w:pPr>
            <w:r>
              <w:rPr>
                <w:rFonts w:hint="eastAsia" w:ascii="宋体" w:hAnsi="宋体" w:cs="宋体"/>
                <w:color w:val="auto"/>
                <w:kern w:val="0"/>
                <w:sz w:val="24"/>
              </w:rPr>
              <w:t>方式一：政采云平台在线讲解演示。政采云平台在线讲解需投标人根据政采云平台操作要求做好准备工作，提前完善软硬件配置环境。</w:t>
            </w:r>
          </w:p>
          <w:p>
            <w:pPr>
              <w:snapToGrid w:val="0"/>
              <w:spacing w:line="360" w:lineRule="auto"/>
              <w:rPr>
                <w:rFonts w:ascii="宋体" w:hAnsi="宋体" w:cs="宋体"/>
                <w:color w:val="auto"/>
                <w:kern w:val="0"/>
                <w:sz w:val="24"/>
              </w:rPr>
            </w:pPr>
            <w:r>
              <w:rPr>
                <w:rFonts w:hint="eastAsia" w:ascii="宋体" w:hAnsi="宋体" w:cs="宋体"/>
                <w:b/>
                <w:bCs/>
                <w:color w:val="auto"/>
                <w:kern w:val="0"/>
                <w:sz w:val="24"/>
              </w:rPr>
              <w:t>方式二</w:t>
            </w:r>
            <w:r>
              <w:rPr>
                <w:rFonts w:hint="eastAsia" w:ascii="宋体" w:hAnsi="宋体" w:cs="宋体"/>
                <w:color w:val="auto"/>
                <w:kern w:val="0"/>
                <w:sz w:val="24"/>
              </w:rPr>
              <w:t>：交易中心现场讲解演示。现场讲解地点为</w:t>
            </w:r>
            <w:r>
              <w:rPr>
                <w:rFonts w:hint="eastAsia" w:ascii="宋体" w:hAnsi="宋体" w:cs="宋体"/>
                <w:color w:val="auto"/>
                <w:sz w:val="24"/>
                <w:u w:val="single"/>
              </w:rPr>
              <w:t xml:space="preserve">    </w:t>
            </w:r>
            <w:r>
              <w:rPr>
                <w:rFonts w:hint="eastAsia" w:ascii="宋体" w:hAnsi="宋体" w:cs="宋体"/>
                <w:color w:val="auto"/>
                <w:kern w:val="0"/>
                <w:sz w:val="24"/>
              </w:rPr>
              <w:t>，讲解演示所用电脑等设备由投标人自备。现场讲解演示人员进场时提供讲解人员名单（加盖公章或授权代表签名）及身份证明，否则不得讲解演示。</w:t>
            </w:r>
          </w:p>
          <w:p>
            <w:pPr>
              <w:snapToGrid w:val="0"/>
              <w:spacing w:line="360" w:lineRule="auto"/>
              <w:rPr>
                <w:rFonts w:ascii="宋体" w:hAnsi="宋体" w:cs="宋体"/>
                <w:b/>
                <w:color w:val="auto"/>
                <w:kern w:val="0"/>
                <w:sz w:val="24"/>
                <w:lang w:val="zh-CN"/>
              </w:rPr>
            </w:pPr>
            <w:r>
              <w:rPr>
                <w:rFonts w:hint="eastAsia" w:ascii="宋体" w:hAnsi="宋体" w:cs="宋体"/>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（1）资格证明文件：见招标文件第二部分11.1。</w:t>
            </w:r>
          </w:p>
          <w:p>
            <w:pPr>
              <w:spacing w:line="360" w:lineRule="auto"/>
              <w:rPr>
                <w:rFonts w:ascii="宋体" w:hAnsi="宋体" w:cs="宋体"/>
                <w:snapToGrid w:val="0"/>
                <w:color w:val="auto"/>
                <w:kern w:val="0"/>
                <w:szCs w:val="21"/>
              </w:rPr>
            </w:pPr>
            <w:r>
              <w:rPr>
                <w:rFonts w:hint="eastAsia" w:ascii="宋体" w:hAnsi="宋体" w:cs="宋体"/>
                <w:color w:val="auto"/>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pPr>
              <w:snapToGrid w:val="0"/>
              <w:spacing w:line="360" w:lineRule="auto"/>
              <w:jc w:val="center"/>
              <w:rPr>
                <w:rFonts w:ascii="宋体" w:hAnsi="宋体" w:cs="宋体"/>
                <w:color w:val="auto"/>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rPr>
            </w:pPr>
            <w:r>
              <w:rPr>
                <w:rFonts w:hint="eastAsia" w:ascii="宋体" w:hAnsi="宋体" w:cs="宋体"/>
                <w:color w:val="auto"/>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color w:val="auto"/>
              </w:rPr>
            </w:pPr>
            <w:r>
              <w:rPr>
                <w:rFonts w:hint="eastAsia" w:ascii="宋体" w:hAnsi="宋体" w:cs="宋体"/>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p>
          <w:p>
            <w:pPr>
              <w:pStyle w:val="81"/>
              <w:rPr>
                <w:rFonts w:cs="宋体"/>
                <w:color w:val="auto"/>
              </w:rPr>
            </w:pPr>
          </w:p>
          <w:p>
            <w:pPr>
              <w:pStyle w:val="81"/>
              <w:rPr>
                <w:rFonts w:cs="宋体"/>
                <w:color w:val="auto"/>
              </w:rPr>
            </w:pPr>
          </w:p>
          <w:p>
            <w:pPr>
              <w:pStyle w:val="81"/>
              <w:rPr>
                <w:rFonts w:cs="宋体"/>
                <w:color w:val="auto"/>
              </w:rPr>
            </w:pPr>
          </w:p>
          <w:p>
            <w:pPr>
              <w:pStyle w:val="81"/>
              <w:rPr>
                <w:rFonts w:cs="宋体"/>
                <w:color w:val="auto"/>
              </w:rPr>
            </w:pPr>
          </w:p>
          <w:p>
            <w:pPr>
              <w:snapToGrid w:val="0"/>
              <w:spacing w:line="360" w:lineRule="auto"/>
              <w:jc w:val="center"/>
              <w:rPr>
                <w:rFonts w:ascii="宋体" w:hAnsi="宋体" w:cs="宋体"/>
                <w:color w:val="auto"/>
                <w:sz w:val="24"/>
              </w:rPr>
            </w:pPr>
            <w:r>
              <w:rPr>
                <w:rFonts w:hint="eastAsia" w:ascii="宋体" w:hAnsi="宋体" w:cs="宋体"/>
                <w:color w:val="auto"/>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w:t>
            </w:r>
            <w:r>
              <w:rPr>
                <w:rFonts w:hint="eastAsia" w:ascii="宋体" w:hAnsi="宋体" w:cs="宋体"/>
                <w:b/>
                <w:bCs/>
                <w:color w:val="auto"/>
                <w:kern w:val="0"/>
                <w:sz w:val="24"/>
                <w:lang w:val="zh-CN"/>
              </w:rPr>
              <w:t>投标文件</w:t>
            </w:r>
            <w:r>
              <w:rPr>
                <w:rFonts w:hint="eastAsia" w:ascii="宋体" w:hAnsi="宋体" w:cs="宋体"/>
                <w:b/>
                <w:bCs/>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r>
              <w:rPr>
                <w:rFonts w:hint="eastAsia" w:ascii="宋体" w:hAnsi="宋体" w:cs="宋体"/>
                <w:b/>
                <w:color w:val="auto"/>
                <w:kern w:val="0"/>
                <w:sz w:val="24"/>
                <w:lang w:val="zh-CN"/>
              </w:rPr>
              <w:t>提醒：验收时检测费用由采购人承担，不包含在投标总价中。</w:t>
            </w:r>
          </w:p>
          <w:p>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pPr>
              <w:snapToGrid w:val="0"/>
              <w:spacing w:line="360" w:lineRule="auto"/>
              <w:ind w:firstLine="241" w:firstLineChars="100"/>
              <w:jc w:val="left"/>
              <w:rPr>
                <w:rFonts w:ascii="宋体" w:hAnsi="宋体" w:cs="宋体"/>
                <w:color w:val="auto"/>
                <w:kern w:val="0"/>
                <w:sz w:val="24"/>
                <w:lang w:val="zh-CN"/>
              </w:rPr>
            </w:pPr>
            <w:r>
              <w:rPr>
                <w:rFonts w:hint="eastAsia" w:ascii="宋体" w:hAnsi="宋体" w:cs="宋体"/>
                <w:b/>
                <w:color w:val="auto"/>
                <w:kern w:val="0"/>
                <w:sz w:val="24"/>
                <w:lang w:val="zh-CN"/>
              </w:rPr>
              <w:t>投标报价超过招标文件中规定的预算金额或者最高限价的;</w:t>
            </w:r>
          </w:p>
          <w:p>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pPr>
              <w:spacing w:line="360" w:lineRule="auto"/>
              <w:ind w:firstLine="241" w:firstLineChars="100"/>
              <w:rPr>
                <w:rFonts w:ascii="宋体" w:hAnsi="宋体" w:cs="宋体"/>
                <w:color w:val="auto"/>
                <w:sz w:val="24"/>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21" w:hRule="atLeast"/>
          <w:tblHeader/>
        </w:trPr>
        <w:tc>
          <w:tcPr>
            <w:tcW w:w="629" w:type="dxa"/>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rPr>
            </w:pPr>
          </w:p>
          <w:p>
            <w:pPr>
              <w:pStyle w:val="81"/>
              <w:rPr>
                <w:color w:val="auto"/>
              </w:rPr>
            </w:pPr>
          </w:p>
          <w:p>
            <w:pPr>
              <w:snapToGrid w:val="0"/>
              <w:spacing w:line="360" w:lineRule="auto"/>
              <w:jc w:val="center"/>
              <w:rPr>
                <w:rFonts w:ascii="宋体" w:hAnsi="宋体" w:cs="宋体"/>
                <w:color w:val="auto"/>
                <w:sz w:val="24"/>
              </w:rPr>
            </w:pPr>
            <w:r>
              <w:rPr>
                <w:rFonts w:hint="eastAsia" w:ascii="宋体" w:hAnsi="宋体" w:cs="宋体"/>
                <w:color w:val="auto"/>
                <w:sz w:val="24"/>
              </w:rPr>
              <w:t>11</w:t>
            </w:r>
          </w:p>
        </w:tc>
        <w:tc>
          <w:tcPr>
            <w:tcW w:w="1843" w:type="dxa"/>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中小企业信用融资</w:t>
            </w: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color w:val="auto"/>
                <w:sz w:val="24"/>
              </w:rPr>
            </w:pPr>
            <w:r>
              <w:rPr>
                <w:rFonts w:hint="eastAsia" w:ascii="宋体" w:hAnsi="宋体" w:cs="宋体"/>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color w:val="auto"/>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33"/>
              <w:spacing w:line="360" w:lineRule="auto"/>
              <w:rPr>
                <w:rFonts w:hAnsi="宋体" w:cs="宋体"/>
                <w:color w:val="auto"/>
                <w:kern w:val="28"/>
                <w:sz w:val="24"/>
              </w:rPr>
            </w:pPr>
            <w:r>
              <w:rPr>
                <w:rFonts w:hint="eastAsia" w:hAnsi="宋体" w:cs="宋体"/>
                <w:color w:val="auto"/>
                <w:kern w:val="28"/>
                <w:sz w:val="24"/>
              </w:rPr>
              <w:t>备份投标文件送达地点：</w:t>
            </w:r>
            <w:r>
              <w:rPr>
                <w:rFonts w:hint="eastAsia" w:hAnsi="宋体" w:cs="宋体"/>
                <w:color w:val="auto"/>
                <w:kern w:val="28"/>
                <w:sz w:val="24"/>
                <w:u w:val="single"/>
              </w:rPr>
              <w:t>杭州市余杭区良渚街道办事处9号楼</w:t>
            </w:r>
            <w:r>
              <w:rPr>
                <w:rFonts w:hint="eastAsia" w:hAnsi="宋体" w:cs="宋体"/>
                <w:color w:val="auto"/>
                <w:kern w:val="28"/>
                <w:sz w:val="24"/>
              </w:rPr>
              <w:t>；备份投标文件签收人员联系电话：</w:t>
            </w:r>
            <w:r>
              <w:rPr>
                <w:rFonts w:hint="eastAsia" w:hAnsi="宋体" w:cs="宋体"/>
                <w:color w:val="auto"/>
                <w:kern w:val="28"/>
                <w:sz w:val="24"/>
                <w:u w:val="single"/>
              </w:rPr>
              <w:t>郑依0571-88771392</w:t>
            </w:r>
            <w:r>
              <w:rPr>
                <w:rFonts w:hint="eastAsia" w:hAnsi="宋体" w:cs="宋体"/>
                <w:color w:val="auto"/>
                <w:kern w:val="28"/>
                <w:sz w:val="24"/>
              </w:rPr>
              <w:t>。采购人、采购代理机构不强制或变相强制投标人提交备份投标文件。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pPr>
              <w:snapToGrid w:val="0"/>
              <w:spacing w:line="360" w:lineRule="auto"/>
              <w:jc w:val="center"/>
              <w:rPr>
                <w:rFonts w:ascii="宋体" w:hAnsi="宋体" w:cs="宋体"/>
                <w:color w:val="auto"/>
                <w:sz w:val="24"/>
              </w:rPr>
            </w:pPr>
          </w:p>
          <w:p>
            <w:pPr>
              <w:snapToGrid w:val="0"/>
              <w:spacing w:line="360" w:lineRule="auto"/>
              <w:jc w:val="center"/>
              <w:rPr>
                <w:rFonts w:ascii="宋体" w:hAnsi="宋体" w:cs="宋体"/>
                <w:color w:val="auto"/>
                <w:sz w:val="24"/>
              </w:rPr>
            </w:pPr>
            <w:r>
              <w:rPr>
                <w:rFonts w:hint="eastAsia" w:ascii="宋体" w:hAnsi="宋体" w:cs="宋体"/>
                <w:color w:val="auto"/>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cs="仿宋_GB2312" w:asciiTheme="minorEastAsia" w:hAnsiTheme="minorEastAsia" w:eastAsiaTheme="minorEastAsia"/>
                <w:b/>
                <w:color w:val="auto"/>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r>
              <w:rPr>
                <w:rFonts w:hint="eastAsia" w:ascii="宋体" w:hAnsi="宋体" w:cs="宋体"/>
                <w:snapToGrid w:val="0"/>
                <w:color w:val="auto"/>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000000" w:sz="8" w:space="0"/>
              <w:right w:val="single" w:color="000000" w:sz="2" w:space="0"/>
            </w:tcBorders>
          </w:tcPr>
          <w:p>
            <w:pPr>
              <w:snapToGrid w:val="0"/>
              <w:spacing w:line="360" w:lineRule="auto"/>
              <w:jc w:val="center"/>
              <w:rPr>
                <w:rFonts w:ascii="宋体" w:hAnsi="宋体" w:cs="宋体"/>
                <w:color w:val="auto"/>
                <w:sz w:val="24"/>
              </w:rPr>
            </w:pPr>
          </w:p>
        </w:tc>
        <w:tc>
          <w:tcPr>
            <w:tcW w:w="1843" w:type="dxa"/>
            <w:vMerge w:val="continue"/>
            <w:tcBorders>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ascii="MS Mincho" w:hAnsi="MS Mincho" w:eastAsia="MS Mincho" w:cs="MS Mincho"/>
                    <w:color w:val="auto"/>
                    <w:kern w:val="0"/>
                    <w:sz w:val="24"/>
                  </w:rPr>
                  <w:t>☐</w:t>
                </w:r>
              </w:sdtContent>
            </w:sdt>
            <w:r>
              <w:rPr>
                <w:rFonts w:hint="eastAsia" w:ascii="宋体" w:hAnsi="宋体" w:cs="宋体"/>
                <w:snapToGrid w:val="0"/>
                <w:color w:val="auto"/>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color w:val="auto"/>
                <w:kern w:val="28"/>
                <w:sz w:val="24"/>
              </w:rPr>
            </w:pPr>
            <w:sdt>
              <w:sdtPr>
                <w:rPr>
                  <w:rFonts w:hint="eastAsia" w:cs="Arial" w:asciiTheme="minorEastAsia" w:hAnsiTheme="minorEastAsia" w:eastAsiaTheme="minorEastAsia"/>
                  <w:color w:val="auto"/>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rPr>
              </w:sdtEndPr>
              <w:sdtContent>
                <w:r>
                  <w:rPr>
                    <w:rFonts w:hint="eastAsia" w:cs="Arial" w:asciiTheme="minorEastAsia" w:hAnsiTheme="minorEastAsia" w:eastAsiaTheme="minorEastAsia"/>
                    <w:color w:val="auto"/>
                    <w:kern w:val="0"/>
                    <w:sz w:val="24"/>
                  </w:rPr>
                  <w:sym w:font="Wingdings" w:char="F0FE"/>
                </w:r>
              </w:sdtContent>
            </w:sdt>
            <w:r>
              <w:rPr>
                <w:rFonts w:hint="eastAsia" w:ascii="宋体" w:hAnsi="宋体" w:cs="宋体"/>
                <w:snapToGrid w:val="0"/>
                <w:color w:val="auto"/>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14</w:t>
            </w:r>
          </w:p>
        </w:tc>
        <w:tc>
          <w:tcPr>
            <w:tcW w:w="184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bCs/>
                <w:color w:val="auto"/>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采购代理服务费：本项目的采购代理费由中标人支付。</w:t>
            </w:r>
          </w:p>
          <w:p>
            <w:pPr>
              <w:spacing w:line="360" w:lineRule="auto"/>
              <w:jc w:val="left"/>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计费标准：以中标（成交）金额为计费基准，按差额定率累进制计算,具体标准为按国家计价格[2002]1980号文件规定标准执行。费用包含在总报价中，不单独列项报价，投标人应在投标报价中予以考虑。</w:t>
            </w:r>
          </w:p>
          <w:p>
            <w:pPr>
              <w:spacing w:line="360" w:lineRule="auto"/>
              <w:jc w:val="left"/>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结算方式及时间为：在领取中标通知书时由中标供应商一次性向采购代理机构付清。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15</w:t>
            </w:r>
          </w:p>
        </w:tc>
        <w:tc>
          <w:tcPr>
            <w:tcW w:w="1843"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rPr>
            </w:pPr>
            <w:r>
              <w:rPr>
                <w:rFonts w:hint="eastAsia" w:ascii="宋体" w:hAnsi="宋体" w:cs="宋体"/>
                <w:b/>
                <w:snapToGrid w:val="0"/>
                <w:color w:val="auto"/>
                <w:kern w:val="28"/>
                <w:sz w:val="24"/>
                <w:szCs w:val="20"/>
              </w:rPr>
              <w:t>纸质投标文件</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jc w:val="left"/>
              <w:rPr>
                <w:rFonts w:cs="Arial" w:asciiTheme="minorEastAsia" w:hAnsiTheme="minorEastAsia" w:eastAsiaTheme="minorEastAsia"/>
                <w:color w:val="auto"/>
                <w:kern w:val="0"/>
                <w:sz w:val="24"/>
              </w:rPr>
            </w:pPr>
            <w:r>
              <w:rPr>
                <w:rFonts w:hint="eastAsia" w:cs="Arial" w:asciiTheme="minorEastAsia" w:hAnsiTheme="minorEastAsia" w:eastAsiaTheme="minorEastAsia"/>
                <w:color w:val="auto"/>
                <w:kern w:val="0"/>
                <w:sz w:val="24"/>
              </w:rPr>
              <w:t>中标单位需在领取中标通知书时，提供本项目纸质投标文件（“资格文件”、“报价文件”和“商务技术文件”）四份（正本一份，副本三份）并提供电子投标文件与纸质投标文件内容一致承诺书（格式自拟）四份。</w:t>
            </w:r>
          </w:p>
        </w:tc>
      </w:tr>
    </w:tbl>
    <w:p>
      <w:pPr>
        <w:snapToGrid w:val="0"/>
        <w:spacing w:line="360" w:lineRule="auto"/>
        <w:jc w:val="center"/>
        <w:rPr>
          <w:rFonts w:ascii="宋体" w:hAnsi="宋体" w:cs="宋体"/>
          <w:b/>
          <w:color w:val="auto"/>
          <w:sz w:val="32"/>
          <w:szCs w:val="20"/>
        </w:rPr>
      </w:pPr>
    </w:p>
    <w:bookmarkEnd w:id="10"/>
    <w:p>
      <w:pPr>
        <w:adjustRightInd/>
        <w:spacing w:line="360" w:lineRule="auto"/>
        <w:ind w:firstLine="3845" w:firstLineChars="1197"/>
        <w:outlineLvl w:val="0"/>
        <w:rPr>
          <w:rFonts w:ascii="宋体" w:hAnsi="宋体" w:cs="宋体"/>
          <w:b/>
          <w:color w:val="auto"/>
          <w:sz w:val="32"/>
          <w:szCs w:val="20"/>
        </w:rPr>
      </w:pPr>
      <w:bookmarkStart w:id="13" w:name="第三部分"/>
      <w:bookmarkStart w:id="14" w:name="_Toc164416483"/>
      <w:r>
        <w:rPr>
          <w:rFonts w:hint="eastAsia" w:ascii="宋体" w:hAnsi="宋体" w:cs="宋体"/>
          <w:b/>
          <w:color w:val="auto"/>
          <w:sz w:val="32"/>
          <w:szCs w:val="20"/>
        </w:rPr>
        <w:t>一、总则</w:t>
      </w:r>
    </w:p>
    <w:p>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pPr>
        <w:spacing w:line="360" w:lineRule="auto"/>
        <w:ind w:firstLine="480" w:firstLineChars="200"/>
        <w:rPr>
          <w:rFonts w:ascii="宋体" w:hAnsi="宋体" w:cs="宋体"/>
          <w:color w:val="auto"/>
          <w:sz w:val="24"/>
        </w:rPr>
      </w:pPr>
      <w:r>
        <w:rPr>
          <w:rFonts w:hint="eastAsia" w:ascii="宋体" w:hAnsi="宋体" w:cs="宋体"/>
          <w:color w:val="auto"/>
          <w:sz w:val="24"/>
        </w:rPr>
        <w:t>2.2 “采购代理机构”系指招标公告中载明的本项目的采购代理机构。</w:t>
      </w:r>
    </w:p>
    <w:p>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2.6“电子交易平台”系指本项目政府采购活动所依托的政府采购云平台（https://www.zcygov.cn/）。</w:t>
      </w:r>
    </w:p>
    <w:p>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sdt>
        <w:sdtPr>
          <w:rPr>
            <w:rFonts w:hint="eastAsia" w:ascii="宋体" w:hAnsi="宋体" w:cs="宋体"/>
            <w:color w:val="auto"/>
            <w:kern w:val="0"/>
            <w:sz w:val="24"/>
          </w:rPr>
          <w:id w:val="512970236"/>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ascii="Wingdings" w:hAnsi="Wingdings" w:cs="宋体"/>
              <w:color w:val="auto"/>
              <w:kern w:val="0"/>
              <w:sz w:val="24"/>
            </w:rPr>
            <w:t></w:t>
          </w:r>
        </w:sdtContent>
      </w:sdt>
      <w:r>
        <w:rPr>
          <w:rFonts w:hint="eastAsia" w:ascii="宋体" w:hAnsi="宋体" w:cs="宋体"/>
          <w:color w:val="auto"/>
          <w:sz w:val="24"/>
        </w:rPr>
        <w:t>” 系指适用本项目的要求，“</w:t>
      </w:r>
      <w:sdt>
        <w:sdtPr>
          <w:rPr>
            <w:rFonts w:hint="eastAsia" w:ascii="宋体" w:hAnsi="宋体" w:cs="宋体"/>
            <w:color w:val="auto"/>
            <w:kern w:val="0"/>
            <w:sz w:val="24"/>
          </w:rPr>
          <w:id w:val="40488885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 系指不适用本项目的要求。</w:t>
      </w:r>
    </w:p>
    <w:p>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color w:val="auto"/>
          <w:sz w:val="24"/>
        </w:rPr>
      </w:pPr>
      <w:r>
        <w:rPr>
          <w:rFonts w:hint="eastAsia" w:ascii="宋体" w:hAnsi="宋体" w:cs="宋体"/>
          <w:color w:val="auto"/>
          <w:sz w:val="24"/>
        </w:rPr>
        <w:t>3.2.2 纳入政府采购管理的修缮、装修类项目采购建材的，鼓励采购单位将绿色建材性能、指标等作为实质性条件纳入采购文件和合同，具体性能指标要求参考相关绿色建材政府采购需求标准。</w:t>
      </w:r>
    </w:p>
    <w:p>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auto"/>
          <w:sz w:val="24"/>
        </w:rPr>
        <w:t>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color w:val="auto"/>
          <w:sz w:val="24"/>
        </w:rPr>
      </w:pPr>
      <w:r>
        <w:rPr>
          <w:rFonts w:hint="eastAsia" w:ascii="宋体" w:hAnsi="宋体" w:cs="宋体"/>
          <w:color w:val="auto"/>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3.3.3对于未预留份额专门面向中小企业的政府采购货物项目，以及预留份额政府采购货物项目中的非预留部分标项，对小型和微型企业的投标报价给予10%-</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color w:val="auto"/>
          <w:sz w:val="24"/>
        </w:rPr>
        <w:t>联合协议或者分包意向协议约定小微企业的合同份额占到合同总金额30%以上的</w:t>
      </w:r>
      <w:bookmarkEnd w:id="16"/>
      <w:r>
        <w:rPr>
          <w:rFonts w:hint="eastAsia" w:ascii="宋体" w:hAnsi="宋体" w:cs="宋体"/>
          <w:color w:val="auto"/>
          <w:sz w:val="24"/>
        </w:rPr>
        <w:t>，对联合体或者大中型企业的报价给予4%-</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pPr>
        <w:spacing w:line="360" w:lineRule="auto"/>
        <w:ind w:firstLine="480" w:firstLineChars="200"/>
        <w:rPr>
          <w:rFonts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pPr>
        <w:pStyle w:val="5"/>
        <w:adjustRightInd w:val="0"/>
        <w:ind w:left="0" w:firstLine="480" w:firstLineChars="200"/>
        <w:rPr>
          <w:color w:val="auto"/>
        </w:rPr>
      </w:pPr>
      <w:r>
        <w:rPr>
          <w:rFonts w:hint="eastAsia" w:ascii="宋体" w:hAnsi="宋体" w:eastAsia="宋体" w:cs="仿宋"/>
          <w:b w:val="0"/>
          <w:bCs w:val="0"/>
          <w:color w:val="auto"/>
          <w:sz w:val="24"/>
          <w:szCs w:val="24"/>
          <w:lang w:val="en-US"/>
        </w:rPr>
        <w:t>3.4.3 采购人应当贯彻落实知识产权保护相关法律法规，应当采购使用正版软件。</w:t>
      </w:r>
    </w:p>
    <w:p>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r>
        <w:rPr>
          <w:rFonts w:hint="eastAsia" w:ascii="宋体" w:hAnsi="宋体" w:cs="仿宋"/>
          <w:color w:val="auto"/>
          <w:sz w:val="24"/>
        </w:rPr>
        <w:t>、补偿救济</w:t>
      </w:r>
    </w:p>
    <w:p>
      <w:pPr>
        <w:pStyle w:val="891"/>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pPr>
        <w:pStyle w:val="891"/>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7"/>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pPr>
        <w:pStyle w:val="891"/>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pPr>
        <w:pStyle w:val="891"/>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pPr>
        <w:pStyle w:val="891"/>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pPr>
        <w:pStyle w:val="891"/>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91"/>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pPr>
        <w:pStyle w:val="891"/>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pPr>
        <w:pStyle w:val="891"/>
        <w:shd w:val="clear" w:color="auto" w:fill="FFFFFF"/>
        <w:snapToGrid w:val="0"/>
        <w:spacing w:after="240" w:afterAutospacing="0" w:line="360" w:lineRule="auto"/>
        <w:ind w:firstLine="400"/>
        <w:contextualSpacing/>
        <w:rPr>
          <w:color w:val="auto"/>
        </w:rPr>
      </w:pPr>
      <w:r>
        <w:rPr>
          <w:rFonts w:hint="eastAsia"/>
          <w:color w:val="auto"/>
        </w:rPr>
        <w:t>4.4.1质疑供应商对采购人、采购代理机构的答复不满意或者采购人、采购代理机构未在规定的时间内作出答复的，可以在答复期满后十五个工作日内向同级政府采购监督管理部门提出投诉。</w:t>
      </w:r>
    </w:p>
    <w:p>
      <w:pPr>
        <w:pStyle w:val="891"/>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pPr>
        <w:pStyle w:val="891"/>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pPr>
        <w:pStyle w:val="891"/>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pPr>
        <w:pStyle w:val="891"/>
        <w:shd w:val="clear" w:color="auto" w:fill="FFFFFF"/>
        <w:snapToGrid w:val="0"/>
        <w:spacing w:after="240" w:afterAutospacing="0" w:line="360" w:lineRule="auto"/>
        <w:ind w:firstLine="480" w:firstLineChars="200"/>
        <w:contextualSpacing/>
        <w:rPr>
          <w:color w:val="auto"/>
        </w:rPr>
      </w:pPr>
      <w:r>
        <w:rPr>
          <w:rFonts w:hint="eastAsia"/>
          <w:color w:val="auto"/>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snapToGrid w:val="0"/>
        <w:spacing w:line="360" w:lineRule="auto"/>
        <w:ind w:firstLine="480" w:firstLineChars="200"/>
        <w:rPr>
          <w:rFonts w:ascii="宋体" w:hAnsi="宋体" w:cs="仿宋"/>
          <w:color w:val="auto"/>
          <w:sz w:val="24"/>
        </w:rPr>
      </w:pPr>
      <w:r>
        <w:rPr>
          <w:rFonts w:hint="eastAsia" w:ascii="宋体" w:hAnsi="宋体" w:cs="仿宋"/>
          <w:color w:val="auto"/>
          <w:sz w:val="24"/>
        </w:rPr>
        <w:t>4.5 补偿救济</w:t>
      </w:r>
    </w:p>
    <w:p>
      <w:pPr>
        <w:shd w:val="clear" w:color="auto" w:fill="FFFFFF"/>
        <w:snapToGrid w:val="0"/>
        <w:spacing w:after="240" w:line="360" w:lineRule="auto"/>
        <w:ind w:firstLine="480" w:firstLineChars="200"/>
        <w:contextualSpacing/>
        <w:rPr>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pPr>
        <w:pStyle w:val="891"/>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pPr>
        <w:rPr>
          <w:color w:val="auto"/>
        </w:rPr>
      </w:pPr>
    </w:p>
    <w:p>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pPr>
        <w:pStyle w:val="133"/>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6.1已获取招标文件的潜在投标人，若有问题需要澄清，应于投标截止时间前，以书面形式向采购代理机构提出。</w:t>
      </w:r>
    </w:p>
    <w:p>
      <w:pPr>
        <w:pStyle w:val="133"/>
        <w:snapToGrid w:val="0"/>
        <w:spacing w:before="0"/>
        <w:ind w:firstLine="480"/>
        <w:rPr>
          <w:rFonts w:ascii="宋体" w:hAnsi="宋体" w:cs="宋体"/>
          <w:color w:val="auto"/>
        </w:rPr>
      </w:pPr>
      <w:r>
        <w:rPr>
          <w:rFonts w:hint="eastAsia" w:ascii="宋体" w:hAnsi="宋体" w:cs="宋体"/>
          <w:color w:val="auto"/>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rPr>
          <w:color w:val="auto"/>
        </w:rPr>
      </w:pPr>
      <w:r>
        <w:rPr>
          <w:rFonts w:hint="eastAsia"/>
          <w:color w:val="auto"/>
        </w:rPr>
        <w:t xml:space="preserve">    </w:t>
      </w:r>
    </w:p>
    <w:p>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pPr>
        <w:pStyle w:val="33"/>
        <w:spacing w:line="360" w:lineRule="auto"/>
        <w:rPr>
          <w:rFonts w:hAnsi="宋体" w:cs="宋体"/>
          <w:b/>
          <w:color w:val="auto"/>
          <w:szCs w:val="24"/>
        </w:rPr>
      </w:pPr>
      <w:r>
        <w:rPr>
          <w:rFonts w:hint="eastAsia" w:hAnsi="宋体" w:cs="宋体"/>
          <w:b/>
          <w:color w:val="auto"/>
          <w:kern w:val="28"/>
          <w:sz w:val="24"/>
          <w:szCs w:val="24"/>
        </w:rPr>
        <w:t>9.投标保证金</w:t>
      </w:r>
    </w:p>
    <w:p>
      <w:pPr>
        <w:pStyle w:val="7"/>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7" w:name="_Hlk101259339"/>
      <w:r>
        <w:rPr>
          <w:rFonts w:hint="eastAsia" w:ascii="宋体" w:hAnsi="宋体" w:cs="宋体"/>
          <w:snapToGrid w:val="0"/>
          <w:color w:val="auto"/>
          <w:kern w:val="28"/>
          <w:sz w:val="24"/>
          <w:szCs w:val="20"/>
        </w:rPr>
        <w:t>联合协议</w:t>
      </w:r>
      <w:bookmarkEnd w:id="17"/>
      <w:r>
        <w:rPr>
          <w:rFonts w:hint="eastAsia" w:ascii="宋体" w:hAnsi="宋体" w:cs="宋体"/>
          <w:snapToGrid w:val="0"/>
          <w:color w:val="auto"/>
          <w:kern w:val="28"/>
          <w:sz w:val="24"/>
          <w:szCs w:val="20"/>
        </w:rPr>
        <w:t>（如果有)；</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11.3.1开标一览表（报价表）；</w:t>
      </w:r>
    </w:p>
    <w:p>
      <w:pPr>
        <w:pStyle w:val="82"/>
        <w:adjustRightInd w:val="0"/>
        <w:spacing w:line="360" w:lineRule="auto"/>
        <w:ind w:firstLine="960" w:firstLineChars="400"/>
        <w:rPr>
          <w:color w:val="auto"/>
        </w:rPr>
      </w:pPr>
      <w:r>
        <w:rPr>
          <w:rFonts w:hint="eastAsia" w:ascii="宋体" w:hAnsi="宋体" w:eastAsia="宋体" w:cs="宋体"/>
          <w:color w:val="auto"/>
          <w:sz w:val="24"/>
          <w:szCs w:val="24"/>
          <w:lang w:val="en-US"/>
        </w:rPr>
        <w:t>11.3.2 报价情况说明（如供应商报价低于项目预算50%的，应当提交本文档，详细阐述不影响产品质量或者诚信履约的具体原因）；</w:t>
      </w:r>
    </w:p>
    <w:p>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11.3.3中小企业声明函。</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pPr>
        <w:spacing w:line="360" w:lineRule="auto"/>
        <w:ind w:firstLine="723" w:firstLineChars="300"/>
        <w:rPr>
          <w:rFonts w:ascii="宋体" w:hAnsi="宋体" w:cs="宋体"/>
          <w:b/>
          <w:color w:val="auto"/>
          <w:sz w:val="24"/>
        </w:rPr>
      </w:pPr>
      <w:r>
        <w:rPr>
          <w:rFonts w:hint="eastAsia" w:ascii="宋体" w:hAnsi="宋体" w:cs="宋体"/>
          <w:b/>
          <w:color w:val="auto"/>
          <w:sz w:val="24"/>
        </w:rPr>
        <w:t>投标人提供虚假材料投标的，投标无效。</w:t>
      </w:r>
    </w:p>
    <w:p>
      <w:pPr>
        <w:spacing w:line="360" w:lineRule="auto"/>
        <w:ind w:firstLine="720" w:firstLineChars="300"/>
        <w:rPr>
          <w:color w:val="auto"/>
        </w:rPr>
      </w:pPr>
      <w:r>
        <w:rPr>
          <w:rFonts w:hint="eastAsia"/>
          <w:color w:val="auto"/>
          <w:sz w:val="24"/>
          <w:shd w:val="clear" w:color="auto" w:fill="FFFFFF"/>
        </w:rPr>
        <w:t>投标人应对投标文件中材料的真实性、合法性负责。</w:t>
      </w:r>
    </w:p>
    <w:p>
      <w:pPr>
        <w:pStyle w:val="133"/>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pPr>
        <w:pStyle w:val="133"/>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pPr>
        <w:pStyle w:val="133"/>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pPr>
        <w:pStyle w:val="133"/>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pPr>
        <w:pStyle w:val="133"/>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pPr>
        <w:pStyle w:val="133"/>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3"/>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3"/>
        <w:spacing w:before="0"/>
        <w:ind w:firstLine="480"/>
        <w:rPr>
          <w:rFonts w:ascii="宋体" w:hAnsi="宋体" w:cs="宋体"/>
          <w:color w:val="auto"/>
          <w:szCs w:val="24"/>
        </w:rPr>
      </w:pPr>
      <w:r>
        <w:rPr>
          <w:rFonts w:hint="eastAsia" w:ascii="宋体" w:hAnsi="宋体" w:cs="宋体"/>
          <w:color w:val="auto"/>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3"/>
        <w:spacing w:line="360" w:lineRule="auto"/>
        <w:rPr>
          <w:rFonts w:hAnsi="宋体" w:cs="宋体"/>
          <w:b/>
          <w:color w:val="auto"/>
          <w:sz w:val="24"/>
          <w:szCs w:val="24"/>
        </w:rPr>
      </w:pPr>
      <w:r>
        <w:rPr>
          <w:rFonts w:hint="eastAsia" w:hAnsi="宋体" w:cs="宋体"/>
          <w:b/>
          <w:color w:val="auto"/>
          <w:sz w:val="24"/>
          <w:szCs w:val="24"/>
        </w:rPr>
        <w:t>15.备份投标文件</w:t>
      </w:r>
    </w:p>
    <w:p>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但采购人、采购代理机构不强制或变相强制投标人提交备份投标文件。</w:t>
      </w:r>
    </w:p>
    <w:p>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rPr>
        <w:t>DVD光盘等存储介质</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rPr>
        <w:t>招标文件第二部分投标人须知前附表规定的备份投标文件送达地点；</w:t>
      </w:r>
      <w:r>
        <w:rPr>
          <w:rFonts w:hint="eastAsia" w:hAnsi="宋体" w:cs="宋体"/>
          <w:color w:val="auto"/>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pPr>
        <w:pStyle w:val="133"/>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pPr>
        <w:pStyle w:val="2"/>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rPr>
        <w:t>4.2规定</w:t>
      </w:r>
      <w:r>
        <w:rPr>
          <w:rFonts w:hint="eastAsia" w:cs="宋体"/>
          <w:color w:val="auto"/>
          <w:szCs w:val="21"/>
        </w:rPr>
        <w:t>的情形之一的，投标无效：</w:t>
      </w:r>
    </w:p>
    <w:p>
      <w:pPr>
        <w:pStyle w:val="133"/>
        <w:spacing w:before="0"/>
        <w:ind w:firstLine="0" w:firstLineChars="0"/>
        <w:rPr>
          <w:rFonts w:ascii="宋体" w:hAnsi="宋体" w:cs="宋体"/>
          <w:b/>
          <w:color w:val="auto"/>
          <w:szCs w:val="24"/>
        </w:rPr>
      </w:pPr>
      <w:r>
        <w:rPr>
          <w:rFonts w:hint="eastAsia" w:ascii="宋体" w:hAnsi="宋体" w:cs="宋体"/>
          <w:b/>
          <w:color w:val="auto"/>
          <w:szCs w:val="24"/>
        </w:rPr>
        <w:t>17.投标有效期</w:t>
      </w:r>
    </w:p>
    <w:p>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pPr>
        <w:pStyle w:val="133"/>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pPr>
        <w:pStyle w:val="133"/>
        <w:spacing w:before="0"/>
        <w:ind w:firstLine="480"/>
        <w:rPr>
          <w:rFonts w:ascii="宋体" w:hAnsi="宋体" w:cs="宋体"/>
          <w:color w:val="auto"/>
        </w:rPr>
      </w:pPr>
      <w:r>
        <w:rPr>
          <w:rFonts w:hint="eastAsia" w:ascii="宋体" w:hAnsi="宋体" w:cs="宋体"/>
          <w:color w:val="auto"/>
        </w:rPr>
        <w:t>17.3在原定投标有效期满之前，如果出现特殊情况，采购代理机构可以以书面形式通知投标人延长投标有效期。投标人同意延长的，不得要求或被允许修改其投标文件，投标人拒绝延长的，其投标无效。</w:t>
      </w:r>
    </w:p>
    <w:p>
      <w:pPr>
        <w:rPr>
          <w:color w:val="auto"/>
        </w:rPr>
      </w:pPr>
    </w:p>
    <w:p>
      <w:pPr>
        <w:pStyle w:val="133"/>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pPr>
        <w:pStyle w:val="559"/>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pPr>
        <w:pStyle w:val="559"/>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18.1采购代理机构按照招标文件规定的时间通过电子交易平台组织开标，所有投标人均应当准时在线参加。投标人不足3家的，不得开标。</w:t>
      </w:r>
    </w:p>
    <w:p>
      <w:pPr>
        <w:pStyle w:val="559"/>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18.2开标时，电子交易平台按开标时间自动提取所有投标文件。采购代理机构依托电子交易平台发起开始解密指令，投标人按照平台提示和招标文件的规定在半小时内完成在线解密。</w:t>
      </w:r>
    </w:p>
    <w:p>
      <w:pPr>
        <w:pStyle w:val="559"/>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19.1</w:t>
      </w:r>
      <w:r>
        <w:rPr>
          <w:rFonts w:hint="eastAsia" w:ascii="宋体" w:hAnsi="宋体" w:cs="宋体"/>
          <w:color w:val="auto"/>
          <w:sz w:val="24"/>
        </w:rPr>
        <w:t>采购人或采购代理机构依据法律法规和招标文件的规定，对投标人的资格进行审查。</w:t>
      </w:r>
    </w:p>
    <w:p>
      <w:pPr>
        <w:pStyle w:val="133"/>
        <w:spacing w:before="0"/>
        <w:ind w:firstLine="480"/>
        <w:rPr>
          <w:rFonts w:ascii="宋体" w:hAnsi="宋体" w:cs="宋体"/>
          <w:color w:val="auto"/>
        </w:rPr>
      </w:pPr>
      <w:r>
        <w:rPr>
          <w:rFonts w:hint="eastAsia" w:ascii="宋体" w:hAnsi="宋体" w:cs="宋体"/>
          <w:color w:val="auto"/>
          <w:kern w:val="0"/>
          <w:szCs w:val="24"/>
        </w:rPr>
        <w:t>19.2投标人未按照招标文件要求提供与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pPr>
        <w:pStyle w:val="133"/>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3对未通过资格审查的投标人，采购人或采购代理机构告知其未通过的原因。</w:t>
      </w:r>
    </w:p>
    <w:p>
      <w:pPr>
        <w:pStyle w:val="133"/>
        <w:snapToGrid w:val="0"/>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4合格投标人不足3家的，不再评标。</w:t>
      </w:r>
    </w:p>
    <w:p>
      <w:pPr>
        <w:pStyle w:val="133"/>
        <w:snapToGrid w:val="0"/>
        <w:spacing w:before="0"/>
        <w:ind w:firstLine="480"/>
        <w:rPr>
          <w:rFonts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133"/>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20.1信用信息查询渠道及截止时间：采购代理机构将在资格审查时通过“信用中国”网站(www.creditchina.gov.cn)、中国政府采购网(www.ccgp.gov.cn)渠道查询投标人接受资格审查时的信用记录。</w:t>
      </w:r>
    </w:p>
    <w:p>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pPr>
        <w:pStyle w:val="133"/>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pPr>
        <w:pStyle w:val="133"/>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pPr>
        <w:rPr>
          <w:color w:val="auto"/>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pPr>
        <w:spacing w:line="360" w:lineRule="auto"/>
        <w:rPr>
          <w:rFonts w:ascii="宋体" w:hAnsi="宋体" w:cs="宋体"/>
          <w:b/>
          <w:color w:val="auto"/>
          <w:sz w:val="24"/>
        </w:rPr>
      </w:pPr>
      <w:bookmarkStart w:id="18"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pPr>
        <w:rPr>
          <w:color w:val="auto"/>
        </w:rPr>
      </w:pPr>
    </w:p>
    <w:p>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pPr>
        <w:pStyle w:val="2"/>
        <w:spacing w:line="360" w:lineRule="auto"/>
        <w:ind w:left="479" w:hanging="479" w:hangingChars="199"/>
        <w:rPr>
          <w:rFonts w:cs="宋体"/>
          <w:b/>
          <w:color w:val="auto"/>
        </w:rPr>
      </w:pPr>
      <w:r>
        <w:rPr>
          <w:rFonts w:hint="eastAsia" w:cs="宋体"/>
          <w:b/>
          <w:color w:val="auto"/>
        </w:rPr>
        <w:t>22. 确定中标供应商</w:t>
      </w:r>
    </w:p>
    <w:p>
      <w:pPr>
        <w:pStyle w:val="133"/>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pPr>
        <w:pStyle w:val="133"/>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pPr>
        <w:pStyle w:val="133"/>
        <w:snapToGrid w:val="0"/>
        <w:spacing w:before="0"/>
        <w:ind w:firstLine="482"/>
        <w:rPr>
          <w:rStyle w:val="78"/>
          <w:color w:val="auto"/>
        </w:rPr>
      </w:pPr>
      <w:r>
        <w:rPr>
          <w:rFonts w:hint="eastAsia" w:ascii="宋体" w:hAnsi="宋体" w:cs="宋体"/>
          <w:b/>
          <w:color w:val="auto"/>
          <w:szCs w:val="24"/>
        </w:rPr>
        <w:t xml:space="preserve">23.4 </w:t>
      </w:r>
      <w:r>
        <w:rPr>
          <w:rFonts w:hint="eastAsia" w:ascii="宋体" w:hAnsi="宋体" w:cs="宋体"/>
          <w:bCs/>
          <w:color w:val="auto"/>
          <w:szCs w:val="24"/>
        </w:rPr>
        <w:t>由于中标、成交供应商原因导致重新采购的，应当承担支付代理费和专家评审费等费用在内的赔偿责任。</w:t>
      </w:r>
    </w:p>
    <w:p>
      <w:pPr>
        <w:rPr>
          <w:color w:val="auto"/>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pPr>
        <w:pStyle w:val="2"/>
        <w:spacing w:line="360" w:lineRule="auto"/>
        <w:ind w:left="479" w:hanging="479" w:hangingChars="199"/>
        <w:rPr>
          <w:rFonts w:cs="宋体"/>
          <w:b/>
          <w:color w:val="auto"/>
        </w:rPr>
      </w:pPr>
      <w:r>
        <w:rPr>
          <w:rFonts w:hint="eastAsia" w:cs="宋体"/>
          <w:b/>
          <w:color w:val="auto"/>
        </w:rPr>
        <w:t xml:space="preserve">24. </w:t>
      </w:r>
      <w:r>
        <w:rPr>
          <w:rFonts w:hint="eastAsia" w:cs="宋体"/>
          <w:color w:val="auto"/>
        </w:rPr>
        <w:t>合同主要条款详见第五部分拟签订的合同文本。</w:t>
      </w:r>
    </w:p>
    <w:p>
      <w:pPr>
        <w:pStyle w:val="2"/>
        <w:spacing w:line="360" w:lineRule="auto"/>
        <w:ind w:left="479" w:hanging="479" w:hangingChars="199"/>
        <w:rPr>
          <w:rFonts w:cs="宋体"/>
          <w:b/>
          <w:color w:val="auto"/>
        </w:rPr>
      </w:pPr>
      <w:r>
        <w:rPr>
          <w:rFonts w:hint="eastAsia" w:cs="宋体"/>
          <w:b/>
          <w:color w:val="auto"/>
        </w:rPr>
        <w:t>25. 合同的签订</w:t>
      </w:r>
    </w:p>
    <w:p>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3"/>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3"/>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pPr>
        <w:pStyle w:val="133"/>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pPr>
        <w:pStyle w:val="133"/>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pPr>
        <w:pStyle w:val="2"/>
        <w:spacing w:line="360" w:lineRule="auto"/>
        <w:ind w:left="479" w:hanging="479" w:hangingChars="199"/>
        <w:rPr>
          <w:rFonts w:cs="宋体"/>
          <w:b/>
          <w:color w:val="auto"/>
        </w:rPr>
      </w:pPr>
      <w:r>
        <w:rPr>
          <w:rFonts w:hint="eastAsia" w:cs="宋体"/>
          <w:b/>
          <w:color w:val="auto"/>
        </w:rPr>
        <w:t>26. 履约保证金</w:t>
      </w:r>
    </w:p>
    <w:p>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pPr>
        <w:pStyle w:val="5"/>
        <w:ind w:left="0" w:firstLine="480" w:firstLineChars="200"/>
        <w:rPr>
          <w:rFonts w:ascii="宋体" w:hAnsi="宋体" w:eastAsia="宋体" w:cs="宋体"/>
          <w:b w:val="0"/>
          <w:bCs w:val="0"/>
          <w:snapToGrid w:val="0"/>
          <w:color w:val="auto"/>
          <w:kern w:val="28"/>
          <w:sz w:val="24"/>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5"/>
        <w:rPr>
          <w:color w:val="auto"/>
        </w:rPr>
      </w:pPr>
      <w:r>
        <w:rPr>
          <w:rFonts w:ascii="宋体" w:hAnsi="宋体" w:eastAsia="宋体"/>
          <w:color w:val="auto"/>
          <w:sz w:val="24"/>
          <w:lang w:val="en-US"/>
        </w:rPr>
        <w:t>27.预付款</w:t>
      </w:r>
    </w:p>
    <w:p>
      <w:pPr>
        <w:adjustRightInd/>
        <w:spacing w:line="360" w:lineRule="auto"/>
        <w:ind w:firstLine="480" w:firstLineChars="200"/>
        <w:rPr>
          <w:color w:val="auto"/>
        </w:rPr>
      </w:pPr>
      <w:r>
        <w:rPr>
          <w:rFonts w:hint="eastAsia" w:ascii="宋体" w:hAnsi="宋体"/>
          <w:color w:val="auto"/>
          <w:sz w:val="24"/>
        </w:rPr>
        <w:t>采购单位应当在政府采购合同中约定预付款，对中小企业合同预付款比例原则上不低于合同金额的</w:t>
      </w:r>
      <w:r>
        <w:rPr>
          <w:rFonts w:ascii="宋体" w:hAnsi="宋体"/>
          <w:color w:val="auto"/>
          <w:sz w:val="24"/>
        </w:rPr>
        <w:t>40％</w:t>
      </w:r>
      <w:r>
        <w:rPr>
          <w:rFonts w:hint="eastAsia" w:ascii="宋体" w:hAnsi="宋体"/>
          <w:color w:val="auto"/>
          <w:sz w:val="24"/>
        </w:rPr>
        <w:t>，不高于合同金额的</w:t>
      </w:r>
      <w:r>
        <w:rPr>
          <w:rFonts w:ascii="宋体" w:hAnsi="宋体"/>
          <w:color w:val="auto"/>
          <w:sz w:val="24"/>
        </w:rPr>
        <w:t>70%；项目分年安排预算的，每年预付款比例</w:t>
      </w:r>
      <w:r>
        <w:rPr>
          <w:rFonts w:hint="eastAsia" w:ascii="宋体" w:hAnsi="宋体"/>
          <w:color w:val="auto"/>
          <w:sz w:val="24"/>
        </w:rPr>
        <w:t>不低于</w:t>
      </w:r>
      <w:r>
        <w:rPr>
          <w:rFonts w:ascii="宋体" w:hAnsi="宋体"/>
          <w:color w:val="auto"/>
          <w:sz w:val="24"/>
        </w:rPr>
        <w:t>项目年度计划支付资金额的40％</w:t>
      </w:r>
      <w:r>
        <w:rPr>
          <w:rFonts w:hint="eastAsia" w:ascii="宋体" w:hAnsi="宋体"/>
          <w:color w:val="auto"/>
          <w:sz w:val="24"/>
        </w:rPr>
        <w:t>，不高于合同金额的</w:t>
      </w:r>
      <w:r>
        <w:rPr>
          <w:rFonts w:ascii="宋体" w:hAnsi="宋体"/>
          <w:color w:val="auto"/>
          <w:sz w:val="24"/>
        </w:rPr>
        <w:t>70%；采购项目实施以人工投入为主的，</w:t>
      </w:r>
      <w:r>
        <w:rPr>
          <w:rFonts w:hint="eastAsia" w:ascii="宋体" w:hAnsi="宋体"/>
          <w:color w:val="auto"/>
          <w:sz w:val="24"/>
        </w:rPr>
        <w:t>可适当降低预付款比例，但不得低于</w:t>
      </w:r>
      <w:r>
        <w:rPr>
          <w:rFonts w:ascii="宋体" w:hAnsi="宋体"/>
          <w:color w:val="auto"/>
          <w:sz w:val="24"/>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rPr>
        <w:t>供应商</w:t>
      </w:r>
      <w:r>
        <w:rPr>
          <w:rFonts w:ascii="宋体" w:hAnsi="宋体"/>
          <w:color w:val="auto"/>
          <w:sz w:val="24"/>
        </w:rPr>
        <w:t>明确表示无需预付款或者主动要求降低预付款比例的，</w:t>
      </w:r>
      <w:r>
        <w:rPr>
          <w:rFonts w:hint="eastAsia" w:ascii="宋体" w:hAnsi="宋体"/>
          <w:color w:val="auto"/>
          <w:sz w:val="24"/>
        </w:rPr>
        <w:t>采购单位</w:t>
      </w:r>
      <w:r>
        <w:rPr>
          <w:rFonts w:ascii="宋体" w:hAnsi="宋体"/>
          <w:color w:val="auto"/>
          <w:sz w:val="24"/>
        </w:rPr>
        <w:t>可不适用前述规定。</w:t>
      </w:r>
      <w:r>
        <w:rPr>
          <w:rFonts w:hint="eastAsia" w:ascii="宋体" w:hAnsi="宋体"/>
          <w:color w:val="auto"/>
          <w:sz w:val="24"/>
        </w:rPr>
        <w:t>采购单位</w:t>
      </w:r>
      <w:r>
        <w:rPr>
          <w:rFonts w:ascii="宋体" w:hAnsi="宋体"/>
          <w:color w:val="auto"/>
          <w:sz w:val="24"/>
        </w:rPr>
        <w:t>根据项目特点、供应商诚信等因素，可以要求</w:t>
      </w:r>
      <w:r>
        <w:rPr>
          <w:rFonts w:hint="eastAsia" w:ascii="宋体" w:hAnsi="宋体"/>
          <w:color w:val="auto"/>
          <w:sz w:val="24"/>
        </w:rPr>
        <w:t>供应商</w:t>
      </w:r>
      <w:r>
        <w:rPr>
          <w:rFonts w:ascii="宋体" w:hAnsi="宋体"/>
          <w:color w:val="auto"/>
          <w:sz w:val="24"/>
        </w:rPr>
        <w:t>提交银行、保险公司等金融机构出具的预付款保函或其他担保措施。政府采购预付款应在合同生效以及具备实施条件后5个工作日内支付。</w:t>
      </w:r>
      <w:r>
        <w:rPr>
          <w:rFonts w:hint="eastAsia" w:ascii="宋体" w:hAnsi="宋体"/>
          <w:color w:val="auto"/>
          <w:sz w:val="24"/>
        </w:rPr>
        <w:t>政府采购工程以及与工程建设有关的货物、服务，采用招标方式采购的，预付款从其相关规定。供应商可登录政采云前台大厅选择金融服务</w:t>
      </w:r>
      <w:r>
        <w:rPr>
          <w:rFonts w:ascii="宋体" w:hAnsi="宋体"/>
          <w:color w:val="auto"/>
          <w:sz w:val="24"/>
        </w:rPr>
        <w:t xml:space="preserve"> - </w:t>
      </w:r>
      <w:r>
        <w:rPr>
          <w:rFonts w:hint="eastAsia" w:ascii="宋体" w:hAnsi="宋体"/>
          <w:color w:val="auto"/>
          <w:sz w:val="24"/>
        </w:rPr>
        <w:t>【保函保险服务】出具预付款保函，具体步骤：选择产品—填写供应商信息—选择中标项目—确认信息—等待保险</w:t>
      </w:r>
      <w:r>
        <w:rPr>
          <w:rFonts w:ascii="宋体" w:hAnsi="宋体"/>
          <w:color w:val="auto"/>
          <w:sz w:val="24"/>
        </w:rPr>
        <w:t>/保函受理—确认保单—支付保费—成功出单。政</w:t>
      </w:r>
      <w:r>
        <w:rPr>
          <w:rFonts w:hint="eastAsia" w:ascii="宋体" w:hAnsi="宋体"/>
          <w:color w:val="auto"/>
          <w:sz w:val="24"/>
        </w:rPr>
        <w:t>采云金融专线</w:t>
      </w:r>
      <w:r>
        <w:rPr>
          <w:rFonts w:ascii="宋体" w:hAnsi="宋体"/>
          <w:color w:val="auto"/>
          <w:sz w:val="24"/>
        </w:rPr>
        <w:t>400-903-9583。</w:t>
      </w:r>
    </w:p>
    <w:p>
      <w:pPr>
        <w:rPr>
          <w:color w:val="auto"/>
        </w:rPr>
      </w:pPr>
    </w:p>
    <w:p>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pPr>
        <w:pStyle w:val="133"/>
        <w:snapToGrid w:val="0"/>
        <w:spacing w:before="0"/>
        <w:ind w:firstLine="0" w:firstLineChars="0"/>
        <w:rPr>
          <w:rFonts w:ascii="宋体" w:hAnsi="宋体" w:cs="宋体"/>
          <w:color w:val="auto"/>
        </w:rPr>
      </w:pPr>
      <w:r>
        <w:rPr>
          <w:rFonts w:ascii="宋体" w:hAnsi="宋体" w:cs="宋体"/>
          <w:b/>
          <w:bCs/>
          <w:color w:val="auto"/>
        </w:rPr>
        <w:t>2</w:t>
      </w:r>
      <w:r>
        <w:rPr>
          <w:rFonts w:ascii="宋体" w:hAnsi="宋体" w:cs="宋体"/>
          <w:b/>
          <w:bCs/>
          <w:color w:val="auto"/>
          <w:szCs w:val="24"/>
        </w:rPr>
        <w:t>8</w:t>
      </w:r>
      <w:r>
        <w:rPr>
          <w:rFonts w:hint="eastAsia" w:ascii="宋体" w:hAnsi="宋体" w:cs="宋体"/>
          <w:b/>
          <w:color w:val="auto"/>
          <w:szCs w:val="24"/>
        </w:rPr>
        <w:t>. 电子交易活动的中止。</w:t>
      </w:r>
      <w:r>
        <w:rPr>
          <w:rFonts w:hint="eastAsia" w:ascii="宋体" w:hAnsi="宋体" w:cs="宋体"/>
          <w:color w:val="auto"/>
        </w:rPr>
        <w:t>采购过程中出现以下情形，导致电子交易平台无法正常运行，或者无法保证电子交易的公平、公正和安全时，采购代理机构可中止电子交易活动：</w:t>
      </w:r>
    </w:p>
    <w:p>
      <w:pPr>
        <w:pStyle w:val="133"/>
        <w:snapToGrid w:val="0"/>
        <w:spacing w:before="0"/>
        <w:ind w:firstLine="480"/>
        <w:rPr>
          <w:rFonts w:ascii="宋体" w:hAnsi="宋体" w:cs="宋体"/>
          <w:color w:val="auto"/>
        </w:rPr>
      </w:pPr>
      <w:r>
        <w:rPr>
          <w:rFonts w:hint="eastAsia" w:ascii="宋体" w:hAnsi="宋体" w:cs="宋体"/>
          <w:color w:val="auto"/>
        </w:rPr>
        <w:t xml:space="preserve">28.1电子交易平台发生故障而无法登录访问的； </w:t>
      </w:r>
    </w:p>
    <w:p>
      <w:pPr>
        <w:pStyle w:val="133"/>
        <w:snapToGrid w:val="0"/>
        <w:spacing w:before="0"/>
        <w:ind w:firstLine="480"/>
        <w:rPr>
          <w:rFonts w:ascii="宋体" w:hAnsi="宋体" w:cs="宋体"/>
          <w:color w:val="auto"/>
        </w:rPr>
      </w:pPr>
      <w:r>
        <w:rPr>
          <w:rFonts w:hint="eastAsia" w:ascii="宋体" w:hAnsi="宋体" w:cs="宋体"/>
          <w:color w:val="auto"/>
        </w:rPr>
        <w:t>28.2电子交易平台应用或数据库出现错误，不能进行正常操作的；</w:t>
      </w:r>
    </w:p>
    <w:p>
      <w:pPr>
        <w:pStyle w:val="133"/>
        <w:snapToGrid w:val="0"/>
        <w:spacing w:before="0"/>
        <w:ind w:firstLine="480"/>
        <w:rPr>
          <w:rFonts w:ascii="宋体" w:hAnsi="宋体" w:cs="宋体"/>
          <w:color w:val="auto"/>
        </w:rPr>
      </w:pPr>
      <w:r>
        <w:rPr>
          <w:rFonts w:hint="eastAsia" w:ascii="宋体" w:hAnsi="宋体" w:cs="宋体"/>
          <w:color w:val="auto"/>
        </w:rPr>
        <w:t>28.3电子交易平台发现严重安全漏洞，有潜在泄密危险的；</w:t>
      </w:r>
    </w:p>
    <w:p>
      <w:pPr>
        <w:pStyle w:val="133"/>
        <w:snapToGrid w:val="0"/>
        <w:spacing w:before="0"/>
        <w:ind w:firstLine="480"/>
        <w:rPr>
          <w:rFonts w:ascii="宋体" w:hAnsi="宋体" w:cs="宋体"/>
          <w:color w:val="auto"/>
        </w:rPr>
      </w:pPr>
      <w:r>
        <w:rPr>
          <w:rFonts w:hint="eastAsia" w:ascii="宋体" w:hAnsi="宋体" w:cs="宋体"/>
          <w:color w:val="auto"/>
        </w:rPr>
        <w:t xml:space="preserve">28.4病毒发作导致不能进行正常操作的； </w:t>
      </w:r>
    </w:p>
    <w:p>
      <w:pPr>
        <w:pStyle w:val="133"/>
        <w:snapToGrid w:val="0"/>
        <w:spacing w:before="0"/>
        <w:ind w:firstLine="480"/>
        <w:rPr>
          <w:rFonts w:ascii="宋体" w:hAnsi="宋体" w:cs="宋体"/>
          <w:color w:val="auto"/>
        </w:rPr>
      </w:pPr>
      <w:r>
        <w:rPr>
          <w:rFonts w:hint="eastAsia" w:ascii="宋体" w:hAnsi="宋体" w:cs="宋体"/>
          <w:color w:val="auto"/>
        </w:rPr>
        <w:t>28.5其他无法保证电子交易的公平、公正和安全的情况。</w:t>
      </w:r>
    </w:p>
    <w:p>
      <w:pPr>
        <w:pStyle w:val="133"/>
        <w:snapToGrid w:val="0"/>
        <w:spacing w:before="0"/>
        <w:ind w:firstLine="0" w:firstLineChars="0"/>
        <w:rPr>
          <w:rFonts w:ascii="宋体" w:hAnsi="宋体" w:cs="宋体"/>
          <w:color w:val="auto"/>
        </w:rPr>
      </w:pPr>
      <w:r>
        <w:rPr>
          <w:rFonts w:hint="eastAsia" w:ascii="宋体" w:hAnsi="宋体" w:cs="宋体"/>
          <w:color w:val="auto"/>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rPr>
          <w:color w:val="auto"/>
        </w:rPr>
      </w:pPr>
    </w:p>
    <w:p>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pPr>
        <w:pStyle w:val="2"/>
        <w:spacing w:line="360" w:lineRule="auto"/>
        <w:ind w:firstLine="0" w:firstLineChars="0"/>
        <w:rPr>
          <w:rFonts w:cs="宋体"/>
          <w:b/>
          <w:color w:val="auto"/>
        </w:rPr>
      </w:pPr>
      <w:r>
        <w:rPr>
          <w:rFonts w:hint="eastAsia" w:cs="宋体"/>
          <w:b/>
          <w:color w:val="auto"/>
        </w:rPr>
        <w:t>30.验收</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4707468"/>
      <w:bookmarkEnd w:id="19"/>
      <w:bookmarkStart w:id="20" w:name="_Hlt74714665"/>
      <w:bookmarkEnd w:id="20"/>
      <w:bookmarkStart w:id="21" w:name="_Hlt74730295"/>
      <w:bookmarkEnd w:id="21"/>
      <w:bookmarkStart w:id="22" w:name="_Hlt68072990"/>
      <w:bookmarkEnd w:id="22"/>
      <w:bookmarkStart w:id="23" w:name="_Hlt75236101"/>
      <w:bookmarkEnd w:id="23"/>
      <w:bookmarkStart w:id="24" w:name="_Hlt68403820"/>
      <w:bookmarkEnd w:id="24"/>
      <w:bookmarkStart w:id="25" w:name="_Hlt74729768"/>
      <w:bookmarkEnd w:id="25"/>
      <w:bookmarkStart w:id="26" w:name="_Hlt68073093"/>
      <w:bookmarkEnd w:id="26"/>
      <w:bookmarkStart w:id="27" w:name="_Hlt68072998"/>
      <w:bookmarkEnd w:id="27"/>
      <w:bookmarkStart w:id="28" w:name="_Hlt75236290"/>
      <w:bookmarkEnd w:id="28"/>
      <w:bookmarkStart w:id="29" w:name="_Hlt75236011"/>
      <w:bookmarkEnd w:id="29"/>
      <w:bookmarkStart w:id="30" w:name="_Hlt68057669"/>
      <w:bookmarkEnd w:id="30"/>
    </w:p>
    <w:p>
      <w:pPr>
        <w:pStyle w:val="5"/>
        <w:adjustRightInd w:val="0"/>
        <w:snapToGrid w:val="0"/>
        <w:ind w:left="0" w:firstLine="480" w:firstLineChars="200"/>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pPr>
        <w:pStyle w:val="82"/>
        <w:rPr>
          <w:color w:val="auto"/>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pPr>
        <w:spacing w:line="360" w:lineRule="auto"/>
        <w:jc w:val="center"/>
        <w:outlineLvl w:val="0"/>
        <w:rPr>
          <w:rFonts w:ascii="宋体" w:hAnsi="宋体" w:cs="宋体"/>
          <w:b/>
          <w:color w:val="auto"/>
          <w:sz w:val="36"/>
          <w:szCs w:val="36"/>
        </w:rPr>
      </w:pPr>
      <w:bookmarkStart w:id="31" w:name="第四部分"/>
      <w:r>
        <w:rPr>
          <w:rFonts w:hint="eastAsia" w:ascii="宋体" w:hAnsi="宋体" w:cs="宋体"/>
          <w:b/>
          <w:color w:val="auto"/>
          <w:sz w:val="36"/>
          <w:szCs w:val="36"/>
        </w:rPr>
        <w:t>第三部分   采购需求</w:t>
      </w:r>
    </w:p>
    <w:p>
      <w:pPr>
        <w:adjustRightInd/>
        <w:spacing w:line="600" w:lineRule="exact"/>
        <w:rPr>
          <w:rFonts w:ascii="宋体" w:hAnsi="宋体" w:cs="宋体"/>
          <w:b/>
          <w:color w:val="auto"/>
          <w:sz w:val="24"/>
        </w:rPr>
      </w:pPr>
      <w:r>
        <w:rPr>
          <w:rFonts w:hint="eastAsia" w:ascii="宋体" w:hAnsi="宋体" w:cs="宋体"/>
          <w:b/>
          <w:color w:val="auto"/>
          <w:sz w:val="24"/>
        </w:rPr>
        <w:t>一、项目概述：</w:t>
      </w:r>
    </w:p>
    <w:p>
      <w:pPr>
        <w:spacing w:line="600" w:lineRule="exact"/>
        <w:ind w:firstLine="480" w:firstLineChars="200"/>
        <w:rPr>
          <w:rFonts w:ascii="宋体" w:hAnsi="宋体" w:cs="宋体"/>
          <w:color w:val="auto"/>
          <w:sz w:val="24"/>
        </w:rPr>
      </w:pPr>
      <w:r>
        <w:rPr>
          <w:rFonts w:hint="eastAsia" w:ascii="宋体" w:hAnsi="宋体" w:cs="宋体"/>
          <w:color w:val="auto"/>
          <w:sz w:val="24"/>
        </w:rPr>
        <w:t>本项目为“交钥匙”项目，采购内容为良渚街道2024年未来社区文化标识标牌项目采购、运输、装卸、安装、通过有关部门验收和相关维护等。投标报价包括设备费、材料费、保管费、设计费、安装费、招标代理服务费、验收费用、税收、售后服务、采购需求中未提到但在实际采购和安装过程中需要配置的各种设备、材料及其他费用等须由中标人支付的所有费用。</w:t>
      </w:r>
    </w:p>
    <w:p>
      <w:pPr>
        <w:numPr>
          <w:ilvl w:val="0"/>
          <w:numId w:val="1"/>
        </w:numPr>
        <w:spacing w:line="600" w:lineRule="exact"/>
        <w:rPr>
          <w:rFonts w:ascii="宋体" w:hAnsi="宋体" w:cs="宋体"/>
          <w:b/>
          <w:color w:val="auto"/>
          <w:sz w:val="24"/>
        </w:rPr>
      </w:pPr>
      <w:r>
        <w:rPr>
          <w:rFonts w:hint="eastAsia" w:ascii="宋体" w:hAnsi="宋体" w:cs="宋体"/>
          <w:b/>
          <w:color w:val="auto"/>
          <w:sz w:val="24"/>
        </w:rPr>
        <w:t>采购清单：</w:t>
      </w:r>
    </w:p>
    <w:tbl>
      <w:tblPr>
        <w:tblStyle w:val="62"/>
        <w:tblW w:w="9945" w:type="dxa"/>
        <w:tblInd w:w="-255" w:type="dxa"/>
        <w:tblLayout w:type="fixed"/>
        <w:tblCellMar>
          <w:top w:w="0" w:type="dxa"/>
          <w:left w:w="108" w:type="dxa"/>
          <w:bottom w:w="0" w:type="dxa"/>
          <w:right w:w="108" w:type="dxa"/>
        </w:tblCellMar>
      </w:tblPr>
      <w:tblGrid>
        <w:gridCol w:w="673"/>
        <w:gridCol w:w="1410"/>
        <w:gridCol w:w="2520"/>
        <w:gridCol w:w="2820"/>
        <w:gridCol w:w="660"/>
        <w:gridCol w:w="660"/>
        <w:gridCol w:w="1202"/>
      </w:tblGrid>
      <w:tr>
        <w:tblPrEx>
          <w:tblCellMar>
            <w:top w:w="0" w:type="dxa"/>
            <w:left w:w="108" w:type="dxa"/>
            <w:bottom w:w="0" w:type="dxa"/>
            <w:right w:w="108" w:type="dxa"/>
          </w:tblCellMar>
        </w:tblPrEx>
        <w:trPr>
          <w:trHeight w:val="465"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名称</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制作工艺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规格</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数量</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单位</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备注</w:t>
            </w:r>
          </w:p>
        </w:tc>
      </w:tr>
      <w:tr>
        <w:tblPrEx>
          <w:tblCellMar>
            <w:top w:w="0" w:type="dxa"/>
            <w:left w:w="108" w:type="dxa"/>
            <w:bottom w:w="0" w:type="dxa"/>
            <w:right w:w="108" w:type="dxa"/>
          </w:tblCellMar>
        </w:tblPrEx>
        <w:trPr>
          <w:trHeight w:val="435" w:hRule="atLeast"/>
        </w:trPr>
        <w:tc>
          <w:tcPr>
            <w:tcW w:w="99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b/>
                <w:bCs/>
                <w:color w:val="auto"/>
                <w:kern w:val="0"/>
                <w:szCs w:val="21"/>
                <w:lang w:bidi="ar"/>
              </w:rPr>
              <w:t>昌运社区</w:t>
            </w:r>
          </w:p>
        </w:tc>
      </w:tr>
      <w:tr>
        <w:tblPrEx>
          <w:tblCellMar>
            <w:top w:w="0" w:type="dxa"/>
            <w:left w:w="108" w:type="dxa"/>
            <w:bottom w:w="0" w:type="dxa"/>
            <w:right w:w="108" w:type="dxa"/>
          </w:tblCellMar>
        </w:tblPrEx>
        <w:trPr>
          <w:trHeight w:val="2029"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科室牌：党群、婴幼儿驿站、健身房</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1.5mm镀锌板不锈钢造型工艺 ，数控激光切割 焊接 精工无缝打磨，内容丝网印刷， 烤漆工艺+立体亚克力烤漆字+亚克力uv造型内容</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150*250mm</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亚克力科室牌</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auto"/>
                <w:szCs w:val="21"/>
              </w:rPr>
            </w:pPr>
          </w:p>
        </w:tc>
      </w:tr>
      <w:tr>
        <w:tblPrEx>
          <w:tblCellMar>
            <w:top w:w="0" w:type="dxa"/>
            <w:left w:w="108" w:type="dxa"/>
            <w:bottom w:w="0" w:type="dxa"/>
            <w:right w:w="108" w:type="dxa"/>
          </w:tblCellMar>
        </w:tblPrEx>
        <w:trPr>
          <w:trHeight w:val="4610"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drawing>
                <wp:anchor distT="0" distB="0" distL="114300" distR="114300" simplePos="0" relativeHeight="251659264" behindDoc="0" locked="0" layoutInCell="1" allowOverlap="1">
                  <wp:simplePos x="0" y="0"/>
                  <wp:positionH relativeFrom="column">
                    <wp:posOffset>317500</wp:posOffset>
                  </wp:positionH>
                  <wp:positionV relativeFrom="paragraph">
                    <wp:posOffset>256540</wp:posOffset>
                  </wp:positionV>
                  <wp:extent cx="0" cy="814705"/>
                  <wp:effectExtent l="0" t="0" r="0" b="0"/>
                  <wp:wrapNone/>
                  <wp:docPr id="5" name="图片_1"/>
                  <wp:cNvGraphicFramePr/>
                  <a:graphic xmlns:a="http://schemas.openxmlformats.org/drawingml/2006/main">
                    <a:graphicData uri="http://schemas.openxmlformats.org/drawingml/2006/picture">
                      <pic:pic xmlns:pic="http://schemas.openxmlformats.org/drawingml/2006/picture">
                        <pic:nvPicPr>
                          <pic:cNvPr id="5" name="图片_1"/>
                          <pic:cNvPicPr/>
                        </pic:nvPicPr>
                        <pic:blipFill>
                          <a:blip r:embed="rId28"/>
                          <a:stretch>
                            <a:fillRect/>
                          </a:stretch>
                        </pic:blipFill>
                        <pic:spPr>
                          <a:xfrm>
                            <a:off x="0" y="0"/>
                            <a:ext cx="0" cy="814705"/>
                          </a:xfrm>
                          <a:prstGeom prst="rect">
                            <a:avLst/>
                          </a:prstGeom>
                          <a:noFill/>
                          <a:ln>
                            <a:noFill/>
                          </a:ln>
                        </pic:spPr>
                      </pic:pic>
                    </a:graphicData>
                  </a:graphic>
                </wp:anchor>
              </w:drawing>
            </w:r>
          </w:p>
          <w:p>
            <w:pPr>
              <w:widowControl/>
              <w:jc w:val="center"/>
              <w:textAlignment w:val="center"/>
              <w:rPr>
                <w:rFonts w:ascii="宋体" w:hAnsi="宋体" w:cs="宋体"/>
                <w:color w:val="auto"/>
                <w:kern w:val="0"/>
                <w:szCs w:val="21"/>
                <w:lang w:bidi="ar"/>
              </w:rPr>
            </w:pPr>
          </w:p>
          <w:p>
            <w:pPr>
              <w:widowControl/>
              <w:jc w:val="center"/>
              <w:textAlignment w:val="center"/>
              <w:rPr>
                <w:rFonts w:ascii="宋体" w:hAnsi="宋体" w:cs="宋体"/>
                <w:color w:val="auto"/>
                <w:kern w:val="0"/>
                <w:szCs w:val="21"/>
                <w:lang w:bidi="ar"/>
              </w:rPr>
            </w:pPr>
          </w:p>
          <w:p>
            <w:pPr>
              <w:widowControl/>
              <w:jc w:val="center"/>
              <w:textAlignment w:val="center"/>
              <w:rPr>
                <w:rFonts w:ascii="宋体" w:hAnsi="宋体" w:cs="宋体"/>
                <w:color w:val="auto"/>
                <w:kern w:val="0"/>
                <w:szCs w:val="21"/>
                <w:lang w:bidi="ar"/>
              </w:rPr>
            </w:pPr>
          </w:p>
          <w:p>
            <w:pPr>
              <w:widowControl/>
              <w:jc w:val="center"/>
              <w:textAlignment w:val="center"/>
              <w:rPr>
                <w:rFonts w:ascii="宋体" w:hAnsi="宋体" w:cs="宋体"/>
                <w:color w:val="auto"/>
                <w:kern w:val="0"/>
                <w:szCs w:val="21"/>
                <w:lang w:bidi="ar"/>
              </w:rPr>
            </w:pPr>
          </w:p>
          <w:p>
            <w:pPr>
              <w:widowControl/>
              <w:jc w:val="center"/>
              <w:textAlignment w:val="center"/>
              <w:rPr>
                <w:rFonts w:ascii="宋体" w:hAnsi="宋体" w:cs="宋体"/>
                <w:color w:val="auto"/>
                <w:kern w:val="0"/>
                <w:szCs w:val="21"/>
                <w:lang w:bidi="ar"/>
              </w:rPr>
            </w:pPr>
          </w:p>
          <w:p>
            <w:pPr>
              <w:widowControl/>
              <w:jc w:val="center"/>
              <w:textAlignment w:val="center"/>
              <w:rPr>
                <w:rFonts w:ascii="宋体" w:hAnsi="宋体" w:cs="宋体"/>
                <w:color w:val="auto"/>
                <w:kern w:val="0"/>
                <w:szCs w:val="21"/>
                <w:lang w:bidi="ar"/>
              </w:rPr>
            </w:pPr>
          </w:p>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电子屏：党群、婴幼儿驿站、健身房</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kern w:val="0"/>
                <w:szCs w:val="21"/>
                <w:lang w:bidi="ar"/>
              </w:rPr>
            </w:pPr>
            <w:r>
              <w:rPr>
                <w:rFonts w:hint="eastAsia" w:ascii="宋体" w:hAnsi="宋体" w:cs="宋体"/>
                <w:color w:val="auto"/>
                <w:kern w:val="0"/>
                <w:szCs w:val="21"/>
                <w:lang w:bidi="ar"/>
              </w:rPr>
              <w:t>采购电子彩屏</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43寸触摸电子屏幕；主芯片型号：XM.R3566.A(瑞芯微RK3566主板方案)中央处理甜（CPU）：ARM A55 四核；运行内存(RAM)：2GB；系统内存(ROM)：32GB；内核版本：Android 11；角度：支持0°90°180°270°四个方向旋转；集中管理：支持外网远程异地更新支持、内网远程统一更新(同一网络内)；系统支持：支持windows 7服务器控制、</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支持windows 10服务器控制、</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开发端口 8235 8283 82391935(,提供用于HTTP服务的tomcat)、</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最大支持10万台设备统一管理统一控制；</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组</w:t>
            </w: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定制材料（设计深化）</w:t>
            </w:r>
          </w:p>
        </w:tc>
      </w:tr>
      <w:tr>
        <w:tblPrEx>
          <w:tblCellMar>
            <w:top w:w="0" w:type="dxa"/>
            <w:left w:w="108" w:type="dxa"/>
            <w:bottom w:w="0" w:type="dxa"/>
            <w:right w:w="108" w:type="dxa"/>
          </w:tblCellMar>
        </w:tblPrEx>
        <w:trPr>
          <w:trHeight w:val="2123"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 xml:space="preserve">道路指示牌 </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1.5mm镀锌板不锈钢造型定制 ，数控激光切割 焊接 精工无缝打磨内容丝网印刷， 双面烤漆工艺+立体亚克力烤漆字+亚克力uv造型内容 可替换材质+分体预埋件安装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2200*450*200（整体尺寸）</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（订制不锈钢金属烤漆造型＋字体发光雕刻指示牌---风格统一）</w:t>
            </w:r>
          </w:p>
        </w:tc>
      </w:tr>
      <w:tr>
        <w:tblPrEx>
          <w:tblCellMar>
            <w:top w:w="0" w:type="dxa"/>
            <w:left w:w="108" w:type="dxa"/>
            <w:bottom w:w="0" w:type="dxa"/>
            <w:right w:w="108" w:type="dxa"/>
          </w:tblCellMar>
        </w:tblPrEx>
        <w:trPr>
          <w:trHeight w:val="2091"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服务设施导览图</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1.5mm镀锌板不锈钢造型定制 ，数控激光切割 焊接 精工无缝打磨， 双面烤漆工艺+立体亚克力烤漆字+亚克力uv造型内容 可替换材质+分体预埋件安装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2300*1800*100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（订制不锈钢烤漆---风格统一）</w:t>
            </w:r>
          </w:p>
        </w:tc>
      </w:tr>
      <w:tr>
        <w:tblPrEx>
          <w:tblCellMar>
            <w:top w:w="0" w:type="dxa"/>
            <w:left w:w="108" w:type="dxa"/>
            <w:bottom w:w="0" w:type="dxa"/>
            <w:right w:w="108" w:type="dxa"/>
          </w:tblCellMar>
        </w:tblPrEx>
        <w:trPr>
          <w:trHeight w:val="1801"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沿街道路艺术造型</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2cm钢板造型数控折弯造型 加立体支架固定，精工无缝打磨， 双面烤漆工艺+分体预埋件安装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6500*1000*20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（幼儿园、学校沿线道路——订制不锈钢金属烤漆造型）</w:t>
            </w:r>
          </w:p>
        </w:tc>
      </w:tr>
      <w:tr>
        <w:tblPrEx>
          <w:tblCellMar>
            <w:top w:w="0" w:type="dxa"/>
            <w:left w:w="108" w:type="dxa"/>
            <w:bottom w:w="0" w:type="dxa"/>
            <w:right w:w="108" w:type="dxa"/>
          </w:tblCellMar>
        </w:tblPrEx>
        <w:trPr>
          <w:trHeight w:val="855"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党建中心门头</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3mm铝板造型定制底板+户外不锈钢定制立体字，1.5mm不锈钢激光切割/焊接/，精工无缝打磨/烤漆工艺 /立体发光字？Led防水灯带</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3700*900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（党群服务中心门头——订制金属铝板烤漆、发光字）</w:t>
            </w:r>
          </w:p>
        </w:tc>
      </w:tr>
      <w:tr>
        <w:tblPrEx>
          <w:tblCellMar>
            <w:top w:w="0" w:type="dxa"/>
            <w:left w:w="108" w:type="dxa"/>
            <w:bottom w:w="0" w:type="dxa"/>
            <w:right w:w="108" w:type="dxa"/>
          </w:tblCellMar>
        </w:tblPrEx>
        <w:trPr>
          <w:trHeight w:val="855"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篱笆 快乐农村 地插布置（内容根据不同造型呈现）</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1.5mm镀锌板不锈钢造型定制 ，数控激光切割 焊接 精工无缝打磨， 双面烤漆工艺+立体亚克力烤漆字+亚克力uv造型内容 可替换材质+分体预埋件安装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2500*800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（毛竹农田围栏  道路双侧）</w:t>
            </w:r>
          </w:p>
        </w:tc>
      </w:tr>
      <w:tr>
        <w:tblPrEx>
          <w:tblCellMar>
            <w:top w:w="0" w:type="dxa"/>
            <w:left w:w="108" w:type="dxa"/>
            <w:bottom w:w="0" w:type="dxa"/>
            <w:right w:w="108" w:type="dxa"/>
          </w:tblCellMar>
        </w:tblPrEx>
        <w:trPr>
          <w:trHeight w:val="285"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氛围灯 太阳能</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led灯造型氛围灯</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2200*600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（农田围栏内测设置太阳能灯具）</w:t>
            </w:r>
          </w:p>
        </w:tc>
      </w:tr>
      <w:tr>
        <w:tblPrEx>
          <w:tblCellMar>
            <w:top w:w="0" w:type="dxa"/>
            <w:left w:w="108" w:type="dxa"/>
            <w:bottom w:w="0" w:type="dxa"/>
            <w:right w:w="108" w:type="dxa"/>
          </w:tblCellMar>
        </w:tblPrEx>
        <w:trPr>
          <w:trHeight w:val="285"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地坪漆</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环氧地坪漆定制 彩绘</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50000*1200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m²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（良渚门户公园路口延申至昌运活动中心）</w:t>
            </w:r>
          </w:p>
        </w:tc>
      </w:tr>
      <w:tr>
        <w:tblPrEx>
          <w:tblCellMar>
            <w:top w:w="0" w:type="dxa"/>
            <w:left w:w="108" w:type="dxa"/>
            <w:bottom w:w="0" w:type="dxa"/>
            <w:right w:w="108" w:type="dxa"/>
          </w:tblCellMar>
        </w:tblPrEx>
        <w:trPr>
          <w:trHeight w:val="285"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墙绘定制</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墙绘定制 人工线描手工绘画</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750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m²</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（活动中心建筑墙面墙绘--良渚文化）</w:t>
            </w:r>
          </w:p>
        </w:tc>
      </w:tr>
      <w:tr>
        <w:tblPrEx>
          <w:tblCellMar>
            <w:top w:w="0" w:type="dxa"/>
            <w:left w:w="108" w:type="dxa"/>
            <w:bottom w:w="0" w:type="dxa"/>
            <w:right w:w="108" w:type="dxa"/>
          </w:tblCellMar>
        </w:tblPrEx>
        <w:trPr>
          <w:trHeight w:val="285"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办公室标牌-定制设计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亚克力定制开槽工艺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（可替换办公室标牌--风格指示牌统一）</w:t>
            </w:r>
          </w:p>
        </w:tc>
      </w:tr>
      <w:tr>
        <w:tblPrEx>
          <w:tblCellMar>
            <w:top w:w="0" w:type="dxa"/>
            <w:left w:w="108" w:type="dxa"/>
            <w:bottom w:w="0" w:type="dxa"/>
            <w:right w:w="108" w:type="dxa"/>
          </w:tblCellMar>
        </w:tblPrEx>
        <w:trPr>
          <w:trHeight w:val="285"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设计深化</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木架支架+8mmpvc板加白uv</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1200x2200cm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8mmpvc （每块展板配２个画架）</w:t>
            </w:r>
          </w:p>
        </w:tc>
      </w:tr>
      <w:tr>
        <w:tblPrEx>
          <w:tblCellMar>
            <w:top w:w="0" w:type="dxa"/>
            <w:left w:w="108" w:type="dxa"/>
            <w:bottom w:w="0" w:type="dxa"/>
            <w:right w:w="108" w:type="dxa"/>
          </w:tblCellMar>
        </w:tblPrEx>
        <w:trPr>
          <w:trHeight w:val="285"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设计深化</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250克铜版纸 哑膜四色专版印刷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４折页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250ke铜版纸</w:t>
            </w:r>
          </w:p>
        </w:tc>
      </w:tr>
      <w:tr>
        <w:tblPrEx>
          <w:tblCellMar>
            <w:top w:w="0" w:type="dxa"/>
            <w:left w:w="108" w:type="dxa"/>
            <w:bottom w:w="0" w:type="dxa"/>
            <w:right w:w="108" w:type="dxa"/>
          </w:tblCellMar>
        </w:tblPrEx>
        <w:trPr>
          <w:trHeight w:val="285"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设计深化</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帆布袋定制丝网印刷工艺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帆布袋+文艺品</w:t>
            </w:r>
          </w:p>
        </w:tc>
      </w:tr>
      <w:tr>
        <w:tblPrEx>
          <w:tblCellMar>
            <w:top w:w="0" w:type="dxa"/>
            <w:left w:w="108" w:type="dxa"/>
            <w:bottom w:w="0" w:type="dxa"/>
            <w:right w:w="108" w:type="dxa"/>
          </w:tblCellMar>
        </w:tblPrEx>
        <w:trPr>
          <w:trHeight w:val="697" w:hRule="atLeast"/>
        </w:trPr>
        <w:tc>
          <w:tcPr>
            <w:tcW w:w="99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b/>
                <w:bCs/>
                <w:color w:val="auto"/>
                <w:kern w:val="0"/>
                <w:szCs w:val="21"/>
                <w:lang w:bidi="ar"/>
              </w:rPr>
              <w:t>西塘雅苑</w:t>
            </w:r>
          </w:p>
        </w:tc>
      </w:tr>
      <w:tr>
        <w:tblPrEx>
          <w:tblCellMar>
            <w:top w:w="0" w:type="dxa"/>
            <w:left w:w="108" w:type="dxa"/>
            <w:bottom w:w="0" w:type="dxa"/>
            <w:right w:w="108" w:type="dxa"/>
          </w:tblCellMar>
        </w:tblPrEx>
        <w:trPr>
          <w:trHeight w:val="855"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科室牌：党群、婴幼儿驿站、健身房</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1.5mm镀锌板不锈钢造型工艺 ，数控激光切割 焊接 精工无缝打磨，内容丝网印刷， 烤漆工艺+立体亚克力烤漆字+亚克力uv造型内容</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150*250mm</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亚克力科室牌</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Cs w:val="21"/>
              </w:rPr>
            </w:pPr>
          </w:p>
        </w:tc>
      </w:tr>
      <w:tr>
        <w:tblPrEx>
          <w:tblCellMar>
            <w:top w:w="0" w:type="dxa"/>
            <w:left w:w="108" w:type="dxa"/>
            <w:bottom w:w="0" w:type="dxa"/>
            <w:right w:w="108" w:type="dxa"/>
          </w:tblCellMar>
        </w:tblPrEx>
        <w:trPr>
          <w:trHeight w:val="3135"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电子屏：党群、婴幼儿驿站、健身房</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采购电子彩屏</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43寸触摸电子屏幕；43寸触摸电子屏幕；主芯片型号：XM.R3566.A(瑞芯微RK3566主板方案)中央处理甜（CPU）：ARM A55 四核；运行内存(RAM)：2GB；系统内存(ROM)：32GB；内核版本：Android 11；角度：支持0°90°180°270°四个方向旋转；集中管理：支持外网远程异地更新支持、内网远程统一更新(同一网络内)；系统支持：支持windows 7服务器控制、</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支持windows 10服务器控制、</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开发端口 8235 8283 82391935(,提供用于HTTP服务的tomcat)、</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最大支持10万台设备统一管理统一控制；</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组</w:t>
            </w: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定制材料           （设计深化）</w:t>
            </w:r>
          </w:p>
        </w:tc>
      </w:tr>
      <w:tr>
        <w:tblPrEx>
          <w:tblCellMar>
            <w:top w:w="0" w:type="dxa"/>
            <w:left w:w="108" w:type="dxa"/>
            <w:bottom w:w="0" w:type="dxa"/>
            <w:right w:w="108" w:type="dxa"/>
          </w:tblCellMar>
        </w:tblPrEx>
        <w:trPr>
          <w:trHeight w:val="855"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 xml:space="preserve">道路指示牌 </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1.5mm镀锌板不锈钢造型定制 ，数控激光切割 焊接 精工无缝打磨内容丝网印刷， 双面烤漆工艺+立体亚克力烤漆字+亚克力uv造型内容 可替换材质+分体预埋件安装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2200*450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（订制不锈钢金属烤漆造型＋字体发光雕刻指示牌---风格统一）</w:t>
            </w:r>
          </w:p>
        </w:tc>
      </w:tr>
      <w:tr>
        <w:tblPrEx>
          <w:tblCellMar>
            <w:top w:w="0" w:type="dxa"/>
            <w:left w:w="108" w:type="dxa"/>
            <w:bottom w:w="0" w:type="dxa"/>
            <w:right w:w="108" w:type="dxa"/>
          </w:tblCellMar>
        </w:tblPrEx>
        <w:trPr>
          <w:trHeight w:val="855"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服务设施导览图</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1.5mm镀锌板不锈钢造型定制 ，数控激光切割 焊接 精工无缝打磨， 双面烤漆工艺+立体亚克力烤漆字+亚克力uv造型内容 可替换材质+分体预埋件安装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2300*1800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（订制不锈钢烤漆哑光---风格统一）</w:t>
            </w:r>
          </w:p>
        </w:tc>
      </w:tr>
      <w:tr>
        <w:tblPrEx>
          <w:tblCellMar>
            <w:top w:w="0" w:type="dxa"/>
            <w:left w:w="108" w:type="dxa"/>
            <w:bottom w:w="0" w:type="dxa"/>
            <w:right w:w="108" w:type="dxa"/>
          </w:tblCellMar>
        </w:tblPrEx>
        <w:trPr>
          <w:trHeight w:val="855"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架空层消防站等</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1.5mm镀锌板不锈钢造型定制 ，数控激光切割 焊接 精工无缝打磨， 双面烤漆工艺+立体亚克力烤漆字+亚克力uv造型内容 可替换材质+上墙安装方式 悬空挂件</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800*600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（楼幢口——订制不锈钢板围边打印）</w:t>
            </w:r>
          </w:p>
        </w:tc>
      </w:tr>
      <w:tr>
        <w:tblPrEx>
          <w:tblCellMar>
            <w:top w:w="0" w:type="dxa"/>
            <w:left w:w="108" w:type="dxa"/>
            <w:bottom w:w="0" w:type="dxa"/>
            <w:right w:w="108" w:type="dxa"/>
          </w:tblCellMar>
        </w:tblPrEx>
        <w:trPr>
          <w:trHeight w:val="2136"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上墙指示牌</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1.5mm镀锌板不锈钢造型定制 ，数控激光切割 焊接 精工无缝打磨， 双面烤漆工艺+立体亚克力烤漆字+亚克力uv造型内容 可替换材质+上墙安装方式 悬空挂件</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800*600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（党群服务中心区域---上墙指示牌）</w:t>
            </w:r>
          </w:p>
        </w:tc>
      </w:tr>
      <w:tr>
        <w:tblPrEx>
          <w:tblCellMar>
            <w:top w:w="0" w:type="dxa"/>
            <w:left w:w="108" w:type="dxa"/>
            <w:bottom w:w="0" w:type="dxa"/>
            <w:right w:w="108" w:type="dxa"/>
          </w:tblCellMar>
        </w:tblPrEx>
        <w:trPr>
          <w:trHeight w:val="285"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办公室标牌-定制设计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亚克力定制开槽工艺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（可替换办公室标牌--风格指示牌统一）</w:t>
            </w:r>
          </w:p>
        </w:tc>
      </w:tr>
      <w:tr>
        <w:tblPrEx>
          <w:tblCellMar>
            <w:top w:w="0" w:type="dxa"/>
            <w:left w:w="108" w:type="dxa"/>
            <w:bottom w:w="0" w:type="dxa"/>
            <w:right w:w="108" w:type="dxa"/>
          </w:tblCellMar>
        </w:tblPrEx>
        <w:trPr>
          <w:trHeight w:val="285"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设计深化</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木架支架+8mmpvc板加白uv</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1200x2200cm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8mmpvc （每块展板配２个画架）</w:t>
            </w:r>
          </w:p>
        </w:tc>
      </w:tr>
      <w:tr>
        <w:tblPrEx>
          <w:tblCellMar>
            <w:top w:w="0" w:type="dxa"/>
            <w:left w:w="108" w:type="dxa"/>
            <w:bottom w:w="0" w:type="dxa"/>
            <w:right w:w="108" w:type="dxa"/>
          </w:tblCellMar>
        </w:tblPrEx>
        <w:trPr>
          <w:trHeight w:val="285"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设计深化</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250克铜版纸 哑膜四色专版印刷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４折页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250ke铜版纸</w:t>
            </w:r>
          </w:p>
        </w:tc>
      </w:tr>
      <w:tr>
        <w:tblPrEx>
          <w:tblCellMar>
            <w:top w:w="0" w:type="dxa"/>
            <w:left w:w="108" w:type="dxa"/>
            <w:bottom w:w="0" w:type="dxa"/>
            <w:right w:w="108" w:type="dxa"/>
          </w:tblCellMar>
        </w:tblPrEx>
        <w:trPr>
          <w:trHeight w:val="780"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设计深化</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帆布袋定制丝网印刷工艺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帆布袋+文艺品</w:t>
            </w:r>
          </w:p>
        </w:tc>
      </w:tr>
      <w:tr>
        <w:tblPrEx>
          <w:tblCellMar>
            <w:top w:w="0" w:type="dxa"/>
            <w:left w:w="108" w:type="dxa"/>
            <w:bottom w:w="0" w:type="dxa"/>
            <w:right w:w="108" w:type="dxa"/>
          </w:tblCellMar>
        </w:tblPrEx>
        <w:trPr>
          <w:trHeight w:val="670" w:hRule="atLeast"/>
        </w:trPr>
        <w:tc>
          <w:tcPr>
            <w:tcW w:w="99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b/>
                <w:bCs/>
                <w:color w:val="auto"/>
                <w:kern w:val="0"/>
                <w:szCs w:val="21"/>
                <w:lang w:bidi="ar"/>
              </w:rPr>
              <w:t>铭雅社区</w:t>
            </w:r>
          </w:p>
        </w:tc>
      </w:tr>
      <w:tr>
        <w:tblPrEx>
          <w:tblCellMar>
            <w:top w:w="0" w:type="dxa"/>
            <w:left w:w="108" w:type="dxa"/>
            <w:bottom w:w="0" w:type="dxa"/>
            <w:right w:w="108" w:type="dxa"/>
          </w:tblCellMar>
        </w:tblPrEx>
        <w:trPr>
          <w:trHeight w:val="855"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科室牌：党群、婴幼儿驿站、健身房</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1.5mm镀锌板不锈钢造型工艺 ，数控激光切割 焊接 精工无缝打磨，内容丝网印刷， 烤漆工艺+立体亚克力烤漆字+亚克力uv造型内容</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150*250mm</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亚克力科室牌</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Cs w:val="21"/>
              </w:rPr>
            </w:pPr>
          </w:p>
        </w:tc>
      </w:tr>
      <w:tr>
        <w:tblPrEx>
          <w:tblCellMar>
            <w:top w:w="0" w:type="dxa"/>
            <w:left w:w="108" w:type="dxa"/>
            <w:bottom w:w="0" w:type="dxa"/>
            <w:right w:w="108" w:type="dxa"/>
          </w:tblCellMar>
        </w:tblPrEx>
        <w:trPr>
          <w:trHeight w:val="3135"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电子屏：党群、婴幼儿驿站、健身房</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采购电子彩屏</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43寸触摸电子屏幕；主芯片型号：XM.R3566.A(瑞芯微RK3566主板方案)中央处理甜（CPU）：ARM A55 四核；运行内存(RAM)：2GB；系统内存(ROM)：32GB；内核版本：Android 11；角度：支持0°90°180°270°四个方向旋转；集中管理：支持外网远程异地更新支持、内网远程统一更新(同一网络内)；系统支持：支持windows 7服务器控制、</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支持windows 10服务器控制、</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开发端口 8235 8283 82391935(,提供用于HTTP服务的tomcat)、</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最大支持10万台设备统一管理统一控制；</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组</w:t>
            </w: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定制材料           （设计深化）</w:t>
            </w:r>
          </w:p>
        </w:tc>
      </w:tr>
      <w:tr>
        <w:tblPrEx>
          <w:tblCellMar>
            <w:top w:w="0" w:type="dxa"/>
            <w:left w:w="108" w:type="dxa"/>
            <w:bottom w:w="0" w:type="dxa"/>
            <w:right w:w="108" w:type="dxa"/>
          </w:tblCellMar>
        </w:tblPrEx>
        <w:trPr>
          <w:trHeight w:val="855"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 xml:space="preserve">道路指示牌 </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1.5mm镀锌板不锈钢造型定制 ，数控激光切割 焊接 精工无缝打磨内容丝网印刷， 双面烤漆工艺+立体亚克力烤漆字+亚克力uv造型内容 可替换材质+分体预埋件安装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2200*450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（订制不锈钢金属烤漆造型＋字体发光雕刻指示牌---风格统一）</w:t>
            </w:r>
          </w:p>
        </w:tc>
      </w:tr>
      <w:tr>
        <w:tblPrEx>
          <w:tblCellMar>
            <w:top w:w="0" w:type="dxa"/>
            <w:left w:w="108" w:type="dxa"/>
            <w:bottom w:w="0" w:type="dxa"/>
            <w:right w:w="108" w:type="dxa"/>
          </w:tblCellMar>
        </w:tblPrEx>
        <w:trPr>
          <w:trHeight w:val="855"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服务设施导览图</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1.5mm镀锌板不锈钢造型定制 ，数控激光切割 焊接 精工无缝打磨， 双面烤漆工艺+立体亚克力烤漆字+亚克力uv造型内容 可替换材质+分体预埋件安装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2300*1800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（订制不锈钢烤漆黑色哑光---风格统一）</w:t>
            </w:r>
          </w:p>
        </w:tc>
      </w:tr>
      <w:tr>
        <w:tblPrEx>
          <w:tblCellMar>
            <w:top w:w="0" w:type="dxa"/>
            <w:left w:w="108" w:type="dxa"/>
            <w:bottom w:w="0" w:type="dxa"/>
            <w:right w:w="108" w:type="dxa"/>
          </w:tblCellMar>
        </w:tblPrEx>
        <w:trPr>
          <w:trHeight w:val="855"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楼幢口 内容牌</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1.5mm镀锌板不锈钢造型定制 ，数控激光切割 焊接 精工无缝打磨， 双面烤漆工艺+立体亚克力烤漆字+亚克力uv造型内容 可替换材质+上墙安装方式 悬空挂件</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800*600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（楼幢口——订制不锈钢板围边打印）</w:t>
            </w:r>
          </w:p>
        </w:tc>
      </w:tr>
      <w:tr>
        <w:tblPrEx>
          <w:tblCellMar>
            <w:top w:w="0" w:type="dxa"/>
            <w:left w:w="108" w:type="dxa"/>
            <w:bottom w:w="0" w:type="dxa"/>
            <w:right w:w="108" w:type="dxa"/>
          </w:tblCellMar>
        </w:tblPrEx>
        <w:trPr>
          <w:trHeight w:val="855"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上墙指示牌</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1.5mm镀锌板不锈钢造型定制 ，数控激光切割 焊接 精工无缝打磨， 双面烤漆工艺+立体亚克力烤漆字+亚克力uv造型内容 可替换材质+上墙安装方式 悬空挂件</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800*600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（党群服务中心区域---上墙指示牌）</w:t>
            </w:r>
          </w:p>
        </w:tc>
      </w:tr>
      <w:tr>
        <w:tblPrEx>
          <w:tblCellMar>
            <w:top w:w="0" w:type="dxa"/>
            <w:left w:w="108" w:type="dxa"/>
            <w:bottom w:w="0" w:type="dxa"/>
            <w:right w:w="108" w:type="dxa"/>
          </w:tblCellMar>
        </w:tblPrEx>
        <w:trPr>
          <w:trHeight w:val="285"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办公室标牌-定制设计</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亚克力定制开槽工艺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（可替换办公室标牌--风格指示牌统一）</w:t>
            </w:r>
          </w:p>
        </w:tc>
      </w:tr>
      <w:tr>
        <w:tblPrEx>
          <w:tblCellMar>
            <w:top w:w="0" w:type="dxa"/>
            <w:left w:w="108" w:type="dxa"/>
            <w:bottom w:w="0" w:type="dxa"/>
            <w:right w:w="108" w:type="dxa"/>
          </w:tblCellMar>
        </w:tblPrEx>
        <w:trPr>
          <w:trHeight w:val="855"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休闲椅</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1.5mm镀锌板不锈钢造型定制 ，数控激光切割 焊接 精工无缝打磨， 双面烤漆工艺+造型座椅定制 内加50x50x4mm方钢龙骨支撑</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1200*1200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（林地区域增设休闲座凳。4mm铝塑板，激光切割，冲孔，焊接，烤漆）</w:t>
            </w:r>
          </w:p>
        </w:tc>
      </w:tr>
      <w:tr>
        <w:tblPrEx>
          <w:tblCellMar>
            <w:top w:w="0" w:type="dxa"/>
            <w:left w:w="108" w:type="dxa"/>
            <w:bottom w:w="0" w:type="dxa"/>
            <w:right w:w="108" w:type="dxa"/>
          </w:tblCellMar>
        </w:tblPrEx>
        <w:trPr>
          <w:trHeight w:val="285"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设计深化</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木架支架+8mmpvc板加白uv</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1200x2200cm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8mmpvc （每块展板配２个画架）</w:t>
            </w:r>
          </w:p>
        </w:tc>
      </w:tr>
      <w:tr>
        <w:tblPrEx>
          <w:tblCellMar>
            <w:top w:w="0" w:type="dxa"/>
            <w:left w:w="108" w:type="dxa"/>
            <w:bottom w:w="0" w:type="dxa"/>
            <w:right w:w="108" w:type="dxa"/>
          </w:tblCellMar>
        </w:tblPrEx>
        <w:trPr>
          <w:trHeight w:val="285"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设计深化</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250克铜版纸 哑膜四色专版印刷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４折页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250ke铜版纸</w:t>
            </w:r>
          </w:p>
        </w:tc>
      </w:tr>
      <w:tr>
        <w:tblPrEx>
          <w:tblCellMar>
            <w:top w:w="0" w:type="dxa"/>
            <w:left w:w="108" w:type="dxa"/>
            <w:bottom w:w="0" w:type="dxa"/>
            <w:right w:w="108" w:type="dxa"/>
          </w:tblCellMar>
        </w:tblPrEx>
        <w:trPr>
          <w:trHeight w:val="285"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设计深化</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帆布袋定制丝网印刷工艺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帆布袋+文艺品</w:t>
            </w:r>
          </w:p>
        </w:tc>
      </w:tr>
      <w:tr>
        <w:tblPrEx>
          <w:tblCellMar>
            <w:top w:w="0" w:type="dxa"/>
            <w:left w:w="108" w:type="dxa"/>
            <w:bottom w:w="0" w:type="dxa"/>
            <w:right w:w="108" w:type="dxa"/>
          </w:tblCellMar>
        </w:tblPrEx>
        <w:trPr>
          <w:trHeight w:val="680" w:hRule="atLeast"/>
        </w:trPr>
        <w:tc>
          <w:tcPr>
            <w:tcW w:w="99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b/>
                <w:bCs/>
                <w:color w:val="auto"/>
                <w:kern w:val="0"/>
                <w:szCs w:val="21"/>
                <w:lang w:bidi="ar"/>
              </w:rPr>
              <w:t>亲亲家园社区</w:t>
            </w:r>
          </w:p>
        </w:tc>
      </w:tr>
      <w:tr>
        <w:tblPrEx>
          <w:tblCellMar>
            <w:top w:w="0" w:type="dxa"/>
            <w:left w:w="108" w:type="dxa"/>
            <w:bottom w:w="0" w:type="dxa"/>
            <w:right w:w="108" w:type="dxa"/>
          </w:tblCellMar>
        </w:tblPrEx>
        <w:trPr>
          <w:trHeight w:val="855"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科室牌：党群、婴幼儿驿站、健身房</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1.5mm镀锌板不锈钢造型工艺 ，数控激光切割 焊接 精工无缝打磨，内容丝网印刷， 烤漆工艺+立体亚克力烤漆字+亚克力uv造型内容</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150*250mm</w:t>
            </w:r>
            <w:r>
              <w:rPr>
                <w:rFonts w:hint="eastAsia" w:ascii="宋体" w:hAnsi="宋体" w:cs="宋体"/>
                <w:color w:val="auto"/>
                <w:kern w:val="0"/>
                <w:szCs w:val="21"/>
                <w:lang w:bidi="ar"/>
              </w:rPr>
              <w:br w:type="textWrapping"/>
            </w:r>
            <w:r>
              <w:rPr>
                <w:rFonts w:hint="eastAsia" w:ascii="宋体" w:hAnsi="宋体" w:cs="宋体"/>
                <w:color w:val="auto"/>
                <w:kern w:val="0"/>
                <w:szCs w:val="21"/>
                <w:lang w:bidi="ar"/>
              </w:rPr>
              <w:t>亚克力科室牌</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auto"/>
                <w:szCs w:val="21"/>
              </w:rPr>
            </w:pPr>
          </w:p>
        </w:tc>
      </w:tr>
      <w:tr>
        <w:tblPrEx>
          <w:tblCellMar>
            <w:top w:w="0" w:type="dxa"/>
            <w:left w:w="108" w:type="dxa"/>
            <w:bottom w:w="0" w:type="dxa"/>
            <w:right w:w="108" w:type="dxa"/>
          </w:tblCellMar>
        </w:tblPrEx>
        <w:trPr>
          <w:trHeight w:val="570"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电子屏：党群、婴幼儿驿站、健身房</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采购电子彩屏</w:t>
            </w:r>
          </w:p>
        </w:tc>
        <w:tc>
          <w:tcPr>
            <w:tcW w:w="2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43寸触摸电子屏幕</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组</w:t>
            </w:r>
          </w:p>
        </w:tc>
        <w:tc>
          <w:tcPr>
            <w:tcW w:w="12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定制材料           （设计深化）</w:t>
            </w:r>
          </w:p>
        </w:tc>
      </w:tr>
      <w:tr>
        <w:tblPrEx>
          <w:tblCellMar>
            <w:top w:w="0" w:type="dxa"/>
            <w:left w:w="108" w:type="dxa"/>
            <w:bottom w:w="0" w:type="dxa"/>
            <w:right w:w="108" w:type="dxa"/>
          </w:tblCellMar>
        </w:tblPrEx>
        <w:trPr>
          <w:trHeight w:val="855"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 xml:space="preserve">道路指示牌 </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1.5mm镀锌板不锈钢造型定制 ，数控激光切割 焊接 精工无缝打磨内容丝网印刷， 双面烤漆工艺+立体亚克力烤漆字+亚克力uv造型内容 可替换材质+分体预埋件安装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2200*450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3</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（订制不锈钢金属烤漆造型＋字体发光雕刻指示牌---风格统一）</w:t>
            </w:r>
          </w:p>
        </w:tc>
      </w:tr>
      <w:tr>
        <w:tblPrEx>
          <w:tblCellMar>
            <w:top w:w="0" w:type="dxa"/>
            <w:left w:w="108" w:type="dxa"/>
            <w:bottom w:w="0" w:type="dxa"/>
            <w:right w:w="108" w:type="dxa"/>
          </w:tblCellMar>
        </w:tblPrEx>
        <w:trPr>
          <w:trHeight w:val="855"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服务设施导览图</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1.5mm镀锌板不锈钢造型定制 ，数控激光切割 焊接 精工无缝打磨， 双面烤漆工艺+立体亚克力烤漆字+亚克力uv造型内容 可替换材质+分体预埋件安装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2300*1800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（订制不锈钢烤漆黑色哑光---风格统一）</w:t>
            </w:r>
          </w:p>
        </w:tc>
      </w:tr>
      <w:tr>
        <w:tblPrEx>
          <w:tblCellMar>
            <w:top w:w="0" w:type="dxa"/>
            <w:left w:w="108" w:type="dxa"/>
            <w:bottom w:w="0" w:type="dxa"/>
            <w:right w:w="108" w:type="dxa"/>
          </w:tblCellMar>
        </w:tblPrEx>
        <w:trPr>
          <w:trHeight w:val="855"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楼幢口 内容牌</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1.5mm镀锌板不锈钢造型定制 ，数控激光切割 焊接 精工无缝打磨， 双面烤漆工艺+立体亚克力烤漆字+亚克力uv造型内容 可替换材质+上墙安装方式 悬空挂件</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800*600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（党群服务中心区域---上墙指示牌）</w:t>
            </w:r>
          </w:p>
        </w:tc>
      </w:tr>
      <w:tr>
        <w:tblPrEx>
          <w:tblCellMar>
            <w:top w:w="0" w:type="dxa"/>
            <w:left w:w="108" w:type="dxa"/>
            <w:bottom w:w="0" w:type="dxa"/>
            <w:right w:w="108" w:type="dxa"/>
          </w:tblCellMar>
        </w:tblPrEx>
        <w:trPr>
          <w:trHeight w:val="1140"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沿街陈列 和灯布氛围布置</w:t>
            </w:r>
          </w:p>
        </w:tc>
        <w:tc>
          <w:tcPr>
            <w:tcW w:w="25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彩旗定制刀刮布uv道旗 +立杆立柱+小品定制 1.5mm镀锌板不锈钢造型定制 ，数控激光切割 焊接 精工无缝打磨， 双面烤漆工艺+立体亚克力烤漆字+亚克力uv造型内容 可替换材质+预埋件安装</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100*400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（一侧——双侧灯布打印＋管件，沿街陈列设计制作设置）</w:t>
            </w:r>
          </w:p>
        </w:tc>
      </w:tr>
      <w:tr>
        <w:tblPrEx>
          <w:tblCellMar>
            <w:top w:w="0" w:type="dxa"/>
            <w:left w:w="108" w:type="dxa"/>
            <w:bottom w:w="0" w:type="dxa"/>
            <w:right w:w="108" w:type="dxa"/>
          </w:tblCellMar>
        </w:tblPrEx>
        <w:trPr>
          <w:trHeight w:val="570"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美岩板雕刻凹凸层次立体雕刻工艺，            一体成型烤漆工艺，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600*1200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组</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（养老中心墙面增加良渚文化美岩板雕刻饰面）</w:t>
            </w:r>
          </w:p>
        </w:tc>
      </w:tr>
      <w:tr>
        <w:tblPrEx>
          <w:tblCellMar>
            <w:top w:w="0" w:type="dxa"/>
            <w:left w:w="108" w:type="dxa"/>
            <w:bottom w:w="0" w:type="dxa"/>
            <w:right w:w="108" w:type="dxa"/>
          </w:tblCellMar>
        </w:tblPrEx>
        <w:trPr>
          <w:trHeight w:val="285"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设计深化</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木架支架+8mmpvc板加白uv</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1200x2200cm</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套</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8mmpvc （每块展板配２个画架）</w:t>
            </w:r>
          </w:p>
        </w:tc>
      </w:tr>
      <w:tr>
        <w:tblPrEx>
          <w:tblCellMar>
            <w:top w:w="0" w:type="dxa"/>
            <w:left w:w="108" w:type="dxa"/>
            <w:bottom w:w="0" w:type="dxa"/>
            <w:right w:w="108" w:type="dxa"/>
          </w:tblCellMar>
        </w:tblPrEx>
        <w:trPr>
          <w:trHeight w:val="285"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设计深化</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250克铜版纸 哑膜四色专版印刷</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4折页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张</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250ke铜版纸</w:t>
            </w:r>
          </w:p>
        </w:tc>
      </w:tr>
      <w:tr>
        <w:tblPrEx>
          <w:tblCellMar>
            <w:top w:w="0" w:type="dxa"/>
            <w:left w:w="108" w:type="dxa"/>
            <w:bottom w:w="0" w:type="dxa"/>
            <w:right w:w="108" w:type="dxa"/>
          </w:tblCellMar>
        </w:tblPrEx>
        <w:trPr>
          <w:trHeight w:val="285" w:hRule="atLeast"/>
        </w:trPr>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设计深化</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帆布袋定制丝网印刷工艺</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200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rPr>
            </w:pPr>
            <w:r>
              <w:rPr>
                <w:rFonts w:hint="eastAsia" w:ascii="宋体" w:hAnsi="宋体" w:cs="宋体"/>
                <w:color w:val="auto"/>
                <w:kern w:val="0"/>
                <w:szCs w:val="21"/>
                <w:lang w:bidi="ar"/>
              </w:rPr>
              <w:t>个</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rPr>
            </w:pPr>
            <w:r>
              <w:rPr>
                <w:rFonts w:hint="eastAsia" w:ascii="宋体" w:hAnsi="宋体" w:cs="宋体"/>
                <w:color w:val="auto"/>
                <w:kern w:val="0"/>
                <w:szCs w:val="21"/>
                <w:lang w:bidi="ar"/>
              </w:rPr>
              <w:t>帆布袋+文艺品</w:t>
            </w:r>
          </w:p>
        </w:tc>
      </w:tr>
    </w:tbl>
    <w:p>
      <w:pPr>
        <w:spacing w:line="600" w:lineRule="exact"/>
        <w:rPr>
          <w:rFonts w:ascii="宋体" w:hAnsi="宋体" w:cs="宋体"/>
          <w:b/>
          <w:bCs/>
          <w:color w:val="auto"/>
          <w:sz w:val="24"/>
        </w:rPr>
      </w:pPr>
      <w:r>
        <w:rPr>
          <w:rFonts w:hint="eastAsia" w:ascii="宋体" w:hAnsi="宋体" w:cs="宋体"/>
          <w:b/>
          <w:bCs/>
          <w:color w:val="auto"/>
          <w:sz w:val="24"/>
        </w:rPr>
        <w:t>三、供货要求：</w:t>
      </w:r>
    </w:p>
    <w:p>
      <w:pPr>
        <w:spacing w:line="600" w:lineRule="exact"/>
        <w:ind w:firstLine="480" w:firstLineChars="200"/>
        <w:rPr>
          <w:rFonts w:ascii="宋体" w:hAnsi="宋体" w:cs="宋体"/>
          <w:color w:val="auto"/>
          <w:sz w:val="24"/>
        </w:rPr>
      </w:pPr>
      <w:r>
        <w:rPr>
          <w:rFonts w:hint="eastAsia" w:ascii="宋体" w:hAnsi="宋体" w:cs="宋体"/>
          <w:color w:val="auto"/>
          <w:sz w:val="24"/>
        </w:rPr>
        <w:t>1、供方所供的货物必须为全新的，符合国家标准的合格产品；</w:t>
      </w:r>
    </w:p>
    <w:p>
      <w:pPr>
        <w:spacing w:line="600" w:lineRule="exact"/>
        <w:ind w:firstLine="480" w:firstLineChars="200"/>
        <w:rPr>
          <w:rFonts w:ascii="宋体" w:hAnsi="宋体" w:cs="宋体"/>
          <w:color w:val="auto"/>
          <w:sz w:val="24"/>
        </w:rPr>
      </w:pPr>
      <w:r>
        <w:rPr>
          <w:rFonts w:hint="eastAsia" w:ascii="宋体" w:hAnsi="宋体" w:cs="宋体"/>
          <w:color w:val="auto"/>
          <w:sz w:val="24"/>
        </w:rPr>
        <w:t>2、所供货物不会侵犯任何第三方知识产权；</w:t>
      </w:r>
    </w:p>
    <w:p>
      <w:pPr>
        <w:spacing w:line="600" w:lineRule="exact"/>
        <w:rPr>
          <w:rFonts w:ascii="宋体" w:hAnsi="宋体" w:cs="宋体"/>
          <w:b/>
          <w:bCs/>
          <w:color w:val="auto"/>
          <w:sz w:val="24"/>
        </w:rPr>
      </w:pPr>
      <w:r>
        <w:rPr>
          <w:rFonts w:hint="eastAsia" w:ascii="宋体" w:hAnsi="宋体" w:cs="宋体"/>
          <w:b/>
          <w:bCs/>
          <w:color w:val="auto"/>
          <w:sz w:val="24"/>
        </w:rPr>
        <w:t>四、售后服务要求：</w:t>
      </w:r>
    </w:p>
    <w:p>
      <w:pPr>
        <w:spacing w:line="600" w:lineRule="exact"/>
        <w:ind w:firstLine="482" w:firstLineChars="200"/>
        <w:rPr>
          <w:rFonts w:ascii="宋体" w:hAnsi="宋体" w:cs="宋体"/>
          <w:b/>
          <w:color w:val="auto"/>
          <w:sz w:val="24"/>
        </w:rPr>
      </w:pPr>
      <w:r>
        <w:rPr>
          <w:rFonts w:hint="eastAsia" w:ascii="宋体" w:hAnsi="宋体" w:cs="宋体"/>
          <w:b/>
          <w:color w:val="auto"/>
          <w:sz w:val="24"/>
        </w:rPr>
        <w:t>●1、质保期要求：质保期不少于1年。</w:t>
      </w:r>
    </w:p>
    <w:p>
      <w:pPr>
        <w:spacing w:line="600" w:lineRule="exact"/>
        <w:ind w:firstLine="480" w:firstLineChars="200"/>
        <w:rPr>
          <w:rFonts w:ascii="宋体" w:hAnsi="宋体" w:cs="宋体"/>
          <w:color w:val="auto"/>
          <w:sz w:val="24"/>
        </w:rPr>
      </w:pPr>
      <w:r>
        <w:rPr>
          <w:rFonts w:hint="eastAsia" w:ascii="宋体" w:hAnsi="宋体" w:cs="宋体"/>
          <w:color w:val="auto"/>
          <w:sz w:val="24"/>
        </w:rPr>
        <w:t>2、技术支持要求：质保期内出现问题，7×24小时的电话技术支持和5×12小时的免费上门现场技术服务；质保期内提供免费上门维护、对故障1小时内技术响应，2小时以内到现场；4小时以内解决问题。</w:t>
      </w:r>
    </w:p>
    <w:p>
      <w:pPr>
        <w:spacing w:line="600" w:lineRule="exact"/>
        <w:rPr>
          <w:rFonts w:ascii="宋体" w:hAnsi="宋体" w:cs="宋体"/>
          <w:b/>
          <w:bCs/>
          <w:color w:val="auto"/>
          <w:sz w:val="24"/>
        </w:rPr>
      </w:pPr>
      <w:r>
        <w:rPr>
          <w:rFonts w:hint="eastAsia" w:ascii="宋体" w:hAnsi="宋体" w:cs="宋体"/>
          <w:b/>
          <w:color w:val="auto"/>
          <w:sz w:val="24"/>
        </w:rPr>
        <w:t>●</w:t>
      </w:r>
      <w:r>
        <w:rPr>
          <w:rFonts w:hint="eastAsia" w:ascii="宋体" w:hAnsi="宋体" w:cs="宋体"/>
          <w:b/>
          <w:bCs/>
          <w:color w:val="auto"/>
          <w:sz w:val="24"/>
        </w:rPr>
        <w:t>五、合同履约期限：</w:t>
      </w:r>
    </w:p>
    <w:p>
      <w:pPr>
        <w:spacing w:line="600" w:lineRule="exact"/>
        <w:ind w:firstLine="480" w:firstLineChars="200"/>
        <w:rPr>
          <w:rFonts w:ascii="宋体" w:hAnsi="宋体" w:cs="宋体"/>
          <w:b/>
          <w:bCs/>
          <w:color w:val="auto"/>
          <w:sz w:val="24"/>
        </w:rPr>
      </w:pPr>
      <w:r>
        <w:rPr>
          <w:rFonts w:hint="eastAsia" w:ascii="宋体" w:hAnsi="宋体" w:cs="宋体"/>
          <w:bCs/>
          <w:color w:val="auto"/>
          <w:sz w:val="24"/>
        </w:rPr>
        <w:t>合同签订之</w:t>
      </w:r>
      <w:r>
        <w:rPr>
          <w:rFonts w:hint="eastAsia" w:ascii="宋体" w:hAnsi="宋体" w:cs="宋体"/>
          <w:bCs/>
          <w:color w:val="auto"/>
          <w:sz w:val="24"/>
          <w:highlight w:val="none"/>
        </w:rPr>
        <w:t>日起30日</w:t>
      </w:r>
      <w:r>
        <w:rPr>
          <w:rFonts w:hint="eastAsia" w:ascii="宋体" w:hAnsi="宋体" w:cs="宋体"/>
          <w:bCs/>
          <w:color w:val="auto"/>
          <w:sz w:val="24"/>
        </w:rPr>
        <w:t>历天内安装调试完毕</w:t>
      </w:r>
      <w:r>
        <w:rPr>
          <w:rFonts w:hint="eastAsia" w:ascii="宋体" w:hAnsi="宋体" w:cs="宋体"/>
          <w:bCs/>
          <w:color w:val="auto"/>
          <w:sz w:val="24"/>
          <w:lang w:val="zh-CN"/>
        </w:rPr>
        <w:t>。</w:t>
      </w:r>
    </w:p>
    <w:p>
      <w:pPr>
        <w:spacing w:line="600" w:lineRule="exact"/>
        <w:rPr>
          <w:rFonts w:ascii="宋体" w:hAnsi="宋体" w:cs="宋体"/>
          <w:b/>
          <w:bCs/>
          <w:color w:val="auto"/>
          <w:sz w:val="24"/>
        </w:rPr>
      </w:pPr>
      <w:r>
        <w:rPr>
          <w:rFonts w:hint="eastAsia" w:ascii="宋体" w:hAnsi="宋体" w:cs="宋体"/>
          <w:b/>
          <w:color w:val="auto"/>
          <w:sz w:val="24"/>
        </w:rPr>
        <w:t>●六</w:t>
      </w:r>
      <w:r>
        <w:rPr>
          <w:rFonts w:hint="eastAsia" w:ascii="宋体" w:hAnsi="宋体" w:cs="宋体"/>
          <w:b/>
          <w:bCs/>
          <w:color w:val="auto"/>
          <w:sz w:val="24"/>
        </w:rPr>
        <w:t>、货款支付：</w:t>
      </w:r>
    </w:p>
    <w:p>
      <w:pPr>
        <w:spacing w:line="600" w:lineRule="exact"/>
        <w:ind w:firstLine="480" w:firstLineChars="200"/>
        <w:rPr>
          <w:rFonts w:ascii="宋体" w:hAnsi="宋体" w:cs="宋体"/>
          <w:color w:val="auto"/>
          <w:sz w:val="24"/>
        </w:rPr>
      </w:pPr>
      <w:r>
        <w:rPr>
          <w:rFonts w:hint="eastAsia" w:ascii="宋体" w:hAnsi="宋体" w:cs="宋体"/>
          <w:color w:val="auto"/>
          <w:sz w:val="24"/>
        </w:rPr>
        <w:t>合同签订生效以及具备实施条件后10个工作日内，采购人向中标方支付合同金额40％的预付款（预付款为财政请款，到位后拨付）。</w:t>
      </w:r>
    </w:p>
    <w:p>
      <w:pPr>
        <w:spacing w:line="600" w:lineRule="exact"/>
        <w:ind w:firstLine="480" w:firstLineChars="200"/>
        <w:rPr>
          <w:rFonts w:ascii="宋体" w:hAnsi="宋体" w:cs="宋体"/>
          <w:color w:val="auto"/>
          <w:sz w:val="24"/>
          <w:highlight w:val="magenta"/>
        </w:rPr>
      </w:pPr>
      <w:r>
        <w:rPr>
          <w:rFonts w:hint="eastAsia" w:ascii="宋体" w:hAnsi="宋体" w:cs="宋体"/>
          <w:color w:val="auto"/>
          <w:sz w:val="24"/>
        </w:rPr>
        <w:t>采购人在供应商根据合同规定将项目交付、验收通过后，供应商提供发票，采购人凭发票、确认单以及合同后支付至合同金额的95%，剩余款项等质保期结束后再支付；</w:t>
      </w:r>
    </w:p>
    <w:p>
      <w:pPr>
        <w:tabs>
          <w:tab w:val="left" w:pos="630"/>
        </w:tabs>
        <w:spacing w:line="600" w:lineRule="exact"/>
        <w:rPr>
          <w:rFonts w:ascii="宋体" w:hAnsi="宋体" w:cs="宋体"/>
          <w:b/>
          <w:color w:val="auto"/>
          <w:sz w:val="24"/>
        </w:rPr>
      </w:pPr>
      <w:r>
        <w:rPr>
          <w:rFonts w:hint="eastAsia" w:ascii="宋体" w:hAnsi="宋体" w:cs="宋体"/>
          <w:b/>
          <w:color w:val="auto"/>
          <w:sz w:val="24"/>
        </w:rPr>
        <w:t>七、验收：</w:t>
      </w:r>
    </w:p>
    <w:p>
      <w:pPr>
        <w:pStyle w:val="33"/>
        <w:snapToGrid w:val="0"/>
        <w:spacing w:line="600" w:lineRule="exact"/>
        <w:ind w:firstLine="410" w:firstLineChars="171"/>
        <w:rPr>
          <w:rFonts w:hAnsi="宋体" w:cs="宋体"/>
          <w:color w:val="auto"/>
          <w:sz w:val="24"/>
          <w:szCs w:val="24"/>
        </w:rPr>
      </w:pPr>
      <w:r>
        <w:rPr>
          <w:rFonts w:hint="eastAsia" w:hAnsi="宋体" w:cs="宋体"/>
          <w:color w:val="auto"/>
          <w:sz w:val="24"/>
          <w:szCs w:val="24"/>
        </w:rPr>
        <w:t>1、根据《杭州市政府采购履约验收暂行办法》（杭财采监〔2019〕10号）规定，采购人应当根据采购项目的具体情况，自行组织项目验收或者委托采购代理机构验收。</w:t>
      </w:r>
    </w:p>
    <w:p>
      <w:pPr>
        <w:spacing w:line="600" w:lineRule="exact"/>
        <w:ind w:firstLine="480" w:firstLineChars="200"/>
        <w:rPr>
          <w:rFonts w:ascii="宋体" w:hAnsi="宋体" w:cs="宋体"/>
          <w:color w:val="auto"/>
          <w:sz w:val="24"/>
        </w:rPr>
      </w:pPr>
      <w:r>
        <w:rPr>
          <w:rFonts w:hint="eastAsia" w:ascii="宋体" w:hAnsi="宋体" w:cs="宋体"/>
          <w:color w:val="auto"/>
          <w:sz w:val="24"/>
        </w:rPr>
        <w:t>2、经验收不合格且无法整改的，不付款不退货，所产生的所有损失由乙方承担。</w:t>
      </w:r>
    </w:p>
    <w:p>
      <w:pPr>
        <w:spacing w:line="600" w:lineRule="exact"/>
        <w:rPr>
          <w:rFonts w:ascii="宋体" w:hAnsi="宋体" w:cs="宋体"/>
          <w:b/>
          <w:bCs/>
          <w:color w:val="auto"/>
          <w:sz w:val="24"/>
        </w:rPr>
      </w:pPr>
      <w:r>
        <w:rPr>
          <w:rFonts w:hint="eastAsia" w:ascii="宋体" w:hAnsi="宋体" w:cs="宋体"/>
          <w:b/>
          <w:bCs/>
          <w:color w:val="auto"/>
          <w:sz w:val="24"/>
        </w:rPr>
        <w:t>九、其他：</w:t>
      </w:r>
    </w:p>
    <w:p>
      <w:pPr>
        <w:spacing w:line="600" w:lineRule="exact"/>
        <w:ind w:firstLine="480" w:firstLineChars="200"/>
        <w:rPr>
          <w:rFonts w:ascii="宋体" w:hAnsi="宋体" w:cs="宋体"/>
          <w:color w:val="auto"/>
          <w:sz w:val="24"/>
        </w:rPr>
      </w:pPr>
      <w:r>
        <w:rPr>
          <w:rFonts w:hint="eastAsia" w:ascii="宋体" w:hAnsi="宋体" w:cs="宋体"/>
          <w:color w:val="auto"/>
          <w:sz w:val="24"/>
        </w:rPr>
        <w:t>1、本项目提供的产品及服务无相关纠纷。</w:t>
      </w:r>
    </w:p>
    <w:p>
      <w:pPr>
        <w:adjustRightInd/>
        <w:spacing w:line="600" w:lineRule="exact"/>
        <w:ind w:firstLine="480" w:firstLineChars="200"/>
        <w:rPr>
          <w:rFonts w:ascii="宋体" w:hAnsi="宋体" w:cs="宋体"/>
          <w:color w:val="auto"/>
          <w:sz w:val="24"/>
        </w:rPr>
      </w:pPr>
      <w:r>
        <w:rPr>
          <w:rFonts w:hint="eastAsia" w:ascii="宋体" w:hAnsi="宋体" w:cs="宋体"/>
          <w:color w:val="auto"/>
          <w:sz w:val="24"/>
        </w:rPr>
        <w:t>2、本项目项目实施过程中发生的死亡、人身伤害、财产损失、损害以及任何其它损失、损害和引起的费用和开支，由供应商承担全部责任。</w:t>
      </w:r>
    </w:p>
    <w:p>
      <w:pPr>
        <w:adjustRightInd/>
        <w:spacing w:line="600" w:lineRule="exact"/>
        <w:ind w:firstLine="480" w:firstLineChars="200"/>
        <w:rPr>
          <w:rFonts w:ascii="宋体" w:hAnsi="宋体" w:cs="宋体"/>
          <w:color w:val="auto"/>
          <w:sz w:val="24"/>
        </w:rPr>
        <w:sectPr>
          <w:headerReference r:id="rId8" w:type="default"/>
          <w:footerReference r:id="rId9" w:type="default"/>
          <w:pgSz w:w="11905" w:h="16838"/>
          <w:pgMar w:top="1531" w:right="1304" w:bottom="1531" w:left="1361" w:header="851" w:footer="992" w:gutter="0"/>
          <w:cols w:space="720" w:num="1"/>
          <w:titlePg/>
          <w:docGrid w:linePitch="1" w:charSpace="0"/>
        </w:sectPr>
      </w:pPr>
      <w:r>
        <w:rPr>
          <w:rFonts w:hint="eastAsia" w:ascii="宋体" w:hAnsi="宋体" w:cs="宋体"/>
          <w:color w:val="auto"/>
          <w:sz w:val="24"/>
        </w:rPr>
        <w:t>3、关于知识产权：采购人在中华人民共和国境内因使用本招标项目产品和服务中的任何一部分时，采购人免受第三方提出的侵犯其专利权、商标权或其它知识产权的起诉。若出现以上情况，所有责任由投标人承担。</w:t>
      </w:r>
    </w:p>
    <w:p>
      <w:pPr>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第四部分   评标办法</w:t>
      </w:r>
    </w:p>
    <w:p>
      <w:pPr>
        <w:snapToGrid w:val="0"/>
        <w:spacing w:line="360" w:lineRule="auto"/>
        <w:jc w:val="center"/>
        <w:rPr>
          <w:rFonts w:ascii="宋体" w:hAnsi="宋体" w:cs="宋体"/>
          <w:b/>
          <w:color w:val="auto"/>
          <w:sz w:val="32"/>
          <w:szCs w:val="20"/>
        </w:rPr>
      </w:pPr>
      <w:r>
        <w:rPr>
          <w:rFonts w:hint="eastAsia" w:ascii="宋体" w:hAnsi="宋体" w:cs="宋体"/>
          <w:b/>
          <w:color w:val="auto"/>
          <w:sz w:val="32"/>
          <w:szCs w:val="20"/>
        </w:rPr>
        <w:t>评标办法前附表</w:t>
      </w:r>
    </w:p>
    <w:tbl>
      <w:tblPr>
        <w:tblStyle w:val="63"/>
        <w:tblW w:w="899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5925"/>
        <w:gridCol w:w="615"/>
        <w:gridCol w:w="840"/>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9" w:type="dxa"/>
            <w:tcBorders>
              <w:tl2br w:val="nil"/>
              <w:tr2bl w:val="nil"/>
            </w:tcBorders>
            <w:vAlign w:val="center"/>
          </w:tcPr>
          <w:p>
            <w:pPr>
              <w:snapToGrid w:val="0"/>
              <w:jc w:val="center"/>
              <w:rPr>
                <w:rFonts w:ascii="宋体" w:hAnsi="宋体" w:cs="宋体"/>
                <w:color w:val="auto"/>
                <w:sz w:val="24"/>
              </w:rPr>
            </w:pPr>
            <w:r>
              <w:rPr>
                <w:rFonts w:hint="eastAsia" w:ascii="宋体" w:hAnsi="宋体" w:cs="宋体"/>
                <w:color w:val="auto"/>
                <w:sz w:val="24"/>
              </w:rPr>
              <w:t>序号</w:t>
            </w:r>
          </w:p>
        </w:tc>
        <w:tc>
          <w:tcPr>
            <w:tcW w:w="5925" w:type="dxa"/>
            <w:tcBorders>
              <w:tl2br w:val="nil"/>
              <w:tr2bl w:val="nil"/>
            </w:tcBorders>
            <w:vAlign w:val="center"/>
          </w:tcPr>
          <w:p>
            <w:pPr>
              <w:snapToGrid w:val="0"/>
              <w:jc w:val="center"/>
              <w:rPr>
                <w:rFonts w:ascii="宋体" w:hAnsi="宋体" w:cs="宋体"/>
                <w:color w:val="auto"/>
                <w:sz w:val="24"/>
              </w:rPr>
            </w:pPr>
            <w:r>
              <w:rPr>
                <w:rFonts w:hint="eastAsia" w:ascii="宋体" w:hAnsi="宋体" w:cs="宋体"/>
                <w:color w:val="auto"/>
                <w:sz w:val="24"/>
              </w:rPr>
              <w:t>评标标准</w:t>
            </w:r>
          </w:p>
        </w:tc>
        <w:tc>
          <w:tcPr>
            <w:tcW w:w="615" w:type="dxa"/>
            <w:tcBorders>
              <w:tl2br w:val="nil"/>
              <w:tr2bl w:val="nil"/>
            </w:tcBorders>
            <w:vAlign w:val="center"/>
          </w:tcPr>
          <w:p>
            <w:pPr>
              <w:snapToGrid w:val="0"/>
              <w:jc w:val="center"/>
              <w:rPr>
                <w:rFonts w:ascii="宋体" w:hAnsi="宋体" w:cs="宋体"/>
                <w:color w:val="auto"/>
                <w:sz w:val="24"/>
              </w:rPr>
            </w:pPr>
            <w:r>
              <w:rPr>
                <w:rFonts w:hint="eastAsia" w:ascii="宋体" w:hAnsi="宋体" w:cs="宋体"/>
                <w:color w:val="auto"/>
                <w:sz w:val="24"/>
              </w:rPr>
              <w:t>权重</w:t>
            </w:r>
          </w:p>
        </w:tc>
        <w:tc>
          <w:tcPr>
            <w:tcW w:w="840" w:type="dxa"/>
            <w:tcBorders>
              <w:tl2br w:val="nil"/>
              <w:tr2bl w:val="nil"/>
            </w:tcBorders>
            <w:vAlign w:val="center"/>
          </w:tcPr>
          <w:p>
            <w:pPr>
              <w:snapToGrid w:val="0"/>
              <w:jc w:val="center"/>
              <w:rPr>
                <w:rFonts w:ascii="宋体" w:hAnsi="宋体" w:cs="宋体"/>
                <w:bCs/>
                <w:color w:val="auto"/>
                <w:sz w:val="24"/>
              </w:rPr>
            </w:pPr>
            <w:r>
              <w:rPr>
                <w:rFonts w:hint="eastAsia" w:ascii="宋体" w:hAnsi="宋体" w:cs="宋体"/>
                <w:bCs/>
                <w:color w:val="auto"/>
                <w:sz w:val="24"/>
              </w:rPr>
              <w:t>主观分/客观分属性</w:t>
            </w:r>
          </w:p>
        </w:tc>
        <w:tc>
          <w:tcPr>
            <w:tcW w:w="1065" w:type="dxa"/>
            <w:tcBorders>
              <w:tl2br w:val="nil"/>
              <w:tr2bl w:val="nil"/>
            </w:tcBorders>
          </w:tcPr>
          <w:p>
            <w:pPr>
              <w:snapToGrid w:val="0"/>
              <w:jc w:val="center"/>
              <w:rPr>
                <w:rFonts w:ascii="宋体" w:hAnsi="宋体" w:cs="宋体"/>
                <w:color w:val="auto"/>
                <w:sz w:val="24"/>
              </w:rPr>
            </w:pPr>
            <w:r>
              <w:rPr>
                <w:rFonts w:hint="eastAsia" w:ascii="宋体" w:hAnsi="宋体" w:cs="宋体"/>
                <w:bCs/>
                <w:color w:val="auto"/>
                <w:sz w:val="24"/>
              </w:rPr>
              <w:t>投标文件中评标标准相应的商务技术资料目录*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9" w:type="dxa"/>
            <w:tcBorders>
              <w:tl2br w:val="nil"/>
              <w:tr2bl w:val="nil"/>
            </w:tcBorders>
            <w:vAlign w:val="center"/>
          </w:tcPr>
          <w:p>
            <w:pPr>
              <w:snapToGrid w:val="0"/>
              <w:jc w:val="center"/>
              <w:rPr>
                <w:rFonts w:ascii="宋体" w:hAnsi="宋体" w:cs="宋体"/>
                <w:color w:val="auto"/>
                <w:sz w:val="24"/>
              </w:rPr>
            </w:pPr>
            <w:r>
              <w:rPr>
                <w:rFonts w:hint="eastAsia" w:ascii="宋体" w:hAnsi="宋体" w:cs="宋体"/>
                <w:color w:val="auto"/>
                <w:sz w:val="24"/>
              </w:rPr>
              <w:t>1</w:t>
            </w:r>
          </w:p>
        </w:tc>
        <w:tc>
          <w:tcPr>
            <w:tcW w:w="5925" w:type="dxa"/>
            <w:tcBorders>
              <w:tl2br w:val="nil"/>
              <w:tr2bl w:val="nil"/>
            </w:tcBorders>
            <w:vAlign w:val="center"/>
          </w:tcPr>
          <w:p>
            <w:pPr>
              <w:jc w:val="left"/>
              <w:rPr>
                <w:rFonts w:ascii="宋体" w:hAnsi="宋体" w:cs="宋体"/>
                <w:color w:val="auto"/>
                <w:sz w:val="24"/>
              </w:rPr>
            </w:pPr>
            <w:r>
              <w:rPr>
                <w:rFonts w:hint="eastAsia" w:ascii="宋体" w:hAnsi="宋体" w:cs="宋体"/>
                <w:color w:val="auto"/>
                <w:sz w:val="24"/>
              </w:rPr>
              <w:t>样品评分细则：</w:t>
            </w:r>
          </w:p>
          <w:p>
            <w:pPr>
              <w:jc w:val="left"/>
              <w:rPr>
                <w:rFonts w:ascii="宋体" w:hAnsi="宋体" w:cs="宋体"/>
                <w:color w:val="auto"/>
                <w:sz w:val="24"/>
              </w:rPr>
            </w:pPr>
            <w:r>
              <w:rPr>
                <w:rFonts w:hint="eastAsia" w:ascii="宋体" w:hAnsi="宋体" w:cs="宋体"/>
                <w:color w:val="auto"/>
                <w:sz w:val="24"/>
              </w:rPr>
              <w:t>序号1：</w:t>
            </w:r>
            <w:r>
              <w:rPr>
                <w:rFonts w:hint="eastAsia" w:ascii="宋体" w:hAnsi="宋体" w:cs="宋体"/>
                <w:color w:val="auto"/>
                <w:sz w:val="24"/>
                <w:lang w:bidi="ar"/>
              </w:rPr>
              <w:t>科室牌</w:t>
            </w:r>
            <w:r>
              <w:rPr>
                <w:rFonts w:hint="eastAsia" w:ascii="宋体" w:hAnsi="宋体" w:cs="宋体"/>
                <w:color w:val="auto"/>
                <w:sz w:val="24"/>
              </w:rPr>
              <w:t>一块：</w:t>
            </w:r>
          </w:p>
          <w:p>
            <w:pPr>
              <w:jc w:val="left"/>
              <w:rPr>
                <w:rFonts w:ascii="宋体" w:hAnsi="宋体" w:cs="宋体"/>
                <w:color w:val="auto"/>
                <w:sz w:val="24"/>
              </w:rPr>
            </w:pPr>
            <w:r>
              <w:rPr>
                <w:rFonts w:hint="eastAsia" w:ascii="宋体" w:hAnsi="宋体" w:cs="宋体"/>
                <w:color w:val="auto"/>
                <w:sz w:val="24"/>
              </w:rPr>
              <w:t>（1）制作质量、工艺制作水平好的得4分；制作质量、工艺制作水平较好的得2，制作质量、工艺制作水平差的得1。</w:t>
            </w:r>
          </w:p>
          <w:p>
            <w:pPr>
              <w:jc w:val="left"/>
              <w:rPr>
                <w:rFonts w:ascii="宋体" w:hAnsi="宋体" w:cs="宋体"/>
                <w:color w:val="auto"/>
                <w:sz w:val="24"/>
              </w:rPr>
            </w:pPr>
            <w:r>
              <w:rPr>
                <w:rFonts w:hint="eastAsia" w:ascii="宋体" w:hAnsi="宋体" w:cs="宋体"/>
                <w:color w:val="auto"/>
                <w:sz w:val="24"/>
              </w:rPr>
              <w:t>（2）没有毛刺、刃角、锐棱、好的得4分；外观有毛刺、刃角、锐棱、较好的得3分；有毛刺、刃角、锐棱、外观粗糙得1分。</w:t>
            </w:r>
          </w:p>
          <w:p>
            <w:pPr>
              <w:jc w:val="left"/>
              <w:rPr>
                <w:rFonts w:ascii="宋体" w:hAnsi="宋体" w:cs="宋体"/>
                <w:color w:val="auto"/>
                <w:sz w:val="24"/>
              </w:rPr>
            </w:pPr>
            <w:r>
              <w:rPr>
                <w:rFonts w:hint="eastAsia" w:ascii="宋体" w:hAnsi="宋体" w:cs="宋体"/>
                <w:color w:val="auto"/>
                <w:sz w:val="24"/>
              </w:rPr>
              <w:t>（3）亚克力雕刻字体清晰、无裂纹的得4分；较好得2分；一般得1分；</w:t>
            </w:r>
          </w:p>
          <w:p>
            <w:pPr>
              <w:jc w:val="left"/>
              <w:rPr>
                <w:rFonts w:ascii="宋体" w:hAnsi="宋体" w:cs="宋体"/>
                <w:color w:val="auto"/>
                <w:sz w:val="24"/>
              </w:rPr>
            </w:pPr>
            <w:r>
              <w:rPr>
                <w:rFonts w:hint="eastAsia" w:ascii="宋体" w:hAnsi="宋体" w:cs="宋体"/>
                <w:b/>
                <w:bCs/>
                <w:color w:val="auto"/>
                <w:sz w:val="24"/>
              </w:rPr>
              <w:t>投标人不提供样品或样品提供不全或样品中出现投标单位名称或厂家名称或厂家LOGO或品牌LOGO或外观尺寸或技术参数明显不符合招标文件要求的则样品分为0分；</w:t>
            </w:r>
          </w:p>
        </w:tc>
        <w:tc>
          <w:tcPr>
            <w:tcW w:w="615" w:type="dxa"/>
            <w:tcBorders>
              <w:tl2br w:val="nil"/>
              <w:tr2bl w:val="nil"/>
            </w:tcBorders>
            <w:vAlign w:val="center"/>
          </w:tcPr>
          <w:p>
            <w:pPr>
              <w:jc w:val="center"/>
              <w:rPr>
                <w:rFonts w:ascii="宋体" w:hAnsi="宋体" w:cs="宋体"/>
                <w:color w:val="auto"/>
                <w:sz w:val="24"/>
              </w:rPr>
            </w:pPr>
            <w:r>
              <w:rPr>
                <w:rFonts w:hint="eastAsia" w:ascii="宋体" w:hAnsi="宋体" w:cs="宋体"/>
                <w:color w:val="auto"/>
                <w:sz w:val="24"/>
              </w:rPr>
              <w:t>12</w:t>
            </w:r>
          </w:p>
        </w:tc>
        <w:tc>
          <w:tcPr>
            <w:tcW w:w="840" w:type="dxa"/>
            <w:tcBorders>
              <w:tl2br w:val="nil"/>
              <w:tr2bl w:val="nil"/>
            </w:tcBorders>
            <w:vAlign w:val="center"/>
          </w:tcPr>
          <w:p>
            <w:pPr>
              <w:snapToGrid w:val="0"/>
              <w:jc w:val="center"/>
              <w:rPr>
                <w:rFonts w:ascii="宋体" w:hAnsi="宋体" w:cs="宋体"/>
                <w:color w:val="auto"/>
                <w:sz w:val="24"/>
              </w:rPr>
            </w:pPr>
            <w:r>
              <w:rPr>
                <w:rFonts w:hint="eastAsia" w:ascii="宋体" w:hAnsi="宋体" w:cs="宋体"/>
                <w:bCs/>
                <w:color w:val="auto"/>
                <w:sz w:val="24"/>
              </w:rPr>
              <w:t>主观分</w:t>
            </w:r>
          </w:p>
        </w:tc>
        <w:tc>
          <w:tcPr>
            <w:tcW w:w="1065" w:type="dxa"/>
            <w:tcBorders>
              <w:tl2br w:val="nil"/>
              <w:tr2bl w:val="nil"/>
            </w:tcBorders>
          </w:tcPr>
          <w:p>
            <w:pPr>
              <w:snapToGrid w:val="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49" w:type="dxa"/>
            <w:tcBorders>
              <w:tl2br w:val="nil"/>
              <w:tr2bl w:val="nil"/>
            </w:tcBorders>
            <w:vAlign w:val="center"/>
          </w:tcPr>
          <w:p>
            <w:pPr>
              <w:snapToGrid w:val="0"/>
              <w:jc w:val="center"/>
              <w:rPr>
                <w:rFonts w:ascii="宋体" w:hAnsi="宋体" w:cs="宋体"/>
                <w:color w:val="auto"/>
                <w:sz w:val="24"/>
              </w:rPr>
            </w:pPr>
            <w:r>
              <w:rPr>
                <w:rFonts w:hint="eastAsia" w:ascii="宋体" w:hAnsi="宋体" w:cs="宋体"/>
                <w:color w:val="auto"/>
                <w:sz w:val="24"/>
              </w:rPr>
              <w:t>2</w:t>
            </w:r>
          </w:p>
        </w:tc>
        <w:tc>
          <w:tcPr>
            <w:tcW w:w="5925" w:type="dxa"/>
            <w:tcBorders>
              <w:tl2br w:val="nil"/>
              <w:tr2bl w:val="nil"/>
            </w:tcBorders>
            <w:vAlign w:val="center"/>
          </w:tcPr>
          <w:p>
            <w:pPr>
              <w:jc w:val="left"/>
              <w:rPr>
                <w:rFonts w:ascii="宋体" w:hAnsi="宋体" w:cs="宋体"/>
                <w:color w:val="auto"/>
                <w:sz w:val="24"/>
              </w:rPr>
            </w:pPr>
            <w:r>
              <w:rPr>
                <w:rFonts w:hint="eastAsia" w:ascii="宋体" w:hAnsi="宋体" w:cs="宋体"/>
                <w:color w:val="auto"/>
                <w:sz w:val="24"/>
              </w:rPr>
              <w:t>设计方案：根据投标人提供的相关产品设计方案高清彩色效果图的美观程度等方面是否符合采购人需求。</w:t>
            </w:r>
          </w:p>
          <w:p>
            <w:pPr>
              <w:jc w:val="left"/>
              <w:rPr>
                <w:rFonts w:ascii="宋体" w:hAnsi="宋体" w:cs="宋体"/>
                <w:b/>
                <w:bCs/>
                <w:color w:val="auto"/>
                <w:sz w:val="24"/>
              </w:rPr>
            </w:pPr>
            <w:r>
              <w:rPr>
                <w:rFonts w:hint="eastAsia" w:ascii="宋体" w:hAnsi="宋体" w:cs="宋体"/>
                <w:b/>
                <w:bCs/>
                <w:color w:val="auto"/>
                <w:sz w:val="24"/>
              </w:rPr>
              <w:t>（设计思路合理、组织结构明确</w:t>
            </w:r>
            <w:r>
              <w:rPr>
                <w:rFonts w:hint="eastAsia" w:ascii="宋体" w:hAnsi="宋体" w:cs="宋体"/>
                <w:b/>
                <w:bCs/>
                <w:color w:val="auto"/>
                <w:sz w:val="24"/>
                <w:lang w:eastAsia="zh-CN"/>
              </w:rPr>
              <w:t>、</w:t>
            </w:r>
            <w:r>
              <w:rPr>
                <w:rFonts w:hint="eastAsia" w:ascii="宋体" w:hAnsi="宋体" w:cs="宋体"/>
                <w:b/>
                <w:bCs/>
                <w:color w:val="auto"/>
                <w:sz w:val="24"/>
                <w:lang w:val="en-US" w:eastAsia="zh-CN"/>
              </w:rPr>
              <w:t>效果图精美</w:t>
            </w:r>
            <w:r>
              <w:rPr>
                <w:rFonts w:hint="eastAsia" w:ascii="宋体" w:hAnsi="宋体" w:cs="宋体"/>
                <w:b/>
                <w:bCs/>
                <w:color w:val="auto"/>
                <w:sz w:val="24"/>
              </w:rPr>
              <w:t>得</w:t>
            </w:r>
            <w:r>
              <w:rPr>
                <w:rFonts w:hint="eastAsia" w:ascii="宋体" w:hAnsi="宋体" w:cs="宋体"/>
                <w:b/>
                <w:bCs/>
                <w:color w:val="auto"/>
                <w:sz w:val="24"/>
                <w:lang w:val="en-US" w:eastAsia="zh-CN"/>
              </w:rPr>
              <w:t>5</w:t>
            </w:r>
            <w:r>
              <w:rPr>
                <w:rFonts w:hint="eastAsia" w:ascii="宋体" w:hAnsi="宋体" w:cs="宋体"/>
                <w:b/>
                <w:bCs/>
                <w:color w:val="auto"/>
                <w:sz w:val="24"/>
              </w:rPr>
              <w:t>分；设计思路一般、组织结构</w:t>
            </w:r>
            <w:r>
              <w:rPr>
                <w:rFonts w:hint="eastAsia" w:ascii="宋体" w:hAnsi="宋体" w:cs="宋体"/>
                <w:b/>
                <w:bCs/>
                <w:color w:val="auto"/>
                <w:sz w:val="24"/>
                <w:lang w:eastAsia="zh-CN"/>
              </w:rPr>
              <w:t>、</w:t>
            </w:r>
            <w:r>
              <w:rPr>
                <w:rFonts w:hint="eastAsia" w:ascii="宋体" w:hAnsi="宋体" w:cs="宋体"/>
                <w:b/>
                <w:bCs/>
                <w:color w:val="auto"/>
                <w:sz w:val="24"/>
                <w:lang w:val="en-US" w:eastAsia="zh-CN"/>
              </w:rPr>
              <w:t>效果图</w:t>
            </w:r>
            <w:r>
              <w:rPr>
                <w:rFonts w:hint="eastAsia" w:ascii="宋体" w:hAnsi="宋体" w:cs="宋体"/>
                <w:b/>
                <w:bCs/>
                <w:color w:val="auto"/>
                <w:sz w:val="24"/>
              </w:rPr>
              <w:t>一般得3分；设计思路欠佳、组织结构</w:t>
            </w:r>
            <w:r>
              <w:rPr>
                <w:rFonts w:hint="eastAsia" w:ascii="宋体" w:hAnsi="宋体" w:cs="宋体"/>
                <w:b/>
                <w:bCs/>
                <w:color w:val="auto"/>
                <w:sz w:val="24"/>
                <w:lang w:eastAsia="zh-CN"/>
              </w:rPr>
              <w:t>、</w:t>
            </w:r>
            <w:r>
              <w:rPr>
                <w:rFonts w:hint="eastAsia" w:ascii="宋体" w:hAnsi="宋体" w:cs="宋体"/>
                <w:b/>
                <w:bCs/>
                <w:color w:val="auto"/>
                <w:sz w:val="24"/>
                <w:lang w:val="en-US" w:eastAsia="zh-CN"/>
              </w:rPr>
              <w:t>效果图</w:t>
            </w:r>
            <w:r>
              <w:rPr>
                <w:rFonts w:hint="eastAsia" w:ascii="宋体" w:hAnsi="宋体" w:cs="宋体"/>
                <w:b/>
                <w:bCs/>
                <w:color w:val="auto"/>
                <w:sz w:val="24"/>
              </w:rPr>
              <w:t>欠佳得1分；</w:t>
            </w:r>
            <w:r>
              <w:rPr>
                <w:rFonts w:hint="eastAsia" w:ascii="宋体" w:hAnsi="宋体" w:cs="宋体"/>
                <w:b/>
                <w:bCs/>
                <w:color w:val="auto"/>
                <w:sz w:val="24"/>
                <w:lang w:val="en-US" w:eastAsia="zh-CN"/>
              </w:rPr>
              <w:t>不提供得</w:t>
            </w:r>
            <w:r>
              <w:rPr>
                <w:rFonts w:hint="eastAsia" w:ascii="宋体" w:hAnsi="宋体" w:cs="宋体"/>
                <w:b/>
                <w:bCs/>
                <w:color w:val="auto"/>
                <w:sz w:val="24"/>
              </w:rPr>
              <w:t>0分。）</w:t>
            </w:r>
          </w:p>
        </w:tc>
        <w:tc>
          <w:tcPr>
            <w:tcW w:w="615" w:type="dxa"/>
            <w:tcBorders>
              <w:tl2br w:val="nil"/>
              <w:tr2bl w:val="nil"/>
            </w:tcBorders>
            <w:vAlign w:val="center"/>
          </w:tcPr>
          <w:p>
            <w:pPr>
              <w:jc w:val="center"/>
              <w:rPr>
                <w:rFonts w:ascii="宋体" w:hAnsi="宋体" w:cs="宋体"/>
                <w:color w:val="auto"/>
                <w:sz w:val="24"/>
              </w:rPr>
            </w:pPr>
            <w:r>
              <w:rPr>
                <w:rFonts w:ascii="宋体" w:hAnsi="宋体" w:cs="宋体"/>
                <w:color w:val="auto"/>
                <w:sz w:val="24"/>
              </w:rPr>
              <w:t>5</w:t>
            </w:r>
          </w:p>
        </w:tc>
        <w:tc>
          <w:tcPr>
            <w:tcW w:w="840" w:type="dxa"/>
            <w:tcBorders>
              <w:tl2br w:val="nil"/>
              <w:tr2bl w:val="nil"/>
            </w:tcBorders>
            <w:vAlign w:val="center"/>
          </w:tcPr>
          <w:p>
            <w:pPr>
              <w:snapToGrid w:val="0"/>
              <w:jc w:val="center"/>
              <w:rPr>
                <w:rFonts w:ascii="宋体" w:hAnsi="宋体" w:cs="宋体"/>
                <w:bCs/>
                <w:color w:val="auto"/>
                <w:sz w:val="24"/>
              </w:rPr>
            </w:pPr>
            <w:r>
              <w:rPr>
                <w:rFonts w:hint="eastAsia" w:ascii="宋体" w:hAnsi="宋体" w:cs="宋体"/>
                <w:bCs/>
                <w:color w:val="auto"/>
                <w:sz w:val="24"/>
              </w:rPr>
              <w:t>主观分</w:t>
            </w:r>
          </w:p>
        </w:tc>
        <w:tc>
          <w:tcPr>
            <w:tcW w:w="1065" w:type="dxa"/>
            <w:tcBorders>
              <w:tl2br w:val="nil"/>
              <w:tr2bl w:val="nil"/>
            </w:tcBorders>
          </w:tcPr>
          <w:p>
            <w:pPr>
              <w:snapToGrid w:val="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549" w:type="dxa"/>
            <w:tcBorders>
              <w:tl2br w:val="nil"/>
              <w:tr2bl w:val="nil"/>
            </w:tcBorders>
            <w:vAlign w:val="center"/>
          </w:tcPr>
          <w:p>
            <w:pPr>
              <w:snapToGrid w:val="0"/>
              <w:jc w:val="center"/>
              <w:rPr>
                <w:rFonts w:ascii="宋体" w:hAnsi="宋体" w:cs="宋体"/>
                <w:color w:val="auto"/>
                <w:sz w:val="24"/>
              </w:rPr>
            </w:pPr>
            <w:r>
              <w:rPr>
                <w:rFonts w:hint="eastAsia" w:ascii="宋体" w:hAnsi="宋体" w:cs="宋体"/>
                <w:color w:val="auto"/>
                <w:sz w:val="24"/>
              </w:rPr>
              <w:t>3</w:t>
            </w:r>
          </w:p>
        </w:tc>
        <w:tc>
          <w:tcPr>
            <w:tcW w:w="5925" w:type="dxa"/>
            <w:tcBorders>
              <w:tl2br w:val="nil"/>
              <w:tr2bl w:val="nil"/>
            </w:tcBorders>
            <w:vAlign w:val="center"/>
          </w:tcPr>
          <w:p>
            <w:pPr>
              <w:jc w:val="left"/>
              <w:rPr>
                <w:rFonts w:ascii="宋体" w:hAnsi="宋体" w:cs="宋体"/>
                <w:color w:val="auto"/>
                <w:sz w:val="24"/>
              </w:rPr>
            </w:pPr>
            <w:r>
              <w:rPr>
                <w:rFonts w:hint="eastAsia" w:ascii="宋体" w:hAnsi="宋体" w:cs="宋体"/>
                <w:color w:val="auto"/>
                <w:sz w:val="24"/>
              </w:rPr>
              <w:t>项目实施方案：包括但不限于总体施工部署、工期供货措施、施工时间进度、运输计划安排、现场安装管理计划是否合理、是否全面、是否可执行等。</w:t>
            </w:r>
          </w:p>
          <w:p>
            <w:pPr>
              <w:jc w:val="left"/>
              <w:rPr>
                <w:rFonts w:ascii="宋体" w:hAnsi="宋体" w:cs="宋体"/>
                <w:color w:val="auto"/>
                <w:sz w:val="24"/>
              </w:rPr>
            </w:pPr>
            <w:r>
              <w:rPr>
                <w:rFonts w:hint="eastAsia" w:ascii="宋体" w:hAnsi="宋体" w:cs="宋体"/>
                <w:b/>
                <w:bCs/>
                <w:color w:val="auto"/>
                <w:sz w:val="24"/>
              </w:rPr>
              <w:t>（实际施工方案，组织机构科学、工作程序和步骤合理得</w:t>
            </w:r>
            <w:r>
              <w:rPr>
                <w:rFonts w:hint="eastAsia" w:ascii="宋体" w:hAnsi="宋体" w:cs="宋体"/>
                <w:b/>
                <w:bCs/>
                <w:color w:val="auto"/>
                <w:sz w:val="24"/>
                <w:lang w:val="en-US" w:eastAsia="zh-CN"/>
              </w:rPr>
              <w:t>5</w:t>
            </w:r>
            <w:r>
              <w:rPr>
                <w:rFonts w:hint="eastAsia" w:ascii="宋体" w:hAnsi="宋体" w:cs="宋体"/>
                <w:b/>
                <w:bCs/>
                <w:color w:val="auto"/>
                <w:sz w:val="24"/>
              </w:rPr>
              <w:t>分；组织机构一般、工作程序和步骤一般得</w:t>
            </w:r>
            <w:r>
              <w:rPr>
                <w:rFonts w:hint="eastAsia" w:ascii="宋体" w:hAnsi="宋体" w:cs="宋体"/>
                <w:b/>
                <w:bCs/>
                <w:color w:val="auto"/>
                <w:sz w:val="24"/>
                <w:lang w:val="en-US" w:eastAsia="zh-CN"/>
              </w:rPr>
              <w:t>3</w:t>
            </w:r>
            <w:r>
              <w:rPr>
                <w:rFonts w:hint="eastAsia" w:ascii="宋体" w:hAnsi="宋体" w:cs="宋体"/>
                <w:b/>
                <w:bCs/>
                <w:color w:val="auto"/>
                <w:sz w:val="24"/>
              </w:rPr>
              <w:t>分；组织机构欠佳、工作程序和步骤欠佳得1分；组织机构不科学、工作程序和步骤不合理</w:t>
            </w:r>
            <w:r>
              <w:rPr>
                <w:rFonts w:hint="eastAsia" w:ascii="宋体" w:hAnsi="宋体" w:cs="宋体"/>
                <w:b/>
                <w:bCs/>
                <w:color w:val="auto"/>
                <w:sz w:val="24"/>
                <w:lang w:val="en-US" w:eastAsia="zh-CN"/>
              </w:rPr>
              <w:t>或不提供</w:t>
            </w:r>
            <w:r>
              <w:rPr>
                <w:rFonts w:hint="eastAsia" w:ascii="宋体" w:hAnsi="宋体" w:cs="宋体"/>
                <w:b/>
                <w:bCs/>
                <w:color w:val="auto"/>
                <w:sz w:val="24"/>
              </w:rPr>
              <w:t>得0分。）</w:t>
            </w:r>
          </w:p>
        </w:tc>
        <w:tc>
          <w:tcPr>
            <w:tcW w:w="615" w:type="dxa"/>
            <w:tcBorders>
              <w:tl2br w:val="nil"/>
              <w:tr2bl w:val="nil"/>
            </w:tcBorders>
            <w:vAlign w:val="center"/>
          </w:tcPr>
          <w:p>
            <w:pPr>
              <w:jc w:val="center"/>
              <w:rPr>
                <w:rFonts w:ascii="宋体" w:hAnsi="宋体" w:cs="宋体"/>
                <w:color w:val="auto"/>
                <w:sz w:val="24"/>
              </w:rPr>
            </w:pPr>
            <w:r>
              <w:rPr>
                <w:rFonts w:ascii="宋体" w:hAnsi="宋体" w:cs="宋体"/>
                <w:color w:val="auto"/>
                <w:sz w:val="24"/>
              </w:rPr>
              <w:t>5</w:t>
            </w:r>
          </w:p>
        </w:tc>
        <w:tc>
          <w:tcPr>
            <w:tcW w:w="840" w:type="dxa"/>
            <w:tcBorders>
              <w:tl2br w:val="nil"/>
              <w:tr2bl w:val="nil"/>
            </w:tcBorders>
            <w:vAlign w:val="center"/>
          </w:tcPr>
          <w:p>
            <w:pPr>
              <w:snapToGrid w:val="0"/>
              <w:jc w:val="center"/>
              <w:rPr>
                <w:rFonts w:ascii="宋体" w:hAnsi="宋体" w:cs="宋体"/>
                <w:bCs/>
                <w:color w:val="auto"/>
                <w:sz w:val="24"/>
              </w:rPr>
            </w:pPr>
            <w:r>
              <w:rPr>
                <w:rFonts w:hint="eastAsia" w:ascii="宋体" w:hAnsi="宋体" w:cs="宋体"/>
                <w:bCs/>
                <w:color w:val="auto"/>
                <w:sz w:val="24"/>
              </w:rPr>
              <w:t>主观分</w:t>
            </w:r>
          </w:p>
        </w:tc>
        <w:tc>
          <w:tcPr>
            <w:tcW w:w="1065" w:type="dxa"/>
            <w:tcBorders>
              <w:tl2br w:val="nil"/>
              <w:tr2bl w:val="nil"/>
            </w:tcBorders>
          </w:tcPr>
          <w:p>
            <w:pPr>
              <w:snapToGrid w:val="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trPr>
        <w:tc>
          <w:tcPr>
            <w:tcW w:w="549" w:type="dxa"/>
            <w:tcBorders>
              <w:tl2br w:val="nil"/>
              <w:tr2bl w:val="nil"/>
            </w:tcBorders>
            <w:vAlign w:val="center"/>
          </w:tcPr>
          <w:p>
            <w:pPr>
              <w:snapToGrid w:val="0"/>
              <w:jc w:val="center"/>
              <w:rPr>
                <w:rFonts w:ascii="宋体" w:hAnsi="宋体" w:cs="宋体"/>
                <w:color w:val="auto"/>
                <w:sz w:val="24"/>
              </w:rPr>
            </w:pPr>
            <w:r>
              <w:rPr>
                <w:rFonts w:hint="eastAsia" w:ascii="宋体" w:hAnsi="宋体" w:cs="宋体"/>
                <w:color w:val="auto"/>
                <w:sz w:val="24"/>
              </w:rPr>
              <w:t>4</w:t>
            </w:r>
          </w:p>
        </w:tc>
        <w:tc>
          <w:tcPr>
            <w:tcW w:w="5925" w:type="dxa"/>
            <w:tcBorders>
              <w:tl2br w:val="nil"/>
              <w:tr2bl w:val="nil"/>
            </w:tcBorders>
            <w:vAlign w:val="center"/>
          </w:tcPr>
          <w:p>
            <w:pPr>
              <w:jc w:val="left"/>
              <w:rPr>
                <w:rFonts w:ascii="宋体" w:hAnsi="宋体" w:cs="宋体"/>
                <w:color w:val="auto"/>
                <w:sz w:val="24"/>
              </w:rPr>
            </w:pPr>
            <w:r>
              <w:rPr>
                <w:rFonts w:hint="eastAsia" w:ascii="宋体" w:hAnsi="宋体" w:cs="宋体"/>
                <w:color w:val="auto"/>
                <w:sz w:val="24"/>
              </w:rPr>
              <w:t>工艺流程、检验程序：根据产品出厂检验程序等质量保证体系是否合理、是否全面、是否可执行、是否科学等。</w:t>
            </w:r>
            <w:r>
              <w:rPr>
                <w:rFonts w:hint="eastAsia" w:ascii="宋体" w:hAnsi="宋体" w:cs="宋体"/>
                <w:b/>
                <w:bCs/>
                <w:color w:val="auto"/>
                <w:sz w:val="24"/>
              </w:rPr>
              <w:t>（</w:t>
            </w:r>
            <w:r>
              <w:rPr>
                <w:rFonts w:hint="eastAsia" w:ascii="宋体" w:hAnsi="宋体" w:cs="宋体"/>
                <w:b/>
                <w:bCs/>
                <w:color w:val="auto"/>
                <w:sz w:val="24"/>
                <w:lang w:val="en-US" w:eastAsia="zh-CN"/>
              </w:rPr>
              <w:t>工艺流程、检验程序</w:t>
            </w:r>
            <w:r>
              <w:rPr>
                <w:rFonts w:hint="eastAsia" w:ascii="宋体" w:hAnsi="宋体" w:cs="宋体"/>
                <w:b/>
                <w:bCs/>
                <w:color w:val="auto"/>
                <w:sz w:val="24"/>
              </w:rPr>
              <w:t>科学合理得</w:t>
            </w:r>
            <w:r>
              <w:rPr>
                <w:rFonts w:hint="eastAsia" w:ascii="宋体" w:hAnsi="宋体" w:cs="宋体"/>
                <w:b/>
                <w:bCs/>
                <w:color w:val="auto"/>
                <w:sz w:val="24"/>
                <w:lang w:val="en-US" w:eastAsia="zh-CN"/>
              </w:rPr>
              <w:t>5</w:t>
            </w:r>
            <w:r>
              <w:rPr>
                <w:rFonts w:hint="eastAsia" w:ascii="宋体" w:hAnsi="宋体" w:cs="宋体"/>
                <w:b/>
                <w:bCs/>
                <w:color w:val="auto"/>
                <w:sz w:val="24"/>
              </w:rPr>
              <w:t>分；</w:t>
            </w:r>
            <w:r>
              <w:rPr>
                <w:rFonts w:hint="eastAsia" w:ascii="宋体" w:hAnsi="宋体" w:cs="宋体"/>
                <w:b/>
                <w:bCs/>
                <w:color w:val="auto"/>
                <w:sz w:val="24"/>
                <w:lang w:val="en-US" w:eastAsia="zh-CN"/>
              </w:rPr>
              <w:t>工艺流程、检验程序</w:t>
            </w:r>
            <w:r>
              <w:rPr>
                <w:rFonts w:hint="eastAsia" w:ascii="宋体" w:hAnsi="宋体" w:cs="宋体"/>
                <w:b/>
                <w:bCs/>
                <w:color w:val="auto"/>
                <w:sz w:val="24"/>
              </w:rPr>
              <w:t>科学一般得</w:t>
            </w:r>
            <w:r>
              <w:rPr>
                <w:rFonts w:hint="eastAsia" w:ascii="宋体" w:hAnsi="宋体" w:cs="宋体"/>
                <w:b/>
                <w:bCs/>
                <w:color w:val="auto"/>
                <w:sz w:val="24"/>
                <w:lang w:val="en-US" w:eastAsia="zh-CN"/>
              </w:rPr>
              <w:t>3</w:t>
            </w:r>
            <w:r>
              <w:rPr>
                <w:rFonts w:hint="eastAsia" w:ascii="宋体" w:hAnsi="宋体" w:cs="宋体"/>
                <w:b/>
                <w:bCs/>
                <w:color w:val="auto"/>
                <w:sz w:val="24"/>
              </w:rPr>
              <w:t>分；</w:t>
            </w:r>
            <w:r>
              <w:rPr>
                <w:rFonts w:hint="eastAsia" w:ascii="宋体" w:hAnsi="宋体" w:cs="宋体"/>
                <w:b/>
                <w:bCs/>
                <w:color w:val="auto"/>
                <w:sz w:val="24"/>
                <w:lang w:val="en-US" w:eastAsia="zh-CN"/>
              </w:rPr>
              <w:t>工艺流程、检验程序</w:t>
            </w:r>
            <w:r>
              <w:rPr>
                <w:rFonts w:hint="eastAsia" w:ascii="宋体" w:hAnsi="宋体" w:cs="宋体"/>
                <w:b/>
                <w:bCs/>
                <w:color w:val="auto"/>
                <w:sz w:val="24"/>
              </w:rPr>
              <w:t>科学欠佳得1分；</w:t>
            </w:r>
            <w:r>
              <w:rPr>
                <w:rFonts w:hint="eastAsia" w:ascii="宋体" w:hAnsi="宋体" w:cs="宋体"/>
                <w:b/>
                <w:bCs/>
                <w:color w:val="auto"/>
                <w:sz w:val="24"/>
                <w:lang w:val="en-US" w:eastAsia="zh-CN"/>
              </w:rPr>
              <w:t>不提供</w:t>
            </w:r>
            <w:r>
              <w:rPr>
                <w:rFonts w:hint="eastAsia" w:ascii="宋体" w:hAnsi="宋体" w:cs="宋体"/>
                <w:b/>
                <w:bCs/>
                <w:color w:val="auto"/>
                <w:sz w:val="24"/>
              </w:rPr>
              <w:t>得0分。）</w:t>
            </w:r>
          </w:p>
        </w:tc>
        <w:tc>
          <w:tcPr>
            <w:tcW w:w="615" w:type="dxa"/>
            <w:tcBorders>
              <w:tl2br w:val="nil"/>
              <w:tr2bl w:val="nil"/>
            </w:tcBorders>
            <w:vAlign w:val="center"/>
          </w:tcPr>
          <w:p>
            <w:pPr>
              <w:jc w:val="center"/>
              <w:rPr>
                <w:rFonts w:ascii="宋体" w:hAnsi="宋体" w:cs="宋体"/>
                <w:color w:val="auto"/>
                <w:sz w:val="24"/>
              </w:rPr>
            </w:pPr>
            <w:r>
              <w:rPr>
                <w:rFonts w:ascii="宋体" w:hAnsi="宋体" w:cs="宋体"/>
                <w:color w:val="auto"/>
                <w:sz w:val="24"/>
              </w:rPr>
              <w:t>5</w:t>
            </w:r>
          </w:p>
        </w:tc>
        <w:tc>
          <w:tcPr>
            <w:tcW w:w="840" w:type="dxa"/>
            <w:tcBorders>
              <w:tl2br w:val="nil"/>
              <w:tr2bl w:val="nil"/>
            </w:tcBorders>
            <w:vAlign w:val="center"/>
          </w:tcPr>
          <w:p>
            <w:pPr>
              <w:snapToGrid w:val="0"/>
              <w:jc w:val="center"/>
              <w:rPr>
                <w:rFonts w:ascii="宋体" w:hAnsi="宋体" w:cs="宋体"/>
                <w:bCs/>
                <w:color w:val="auto"/>
                <w:sz w:val="24"/>
              </w:rPr>
            </w:pPr>
            <w:r>
              <w:rPr>
                <w:rFonts w:hint="eastAsia" w:ascii="宋体" w:hAnsi="宋体" w:cs="宋体"/>
                <w:bCs/>
                <w:color w:val="auto"/>
                <w:sz w:val="24"/>
              </w:rPr>
              <w:t>主观分</w:t>
            </w:r>
          </w:p>
        </w:tc>
        <w:tc>
          <w:tcPr>
            <w:tcW w:w="1065" w:type="dxa"/>
            <w:tcBorders>
              <w:tl2br w:val="nil"/>
              <w:tr2bl w:val="nil"/>
            </w:tcBorders>
          </w:tcPr>
          <w:p>
            <w:pPr>
              <w:snapToGrid w:val="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549" w:type="dxa"/>
            <w:tcBorders>
              <w:tl2br w:val="nil"/>
              <w:tr2bl w:val="nil"/>
            </w:tcBorders>
            <w:vAlign w:val="center"/>
          </w:tcPr>
          <w:p>
            <w:pPr>
              <w:snapToGrid w:val="0"/>
              <w:jc w:val="center"/>
              <w:rPr>
                <w:rFonts w:ascii="宋体" w:hAnsi="宋体" w:cs="宋体"/>
                <w:color w:val="auto"/>
                <w:sz w:val="24"/>
              </w:rPr>
            </w:pPr>
            <w:r>
              <w:rPr>
                <w:rFonts w:hint="eastAsia" w:ascii="宋体" w:hAnsi="宋体" w:cs="宋体"/>
                <w:color w:val="auto"/>
                <w:sz w:val="24"/>
              </w:rPr>
              <w:t>5</w:t>
            </w:r>
          </w:p>
        </w:tc>
        <w:tc>
          <w:tcPr>
            <w:tcW w:w="5925" w:type="dxa"/>
            <w:tcBorders>
              <w:tl2br w:val="nil"/>
              <w:tr2bl w:val="nil"/>
            </w:tcBorders>
            <w:vAlign w:val="center"/>
          </w:tcPr>
          <w:p>
            <w:pPr>
              <w:jc w:val="left"/>
              <w:rPr>
                <w:rFonts w:ascii="宋体" w:hAnsi="宋体" w:cs="宋体"/>
                <w:color w:val="auto"/>
                <w:sz w:val="24"/>
              </w:rPr>
            </w:pPr>
            <w:r>
              <w:rPr>
                <w:rFonts w:hint="eastAsia" w:ascii="宋体" w:hAnsi="宋体" w:cs="宋体"/>
                <w:color w:val="auto"/>
                <w:sz w:val="24"/>
              </w:rPr>
              <w:t>安装调试等方案：根据投标人在产品进场前准备措施是否充分，产品进场后对突发状况考虑是否全面且有完善的应对措施，安装、调试、验收方案具体、详细、可行等。</w:t>
            </w:r>
          </w:p>
          <w:p>
            <w:pPr>
              <w:jc w:val="left"/>
              <w:rPr>
                <w:rFonts w:ascii="宋体" w:hAnsi="宋体" w:cs="宋体"/>
                <w:color w:val="auto"/>
                <w:sz w:val="24"/>
              </w:rPr>
            </w:pPr>
            <w:r>
              <w:rPr>
                <w:rFonts w:hint="eastAsia" w:ascii="宋体" w:hAnsi="宋体" w:cs="宋体"/>
                <w:b/>
                <w:bCs/>
                <w:color w:val="auto"/>
                <w:sz w:val="24"/>
              </w:rPr>
              <w:t>（</w:t>
            </w:r>
            <w:r>
              <w:rPr>
                <w:rFonts w:hint="eastAsia" w:ascii="宋体" w:hAnsi="宋体" w:cs="宋体"/>
                <w:b/>
                <w:bCs/>
                <w:color w:val="auto"/>
                <w:sz w:val="24"/>
                <w:lang w:val="en-US" w:eastAsia="zh-CN"/>
              </w:rPr>
              <w:t>安装调试方案</w:t>
            </w:r>
            <w:r>
              <w:rPr>
                <w:rFonts w:hint="eastAsia" w:ascii="宋体" w:hAnsi="宋体" w:cs="宋体"/>
                <w:b/>
                <w:bCs/>
                <w:color w:val="auto"/>
                <w:sz w:val="24"/>
              </w:rPr>
              <w:t>科学合理得</w:t>
            </w:r>
            <w:r>
              <w:rPr>
                <w:rFonts w:hint="eastAsia" w:ascii="宋体" w:hAnsi="宋体" w:cs="宋体"/>
                <w:b/>
                <w:bCs/>
                <w:color w:val="auto"/>
                <w:sz w:val="24"/>
                <w:lang w:val="en-US" w:eastAsia="zh-CN"/>
              </w:rPr>
              <w:t>5</w:t>
            </w:r>
            <w:r>
              <w:rPr>
                <w:rFonts w:hint="eastAsia" w:ascii="宋体" w:hAnsi="宋体" w:cs="宋体"/>
                <w:b/>
                <w:bCs/>
                <w:color w:val="auto"/>
                <w:sz w:val="24"/>
              </w:rPr>
              <w:t>分；</w:t>
            </w:r>
            <w:r>
              <w:rPr>
                <w:rFonts w:hint="eastAsia" w:ascii="宋体" w:hAnsi="宋体" w:cs="宋体"/>
                <w:b/>
                <w:bCs/>
                <w:color w:val="auto"/>
                <w:sz w:val="24"/>
                <w:lang w:val="en-US" w:eastAsia="zh-CN"/>
              </w:rPr>
              <w:t>安装调试方案</w:t>
            </w:r>
            <w:r>
              <w:rPr>
                <w:rFonts w:hint="eastAsia" w:ascii="宋体" w:hAnsi="宋体" w:cs="宋体"/>
                <w:b/>
                <w:bCs/>
                <w:color w:val="auto"/>
                <w:sz w:val="24"/>
              </w:rPr>
              <w:t>一般得</w:t>
            </w:r>
            <w:r>
              <w:rPr>
                <w:rFonts w:hint="eastAsia" w:ascii="宋体" w:hAnsi="宋体" w:cs="宋体"/>
                <w:b/>
                <w:bCs/>
                <w:color w:val="auto"/>
                <w:sz w:val="24"/>
                <w:lang w:val="en-US" w:eastAsia="zh-CN"/>
              </w:rPr>
              <w:t>3</w:t>
            </w:r>
            <w:r>
              <w:rPr>
                <w:rFonts w:hint="eastAsia" w:ascii="宋体" w:hAnsi="宋体" w:cs="宋体"/>
                <w:b/>
                <w:bCs/>
                <w:color w:val="auto"/>
                <w:sz w:val="24"/>
              </w:rPr>
              <w:t>分；</w:t>
            </w:r>
            <w:r>
              <w:rPr>
                <w:rFonts w:hint="eastAsia" w:ascii="宋体" w:hAnsi="宋体" w:cs="宋体"/>
                <w:b/>
                <w:bCs/>
                <w:color w:val="auto"/>
                <w:sz w:val="24"/>
                <w:lang w:val="en-US" w:eastAsia="zh-CN"/>
              </w:rPr>
              <w:t>安装调试方案</w:t>
            </w:r>
            <w:r>
              <w:rPr>
                <w:rFonts w:hint="eastAsia" w:ascii="宋体" w:hAnsi="宋体" w:cs="宋体"/>
                <w:b/>
                <w:bCs/>
                <w:color w:val="auto"/>
                <w:sz w:val="24"/>
              </w:rPr>
              <w:t>欠佳得1分；</w:t>
            </w:r>
            <w:r>
              <w:rPr>
                <w:rFonts w:hint="eastAsia" w:ascii="宋体" w:hAnsi="宋体" w:cs="宋体"/>
                <w:b/>
                <w:bCs/>
                <w:color w:val="auto"/>
                <w:sz w:val="24"/>
                <w:lang w:val="en-US" w:eastAsia="zh-CN"/>
              </w:rPr>
              <w:t>不提供</w:t>
            </w:r>
            <w:r>
              <w:rPr>
                <w:rFonts w:hint="eastAsia" w:ascii="宋体" w:hAnsi="宋体" w:cs="宋体"/>
                <w:b/>
                <w:bCs/>
                <w:color w:val="auto"/>
                <w:sz w:val="24"/>
              </w:rPr>
              <w:t>得0分。）</w:t>
            </w:r>
          </w:p>
        </w:tc>
        <w:tc>
          <w:tcPr>
            <w:tcW w:w="615" w:type="dxa"/>
            <w:tcBorders>
              <w:tl2br w:val="nil"/>
              <w:tr2bl w:val="nil"/>
            </w:tcBorders>
            <w:vAlign w:val="center"/>
          </w:tcPr>
          <w:p>
            <w:pPr>
              <w:jc w:val="center"/>
              <w:rPr>
                <w:rFonts w:ascii="宋体" w:hAnsi="宋体" w:cs="宋体"/>
                <w:color w:val="auto"/>
                <w:sz w:val="24"/>
              </w:rPr>
            </w:pPr>
            <w:r>
              <w:rPr>
                <w:rFonts w:ascii="宋体" w:hAnsi="宋体" w:cs="宋体"/>
                <w:color w:val="auto"/>
                <w:sz w:val="24"/>
              </w:rPr>
              <w:t>5</w:t>
            </w:r>
          </w:p>
        </w:tc>
        <w:tc>
          <w:tcPr>
            <w:tcW w:w="840" w:type="dxa"/>
            <w:tcBorders>
              <w:tl2br w:val="nil"/>
              <w:tr2bl w:val="nil"/>
            </w:tcBorders>
            <w:vAlign w:val="center"/>
          </w:tcPr>
          <w:p>
            <w:pPr>
              <w:snapToGrid w:val="0"/>
              <w:jc w:val="center"/>
              <w:rPr>
                <w:rFonts w:ascii="宋体" w:hAnsi="宋体" w:cs="宋体"/>
                <w:bCs/>
                <w:color w:val="auto"/>
                <w:sz w:val="24"/>
              </w:rPr>
            </w:pPr>
            <w:r>
              <w:rPr>
                <w:rFonts w:hint="eastAsia" w:ascii="宋体" w:hAnsi="宋体" w:cs="宋体"/>
                <w:bCs/>
                <w:color w:val="auto"/>
                <w:sz w:val="24"/>
              </w:rPr>
              <w:t>主观分</w:t>
            </w:r>
          </w:p>
        </w:tc>
        <w:tc>
          <w:tcPr>
            <w:tcW w:w="1065" w:type="dxa"/>
            <w:tcBorders>
              <w:tl2br w:val="nil"/>
              <w:tr2bl w:val="nil"/>
            </w:tcBorders>
          </w:tcPr>
          <w:p>
            <w:pPr>
              <w:snapToGrid w:val="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9" w:type="dxa"/>
            <w:tcBorders>
              <w:tl2br w:val="nil"/>
              <w:tr2bl w:val="nil"/>
            </w:tcBorders>
            <w:vAlign w:val="center"/>
          </w:tcPr>
          <w:p>
            <w:pPr>
              <w:snapToGrid w:val="0"/>
              <w:jc w:val="center"/>
              <w:rPr>
                <w:rFonts w:ascii="宋体" w:hAnsi="宋体" w:cs="宋体"/>
                <w:color w:val="auto"/>
                <w:sz w:val="24"/>
              </w:rPr>
            </w:pPr>
            <w:r>
              <w:rPr>
                <w:rFonts w:hint="eastAsia" w:ascii="宋体" w:hAnsi="宋体" w:cs="宋体"/>
                <w:color w:val="auto"/>
                <w:sz w:val="24"/>
              </w:rPr>
              <w:t>6</w:t>
            </w:r>
          </w:p>
        </w:tc>
        <w:tc>
          <w:tcPr>
            <w:tcW w:w="5925" w:type="dxa"/>
            <w:tcBorders>
              <w:tl2br w:val="nil"/>
              <w:tr2bl w:val="nil"/>
            </w:tcBorders>
            <w:vAlign w:val="center"/>
          </w:tcPr>
          <w:p>
            <w:pPr>
              <w:jc w:val="left"/>
              <w:rPr>
                <w:rFonts w:ascii="宋体" w:hAnsi="宋体" w:cs="宋体"/>
                <w:color w:val="auto"/>
                <w:sz w:val="24"/>
              </w:rPr>
            </w:pPr>
            <w:r>
              <w:rPr>
                <w:rFonts w:hint="eastAsia" w:ascii="宋体" w:hAnsi="宋体" w:cs="宋体"/>
                <w:color w:val="auto"/>
                <w:sz w:val="24"/>
              </w:rPr>
              <w:t>质量保障：根据投标人质量保证目标、质量保证是否科学、合理等。</w:t>
            </w:r>
          </w:p>
          <w:p>
            <w:pPr>
              <w:jc w:val="left"/>
              <w:rPr>
                <w:rFonts w:ascii="宋体" w:hAnsi="宋体" w:cs="宋体"/>
                <w:color w:val="auto"/>
                <w:sz w:val="24"/>
              </w:rPr>
            </w:pPr>
            <w:r>
              <w:rPr>
                <w:rFonts w:hint="eastAsia" w:ascii="宋体" w:hAnsi="宋体" w:cs="宋体"/>
                <w:b/>
                <w:bCs/>
                <w:color w:val="auto"/>
                <w:sz w:val="24"/>
              </w:rPr>
              <w:t>（投标人对招标项目的质量控制明确、保证措施切实、可行的得</w:t>
            </w:r>
            <w:r>
              <w:rPr>
                <w:rFonts w:hint="eastAsia" w:ascii="宋体" w:hAnsi="宋体" w:cs="宋体"/>
                <w:b/>
                <w:bCs/>
                <w:color w:val="auto"/>
                <w:sz w:val="24"/>
                <w:lang w:val="en-US" w:eastAsia="zh-CN"/>
              </w:rPr>
              <w:t>5</w:t>
            </w:r>
            <w:r>
              <w:rPr>
                <w:rFonts w:hint="eastAsia" w:ascii="宋体" w:hAnsi="宋体" w:cs="宋体"/>
                <w:b/>
                <w:bCs/>
                <w:color w:val="auto"/>
                <w:sz w:val="24"/>
              </w:rPr>
              <w:t>分；质量、控制较明确、保证措施较切实、较可行的得</w:t>
            </w:r>
            <w:r>
              <w:rPr>
                <w:rFonts w:hint="eastAsia" w:ascii="宋体" w:hAnsi="宋体" w:cs="宋体"/>
                <w:b/>
                <w:bCs/>
                <w:color w:val="auto"/>
                <w:sz w:val="24"/>
                <w:lang w:val="en-US" w:eastAsia="zh-CN"/>
              </w:rPr>
              <w:t>3</w:t>
            </w:r>
            <w:r>
              <w:rPr>
                <w:rFonts w:hint="eastAsia" w:ascii="宋体" w:hAnsi="宋体" w:cs="宋体"/>
                <w:b/>
                <w:bCs/>
                <w:color w:val="auto"/>
                <w:sz w:val="24"/>
              </w:rPr>
              <w:t>分；质量控制一般、保证措施一般的得1分；</w:t>
            </w:r>
            <w:r>
              <w:rPr>
                <w:rFonts w:hint="eastAsia" w:ascii="宋体" w:hAnsi="宋体" w:cs="宋体"/>
                <w:b/>
                <w:bCs/>
                <w:color w:val="auto"/>
                <w:sz w:val="24"/>
                <w:lang w:val="en-US" w:eastAsia="zh-CN"/>
              </w:rPr>
              <w:t>不提供</w:t>
            </w:r>
            <w:r>
              <w:rPr>
                <w:rFonts w:hint="eastAsia" w:ascii="宋体" w:hAnsi="宋体" w:cs="宋体"/>
                <w:b/>
                <w:bCs/>
                <w:color w:val="auto"/>
                <w:sz w:val="24"/>
              </w:rPr>
              <w:t>得0分。）</w:t>
            </w:r>
          </w:p>
        </w:tc>
        <w:tc>
          <w:tcPr>
            <w:tcW w:w="615" w:type="dxa"/>
            <w:tcBorders>
              <w:tl2br w:val="nil"/>
              <w:tr2bl w:val="nil"/>
            </w:tcBorders>
            <w:vAlign w:val="center"/>
          </w:tcPr>
          <w:p>
            <w:pPr>
              <w:jc w:val="center"/>
              <w:rPr>
                <w:rFonts w:ascii="宋体" w:hAnsi="宋体" w:cs="宋体"/>
                <w:color w:val="auto"/>
                <w:sz w:val="24"/>
              </w:rPr>
            </w:pPr>
            <w:r>
              <w:rPr>
                <w:rFonts w:ascii="宋体" w:hAnsi="宋体" w:cs="宋体"/>
                <w:color w:val="auto"/>
                <w:sz w:val="24"/>
              </w:rPr>
              <w:t>5</w:t>
            </w:r>
          </w:p>
        </w:tc>
        <w:tc>
          <w:tcPr>
            <w:tcW w:w="840" w:type="dxa"/>
            <w:tcBorders>
              <w:tl2br w:val="nil"/>
              <w:tr2bl w:val="nil"/>
            </w:tcBorders>
            <w:vAlign w:val="center"/>
          </w:tcPr>
          <w:p>
            <w:pPr>
              <w:snapToGrid w:val="0"/>
              <w:jc w:val="center"/>
              <w:rPr>
                <w:rFonts w:ascii="宋体" w:hAnsi="宋体" w:cs="宋体"/>
                <w:bCs/>
                <w:color w:val="auto"/>
                <w:sz w:val="24"/>
              </w:rPr>
            </w:pPr>
            <w:r>
              <w:rPr>
                <w:rFonts w:hint="eastAsia" w:ascii="宋体" w:hAnsi="宋体" w:cs="宋体"/>
                <w:bCs/>
                <w:color w:val="auto"/>
                <w:sz w:val="24"/>
              </w:rPr>
              <w:t>主观分</w:t>
            </w:r>
          </w:p>
        </w:tc>
        <w:tc>
          <w:tcPr>
            <w:tcW w:w="1065" w:type="dxa"/>
            <w:tcBorders>
              <w:tl2br w:val="nil"/>
              <w:tr2bl w:val="nil"/>
            </w:tcBorders>
          </w:tcPr>
          <w:p>
            <w:pPr>
              <w:snapToGrid w:val="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9" w:type="dxa"/>
            <w:tcBorders>
              <w:tl2br w:val="nil"/>
              <w:tr2bl w:val="nil"/>
            </w:tcBorders>
            <w:vAlign w:val="center"/>
          </w:tcPr>
          <w:p>
            <w:pPr>
              <w:snapToGrid w:val="0"/>
              <w:jc w:val="center"/>
              <w:rPr>
                <w:rFonts w:ascii="宋体" w:hAnsi="宋体" w:cs="宋体"/>
                <w:color w:val="auto"/>
                <w:sz w:val="24"/>
              </w:rPr>
            </w:pPr>
            <w:r>
              <w:rPr>
                <w:rFonts w:hint="eastAsia" w:ascii="宋体" w:hAnsi="宋体" w:cs="宋体"/>
                <w:color w:val="auto"/>
                <w:sz w:val="24"/>
              </w:rPr>
              <w:t>7</w:t>
            </w:r>
          </w:p>
        </w:tc>
        <w:tc>
          <w:tcPr>
            <w:tcW w:w="5925" w:type="dxa"/>
            <w:tcBorders>
              <w:tl2br w:val="nil"/>
              <w:tr2bl w:val="nil"/>
            </w:tcBorders>
            <w:vAlign w:val="center"/>
          </w:tcPr>
          <w:p>
            <w:pPr>
              <w:jc w:val="left"/>
              <w:rPr>
                <w:rFonts w:ascii="宋体" w:hAnsi="宋体" w:cs="宋体"/>
                <w:color w:val="auto"/>
                <w:sz w:val="24"/>
              </w:rPr>
            </w:pPr>
            <w:r>
              <w:rPr>
                <w:rFonts w:hint="eastAsia" w:ascii="宋体" w:hAnsi="宋体" w:cs="宋体"/>
                <w:color w:val="auto"/>
                <w:sz w:val="24"/>
              </w:rPr>
              <w:t>安全保障：根据投标人的安全文明保证措施是否明确可行，是否有详细可行的实施计划安排等。</w:t>
            </w:r>
          </w:p>
          <w:p>
            <w:pPr>
              <w:jc w:val="left"/>
              <w:rPr>
                <w:rFonts w:ascii="宋体" w:hAnsi="宋体" w:cs="宋体"/>
                <w:color w:val="auto"/>
                <w:sz w:val="24"/>
              </w:rPr>
            </w:pPr>
            <w:r>
              <w:rPr>
                <w:rFonts w:hint="eastAsia" w:ascii="宋体" w:hAnsi="宋体" w:cs="宋体"/>
                <w:b/>
                <w:bCs/>
                <w:color w:val="auto"/>
                <w:sz w:val="24"/>
              </w:rPr>
              <w:t>（投标人对招标项目的</w:t>
            </w:r>
            <w:r>
              <w:rPr>
                <w:rFonts w:hint="eastAsia" w:ascii="宋体" w:hAnsi="宋体" w:cs="宋体"/>
                <w:b/>
                <w:bCs/>
                <w:color w:val="auto"/>
                <w:sz w:val="24"/>
                <w:lang w:val="en-US" w:eastAsia="zh-CN"/>
              </w:rPr>
              <w:t>安全保障</w:t>
            </w:r>
            <w:r>
              <w:rPr>
                <w:rFonts w:hint="eastAsia" w:ascii="宋体" w:hAnsi="宋体" w:cs="宋体"/>
                <w:b/>
                <w:bCs/>
                <w:color w:val="auto"/>
                <w:sz w:val="24"/>
              </w:rPr>
              <w:t>明确、保证措施切实、可行的得</w:t>
            </w:r>
            <w:r>
              <w:rPr>
                <w:rFonts w:hint="eastAsia" w:ascii="宋体" w:hAnsi="宋体" w:cs="宋体"/>
                <w:b/>
                <w:bCs/>
                <w:color w:val="auto"/>
                <w:sz w:val="24"/>
                <w:lang w:val="en-US" w:eastAsia="zh-CN"/>
              </w:rPr>
              <w:t>5</w:t>
            </w:r>
            <w:r>
              <w:rPr>
                <w:rFonts w:hint="eastAsia" w:ascii="宋体" w:hAnsi="宋体" w:cs="宋体"/>
                <w:b/>
                <w:bCs/>
                <w:color w:val="auto"/>
                <w:sz w:val="24"/>
              </w:rPr>
              <w:t>分；</w:t>
            </w:r>
            <w:r>
              <w:rPr>
                <w:rFonts w:hint="eastAsia" w:ascii="宋体" w:hAnsi="宋体" w:cs="宋体"/>
                <w:b/>
                <w:bCs/>
                <w:color w:val="auto"/>
                <w:sz w:val="24"/>
                <w:lang w:val="en-US" w:eastAsia="zh-CN"/>
              </w:rPr>
              <w:t>安全保障</w:t>
            </w:r>
            <w:r>
              <w:rPr>
                <w:rFonts w:hint="eastAsia" w:ascii="宋体" w:hAnsi="宋体" w:cs="宋体"/>
                <w:b/>
                <w:bCs/>
                <w:color w:val="auto"/>
                <w:sz w:val="24"/>
              </w:rPr>
              <w:t>较明确、保证措施较切实、较可行的得</w:t>
            </w:r>
            <w:r>
              <w:rPr>
                <w:rFonts w:hint="eastAsia" w:ascii="宋体" w:hAnsi="宋体" w:cs="宋体"/>
                <w:b/>
                <w:bCs/>
                <w:color w:val="auto"/>
                <w:sz w:val="24"/>
                <w:lang w:val="en-US" w:eastAsia="zh-CN"/>
              </w:rPr>
              <w:t>3</w:t>
            </w:r>
            <w:r>
              <w:rPr>
                <w:rFonts w:hint="eastAsia" w:ascii="宋体" w:hAnsi="宋体" w:cs="宋体"/>
                <w:b/>
                <w:bCs/>
                <w:color w:val="auto"/>
                <w:sz w:val="24"/>
              </w:rPr>
              <w:t>分；</w:t>
            </w:r>
            <w:r>
              <w:rPr>
                <w:rFonts w:hint="eastAsia" w:ascii="宋体" w:hAnsi="宋体" w:cs="宋体"/>
                <w:b/>
                <w:bCs/>
                <w:color w:val="auto"/>
                <w:sz w:val="24"/>
                <w:lang w:val="en-US" w:eastAsia="zh-CN"/>
              </w:rPr>
              <w:t>安全保障</w:t>
            </w:r>
            <w:r>
              <w:rPr>
                <w:rFonts w:hint="eastAsia" w:ascii="宋体" w:hAnsi="宋体" w:cs="宋体"/>
                <w:b/>
                <w:bCs/>
                <w:color w:val="auto"/>
                <w:sz w:val="24"/>
              </w:rPr>
              <w:t>一般、保证措施一般的得1分；</w:t>
            </w:r>
            <w:r>
              <w:rPr>
                <w:rFonts w:hint="eastAsia" w:ascii="宋体" w:hAnsi="宋体" w:cs="宋体"/>
                <w:b/>
                <w:bCs/>
                <w:color w:val="auto"/>
                <w:sz w:val="24"/>
                <w:lang w:val="en-US" w:eastAsia="zh-CN"/>
              </w:rPr>
              <w:t>不提供</w:t>
            </w:r>
            <w:r>
              <w:rPr>
                <w:rFonts w:hint="eastAsia" w:ascii="宋体" w:hAnsi="宋体" w:cs="宋体"/>
                <w:b/>
                <w:bCs/>
                <w:color w:val="auto"/>
                <w:sz w:val="24"/>
              </w:rPr>
              <w:t>得0分。）</w:t>
            </w:r>
          </w:p>
        </w:tc>
        <w:tc>
          <w:tcPr>
            <w:tcW w:w="615" w:type="dxa"/>
            <w:tcBorders>
              <w:tl2br w:val="nil"/>
              <w:tr2bl w:val="nil"/>
            </w:tcBorders>
            <w:vAlign w:val="center"/>
          </w:tcPr>
          <w:p>
            <w:pPr>
              <w:jc w:val="center"/>
              <w:rPr>
                <w:rFonts w:ascii="宋体" w:hAnsi="宋体" w:cs="宋体"/>
                <w:color w:val="auto"/>
                <w:sz w:val="24"/>
              </w:rPr>
            </w:pPr>
            <w:r>
              <w:rPr>
                <w:rFonts w:ascii="宋体" w:hAnsi="宋体" w:cs="宋体"/>
                <w:color w:val="auto"/>
                <w:sz w:val="24"/>
              </w:rPr>
              <w:t>5</w:t>
            </w:r>
          </w:p>
        </w:tc>
        <w:tc>
          <w:tcPr>
            <w:tcW w:w="840" w:type="dxa"/>
            <w:tcBorders>
              <w:tl2br w:val="nil"/>
              <w:tr2bl w:val="nil"/>
            </w:tcBorders>
            <w:vAlign w:val="center"/>
          </w:tcPr>
          <w:p>
            <w:pPr>
              <w:snapToGrid w:val="0"/>
              <w:jc w:val="center"/>
              <w:rPr>
                <w:rFonts w:ascii="宋体" w:hAnsi="宋体" w:cs="宋体"/>
                <w:bCs/>
                <w:color w:val="auto"/>
                <w:sz w:val="24"/>
              </w:rPr>
            </w:pPr>
            <w:r>
              <w:rPr>
                <w:rFonts w:hint="eastAsia" w:ascii="宋体" w:hAnsi="宋体" w:cs="宋体"/>
                <w:bCs/>
                <w:color w:val="auto"/>
                <w:sz w:val="24"/>
              </w:rPr>
              <w:t>主观分</w:t>
            </w:r>
          </w:p>
        </w:tc>
        <w:tc>
          <w:tcPr>
            <w:tcW w:w="1065" w:type="dxa"/>
            <w:tcBorders>
              <w:tl2br w:val="nil"/>
              <w:tr2bl w:val="nil"/>
            </w:tcBorders>
          </w:tcPr>
          <w:p>
            <w:pPr>
              <w:snapToGrid w:val="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549" w:type="dxa"/>
            <w:tcBorders>
              <w:tl2br w:val="nil"/>
              <w:tr2bl w:val="nil"/>
            </w:tcBorders>
            <w:vAlign w:val="center"/>
          </w:tcPr>
          <w:p>
            <w:pPr>
              <w:snapToGrid w:val="0"/>
              <w:jc w:val="center"/>
              <w:rPr>
                <w:rFonts w:ascii="宋体" w:hAnsi="宋体" w:cs="宋体"/>
                <w:color w:val="auto"/>
                <w:sz w:val="24"/>
              </w:rPr>
            </w:pPr>
            <w:r>
              <w:rPr>
                <w:rFonts w:hint="eastAsia" w:ascii="宋体" w:hAnsi="宋体" w:cs="宋体"/>
                <w:color w:val="auto"/>
                <w:sz w:val="24"/>
              </w:rPr>
              <w:t>8</w:t>
            </w:r>
          </w:p>
        </w:tc>
        <w:tc>
          <w:tcPr>
            <w:tcW w:w="5925" w:type="dxa"/>
            <w:tcBorders>
              <w:tl2br w:val="nil"/>
              <w:tr2bl w:val="nil"/>
            </w:tcBorders>
            <w:vAlign w:val="center"/>
          </w:tcPr>
          <w:p>
            <w:pPr>
              <w:jc w:val="left"/>
              <w:rPr>
                <w:rFonts w:ascii="宋体" w:hAnsi="宋体" w:cs="宋体"/>
                <w:color w:val="auto"/>
                <w:sz w:val="24"/>
              </w:rPr>
            </w:pPr>
            <w:r>
              <w:rPr>
                <w:rFonts w:hint="eastAsia" w:ascii="宋体" w:hAnsi="宋体" w:cs="宋体"/>
                <w:color w:val="auto"/>
                <w:sz w:val="24"/>
              </w:rPr>
              <w:t>设备安排情况：根据投标人安排本项目的设备情况是否能满足本项目需求等。</w:t>
            </w:r>
          </w:p>
          <w:p>
            <w:pPr>
              <w:widowControl w:val="0"/>
              <w:numPr>
                <w:ilvl w:val="0"/>
                <w:numId w:val="0"/>
              </w:numPr>
              <w:wordWrap/>
              <w:adjustRightInd/>
              <w:snapToGrid w:val="0"/>
              <w:spacing w:line="360" w:lineRule="auto"/>
              <w:ind w:right="0"/>
              <w:jc w:val="left"/>
              <w:textAlignment w:val="auto"/>
              <w:outlineLvl w:val="9"/>
              <w:rPr>
                <w:rFonts w:ascii="宋体" w:hAnsi="宋体" w:cs="宋体"/>
                <w:color w:val="auto"/>
                <w:sz w:val="24"/>
              </w:rPr>
            </w:pPr>
            <w:r>
              <w:rPr>
                <w:rFonts w:hint="eastAsia" w:ascii="宋体" w:hAnsi="宋体" w:cs="宋体"/>
                <w:b/>
                <w:bCs/>
                <w:color w:val="auto"/>
                <w:sz w:val="24"/>
              </w:rPr>
              <w:t>（</w:t>
            </w:r>
            <w:r>
              <w:rPr>
                <w:rFonts w:hint="eastAsia" w:ascii="宋体" w:hAnsi="宋体" w:eastAsia="宋体" w:cs="宋体"/>
                <w:b/>
                <w:bCs/>
                <w:color w:val="auto"/>
                <w:sz w:val="24"/>
                <w:u w:val="none" w:color="auto"/>
                <w:lang w:eastAsia="zh-CN"/>
              </w:rPr>
              <w:t>配置</w:t>
            </w:r>
            <w:r>
              <w:rPr>
                <w:rFonts w:hint="eastAsia" w:ascii="宋体" w:hAnsi="宋体" w:eastAsia="宋体" w:cs="宋体"/>
                <w:b/>
                <w:bCs/>
                <w:color w:val="auto"/>
                <w:sz w:val="24"/>
                <w:u w:val="none" w:color="auto"/>
                <w:lang w:val="en-US" w:eastAsia="zh-CN"/>
              </w:rPr>
              <w:t>完整的得5分，配置完整但有欠缺的得3分，配置基本符合要求但不完整的得1分，配置不符合要求不得分；</w:t>
            </w:r>
            <w:r>
              <w:rPr>
                <w:rFonts w:hint="eastAsia" w:ascii="宋体" w:hAnsi="宋体" w:cs="宋体"/>
                <w:b/>
                <w:bCs/>
                <w:color w:val="auto"/>
                <w:sz w:val="24"/>
              </w:rPr>
              <w:t>）</w:t>
            </w:r>
          </w:p>
        </w:tc>
        <w:tc>
          <w:tcPr>
            <w:tcW w:w="615" w:type="dxa"/>
            <w:tcBorders>
              <w:tl2br w:val="nil"/>
              <w:tr2bl w:val="nil"/>
            </w:tcBorders>
            <w:vAlign w:val="center"/>
          </w:tcPr>
          <w:p>
            <w:pPr>
              <w:jc w:val="center"/>
              <w:rPr>
                <w:rFonts w:ascii="宋体" w:hAnsi="宋体" w:cs="宋体"/>
                <w:color w:val="auto"/>
                <w:sz w:val="24"/>
              </w:rPr>
            </w:pPr>
            <w:r>
              <w:rPr>
                <w:rFonts w:ascii="宋体" w:hAnsi="宋体" w:cs="宋体"/>
                <w:color w:val="auto"/>
                <w:sz w:val="24"/>
              </w:rPr>
              <w:t>5</w:t>
            </w:r>
          </w:p>
        </w:tc>
        <w:tc>
          <w:tcPr>
            <w:tcW w:w="840" w:type="dxa"/>
            <w:tcBorders>
              <w:tl2br w:val="nil"/>
              <w:tr2bl w:val="nil"/>
            </w:tcBorders>
            <w:vAlign w:val="center"/>
          </w:tcPr>
          <w:p>
            <w:pPr>
              <w:snapToGrid w:val="0"/>
              <w:jc w:val="center"/>
              <w:rPr>
                <w:rFonts w:ascii="宋体" w:hAnsi="宋体" w:cs="宋体"/>
                <w:bCs/>
                <w:color w:val="auto"/>
                <w:sz w:val="24"/>
              </w:rPr>
            </w:pPr>
            <w:r>
              <w:rPr>
                <w:rFonts w:hint="eastAsia" w:ascii="宋体" w:hAnsi="宋体" w:cs="宋体"/>
                <w:bCs/>
                <w:color w:val="auto"/>
                <w:sz w:val="24"/>
              </w:rPr>
              <w:t>主观分</w:t>
            </w:r>
          </w:p>
        </w:tc>
        <w:tc>
          <w:tcPr>
            <w:tcW w:w="1065" w:type="dxa"/>
            <w:tcBorders>
              <w:tl2br w:val="nil"/>
              <w:tr2bl w:val="nil"/>
            </w:tcBorders>
          </w:tcPr>
          <w:p>
            <w:pPr>
              <w:snapToGrid w:val="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549" w:type="dxa"/>
            <w:tcBorders>
              <w:tl2br w:val="nil"/>
              <w:tr2bl w:val="nil"/>
            </w:tcBorders>
            <w:vAlign w:val="center"/>
          </w:tcPr>
          <w:p>
            <w:pPr>
              <w:snapToGrid w:val="0"/>
              <w:jc w:val="center"/>
              <w:rPr>
                <w:rFonts w:ascii="宋体" w:hAnsi="宋体" w:cs="宋体"/>
                <w:color w:val="auto"/>
                <w:sz w:val="24"/>
              </w:rPr>
            </w:pPr>
            <w:r>
              <w:rPr>
                <w:rFonts w:hint="eastAsia" w:ascii="宋体" w:hAnsi="宋体" w:cs="宋体"/>
                <w:color w:val="auto"/>
                <w:sz w:val="24"/>
              </w:rPr>
              <w:t>9</w:t>
            </w:r>
          </w:p>
        </w:tc>
        <w:tc>
          <w:tcPr>
            <w:tcW w:w="5925" w:type="dxa"/>
            <w:tcBorders>
              <w:tl2br w:val="nil"/>
              <w:tr2bl w:val="nil"/>
            </w:tcBorders>
            <w:vAlign w:val="center"/>
          </w:tcPr>
          <w:p>
            <w:pPr>
              <w:rPr>
                <w:rFonts w:ascii="宋体" w:hAnsi="宋体" w:cs="宋体"/>
                <w:color w:val="auto"/>
                <w:sz w:val="24"/>
              </w:rPr>
            </w:pPr>
            <w:r>
              <w:rPr>
                <w:rFonts w:hint="eastAsia" w:ascii="宋体" w:hAnsi="宋体" w:cs="宋体"/>
                <w:color w:val="auto"/>
                <w:sz w:val="24"/>
              </w:rPr>
              <w:t>售后服务方案：根据投标人的服务承诺，服务承诺落实的保障措施，质保期内外的后续技术支持以及维护能力是否合理、全面等。</w:t>
            </w:r>
          </w:p>
          <w:p>
            <w:pPr>
              <w:rPr>
                <w:rFonts w:ascii="宋体" w:hAnsi="宋体" w:cs="宋体"/>
                <w:color w:val="auto"/>
                <w:sz w:val="24"/>
              </w:rPr>
            </w:pPr>
            <w:r>
              <w:rPr>
                <w:rFonts w:hint="eastAsia" w:hAnsi="宋体" w:cs="宋体"/>
                <w:b/>
                <w:bCs w:val="0"/>
                <w:lang w:eastAsia="zh-CN"/>
              </w:rPr>
              <w:t>（</w:t>
            </w:r>
            <w:r>
              <w:rPr>
                <w:rFonts w:hint="eastAsia" w:hAnsi="宋体" w:cs="宋体"/>
                <w:b/>
                <w:bCs w:val="0"/>
              </w:rPr>
              <w:t>根据</w:t>
            </w:r>
            <w:r>
              <w:rPr>
                <w:rFonts w:hint="eastAsia" w:hAnsi="宋体" w:cs="宋体"/>
                <w:b/>
                <w:bCs w:val="0"/>
                <w:lang w:val="en-US" w:eastAsia="zh-CN"/>
              </w:rPr>
              <w:t>售后服务</w:t>
            </w:r>
            <w:r>
              <w:rPr>
                <w:rFonts w:hint="eastAsia" w:hAnsi="宋体" w:cs="宋体"/>
                <w:b/>
                <w:bCs w:val="0"/>
              </w:rPr>
              <w:t>方案的完整性、科学性、合理性、可操作性进行评审。方案表述完整、科学合理、可操作性强的得</w:t>
            </w:r>
            <w:r>
              <w:rPr>
                <w:rFonts w:hint="eastAsia" w:hAnsi="宋体" w:cs="宋体"/>
                <w:b/>
                <w:bCs w:val="0"/>
                <w:lang w:val="en-US" w:eastAsia="zh-CN"/>
              </w:rPr>
              <w:t>5</w:t>
            </w:r>
            <w:r>
              <w:rPr>
                <w:rFonts w:hint="eastAsia" w:hAnsi="宋体" w:cs="宋体"/>
                <w:b/>
                <w:bCs w:val="0"/>
              </w:rPr>
              <w:t>分，基本完整、较为合理的得</w:t>
            </w:r>
            <w:r>
              <w:rPr>
                <w:rFonts w:hint="eastAsia" w:hAnsi="宋体" w:cs="宋体"/>
                <w:b/>
                <w:bCs w:val="0"/>
                <w:lang w:val="en-US" w:eastAsia="zh-CN"/>
              </w:rPr>
              <w:t>3</w:t>
            </w:r>
            <w:r>
              <w:rPr>
                <w:rFonts w:hint="eastAsia" w:hAnsi="宋体" w:cs="宋体"/>
                <w:b/>
                <w:bCs w:val="0"/>
              </w:rPr>
              <w:t>分，明显缺陷得1分，不提供不得分。</w:t>
            </w:r>
            <w:r>
              <w:rPr>
                <w:rFonts w:hint="eastAsia" w:hAnsi="宋体" w:cs="宋体"/>
                <w:b/>
                <w:bCs w:val="0"/>
                <w:lang w:eastAsia="zh-CN"/>
              </w:rPr>
              <w:t>）</w:t>
            </w:r>
          </w:p>
        </w:tc>
        <w:tc>
          <w:tcPr>
            <w:tcW w:w="615" w:type="dxa"/>
            <w:tcBorders>
              <w:tl2br w:val="nil"/>
              <w:tr2bl w:val="nil"/>
            </w:tcBorders>
            <w:vAlign w:val="center"/>
          </w:tcPr>
          <w:p>
            <w:pPr>
              <w:jc w:val="center"/>
              <w:rPr>
                <w:rFonts w:ascii="宋体" w:hAnsi="宋体" w:cs="宋体"/>
                <w:color w:val="auto"/>
                <w:sz w:val="24"/>
              </w:rPr>
            </w:pPr>
            <w:r>
              <w:rPr>
                <w:rFonts w:ascii="宋体" w:hAnsi="宋体" w:cs="宋体"/>
                <w:color w:val="auto"/>
                <w:sz w:val="24"/>
              </w:rPr>
              <w:t>5</w:t>
            </w:r>
          </w:p>
        </w:tc>
        <w:tc>
          <w:tcPr>
            <w:tcW w:w="840" w:type="dxa"/>
            <w:tcBorders>
              <w:tl2br w:val="nil"/>
              <w:tr2bl w:val="nil"/>
            </w:tcBorders>
            <w:vAlign w:val="center"/>
          </w:tcPr>
          <w:p>
            <w:pPr>
              <w:snapToGrid w:val="0"/>
              <w:jc w:val="center"/>
              <w:rPr>
                <w:rFonts w:ascii="宋体" w:hAnsi="宋体" w:cs="宋体"/>
                <w:bCs/>
                <w:color w:val="auto"/>
                <w:sz w:val="24"/>
              </w:rPr>
            </w:pPr>
            <w:r>
              <w:rPr>
                <w:rFonts w:hint="eastAsia" w:ascii="宋体" w:hAnsi="宋体" w:cs="宋体"/>
                <w:bCs/>
                <w:color w:val="auto"/>
                <w:sz w:val="24"/>
              </w:rPr>
              <w:t>主观分</w:t>
            </w:r>
          </w:p>
        </w:tc>
        <w:tc>
          <w:tcPr>
            <w:tcW w:w="1065" w:type="dxa"/>
            <w:tcBorders>
              <w:tl2br w:val="nil"/>
              <w:tr2bl w:val="nil"/>
            </w:tcBorders>
          </w:tcPr>
          <w:p>
            <w:pPr>
              <w:snapToGrid w:val="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trPr>
        <w:tc>
          <w:tcPr>
            <w:tcW w:w="549" w:type="dxa"/>
            <w:tcBorders>
              <w:tl2br w:val="nil"/>
              <w:tr2bl w:val="nil"/>
            </w:tcBorders>
            <w:vAlign w:val="center"/>
          </w:tcPr>
          <w:p>
            <w:pPr>
              <w:snapToGrid w:val="0"/>
              <w:jc w:val="center"/>
              <w:rPr>
                <w:rFonts w:ascii="宋体" w:hAnsi="宋体" w:cs="宋体"/>
                <w:color w:val="auto"/>
                <w:sz w:val="24"/>
              </w:rPr>
            </w:pPr>
            <w:r>
              <w:rPr>
                <w:rFonts w:hint="eastAsia" w:ascii="宋体" w:hAnsi="宋体" w:cs="宋体"/>
                <w:color w:val="auto"/>
                <w:sz w:val="24"/>
              </w:rPr>
              <w:t>10</w:t>
            </w:r>
          </w:p>
        </w:tc>
        <w:tc>
          <w:tcPr>
            <w:tcW w:w="5925" w:type="dxa"/>
            <w:tcBorders>
              <w:tl2br w:val="nil"/>
              <w:tr2bl w:val="nil"/>
            </w:tcBorders>
            <w:vAlign w:val="center"/>
          </w:tcPr>
          <w:p>
            <w:pPr>
              <w:widowControl/>
              <w:adjustRightInd/>
              <w:jc w:val="left"/>
              <w:rPr>
                <w:rFonts w:ascii="宋体" w:hAnsi="宋体" w:cs="宋体"/>
                <w:color w:val="auto"/>
                <w:sz w:val="24"/>
              </w:rPr>
            </w:pPr>
            <w:r>
              <w:rPr>
                <w:rFonts w:hint="eastAsia" w:ascii="宋体" w:hAnsi="宋体" w:cs="宋体"/>
                <w:color w:val="auto"/>
                <w:sz w:val="24"/>
              </w:rPr>
              <w:t>质保期：满足采购文件要求为基本要求（本项目质保期为1年），得基本分</w:t>
            </w:r>
            <w:r>
              <w:rPr>
                <w:rFonts w:hint="eastAsia" w:ascii="宋体" w:hAnsi="宋体" w:cs="宋体"/>
                <w:color w:val="auto"/>
                <w:sz w:val="24"/>
                <w:lang w:val="en-US" w:eastAsia="zh-CN"/>
              </w:rPr>
              <w:t>3</w:t>
            </w:r>
            <w:r>
              <w:rPr>
                <w:rFonts w:hint="eastAsia" w:ascii="宋体" w:hAnsi="宋体" w:cs="宋体"/>
                <w:color w:val="auto"/>
                <w:sz w:val="24"/>
              </w:rPr>
              <w:t>分；按优于采购文件要求的每增加一年得1分，最多加2分。本项最高</w:t>
            </w:r>
            <w:r>
              <w:rPr>
                <w:rFonts w:hint="eastAsia" w:ascii="宋体" w:hAnsi="宋体" w:cs="宋体"/>
                <w:color w:val="auto"/>
                <w:sz w:val="24"/>
                <w:lang w:val="en-US" w:eastAsia="zh-CN"/>
              </w:rPr>
              <w:t>5</w:t>
            </w:r>
            <w:r>
              <w:rPr>
                <w:rFonts w:hint="eastAsia" w:ascii="宋体" w:hAnsi="宋体" w:cs="宋体"/>
                <w:color w:val="auto"/>
                <w:sz w:val="24"/>
              </w:rPr>
              <w:t>分。</w:t>
            </w:r>
          </w:p>
          <w:p>
            <w:pPr>
              <w:rPr>
                <w:rFonts w:ascii="宋体" w:hAnsi="宋体" w:cs="宋体"/>
                <w:color w:val="auto"/>
                <w:sz w:val="24"/>
              </w:rPr>
            </w:pPr>
            <w:r>
              <w:rPr>
                <w:rFonts w:hint="eastAsia" w:ascii="宋体" w:hAnsi="宋体" w:cs="宋体"/>
                <w:b/>
                <w:bCs/>
                <w:color w:val="auto"/>
                <w:sz w:val="24"/>
              </w:rPr>
              <w:t>（投标文件中须提供承诺书，承诺书格式自拟，</w:t>
            </w:r>
            <w:r>
              <w:rPr>
                <w:rFonts w:hint="eastAsia" w:ascii="宋体" w:hAnsi="宋体" w:cs="宋体"/>
                <w:b/>
                <w:bCs/>
                <w:color w:val="auto"/>
                <w:sz w:val="24"/>
                <w:lang w:val="en-US" w:eastAsia="zh-CN"/>
              </w:rPr>
              <w:t>承诺内容包括：标识标牌破损更换、电子屏幕的零配件更换等）</w:t>
            </w:r>
            <w:r>
              <w:rPr>
                <w:rFonts w:hint="eastAsia" w:ascii="宋体" w:hAnsi="宋体" w:cs="宋体"/>
                <w:b/>
                <w:bCs/>
                <w:color w:val="auto"/>
                <w:sz w:val="24"/>
              </w:rPr>
              <w:t>无承诺不得分。）</w:t>
            </w:r>
          </w:p>
        </w:tc>
        <w:tc>
          <w:tcPr>
            <w:tcW w:w="615" w:type="dxa"/>
            <w:tcBorders>
              <w:tl2br w:val="nil"/>
              <w:tr2bl w:val="nil"/>
            </w:tcBorders>
            <w:vAlign w:val="center"/>
          </w:tcPr>
          <w:p>
            <w:pPr>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840" w:type="dxa"/>
            <w:tcBorders>
              <w:tl2br w:val="nil"/>
              <w:tr2bl w:val="nil"/>
            </w:tcBorders>
            <w:vAlign w:val="center"/>
          </w:tcPr>
          <w:p>
            <w:pPr>
              <w:snapToGrid w:val="0"/>
              <w:jc w:val="center"/>
              <w:rPr>
                <w:rFonts w:ascii="宋体" w:hAnsi="宋体" w:cs="宋体"/>
                <w:bCs/>
                <w:color w:val="auto"/>
                <w:sz w:val="24"/>
              </w:rPr>
            </w:pPr>
            <w:r>
              <w:rPr>
                <w:rFonts w:hint="eastAsia" w:ascii="宋体" w:hAnsi="宋体" w:cs="宋体"/>
                <w:bCs/>
                <w:color w:val="auto"/>
                <w:sz w:val="24"/>
              </w:rPr>
              <w:t>客观分</w:t>
            </w:r>
          </w:p>
        </w:tc>
        <w:tc>
          <w:tcPr>
            <w:tcW w:w="1065" w:type="dxa"/>
            <w:tcBorders>
              <w:tl2br w:val="nil"/>
              <w:tr2bl w:val="nil"/>
            </w:tcBorders>
          </w:tcPr>
          <w:p>
            <w:pPr>
              <w:snapToGrid w:val="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49" w:type="dxa"/>
            <w:tcBorders>
              <w:tl2br w:val="nil"/>
              <w:tr2bl w:val="nil"/>
            </w:tcBorders>
            <w:vAlign w:val="center"/>
          </w:tcPr>
          <w:p>
            <w:pPr>
              <w:snapToGrid w:val="0"/>
              <w:jc w:val="center"/>
              <w:rPr>
                <w:rFonts w:ascii="宋体" w:hAnsi="宋体" w:cs="宋体"/>
                <w:color w:val="auto"/>
                <w:sz w:val="24"/>
              </w:rPr>
            </w:pPr>
            <w:r>
              <w:rPr>
                <w:rFonts w:hint="eastAsia" w:ascii="宋体" w:hAnsi="宋体" w:cs="宋体"/>
                <w:color w:val="auto"/>
                <w:sz w:val="24"/>
              </w:rPr>
              <w:t>11</w:t>
            </w:r>
          </w:p>
        </w:tc>
        <w:tc>
          <w:tcPr>
            <w:tcW w:w="5925" w:type="dxa"/>
            <w:tcBorders>
              <w:tl2br w:val="nil"/>
              <w:tr2bl w:val="nil"/>
            </w:tcBorders>
            <w:vAlign w:val="center"/>
          </w:tcPr>
          <w:p>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拟派人员中办公协助人员需具备相关设计专业本科及以上学历，有一人得1分，最多得3分；</w:t>
            </w:r>
          </w:p>
          <w:p>
            <w:pPr>
              <w:rPr>
                <w:rFonts w:ascii="宋体" w:hAnsi="宋体" w:cs="宋体"/>
                <w:color w:val="auto"/>
                <w:sz w:val="24"/>
                <w:highlight w:val="none"/>
              </w:rPr>
            </w:pPr>
            <w:r>
              <w:rPr>
                <w:rFonts w:hint="eastAsia" w:ascii="宋体" w:hAnsi="宋体" w:cs="宋体"/>
                <w:color w:val="auto"/>
                <w:sz w:val="24"/>
                <w:highlight w:val="none"/>
              </w:rPr>
              <w:t>投标人具有专业工种上岗证书（电工证、电焊工证），有一人得</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分，最多得</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分，未提供不得分。</w:t>
            </w:r>
          </w:p>
          <w:p>
            <w:pPr>
              <w:rPr>
                <w:rFonts w:ascii="宋体" w:hAnsi="宋体" w:cs="宋体"/>
                <w:color w:val="auto"/>
                <w:sz w:val="24"/>
              </w:rPr>
            </w:pPr>
            <w:r>
              <w:rPr>
                <w:rFonts w:hint="eastAsia" w:ascii="宋体" w:hAnsi="宋体" w:cs="宋体"/>
                <w:b/>
                <w:bCs/>
                <w:color w:val="auto"/>
                <w:sz w:val="24"/>
                <w:highlight w:val="none"/>
              </w:rPr>
              <w:t>（投标文件中需提供人员本单位近一个月社保扫描件加盖公章和相应</w:t>
            </w:r>
            <w:r>
              <w:rPr>
                <w:rFonts w:hint="eastAsia" w:ascii="宋体" w:hAnsi="宋体" w:cs="宋体"/>
                <w:b/>
                <w:bCs/>
                <w:color w:val="auto"/>
                <w:sz w:val="24"/>
                <w:highlight w:val="none"/>
                <w:lang w:val="en-US" w:eastAsia="zh-CN"/>
              </w:rPr>
              <w:t>毕业证书、上岗</w:t>
            </w:r>
            <w:r>
              <w:rPr>
                <w:rFonts w:hint="eastAsia" w:ascii="宋体" w:hAnsi="宋体" w:cs="宋体"/>
                <w:b/>
                <w:bCs/>
                <w:color w:val="auto"/>
                <w:sz w:val="24"/>
                <w:highlight w:val="none"/>
              </w:rPr>
              <w:t>证书扫描件并加盖公章）</w:t>
            </w:r>
          </w:p>
        </w:tc>
        <w:tc>
          <w:tcPr>
            <w:tcW w:w="615" w:type="dxa"/>
            <w:tcBorders>
              <w:tl2br w:val="nil"/>
              <w:tr2bl w:val="nil"/>
            </w:tcBorders>
            <w:vAlign w:val="center"/>
          </w:tcPr>
          <w:p>
            <w:pPr>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7</w:t>
            </w:r>
          </w:p>
        </w:tc>
        <w:tc>
          <w:tcPr>
            <w:tcW w:w="840" w:type="dxa"/>
            <w:tcBorders>
              <w:tl2br w:val="nil"/>
              <w:tr2bl w:val="nil"/>
            </w:tcBorders>
            <w:vAlign w:val="center"/>
          </w:tcPr>
          <w:p>
            <w:pPr>
              <w:snapToGrid w:val="0"/>
              <w:jc w:val="center"/>
              <w:rPr>
                <w:rFonts w:ascii="宋体" w:hAnsi="宋体" w:cs="宋体"/>
                <w:bCs/>
                <w:color w:val="auto"/>
                <w:sz w:val="24"/>
              </w:rPr>
            </w:pPr>
            <w:r>
              <w:rPr>
                <w:rFonts w:hint="eastAsia" w:ascii="宋体" w:hAnsi="宋体" w:cs="宋体"/>
                <w:bCs/>
                <w:color w:val="auto"/>
                <w:sz w:val="24"/>
              </w:rPr>
              <w:t>客观分</w:t>
            </w:r>
          </w:p>
        </w:tc>
        <w:tc>
          <w:tcPr>
            <w:tcW w:w="1065" w:type="dxa"/>
            <w:tcBorders>
              <w:tl2br w:val="nil"/>
              <w:tr2bl w:val="nil"/>
            </w:tcBorders>
          </w:tcPr>
          <w:p>
            <w:pPr>
              <w:snapToGrid w:val="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549" w:type="dxa"/>
            <w:tcBorders>
              <w:tl2br w:val="nil"/>
              <w:tr2bl w:val="nil"/>
            </w:tcBorders>
            <w:vAlign w:val="center"/>
          </w:tcPr>
          <w:p>
            <w:pPr>
              <w:snapToGrid w:val="0"/>
              <w:jc w:val="center"/>
              <w:rPr>
                <w:rFonts w:ascii="宋体" w:hAnsi="宋体" w:cs="宋体"/>
                <w:color w:val="auto"/>
                <w:sz w:val="24"/>
              </w:rPr>
            </w:pPr>
            <w:r>
              <w:rPr>
                <w:rFonts w:hint="eastAsia" w:ascii="宋体" w:hAnsi="宋体" w:cs="宋体"/>
                <w:color w:val="auto"/>
                <w:sz w:val="24"/>
              </w:rPr>
              <w:t>12</w:t>
            </w:r>
          </w:p>
        </w:tc>
        <w:tc>
          <w:tcPr>
            <w:tcW w:w="5925" w:type="dxa"/>
            <w:tcBorders>
              <w:tl2br w:val="nil"/>
              <w:tr2bl w:val="nil"/>
            </w:tcBorders>
            <w:vAlign w:val="center"/>
          </w:tcPr>
          <w:p>
            <w:pPr>
              <w:jc w:val="left"/>
              <w:rPr>
                <w:rFonts w:ascii="宋体" w:hAnsi="宋体" w:cs="宋体"/>
                <w:b/>
                <w:bCs/>
                <w:color w:val="auto"/>
                <w:kern w:val="0"/>
                <w:sz w:val="24"/>
              </w:rPr>
            </w:pPr>
            <w:r>
              <w:rPr>
                <w:rFonts w:hint="eastAsia" w:ascii="宋体" w:hAnsi="宋体" w:cs="宋体"/>
                <w:color w:val="auto"/>
                <w:kern w:val="0"/>
                <w:sz w:val="24"/>
              </w:rPr>
              <w:t>投标人具有职业健康安全管理体系认证证书，具有质量管理体系认证证书，具有环境管理体系认证证书，每个得</w:t>
            </w:r>
            <w:r>
              <w:rPr>
                <w:rFonts w:hint="eastAsia" w:ascii="宋体" w:hAnsi="宋体" w:cs="宋体"/>
                <w:color w:val="auto"/>
                <w:kern w:val="0"/>
                <w:sz w:val="24"/>
                <w:lang w:val="en-US" w:eastAsia="zh-CN"/>
              </w:rPr>
              <w:t>1</w:t>
            </w:r>
            <w:r>
              <w:rPr>
                <w:rFonts w:hint="eastAsia" w:ascii="宋体" w:hAnsi="宋体" w:cs="宋体"/>
                <w:color w:val="auto"/>
                <w:kern w:val="0"/>
                <w:sz w:val="24"/>
              </w:rPr>
              <w:t>分，最多得</w:t>
            </w:r>
            <w:r>
              <w:rPr>
                <w:rFonts w:hint="eastAsia" w:ascii="宋体" w:hAnsi="宋体" w:cs="宋体"/>
                <w:color w:val="auto"/>
                <w:kern w:val="0"/>
                <w:sz w:val="24"/>
                <w:lang w:val="en-US" w:eastAsia="zh-CN"/>
              </w:rPr>
              <w:t>3</w:t>
            </w:r>
            <w:r>
              <w:rPr>
                <w:rFonts w:hint="eastAsia" w:ascii="宋体" w:hAnsi="宋体" w:cs="宋体"/>
                <w:color w:val="auto"/>
                <w:kern w:val="0"/>
                <w:sz w:val="24"/>
              </w:rPr>
              <w:t>分。</w:t>
            </w:r>
            <w:r>
              <w:rPr>
                <w:rFonts w:hint="eastAsia" w:ascii="宋体" w:hAnsi="宋体" w:cs="宋体"/>
                <w:b/>
                <w:bCs/>
                <w:color w:val="auto"/>
                <w:kern w:val="0"/>
                <w:sz w:val="24"/>
              </w:rPr>
              <w:t>没有不得分。</w:t>
            </w:r>
          </w:p>
          <w:p>
            <w:pPr>
              <w:jc w:val="left"/>
              <w:rPr>
                <w:rFonts w:ascii="宋体" w:hAnsi="宋体" w:cs="宋体"/>
                <w:bCs/>
                <w:color w:val="auto"/>
                <w:sz w:val="24"/>
              </w:rPr>
            </w:pPr>
            <w:r>
              <w:rPr>
                <w:rFonts w:hint="eastAsia" w:ascii="宋体" w:hAnsi="宋体" w:cs="宋体"/>
                <w:color w:val="auto"/>
                <w:kern w:val="0"/>
                <w:sz w:val="24"/>
              </w:rPr>
              <w:t xml:space="preserve"> </w:t>
            </w:r>
            <w:r>
              <w:rPr>
                <w:rFonts w:hint="eastAsia" w:ascii="宋体" w:hAnsi="宋体" w:cs="宋体"/>
                <w:b/>
                <w:bCs/>
                <w:color w:val="auto"/>
                <w:sz w:val="24"/>
              </w:rPr>
              <w:t>(投标文件中提供有效期内的证书复印件加盖公章或扫描件加盖公章及全国认证认可信息公共服务平台网站（http://www.cnca.gov.cn/）查询页面截图加盖公章，否则不得分）</w:t>
            </w:r>
          </w:p>
        </w:tc>
        <w:tc>
          <w:tcPr>
            <w:tcW w:w="615" w:type="dxa"/>
            <w:tcBorders>
              <w:tl2br w:val="nil"/>
              <w:tr2bl w:val="nil"/>
            </w:tcBorders>
            <w:vAlign w:val="center"/>
          </w:tcPr>
          <w:p>
            <w:pPr>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c>
          <w:tcPr>
            <w:tcW w:w="840" w:type="dxa"/>
            <w:tcBorders>
              <w:tl2br w:val="nil"/>
              <w:tr2bl w:val="nil"/>
            </w:tcBorders>
            <w:vAlign w:val="center"/>
          </w:tcPr>
          <w:p>
            <w:pPr>
              <w:snapToGrid w:val="0"/>
              <w:jc w:val="center"/>
              <w:rPr>
                <w:rFonts w:ascii="宋体" w:hAnsi="宋体" w:cs="宋体"/>
                <w:bCs/>
                <w:color w:val="auto"/>
                <w:sz w:val="24"/>
              </w:rPr>
            </w:pPr>
            <w:r>
              <w:rPr>
                <w:rFonts w:hint="eastAsia" w:ascii="宋体" w:hAnsi="宋体" w:cs="宋体"/>
                <w:bCs/>
                <w:color w:val="auto"/>
                <w:sz w:val="24"/>
              </w:rPr>
              <w:t>客观分</w:t>
            </w:r>
          </w:p>
        </w:tc>
        <w:tc>
          <w:tcPr>
            <w:tcW w:w="1065" w:type="dxa"/>
            <w:tcBorders>
              <w:tl2br w:val="nil"/>
              <w:tr2bl w:val="nil"/>
            </w:tcBorders>
          </w:tcPr>
          <w:p>
            <w:pPr>
              <w:snapToGrid w:val="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549" w:type="dxa"/>
            <w:tcBorders>
              <w:tl2br w:val="nil"/>
              <w:tr2bl w:val="nil"/>
            </w:tcBorders>
            <w:vAlign w:val="center"/>
          </w:tcPr>
          <w:p>
            <w:pPr>
              <w:snapToGrid w:val="0"/>
              <w:jc w:val="center"/>
              <w:rPr>
                <w:rFonts w:ascii="宋体" w:hAnsi="宋体" w:cs="宋体"/>
                <w:color w:val="auto"/>
                <w:sz w:val="24"/>
              </w:rPr>
            </w:pPr>
            <w:r>
              <w:rPr>
                <w:rFonts w:hint="eastAsia" w:ascii="宋体" w:hAnsi="宋体" w:cs="宋体"/>
                <w:color w:val="auto"/>
                <w:sz w:val="24"/>
              </w:rPr>
              <w:t>13</w:t>
            </w:r>
          </w:p>
        </w:tc>
        <w:tc>
          <w:tcPr>
            <w:tcW w:w="5925" w:type="dxa"/>
            <w:tcBorders>
              <w:tl2br w:val="nil"/>
              <w:tr2bl w:val="nil"/>
            </w:tcBorders>
            <w:vAlign w:val="center"/>
          </w:tcPr>
          <w:p>
            <w:pPr>
              <w:jc w:val="left"/>
              <w:rPr>
                <w:rFonts w:ascii="宋体" w:hAnsi="宋体" w:cs="宋体"/>
                <w:bCs/>
                <w:color w:val="auto"/>
                <w:sz w:val="24"/>
              </w:rPr>
            </w:pPr>
            <w:r>
              <w:rPr>
                <w:rFonts w:hint="eastAsia" w:ascii="宋体" w:hAnsi="宋体" w:cs="宋体"/>
                <w:bCs/>
                <w:color w:val="auto"/>
                <w:sz w:val="24"/>
              </w:rPr>
              <w:t>供应商2021年1月1日（时间以中标通知书时间或合同签订时间为准）以来完成过的类似项目，每具有一个业绩可得</w:t>
            </w:r>
            <w:r>
              <w:rPr>
                <w:rFonts w:ascii="宋体" w:hAnsi="宋体" w:cs="宋体"/>
                <w:bCs/>
                <w:color w:val="auto"/>
                <w:sz w:val="24"/>
              </w:rPr>
              <w:t>1</w:t>
            </w:r>
            <w:r>
              <w:rPr>
                <w:rFonts w:hint="eastAsia" w:ascii="宋体" w:hAnsi="宋体" w:cs="宋体"/>
                <w:bCs/>
                <w:color w:val="auto"/>
                <w:sz w:val="24"/>
              </w:rPr>
              <w:t>分，最多可得</w:t>
            </w:r>
            <w:r>
              <w:rPr>
                <w:rFonts w:ascii="宋体" w:hAnsi="宋体" w:cs="宋体"/>
                <w:bCs/>
                <w:color w:val="auto"/>
                <w:sz w:val="24"/>
              </w:rPr>
              <w:t>3</w:t>
            </w:r>
            <w:r>
              <w:rPr>
                <w:rFonts w:hint="eastAsia" w:ascii="宋体" w:hAnsi="宋体" w:cs="宋体"/>
                <w:bCs/>
                <w:color w:val="auto"/>
                <w:sz w:val="24"/>
              </w:rPr>
              <w:t>分。</w:t>
            </w:r>
          </w:p>
          <w:p>
            <w:pPr>
              <w:jc w:val="left"/>
              <w:rPr>
                <w:rFonts w:ascii="宋体" w:hAnsi="宋体" w:cs="宋体"/>
                <w:bCs/>
                <w:color w:val="auto"/>
                <w:sz w:val="24"/>
              </w:rPr>
            </w:pPr>
            <w:r>
              <w:rPr>
                <w:rFonts w:hint="eastAsia" w:ascii="宋体" w:hAnsi="宋体" w:cs="宋体"/>
                <w:b/>
                <w:color w:val="auto"/>
                <w:sz w:val="24"/>
              </w:rPr>
              <w:t>（投标文件中须提供有效中标通知书或合同扫描件并加盖公章，否则不得分。）</w:t>
            </w:r>
          </w:p>
        </w:tc>
        <w:tc>
          <w:tcPr>
            <w:tcW w:w="615" w:type="dxa"/>
            <w:tcBorders>
              <w:tl2br w:val="nil"/>
              <w:tr2bl w:val="nil"/>
            </w:tcBorders>
            <w:vAlign w:val="center"/>
          </w:tcPr>
          <w:p>
            <w:pPr>
              <w:jc w:val="center"/>
              <w:rPr>
                <w:rFonts w:ascii="宋体" w:hAnsi="宋体" w:cs="宋体"/>
                <w:color w:val="auto"/>
                <w:sz w:val="24"/>
              </w:rPr>
            </w:pPr>
            <w:r>
              <w:rPr>
                <w:rFonts w:ascii="宋体" w:hAnsi="宋体" w:cs="宋体"/>
                <w:color w:val="auto"/>
                <w:sz w:val="24"/>
              </w:rPr>
              <w:t>3</w:t>
            </w:r>
          </w:p>
        </w:tc>
        <w:tc>
          <w:tcPr>
            <w:tcW w:w="840" w:type="dxa"/>
            <w:tcBorders>
              <w:tl2br w:val="nil"/>
              <w:tr2bl w:val="nil"/>
            </w:tcBorders>
            <w:vAlign w:val="center"/>
          </w:tcPr>
          <w:p>
            <w:pPr>
              <w:snapToGrid w:val="0"/>
              <w:jc w:val="center"/>
              <w:rPr>
                <w:rFonts w:ascii="宋体" w:hAnsi="宋体" w:cs="宋体"/>
                <w:bCs/>
                <w:color w:val="auto"/>
                <w:sz w:val="24"/>
              </w:rPr>
            </w:pPr>
            <w:r>
              <w:rPr>
                <w:rFonts w:hint="eastAsia" w:ascii="宋体" w:hAnsi="宋体" w:cs="宋体"/>
                <w:bCs/>
                <w:color w:val="auto"/>
                <w:sz w:val="24"/>
              </w:rPr>
              <w:t>客观分</w:t>
            </w:r>
          </w:p>
        </w:tc>
        <w:tc>
          <w:tcPr>
            <w:tcW w:w="1065" w:type="dxa"/>
            <w:tcBorders>
              <w:tl2br w:val="nil"/>
              <w:tr2bl w:val="nil"/>
            </w:tcBorders>
          </w:tcPr>
          <w:p>
            <w:pPr>
              <w:snapToGrid w:val="0"/>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trPr>
        <w:tc>
          <w:tcPr>
            <w:tcW w:w="549" w:type="dxa"/>
            <w:tcBorders>
              <w:tl2br w:val="nil"/>
              <w:tr2bl w:val="nil"/>
            </w:tcBorders>
            <w:vAlign w:val="center"/>
          </w:tcPr>
          <w:p>
            <w:pPr>
              <w:snapToGrid w:val="0"/>
              <w:jc w:val="center"/>
              <w:rPr>
                <w:rFonts w:ascii="宋体" w:hAnsi="宋体" w:cs="宋体"/>
                <w:color w:val="auto"/>
                <w:sz w:val="24"/>
              </w:rPr>
            </w:pPr>
            <w:r>
              <w:rPr>
                <w:rFonts w:hint="eastAsia" w:ascii="宋体" w:hAnsi="宋体" w:cs="宋体"/>
                <w:color w:val="auto"/>
                <w:sz w:val="24"/>
              </w:rPr>
              <w:t>14</w:t>
            </w:r>
          </w:p>
        </w:tc>
        <w:tc>
          <w:tcPr>
            <w:tcW w:w="5925" w:type="dxa"/>
            <w:tcBorders>
              <w:tl2br w:val="nil"/>
              <w:tr2bl w:val="nil"/>
            </w:tcBorders>
          </w:tcPr>
          <w:p>
            <w:pPr>
              <w:rPr>
                <w:rFonts w:ascii="宋体" w:hAnsi="宋体" w:cs="宋体"/>
                <w:color w:val="auto"/>
                <w:sz w:val="24"/>
              </w:rPr>
            </w:pPr>
            <w:r>
              <w:rPr>
                <w:rFonts w:hint="eastAsia" w:ascii="宋体" w:hAnsi="宋体" w:cs="宋体"/>
                <w:color w:val="auto"/>
                <w:sz w:val="24"/>
              </w:rPr>
              <w:t>有效投标报价的最低价作为评标基准价，其最低报价为满分；按［投标报价得分=（评标基准价/投标报价）*</w:t>
            </w:r>
            <w:r>
              <w:rPr>
                <w:rFonts w:ascii="宋体" w:hAnsi="宋体" w:cs="宋体"/>
                <w:color w:val="auto"/>
                <w:sz w:val="24"/>
              </w:rPr>
              <w:t>3</w:t>
            </w:r>
            <w:r>
              <w:rPr>
                <w:rFonts w:hint="eastAsia" w:ascii="宋体" w:hAnsi="宋体" w:cs="宋体"/>
                <w:color w:val="auto"/>
                <w:sz w:val="24"/>
              </w:rPr>
              <w:t>0］的计算公式计算。</w:t>
            </w:r>
          </w:p>
          <w:p>
            <w:pPr>
              <w:rPr>
                <w:rFonts w:ascii="宋体" w:hAnsi="宋体" w:cs="宋体"/>
                <w:color w:val="auto"/>
                <w:sz w:val="24"/>
              </w:rPr>
            </w:pPr>
            <w:r>
              <w:rPr>
                <w:rFonts w:hint="eastAsia" w:ascii="宋体" w:hAnsi="宋体" w:cs="宋体"/>
                <w:color w:val="auto"/>
                <w:sz w:val="24"/>
              </w:rPr>
              <w:t>评标过程中，不得去掉报价中的最高报价和最低报价。</w:t>
            </w:r>
          </w:p>
        </w:tc>
        <w:tc>
          <w:tcPr>
            <w:tcW w:w="615" w:type="dxa"/>
            <w:tcBorders>
              <w:tl2br w:val="nil"/>
              <w:tr2bl w:val="nil"/>
            </w:tcBorders>
            <w:vAlign w:val="center"/>
          </w:tcPr>
          <w:p>
            <w:pPr>
              <w:jc w:val="center"/>
              <w:rPr>
                <w:rFonts w:ascii="宋体" w:hAnsi="宋体" w:cs="宋体"/>
                <w:color w:val="auto"/>
                <w:sz w:val="24"/>
              </w:rPr>
            </w:pPr>
            <w:r>
              <w:rPr>
                <w:rFonts w:ascii="宋体" w:hAnsi="宋体" w:cs="宋体"/>
                <w:color w:val="auto"/>
                <w:sz w:val="24"/>
              </w:rPr>
              <w:t>3</w:t>
            </w:r>
            <w:r>
              <w:rPr>
                <w:rFonts w:hint="eastAsia" w:ascii="宋体" w:hAnsi="宋体" w:cs="宋体"/>
                <w:color w:val="auto"/>
                <w:sz w:val="24"/>
              </w:rPr>
              <w:t>0</w:t>
            </w:r>
          </w:p>
        </w:tc>
        <w:tc>
          <w:tcPr>
            <w:tcW w:w="840" w:type="dxa"/>
            <w:tcBorders>
              <w:tl2br w:val="nil"/>
              <w:tr2bl w:val="nil"/>
            </w:tcBorders>
            <w:vAlign w:val="center"/>
          </w:tcPr>
          <w:p>
            <w:pPr>
              <w:jc w:val="center"/>
              <w:outlineLvl w:val="0"/>
              <w:rPr>
                <w:rFonts w:ascii="宋体" w:hAnsi="宋体" w:cs="宋体"/>
                <w:color w:val="auto"/>
                <w:sz w:val="24"/>
              </w:rPr>
            </w:pPr>
            <w:r>
              <w:rPr>
                <w:rFonts w:hint="eastAsia" w:ascii="宋体" w:hAnsi="宋体" w:cs="宋体"/>
                <w:color w:val="auto"/>
                <w:sz w:val="24"/>
              </w:rPr>
              <w:t>价格分</w:t>
            </w:r>
          </w:p>
        </w:tc>
        <w:tc>
          <w:tcPr>
            <w:tcW w:w="1065" w:type="dxa"/>
            <w:tcBorders>
              <w:tl2br w:val="nil"/>
              <w:tr2bl w:val="nil"/>
            </w:tcBorders>
            <w:vAlign w:val="center"/>
          </w:tcPr>
          <w:p>
            <w:pPr>
              <w:jc w:val="center"/>
              <w:outlineLvl w:val="0"/>
              <w:rPr>
                <w:rFonts w:ascii="宋体" w:hAnsi="宋体" w:cs="宋体"/>
                <w:color w:val="auto"/>
                <w:sz w:val="24"/>
              </w:rPr>
            </w:pPr>
            <w:r>
              <w:rPr>
                <w:rFonts w:hint="eastAsia" w:ascii="宋体" w:hAnsi="宋体" w:cs="宋体"/>
                <w:color w:val="auto"/>
                <w:sz w:val="24"/>
              </w:rPr>
              <w:t>/</w:t>
            </w:r>
          </w:p>
        </w:tc>
      </w:tr>
    </w:tbl>
    <w:p>
      <w:pPr>
        <w:rPr>
          <w:rFonts w:ascii="宋体" w:hAnsi="宋体" w:cs="宋体"/>
          <w:snapToGrid w:val="0"/>
          <w:color w:val="auto"/>
          <w:kern w:val="0"/>
          <w:sz w:val="24"/>
        </w:rPr>
      </w:pPr>
    </w:p>
    <w:p>
      <w:pPr>
        <w:snapToGrid w:val="0"/>
        <w:spacing w:line="360" w:lineRule="auto"/>
        <w:rPr>
          <w:rFonts w:ascii="宋体" w:hAnsi="宋体" w:cs="宋体"/>
          <w:b/>
          <w:color w:val="auto"/>
          <w:sz w:val="24"/>
        </w:rPr>
      </w:pPr>
      <w:r>
        <w:rPr>
          <w:rFonts w:hint="eastAsia" w:ascii="宋体" w:hAnsi="宋体" w:cs="宋体"/>
          <w:color w:val="auto"/>
          <w:sz w:val="20"/>
          <w:szCs w:val="20"/>
          <w:shd w:val="clear" w:color="auto" w:fill="FFFFFF"/>
        </w:rPr>
        <w:t> *</w:t>
      </w:r>
      <w:r>
        <w:rPr>
          <w:rFonts w:hint="eastAsia" w:ascii="宋体" w:hAnsi="宋体" w:cs="宋体"/>
          <w:b/>
          <w:color w:val="auto"/>
          <w:sz w:val="24"/>
        </w:rPr>
        <w:t>备注：</w:t>
      </w:r>
      <w:r>
        <w:rPr>
          <w:rFonts w:hint="eastAsia" w:ascii="宋体" w:hAnsi="宋体" w:cs="宋体"/>
          <w:color w:val="auto"/>
          <w:sz w:val="24"/>
        </w:rPr>
        <w:t>投标人编制投标文件（商务技术文件部分）时，建议按此目录（序号和内容）提供评标标准相应的商务技术资料。 </w:t>
      </w:r>
    </w:p>
    <w:p>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pPr>
        <w:pStyle w:val="133"/>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pPr>
        <w:pStyle w:val="133"/>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pPr>
        <w:pStyle w:val="133"/>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pPr>
        <w:pStyle w:val="133"/>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pPr>
        <w:pStyle w:val="133"/>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pPr>
        <w:pStyle w:val="133"/>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pPr>
        <w:pStyle w:val="133"/>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3"/>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pPr>
        <w:pStyle w:val="133"/>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4.2.12投标人仅提交备份投标文件，未在电子交易平台传输递交投标文件的，投标无效；</w:t>
      </w:r>
    </w:p>
    <w:p>
      <w:pPr>
        <w:pStyle w:val="5"/>
        <w:ind w:left="862" w:leftChars="205"/>
        <w:rPr>
          <w:rFonts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rPr>
        <w:t>4.2.13 投标文件不满足招标文件的其它实质性要求的；</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4.2.14法律、法规、规章（适用本市的）及省级以上规范性文件（适用本市的）规定的其他无效情形。</w:t>
      </w:r>
    </w:p>
    <w:p>
      <w:pPr>
        <w:pStyle w:val="2"/>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pPr>
        <w:pStyle w:val="2"/>
        <w:snapToGrid w:val="0"/>
        <w:spacing w:line="360" w:lineRule="auto"/>
        <w:rPr>
          <w:rFonts w:cs="宋体"/>
          <w:color w:val="auto"/>
        </w:rPr>
      </w:pPr>
      <w:r>
        <w:rPr>
          <w:rFonts w:hint="eastAsia" w:cs="宋体"/>
          <w:color w:val="auto"/>
        </w:rPr>
        <w:t>5.1符合专业条件的供应商或者对招标文件作实质响应的供应商不足3家的；</w:t>
      </w:r>
    </w:p>
    <w:p>
      <w:pPr>
        <w:pStyle w:val="2"/>
        <w:snapToGrid w:val="0"/>
        <w:spacing w:line="360" w:lineRule="auto"/>
        <w:rPr>
          <w:rFonts w:cs="宋体"/>
          <w:color w:val="auto"/>
        </w:rPr>
      </w:pPr>
      <w:r>
        <w:rPr>
          <w:rFonts w:hint="eastAsia" w:cs="宋体"/>
          <w:color w:val="auto"/>
        </w:rPr>
        <w:t>5.2出现影响采购公正的违法、违规行为的；</w:t>
      </w:r>
    </w:p>
    <w:p>
      <w:pPr>
        <w:pStyle w:val="2"/>
        <w:snapToGrid w:val="0"/>
        <w:spacing w:line="360" w:lineRule="auto"/>
        <w:rPr>
          <w:rFonts w:cs="宋体"/>
          <w:color w:val="auto"/>
        </w:rPr>
      </w:pPr>
      <w:r>
        <w:rPr>
          <w:rFonts w:hint="eastAsia" w:cs="宋体"/>
          <w:color w:val="auto"/>
        </w:rPr>
        <w:t>5.3投标人的报价均超过了采购预算，采购人不能支付的；</w:t>
      </w:r>
    </w:p>
    <w:p>
      <w:pPr>
        <w:pStyle w:val="2"/>
        <w:snapToGrid w:val="0"/>
        <w:spacing w:line="360" w:lineRule="auto"/>
        <w:rPr>
          <w:rFonts w:cs="宋体"/>
          <w:color w:val="auto"/>
        </w:rPr>
      </w:pPr>
      <w:r>
        <w:rPr>
          <w:rFonts w:hint="eastAsia" w:cs="宋体"/>
          <w:color w:val="auto"/>
        </w:rPr>
        <w:t>5.4因重大变故，采购任务取消的。</w:t>
      </w:r>
    </w:p>
    <w:p>
      <w:pPr>
        <w:pStyle w:val="2"/>
        <w:snapToGrid w:val="0"/>
        <w:spacing w:line="360" w:lineRule="auto"/>
        <w:rPr>
          <w:rFonts w:cs="宋体"/>
          <w:color w:val="auto"/>
        </w:rPr>
      </w:pPr>
      <w:r>
        <w:rPr>
          <w:rFonts w:hint="eastAsia" w:cs="宋体"/>
          <w:color w:val="auto"/>
        </w:rPr>
        <w:t>废标后，采购代理机构应当将废标理由通知所有投标人。</w:t>
      </w:r>
    </w:p>
    <w:p>
      <w:pPr>
        <w:pStyle w:val="2"/>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pPr>
        <w:pStyle w:val="2"/>
        <w:snapToGrid w:val="0"/>
        <w:spacing w:line="360" w:lineRule="auto"/>
        <w:rPr>
          <w:rFonts w:cs="宋体"/>
          <w:color w:val="auto"/>
        </w:rPr>
      </w:pPr>
      <w:r>
        <w:rPr>
          <w:rFonts w:hint="eastAsia" w:cs="宋体"/>
          <w:color w:val="auto"/>
        </w:rPr>
        <w:t>7.1未确定中标供应商的，终止本次政府采购活动，重新开展政府采购活动。</w:t>
      </w:r>
    </w:p>
    <w:p>
      <w:pPr>
        <w:pStyle w:val="2"/>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pPr>
        <w:pStyle w:val="2"/>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pPr>
        <w:pStyle w:val="2"/>
        <w:snapToGrid w:val="0"/>
        <w:spacing w:line="360" w:lineRule="auto"/>
        <w:rPr>
          <w:rFonts w:cs="宋体"/>
          <w:color w:val="auto"/>
        </w:rPr>
      </w:pPr>
      <w:r>
        <w:rPr>
          <w:rFonts w:hint="eastAsia" w:cs="宋体"/>
          <w:color w:val="auto"/>
        </w:rPr>
        <w:t>7.4政府采购合同已经履行，给采购人、供应商造成损失的，由责任人承担赔偿责任。</w:t>
      </w:r>
    </w:p>
    <w:p>
      <w:pPr>
        <w:pStyle w:val="2"/>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pPr>
        <w:rPr>
          <w:color w:val="auto"/>
        </w:rPr>
      </w:pPr>
    </w:p>
    <w:p>
      <w:pPr>
        <w:rPr>
          <w:color w:val="auto"/>
        </w:rPr>
      </w:pPr>
    </w:p>
    <w:p>
      <w:pPr>
        <w:rPr>
          <w:color w:val="auto"/>
        </w:rPr>
      </w:pPr>
    </w:p>
    <w:p>
      <w:pPr>
        <w:rPr>
          <w:color w:val="auto"/>
        </w:rPr>
      </w:pPr>
    </w:p>
    <w:bookmarkEnd w:id="31"/>
    <w:p>
      <w:pPr>
        <w:numPr>
          <w:ilvl w:val="255"/>
          <w:numId w:val="0"/>
        </w:numPr>
        <w:adjustRightInd/>
        <w:spacing w:line="360" w:lineRule="auto"/>
        <w:ind w:firstLine="2168" w:firstLineChars="600"/>
        <w:outlineLvl w:val="0"/>
        <w:rPr>
          <w:rFonts w:ascii="宋体" w:hAnsi="宋体" w:cs="宋体"/>
          <w:b/>
          <w:color w:val="auto"/>
          <w:sz w:val="36"/>
          <w:szCs w:val="36"/>
        </w:rPr>
      </w:pPr>
      <w:bookmarkStart w:id="32" w:name="第五部分"/>
      <w:bookmarkStart w:id="33" w:name="_Toc86217003"/>
      <w:r>
        <w:rPr>
          <w:rFonts w:hint="eastAsia" w:ascii="宋体" w:hAnsi="宋体" w:cs="宋体"/>
          <w:b/>
          <w:color w:val="auto"/>
          <w:sz w:val="36"/>
          <w:szCs w:val="36"/>
        </w:rPr>
        <w:t>五、拟签订的合同文本</w:t>
      </w:r>
    </w:p>
    <w:p>
      <w:pPr>
        <w:numPr>
          <w:ilvl w:val="255"/>
          <w:numId w:val="0"/>
        </w:numPr>
        <w:spacing w:line="360" w:lineRule="auto"/>
        <w:outlineLvl w:val="0"/>
        <w:rPr>
          <w:rFonts w:ascii="宋体" w:hAnsi="宋体" w:cs="宋体"/>
          <w:b/>
          <w:color w:val="auto"/>
          <w:sz w:val="36"/>
          <w:szCs w:val="36"/>
        </w:rPr>
      </w:pPr>
    </w:p>
    <w:p>
      <w:pPr>
        <w:rPr>
          <w:rFonts w:ascii="宋体" w:hAnsi="宋体" w:cs="宋体"/>
          <w:color w:val="auto"/>
          <w:sz w:val="24"/>
          <w:u w:val="single"/>
        </w:rPr>
      </w:pPr>
      <w:r>
        <w:rPr>
          <w:rFonts w:hint="eastAsia" w:ascii="宋体" w:hAnsi="宋体" w:cs="宋体"/>
          <w:color w:val="auto"/>
          <w:sz w:val="24"/>
        </w:rPr>
        <w:t>合同编号：</w:t>
      </w:r>
      <w:r>
        <w:rPr>
          <w:rFonts w:hint="eastAsia" w:ascii="宋体" w:hAnsi="宋体" w:cs="宋体"/>
          <w:color w:val="auto"/>
          <w:sz w:val="24"/>
          <w:u w:val="single"/>
        </w:rPr>
        <w:t xml:space="preserve">           </w:t>
      </w:r>
    </w:p>
    <w:p>
      <w:pPr>
        <w:spacing w:line="480" w:lineRule="auto"/>
        <w:rPr>
          <w:rFonts w:ascii="宋体" w:hAnsi="宋体" w:cs="宋体"/>
          <w:b/>
          <w:color w:val="auto"/>
          <w:sz w:val="24"/>
        </w:rPr>
      </w:pPr>
    </w:p>
    <w:p>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pPr>
        <w:spacing w:line="480" w:lineRule="auto"/>
        <w:jc w:val="center"/>
        <w:rPr>
          <w:rFonts w:ascii="宋体" w:hAnsi="宋体" w:cs="宋体"/>
          <w:b/>
          <w:color w:val="auto"/>
          <w:sz w:val="36"/>
          <w:szCs w:val="36"/>
        </w:rPr>
      </w:pPr>
      <w:r>
        <w:rPr>
          <w:rFonts w:hint="eastAsia" w:ascii="宋体" w:hAnsi="宋体" w:cs="宋体"/>
          <w:b/>
          <w:color w:val="auto"/>
          <w:sz w:val="36"/>
          <w:szCs w:val="36"/>
        </w:rPr>
        <w:t>（货物类）</w:t>
      </w:r>
    </w:p>
    <w:p>
      <w:pPr>
        <w:pStyle w:val="704"/>
        <w:ind w:left="0" w:leftChars="0" w:firstLine="0" w:firstLineChars="0"/>
        <w:rPr>
          <w:rFonts w:ascii="宋体" w:hAnsi="宋体" w:cs="宋体"/>
          <w:color w:val="auto"/>
          <w:szCs w:val="24"/>
        </w:rPr>
      </w:pPr>
    </w:p>
    <w:p>
      <w:pPr>
        <w:pStyle w:val="704"/>
        <w:ind w:firstLine="2843" w:firstLineChars="1180"/>
        <w:rPr>
          <w:rFonts w:ascii="宋体" w:hAnsi="宋体" w:cs="宋体"/>
          <w:b/>
          <w:color w:val="auto"/>
          <w:szCs w:val="24"/>
        </w:rPr>
      </w:pPr>
      <w:r>
        <w:rPr>
          <w:rFonts w:hint="eastAsia" w:ascii="宋体" w:hAnsi="宋体" w:cs="宋体"/>
          <w:b/>
          <w:color w:val="auto"/>
          <w:szCs w:val="24"/>
        </w:rPr>
        <w:t>第一部分 合同书</w:t>
      </w:r>
    </w:p>
    <w:p>
      <w:pPr>
        <w:pStyle w:val="704"/>
        <w:ind w:left="0" w:leftChars="0" w:firstLine="0" w:firstLineChars="0"/>
        <w:rPr>
          <w:rFonts w:ascii="宋体" w:hAnsi="宋体" w:cs="宋体"/>
          <w:color w:val="auto"/>
          <w:szCs w:val="24"/>
        </w:rPr>
      </w:pP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pPr>
        <w:pStyle w:val="601"/>
        <w:spacing w:before="120" w:line="22" w:lineRule="atLeast"/>
        <w:rPr>
          <w:rFonts w:ascii="宋体" w:hAnsi="宋体" w:eastAsia="宋体" w:cs="宋体"/>
          <w:color w:val="auto"/>
          <w:szCs w:val="24"/>
        </w:rPr>
      </w:pPr>
    </w:p>
    <w:p>
      <w:pPr>
        <w:pStyle w:val="601"/>
        <w:spacing w:before="120" w:line="22" w:lineRule="atLeast"/>
        <w:rPr>
          <w:rFonts w:ascii="宋体" w:hAnsi="宋体" w:eastAsia="宋体" w:cs="宋体"/>
          <w:color w:val="auto"/>
          <w:szCs w:val="24"/>
        </w:rPr>
      </w:pPr>
    </w:p>
    <w:p>
      <w:pPr>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pPr>
        <w:spacing w:before="120" w:line="22" w:lineRule="atLeast"/>
        <w:rPr>
          <w:rFonts w:ascii="宋体" w:hAnsi="宋体" w:cs="宋体"/>
          <w:color w:val="auto"/>
          <w:sz w:val="24"/>
        </w:rPr>
      </w:pPr>
    </w:p>
    <w:p>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widowControl/>
        <w:jc w:val="left"/>
        <w:rPr>
          <w:rFonts w:ascii="宋体" w:hAnsi="宋体" w:cs="宋体"/>
          <w:color w:val="auto"/>
          <w:kern w:val="0"/>
          <w:sz w:val="24"/>
        </w:rPr>
        <w:sectPr>
          <w:pgSz w:w="11907" w:h="16840"/>
          <w:pgMar w:top="1474" w:right="1814" w:bottom="1474" w:left="1814" w:header="851" w:footer="851" w:gutter="0"/>
          <w:cols w:space="720" w:num="1"/>
        </w:sectPr>
      </w:pPr>
    </w:p>
    <w:p>
      <w:pPr>
        <w:spacing w:line="560" w:lineRule="exact"/>
        <w:ind w:firstLine="480" w:firstLineChars="200"/>
        <w:rPr>
          <w:rFonts w:ascii="宋体" w:hAnsi="宋体" w:cs="宋体"/>
          <w:color w:val="auto"/>
          <w:sz w:val="24"/>
        </w:rPr>
      </w:pP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为该项目中标或者成交供应商。现于中标或者成交通知书发出之日起10个工作日内，按照采购文件等确定的事项签订本合同。</w:t>
      </w:r>
    </w:p>
    <w:p>
      <w:pPr>
        <w:spacing w:line="560" w:lineRule="exact"/>
        <w:ind w:firstLine="480" w:firstLineChars="200"/>
        <w:rPr>
          <w:rFonts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u w:val="single"/>
        </w:rPr>
        <w:t xml:space="preserve">   （采购人）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（中标或者成交供应商名称）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pPr>
        <w:spacing w:line="560" w:lineRule="exact"/>
        <w:ind w:firstLine="482" w:firstLineChars="200"/>
        <w:outlineLvl w:val="0"/>
        <w:rPr>
          <w:rFonts w:ascii="宋体" w:hAnsi="宋体" w:cs="宋体"/>
          <w:b/>
          <w:color w:val="auto"/>
          <w:sz w:val="24"/>
        </w:rPr>
      </w:pPr>
      <w:bookmarkStart w:id="34" w:name="_Toc3029"/>
      <w:bookmarkStart w:id="35" w:name="_Toc2232"/>
      <w:bookmarkStart w:id="36" w:name="_Toc24059"/>
      <w:r>
        <w:rPr>
          <w:rFonts w:hint="eastAsia" w:ascii="宋体" w:hAnsi="宋体" w:cs="宋体"/>
          <w:b/>
          <w:color w:val="auto"/>
          <w:sz w:val="24"/>
        </w:rPr>
        <w:t>1.1 合同组成部分</w:t>
      </w:r>
      <w:bookmarkEnd w:id="34"/>
      <w:bookmarkEnd w:id="35"/>
      <w:bookmarkEnd w:id="36"/>
    </w:p>
    <w:p>
      <w:pPr>
        <w:spacing w:line="560" w:lineRule="exact"/>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ascii="宋体" w:hAnsi="宋体" w:cs="宋体"/>
          <w:color w:val="auto"/>
          <w:sz w:val="24"/>
        </w:rPr>
      </w:pPr>
      <w:r>
        <w:rPr>
          <w:rFonts w:hint="eastAsia" w:ascii="宋体" w:hAnsi="宋体" w:cs="宋体"/>
          <w:color w:val="auto"/>
          <w:sz w:val="24"/>
        </w:rPr>
        <w:t>1.1.1 本合同及其补充合同、变更协议；</w:t>
      </w:r>
    </w:p>
    <w:p>
      <w:pPr>
        <w:spacing w:line="560" w:lineRule="exact"/>
        <w:ind w:firstLine="480" w:firstLineChars="200"/>
        <w:rPr>
          <w:rFonts w:ascii="宋体" w:hAnsi="宋体" w:cs="宋体"/>
          <w:color w:val="auto"/>
          <w:sz w:val="24"/>
        </w:rPr>
      </w:pPr>
      <w:r>
        <w:rPr>
          <w:rFonts w:hint="eastAsia" w:ascii="宋体" w:hAnsi="宋体" w:cs="宋体"/>
          <w:color w:val="auto"/>
          <w:sz w:val="24"/>
        </w:rPr>
        <w:t>1.1.2 中标或者成交通知书；</w:t>
      </w:r>
    </w:p>
    <w:p>
      <w:pPr>
        <w:spacing w:line="560" w:lineRule="exact"/>
        <w:ind w:firstLine="480" w:firstLineChars="200"/>
        <w:rPr>
          <w:rFonts w:ascii="宋体" w:hAnsi="宋体" w:cs="宋体"/>
          <w:color w:val="auto"/>
          <w:sz w:val="24"/>
        </w:rPr>
      </w:pPr>
      <w:r>
        <w:rPr>
          <w:rFonts w:hint="eastAsia" w:ascii="宋体" w:hAnsi="宋体" w:cs="宋体"/>
          <w:color w:val="auto"/>
          <w:sz w:val="24"/>
        </w:rPr>
        <w:t>1.1.3 投标或者响应文件（含澄清或者说明文件）；</w:t>
      </w:r>
    </w:p>
    <w:p>
      <w:pPr>
        <w:spacing w:line="560" w:lineRule="exact"/>
        <w:ind w:firstLine="480" w:firstLineChars="200"/>
        <w:rPr>
          <w:rFonts w:ascii="宋体" w:hAnsi="宋体" w:cs="宋体"/>
          <w:color w:val="auto"/>
          <w:sz w:val="24"/>
        </w:rPr>
      </w:pPr>
      <w:r>
        <w:rPr>
          <w:rFonts w:hint="eastAsia" w:ascii="宋体" w:hAnsi="宋体" w:cs="宋体"/>
          <w:color w:val="auto"/>
          <w:sz w:val="24"/>
        </w:rPr>
        <w:t>1.1.4 采购文件（含澄清或者修改文件）；</w:t>
      </w:r>
    </w:p>
    <w:p>
      <w:pPr>
        <w:spacing w:line="560" w:lineRule="exact"/>
        <w:ind w:firstLine="480" w:firstLineChars="200"/>
        <w:rPr>
          <w:rFonts w:ascii="宋体" w:hAnsi="宋体" w:cs="宋体"/>
          <w:color w:val="auto"/>
          <w:sz w:val="24"/>
        </w:rPr>
      </w:pPr>
      <w:r>
        <w:rPr>
          <w:rFonts w:hint="eastAsia" w:ascii="宋体" w:hAnsi="宋体" w:cs="宋体"/>
          <w:color w:val="auto"/>
          <w:sz w:val="24"/>
        </w:rPr>
        <w:t>1.1.5 其他相关采购文件。</w:t>
      </w:r>
    </w:p>
    <w:p>
      <w:pPr>
        <w:spacing w:line="560" w:lineRule="exact"/>
        <w:ind w:firstLine="482" w:firstLineChars="200"/>
        <w:outlineLvl w:val="0"/>
        <w:rPr>
          <w:rFonts w:ascii="宋体" w:hAnsi="宋体" w:cs="宋体"/>
          <w:b/>
          <w:color w:val="auto"/>
          <w:sz w:val="24"/>
        </w:rPr>
      </w:pPr>
      <w:bookmarkStart w:id="37" w:name="_Toc21295"/>
      <w:bookmarkStart w:id="38" w:name="_Toc24300"/>
      <w:bookmarkStart w:id="39" w:name="_Toc27126"/>
      <w:r>
        <w:rPr>
          <w:rFonts w:hint="eastAsia" w:ascii="宋体" w:hAnsi="宋体" w:cs="宋体"/>
          <w:b/>
          <w:color w:val="auto"/>
          <w:sz w:val="24"/>
        </w:rPr>
        <w:t>1.2 货物</w:t>
      </w:r>
      <w:bookmarkEnd w:id="37"/>
      <w:bookmarkEnd w:id="38"/>
      <w:bookmarkEnd w:id="39"/>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1.2.2 货物数量：</w:t>
      </w:r>
      <w:r>
        <w:rPr>
          <w:rFonts w:hint="eastAsia" w:ascii="宋体" w:hAnsi="宋体" w:cs="宋体"/>
          <w:color w:val="auto"/>
          <w:sz w:val="24"/>
          <w:u w:val="single"/>
        </w:rPr>
        <w:t xml:space="preserve">                                                </w:t>
      </w:r>
      <w:r>
        <w:rPr>
          <w:rFonts w:hint="eastAsia" w:ascii="宋体" w:hAnsi="宋体" w:cs="宋体"/>
          <w:color w:val="auto"/>
          <w:sz w:val="24"/>
        </w:rPr>
        <w:t>；</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1.2.3 货物质量：</w:t>
      </w:r>
      <w:r>
        <w:rPr>
          <w:rFonts w:hint="eastAsia" w:ascii="宋体" w:hAnsi="宋体" w:cs="宋体"/>
          <w:color w:val="auto"/>
          <w:sz w:val="24"/>
          <w:u w:val="single"/>
        </w:rPr>
        <w:t>　　　　　　　　　                      　      ；</w:t>
      </w:r>
    </w:p>
    <w:p>
      <w:pPr>
        <w:spacing w:line="560" w:lineRule="exact"/>
        <w:ind w:firstLine="482" w:firstLineChars="200"/>
        <w:outlineLvl w:val="0"/>
        <w:rPr>
          <w:rFonts w:ascii="宋体" w:hAnsi="宋体" w:cs="宋体"/>
          <w:b/>
          <w:color w:val="auto"/>
          <w:sz w:val="24"/>
        </w:rPr>
      </w:pPr>
      <w:bookmarkStart w:id="40" w:name="_Toc21631"/>
      <w:bookmarkStart w:id="41" w:name="_Toc21551"/>
      <w:bookmarkStart w:id="42" w:name="_Toc23292"/>
      <w:r>
        <w:rPr>
          <w:rFonts w:hint="eastAsia" w:ascii="宋体" w:hAnsi="宋体" w:cs="宋体"/>
          <w:b/>
          <w:color w:val="auto"/>
          <w:sz w:val="24"/>
        </w:rPr>
        <w:t>1.3 价款</w:t>
      </w:r>
      <w:bookmarkEnd w:id="40"/>
      <w:bookmarkEnd w:id="41"/>
      <w:bookmarkEnd w:id="42"/>
    </w:p>
    <w:p>
      <w:pPr>
        <w:spacing w:line="560" w:lineRule="exact"/>
        <w:ind w:firstLine="480" w:firstLineChars="200"/>
        <w:rPr>
          <w:rFonts w:ascii="宋体" w:hAnsi="宋体" w:cs="宋体"/>
          <w:color w:val="auto"/>
          <w:sz w:val="24"/>
        </w:rPr>
      </w:pPr>
      <w:r>
        <w:rPr>
          <w:rFonts w:hint="eastAsia" w:ascii="宋体" w:hAnsi="宋体" w:cs="宋体"/>
          <w:color w:val="auto"/>
          <w:sz w:val="24"/>
        </w:rPr>
        <w:t>本合同总价（含税）为：￥</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元人民币）。</w:t>
      </w:r>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3402"/>
        <w:gridCol w:w="3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jc w:val="center"/>
              <w:rPr>
                <w:rFonts w:hAnsi="宋体" w:cs="宋体"/>
                <w:color w:val="auto"/>
                <w:sz w:val="24"/>
                <w:szCs w:val="24"/>
              </w:rPr>
            </w:pPr>
            <w:r>
              <w:rPr>
                <w:rFonts w:hint="eastAsia" w:hAnsi="宋体" w:cs="宋体"/>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color w:val="auto"/>
                <w:sz w:val="24"/>
                <w:szCs w:val="24"/>
              </w:rPr>
            </w:pPr>
            <w:r>
              <w:rPr>
                <w:rFonts w:hint="eastAsia" w:hAnsi="宋体" w:cs="宋体"/>
                <w:color w:val="auto"/>
                <w:sz w:val="24"/>
                <w:szCs w:val="24"/>
              </w:rPr>
              <w:t>分项名称</w:t>
            </w:r>
          </w:p>
        </w:tc>
        <w:tc>
          <w:tcPr>
            <w:tcW w:w="3539"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jc w:val="center"/>
              <w:rPr>
                <w:rFonts w:hAnsi="宋体" w:cs="宋体"/>
                <w:color w:val="auto"/>
                <w:sz w:val="24"/>
                <w:szCs w:val="24"/>
              </w:rPr>
            </w:pPr>
            <w:r>
              <w:rPr>
                <w:rFonts w:hint="eastAsia" w:hAnsi="宋体" w:cs="宋体"/>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color w:val="auto"/>
                <w:sz w:val="24"/>
                <w:szCs w:val="24"/>
              </w:rPr>
            </w:pPr>
          </w:p>
        </w:tc>
        <w:tc>
          <w:tcPr>
            <w:tcW w:w="3539"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color w:val="auto"/>
                <w:sz w:val="24"/>
                <w:szCs w:val="24"/>
              </w:rPr>
            </w:pPr>
          </w:p>
        </w:tc>
        <w:tc>
          <w:tcPr>
            <w:tcW w:w="3539"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color w:val="auto"/>
                <w:sz w:val="24"/>
                <w:szCs w:val="24"/>
              </w:rPr>
            </w:pPr>
          </w:p>
        </w:tc>
        <w:tc>
          <w:tcPr>
            <w:tcW w:w="3539"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2175"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color w:val="auto"/>
                <w:sz w:val="24"/>
                <w:szCs w:val="24"/>
              </w:rPr>
            </w:pPr>
          </w:p>
        </w:tc>
        <w:tc>
          <w:tcPr>
            <w:tcW w:w="3539"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577" w:type="dxa"/>
            <w:gridSpan w:val="2"/>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color w:val="auto"/>
                <w:sz w:val="24"/>
                <w:szCs w:val="24"/>
              </w:rPr>
            </w:pPr>
            <w:r>
              <w:rPr>
                <w:rFonts w:hint="eastAsia" w:hAnsi="宋体" w:cs="宋体"/>
                <w:color w:val="auto"/>
                <w:sz w:val="24"/>
                <w:szCs w:val="24"/>
              </w:rPr>
              <w:t>总价</w:t>
            </w:r>
          </w:p>
        </w:tc>
        <w:tc>
          <w:tcPr>
            <w:tcW w:w="3539" w:type="dxa"/>
            <w:tcBorders>
              <w:top w:val="single" w:color="auto" w:sz="4" w:space="0"/>
              <w:left w:val="single" w:color="auto" w:sz="4" w:space="0"/>
              <w:bottom w:val="single" w:color="auto" w:sz="4" w:space="0"/>
              <w:right w:val="single" w:color="auto" w:sz="4" w:space="0"/>
            </w:tcBorders>
            <w:vAlign w:val="center"/>
          </w:tcPr>
          <w:p>
            <w:pPr>
              <w:pStyle w:val="322"/>
              <w:spacing w:line="560" w:lineRule="exact"/>
              <w:ind w:firstLine="200"/>
              <w:jc w:val="center"/>
              <w:rPr>
                <w:rFonts w:hAnsi="宋体" w:cs="宋体"/>
                <w:color w:val="auto"/>
                <w:sz w:val="24"/>
                <w:szCs w:val="24"/>
              </w:rPr>
            </w:pPr>
          </w:p>
        </w:tc>
      </w:tr>
    </w:tbl>
    <w:p>
      <w:pPr>
        <w:pStyle w:val="962"/>
        <w:spacing w:before="0" w:beforeAutospacing="0" w:after="0" w:afterAutospacing="0" w:line="360" w:lineRule="auto"/>
        <w:ind w:firstLine="480"/>
        <w:rPr>
          <w:b/>
          <w:color w:val="auto"/>
        </w:rPr>
      </w:pPr>
      <w:bookmarkStart w:id="43" w:name="_Toc1814"/>
      <w:bookmarkStart w:id="44" w:name="_Toc10340"/>
      <w:bookmarkStart w:id="45" w:name="_Toc22618"/>
      <w:r>
        <w:rPr>
          <w:rFonts w:hint="eastAsia"/>
          <w:b/>
          <w:color w:val="auto"/>
        </w:rPr>
        <w:t>1.4履约保证金</w:t>
      </w:r>
    </w:p>
    <w:p>
      <w:pPr>
        <w:pStyle w:val="962"/>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5"/>
        <w:tabs>
          <w:tab w:val="left" w:pos="0"/>
          <w:tab w:val="clear" w:pos="432"/>
        </w:tabs>
        <w:spacing w:line="560" w:lineRule="exact"/>
        <w:ind w:left="0" w:firstLine="480" w:firstLineChars="200"/>
        <w:rPr>
          <w:rFonts w:eastAsia="宋体"/>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outlineLvl w:val="0"/>
        <w:rPr>
          <w:color w:val="auto"/>
        </w:rPr>
      </w:pPr>
      <w:r>
        <w:rPr>
          <w:rFonts w:hint="eastAsia" w:ascii="宋体" w:hAnsi="宋体" w:cs="宋体"/>
          <w:color w:val="auto"/>
          <w:kern w:val="0"/>
          <w:sz w:val="24"/>
        </w:rPr>
        <w:t>1.4.4 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3"/>
      <w:bookmarkEnd w:id="44"/>
      <w:bookmarkEnd w:id="45"/>
      <w:r>
        <w:rPr>
          <w:rFonts w:hint="eastAsia" w:ascii="宋体" w:hAnsi="宋体" w:cs="宋体"/>
          <w:b/>
          <w:color w:val="auto"/>
          <w:sz w:val="24"/>
        </w:rPr>
        <w:t>预付款</w:t>
      </w:r>
    </w:p>
    <w:p>
      <w:pPr>
        <w:pStyle w:val="962"/>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pStyle w:val="962"/>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62"/>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pPr>
        <w:pStyle w:val="962"/>
        <w:spacing w:before="0" w:beforeAutospacing="0" w:after="0" w:afterAutospacing="0" w:line="360" w:lineRule="auto"/>
        <w:ind w:firstLine="480"/>
        <w:rPr>
          <w:b/>
          <w:bCs/>
          <w:color w:val="auto"/>
        </w:rPr>
      </w:pPr>
      <w:r>
        <w:rPr>
          <w:rFonts w:hint="eastAsia"/>
          <w:b/>
          <w:bCs/>
          <w:color w:val="auto"/>
        </w:rPr>
        <w:t>1.6资金支付</w:t>
      </w:r>
    </w:p>
    <w:p>
      <w:pPr>
        <w:pStyle w:val="962"/>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6" w:name="_Toc19304"/>
      <w:bookmarkStart w:id="47" w:name="_Toc2846"/>
      <w:bookmarkStart w:id="48" w:name="_Toc32071"/>
      <w:r>
        <w:rPr>
          <w:rFonts w:hint="eastAsia" w:ascii="宋体" w:hAnsi="宋体" w:cs="宋体"/>
          <w:b/>
          <w:color w:val="auto"/>
          <w:sz w:val="24"/>
        </w:rPr>
        <w:t>1.7货物交付期限、地点和方式</w:t>
      </w:r>
      <w:bookmarkEnd w:id="46"/>
      <w:bookmarkEnd w:id="47"/>
      <w:bookmarkEnd w:id="48"/>
    </w:p>
    <w:p>
      <w:pPr>
        <w:spacing w:line="560" w:lineRule="exact"/>
        <w:ind w:firstLine="480" w:firstLineChars="200"/>
        <w:rPr>
          <w:rFonts w:ascii="宋体" w:hAnsi="宋体" w:cs="宋体"/>
          <w:color w:val="auto"/>
          <w:sz w:val="24"/>
          <w:u w:val="single"/>
        </w:rPr>
      </w:pPr>
      <w:r>
        <w:rPr>
          <w:rFonts w:hint="eastAsia" w:ascii="宋体" w:hAnsi="宋体" w:cs="宋体"/>
          <w:color w:val="auto"/>
          <w:sz w:val="24"/>
        </w:rPr>
        <w:t>1.7.1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1.7.2 交付地点：</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0" w:firstLineChars="200"/>
        <w:rPr>
          <w:rFonts w:ascii="宋体" w:hAnsi="宋体" w:cs="宋体"/>
          <w:color w:val="auto"/>
          <w:sz w:val="24"/>
        </w:rPr>
      </w:pPr>
      <w:r>
        <w:rPr>
          <w:rFonts w:hint="eastAsia" w:ascii="宋体" w:hAnsi="宋体" w:cs="宋体"/>
          <w:color w:val="auto"/>
          <w:sz w:val="24"/>
        </w:rPr>
        <w:t>1.7.3 交付方式：</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49" w:name="_Toc27250"/>
      <w:bookmarkStart w:id="50" w:name="_Toc21423"/>
      <w:bookmarkStart w:id="51" w:name="_Toc19554"/>
      <w:r>
        <w:rPr>
          <w:rFonts w:hint="eastAsia" w:ascii="宋体" w:hAnsi="宋体" w:cs="宋体"/>
          <w:b/>
          <w:color w:val="auto"/>
          <w:sz w:val="24"/>
        </w:rPr>
        <w:t>1.8违约责任</w:t>
      </w:r>
      <w:bookmarkEnd w:id="49"/>
      <w:bookmarkEnd w:id="50"/>
      <w:bookmarkEnd w:id="51"/>
    </w:p>
    <w:p>
      <w:pPr>
        <w:spacing w:line="560" w:lineRule="exact"/>
        <w:ind w:firstLine="480" w:firstLineChars="200"/>
        <w:rPr>
          <w:rFonts w:ascii="宋体" w:hAnsi="宋体" w:cs="宋体"/>
          <w:color w:val="auto"/>
          <w:sz w:val="24"/>
        </w:rPr>
      </w:pPr>
      <w:r>
        <w:rPr>
          <w:rFonts w:hint="eastAsia" w:ascii="宋体" w:hAnsi="宋体" w:cs="宋体"/>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%；迟延交付货物的违约金计算数额达到前述最高限额之日起，甲方有权在要求乙方支付违约金的同时，书面通知乙方解除本合同；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%；迟延付款的违约金计算数额达到前述最高限额之日起，乙方有权在要求甲方支付违约金的同时，书面通知甲方解除本合同；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宋体" w:hAnsi="宋体" w:cs="宋体"/>
          <w:color w:val="auto"/>
          <w:sz w:val="24"/>
        </w:rPr>
      </w:pPr>
      <w:r>
        <w:rPr>
          <w:rFonts w:hint="eastAsia" w:ascii="宋体" w:hAnsi="宋体" w:cs="宋体"/>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pPr>
        <w:spacing w:line="560" w:lineRule="exact"/>
        <w:ind w:left="-420" w:leftChars="-200" w:right="-420" w:rightChars="-200" w:firstLine="960" w:firstLineChars="400"/>
        <w:rPr>
          <w:rFonts w:ascii="宋体" w:hAnsi="宋体" w:cs="宋体"/>
          <w:color w:val="auto"/>
        </w:rPr>
      </w:pPr>
      <w:r>
        <w:rPr>
          <w:rFonts w:hint="eastAsia" w:ascii="宋体" w:hAnsi="宋体" w:cs="宋体"/>
          <w:color w:val="auto"/>
          <w:sz w:val="24"/>
        </w:rPr>
        <w:t>1.8.6违约责任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p>
      <w:pPr>
        <w:spacing w:line="560" w:lineRule="exact"/>
        <w:ind w:firstLine="482" w:firstLineChars="200"/>
        <w:outlineLvl w:val="0"/>
        <w:rPr>
          <w:rFonts w:ascii="宋体" w:hAnsi="宋体" w:cs="宋体"/>
          <w:b/>
          <w:color w:val="auto"/>
          <w:sz w:val="24"/>
        </w:rPr>
      </w:pPr>
      <w:bookmarkStart w:id="52" w:name="_Toc28375"/>
      <w:bookmarkStart w:id="53" w:name="_Toc16021"/>
      <w:bookmarkStart w:id="54" w:name="_Toc15583"/>
      <w:r>
        <w:rPr>
          <w:rFonts w:hint="eastAsia" w:ascii="宋体" w:hAnsi="宋体" w:cs="宋体"/>
          <w:b/>
          <w:color w:val="auto"/>
          <w:sz w:val="24"/>
        </w:rPr>
        <w:t>1.9合同争议的解决</w:t>
      </w:r>
      <w:bookmarkEnd w:id="52"/>
      <w:bookmarkEnd w:id="53"/>
      <w:bookmarkEnd w:id="54"/>
    </w:p>
    <w:p>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pPr>
        <w:spacing w:line="560" w:lineRule="exact"/>
        <w:ind w:firstLine="482" w:firstLineChars="200"/>
        <w:outlineLvl w:val="0"/>
        <w:rPr>
          <w:rFonts w:ascii="宋体" w:hAnsi="宋体" w:cs="宋体"/>
          <w:b/>
          <w:color w:val="auto"/>
          <w:sz w:val="24"/>
        </w:rPr>
      </w:pPr>
      <w:bookmarkStart w:id="55" w:name="_Toc15322"/>
      <w:bookmarkStart w:id="56" w:name="_Toc11173"/>
      <w:bookmarkStart w:id="57" w:name="_Toc7245"/>
      <w:r>
        <w:rPr>
          <w:rFonts w:hint="eastAsia" w:ascii="宋体" w:hAnsi="宋体" w:cs="宋体"/>
          <w:b/>
          <w:color w:val="auto"/>
          <w:sz w:val="24"/>
        </w:rPr>
        <w:t>2.0 合同生效</w:t>
      </w:r>
      <w:bookmarkEnd w:id="55"/>
      <w:bookmarkEnd w:id="56"/>
      <w:bookmarkEnd w:id="57"/>
    </w:p>
    <w:p>
      <w:pPr>
        <w:spacing w:line="560" w:lineRule="exact"/>
        <w:ind w:firstLine="480" w:firstLineChars="200"/>
        <w:rPr>
          <w:rFonts w:ascii="宋体" w:hAnsi="宋体" w:cs="宋体"/>
          <w:color w:val="auto"/>
          <w:sz w:val="24"/>
          <w:lang w:val="zh-CN"/>
        </w:rPr>
      </w:pPr>
      <w:r>
        <w:rPr>
          <w:rFonts w:hint="eastAsia" w:ascii="宋体" w:hAnsi="宋体" w:cs="宋体"/>
          <w:color w:val="auto"/>
          <w:sz w:val="24"/>
        </w:rPr>
        <w:t>本合同自双方当事人盖章签字时生效。</w:t>
      </w:r>
    </w:p>
    <w:p>
      <w:pPr>
        <w:autoSpaceDE w:val="0"/>
        <w:autoSpaceDN w:val="0"/>
        <w:spacing w:line="560" w:lineRule="exact"/>
        <w:rPr>
          <w:rFonts w:ascii="宋体" w:hAnsi="宋体" w:cs="宋体"/>
          <w:color w:val="auto"/>
          <w:sz w:val="24"/>
          <w:lang w:val="zh-CN"/>
        </w:rPr>
      </w:pPr>
      <w:r>
        <w:rPr>
          <w:rFonts w:hint="eastAsia" w:ascii="宋体" w:hAnsi="宋体" w:cs="宋体"/>
          <w:b/>
          <w:color w:val="auto"/>
          <w:sz w:val="24"/>
          <w:lang w:val="zh-CN"/>
        </w:rPr>
        <w:t>甲方</w:t>
      </w:r>
      <w:r>
        <w:rPr>
          <w:rFonts w:hint="eastAsia" w:ascii="宋体" w:hAnsi="宋体" w:cs="宋体"/>
          <w:color w:val="auto"/>
          <w:sz w:val="24"/>
          <w:lang w:val="zh-CN"/>
        </w:rPr>
        <w:t xml:space="preserve">：                             </w:t>
      </w:r>
      <w:r>
        <w:rPr>
          <w:rFonts w:hint="eastAsia" w:ascii="宋体" w:hAnsi="宋体" w:cs="宋体"/>
          <w:b/>
          <w:color w:val="auto"/>
          <w:sz w:val="24"/>
          <w:lang w:val="zh-CN"/>
        </w:rPr>
        <w:t xml:space="preserve">      乙方</w:t>
      </w:r>
      <w:r>
        <w:rPr>
          <w:rFonts w:hint="eastAsia" w:ascii="宋体" w:hAnsi="宋体" w:cs="宋体"/>
          <w:color w:val="auto"/>
          <w:sz w:val="24"/>
          <w:lang w:val="zh-CN"/>
        </w:rPr>
        <w:t>：</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统一社会信用代码：                        统一社会信用代码或身份证号码：</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住所：                                   住所：</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法定代表人或                             法定代表人</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授权代表（签字）：                        或授权代表（签字）: </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联系人：                                 联系人：</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约定送达地址：                           约定送达地址：</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邮政编码：                               邮政编码：</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电话:                                    电话: </w:t>
      </w:r>
    </w:p>
    <w:p>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传真:                                    传真:</w:t>
      </w:r>
    </w:p>
    <w:p>
      <w:pPr>
        <w:autoSpaceDE w:val="0"/>
        <w:autoSpaceDN w:val="0"/>
        <w:spacing w:line="560" w:lineRule="exact"/>
        <w:rPr>
          <w:rFonts w:ascii="宋体" w:hAnsi="宋体" w:cs="宋体"/>
          <w:color w:val="auto"/>
          <w:sz w:val="24"/>
        </w:rPr>
      </w:pPr>
      <w:r>
        <w:rPr>
          <w:rFonts w:hint="eastAsia" w:ascii="宋体" w:hAnsi="宋体" w:cs="宋体"/>
          <w:color w:val="auto"/>
          <w:sz w:val="24"/>
          <w:lang w:val="zh-CN"/>
        </w:rPr>
        <w:t>电子邮箱：                               电子邮箱：</w:t>
      </w:r>
    </w:p>
    <w:p>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开户银行：                               开户银行： </w:t>
      </w:r>
    </w:p>
    <w:p>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开户名称：                               开户名称： </w:t>
      </w:r>
    </w:p>
    <w:p>
      <w:pPr>
        <w:autoSpaceDE w:val="0"/>
        <w:autoSpaceDN w:val="0"/>
        <w:spacing w:line="560" w:lineRule="exact"/>
        <w:rPr>
          <w:rFonts w:ascii="宋体" w:hAnsi="宋体" w:cs="宋体"/>
          <w:color w:val="auto"/>
          <w:sz w:val="24"/>
        </w:rPr>
      </w:pPr>
      <w:r>
        <w:rPr>
          <w:rFonts w:hint="eastAsia" w:ascii="宋体" w:hAnsi="宋体" w:cs="宋体"/>
          <w:color w:val="auto"/>
          <w:sz w:val="24"/>
        </w:rPr>
        <w:t>开户账号：</w:t>
      </w:r>
      <w:r>
        <w:rPr>
          <w:rFonts w:hint="eastAsia" w:ascii="宋体" w:hAnsi="宋体" w:cs="宋体"/>
          <w:color w:val="auto"/>
          <w:sz w:val="24"/>
          <w:lang w:val="zh-CN"/>
        </w:rPr>
        <w:t xml:space="preserve">                               </w:t>
      </w:r>
      <w:r>
        <w:rPr>
          <w:rFonts w:hint="eastAsia" w:ascii="宋体" w:hAnsi="宋体" w:cs="宋体"/>
          <w:color w:val="auto"/>
          <w:sz w:val="24"/>
        </w:rPr>
        <w:t>开户账号：</w:t>
      </w:r>
    </w:p>
    <w:p>
      <w:pPr>
        <w:rPr>
          <w:color w:val="auto"/>
        </w:rPr>
      </w:pPr>
    </w:p>
    <w:p>
      <w:pPr>
        <w:rPr>
          <w:color w:val="auto"/>
        </w:rPr>
      </w:pPr>
    </w:p>
    <w:p>
      <w:pPr>
        <w:pStyle w:val="704"/>
        <w:spacing w:line="560" w:lineRule="exact"/>
        <w:ind w:firstLine="482"/>
        <w:jc w:val="center"/>
        <w:rPr>
          <w:rFonts w:ascii="宋体" w:hAnsi="宋体" w:cs="宋体"/>
          <w:b/>
          <w:color w:val="auto"/>
          <w:szCs w:val="24"/>
        </w:rPr>
      </w:pPr>
      <w:r>
        <w:rPr>
          <w:rFonts w:hint="eastAsia" w:ascii="宋体" w:hAnsi="宋体" w:cs="宋体"/>
          <w:b/>
          <w:color w:val="auto"/>
          <w:szCs w:val="24"/>
        </w:rPr>
        <w:t>第二部分 合同一般条款</w:t>
      </w:r>
    </w:p>
    <w:p>
      <w:pPr>
        <w:spacing w:line="560" w:lineRule="exact"/>
        <w:ind w:firstLine="482" w:firstLineChars="200"/>
        <w:outlineLvl w:val="0"/>
        <w:rPr>
          <w:rFonts w:ascii="宋体" w:hAnsi="宋体" w:cs="宋体"/>
          <w:b/>
          <w:color w:val="auto"/>
          <w:sz w:val="24"/>
        </w:rPr>
      </w:pPr>
      <w:bookmarkStart w:id="58" w:name="_Ref467379205"/>
      <w:bookmarkStart w:id="59" w:name="_Toc16917"/>
      <w:bookmarkStart w:id="60" w:name="_Toc279701240"/>
      <w:bookmarkStart w:id="61" w:name="_Ref467379094"/>
      <w:bookmarkStart w:id="62" w:name="_Ref467379109"/>
      <w:bookmarkStart w:id="63" w:name="_Toc28763"/>
      <w:bookmarkStart w:id="64" w:name="_Ref467379214"/>
      <w:bookmarkStart w:id="65" w:name="_Toc487900349"/>
      <w:bookmarkStart w:id="66" w:name="_Toc19614"/>
      <w:bookmarkStart w:id="67" w:name="_Ref467379225"/>
      <w:bookmarkStart w:id="68" w:name="_Toc259093669"/>
      <w:bookmarkStart w:id="69" w:name="_Ref467378463"/>
      <w:bookmarkStart w:id="70" w:name="_Ref467379101"/>
      <w:bookmarkStart w:id="71" w:name="_Ref467378499"/>
      <w:bookmarkStart w:id="72" w:name="_Ref467379195"/>
      <w:bookmarkStart w:id="73" w:name="_Ref467378404"/>
      <w:r>
        <w:rPr>
          <w:rFonts w:hint="eastAsia" w:ascii="宋体" w:hAnsi="宋体" w:cs="宋体"/>
          <w:b/>
          <w:color w:val="auto"/>
          <w:sz w:val="24"/>
        </w:rPr>
        <w:t>2.1 定义</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pPr>
        <w:spacing w:line="560" w:lineRule="exact"/>
        <w:ind w:firstLine="480" w:firstLineChars="200"/>
        <w:rPr>
          <w:rFonts w:ascii="宋体" w:hAnsi="宋体" w:cs="宋体"/>
          <w:color w:val="auto"/>
          <w:sz w:val="24"/>
        </w:rPr>
      </w:pPr>
      <w:r>
        <w:rPr>
          <w:rFonts w:hint="eastAsia" w:ascii="宋体" w:hAnsi="宋体" w:cs="宋体"/>
          <w:color w:val="auto"/>
          <w:sz w:val="24"/>
        </w:rPr>
        <w:t>本合同中的下列词语应按以下内容进行解释：</w:t>
      </w:r>
    </w:p>
    <w:p>
      <w:pPr>
        <w:spacing w:line="560" w:lineRule="exact"/>
        <w:ind w:firstLine="480" w:firstLineChars="200"/>
        <w:rPr>
          <w:rFonts w:ascii="宋体" w:hAnsi="宋体" w:cs="宋体"/>
          <w:color w:val="auto"/>
          <w:sz w:val="24"/>
        </w:rPr>
      </w:pPr>
      <w:r>
        <w:rPr>
          <w:rFonts w:hint="eastAsia" w:ascii="宋体" w:hAnsi="宋体" w:cs="宋体"/>
          <w:color w:val="auto"/>
          <w:sz w:val="24"/>
        </w:rPr>
        <w:t>2.1.1 “合同”系指采购人和中标或成交供应商签订的载明双方当事人所达成的协议，并包括所有的附件、附录和构成合同的其他文件。</w:t>
      </w:r>
    </w:p>
    <w:p>
      <w:pPr>
        <w:spacing w:line="560" w:lineRule="exact"/>
        <w:ind w:firstLine="480" w:firstLineChars="200"/>
        <w:rPr>
          <w:rFonts w:ascii="宋体" w:hAnsi="宋体" w:cs="宋体"/>
          <w:color w:val="auto"/>
          <w:sz w:val="24"/>
        </w:rPr>
      </w:pPr>
      <w:r>
        <w:rPr>
          <w:rFonts w:hint="eastAsia" w:ascii="宋体" w:hAnsi="宋体" w:cs="宋体"/>
          <w:color w:val="auto"/>
          <w:sz w:val="24"/>
        </w:rPr>
        <w:t>2.1.2 “合同价”系指根据合同约定，中标或成交供应商在完全履行合同义务后，采购人应支付给中标或成交供应商的价格。</w:t>
      </w:r>
    </w:p>
    <w:p>
      <w:pPr>
        <w:spacing w:line="560" w:lineRule="exact"/>
        <w:ind w:firstLine="480" w:firstLineChars="200"/>
        <w:rPr>
          <w:rFonts w:ascii="宋体" w:hAnsi="宋体" w:cs="宋体"/>
          <w:color w:val="auto"/>
          <w:sz w:val="24"/>
        </w:rPr>
      </w:pPr>
      <w:r>
        <w:rPr>
          <w:rFonts w:hint="eastAsia" w:ascii="宋体" w:hAnsi="宋体" w:cs="宋体"/>
          <w:color w:val="auto"/>
          <w:sz w:val="24"/>
        </w:rPr>
        <w:t>2.1.3 “货物”系指中标或成交供应商根据合同约定应向采购人交付的一切各种形态和种类的物品，包括原材料、燃料、设备、机械、仪表、备件、计算机软件、产品等，并包括工具、手册等其他相关资料。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ascii="宋体" w:hAnsi="宋体" w:cs="宋体"/>
          <w:color w:val="auto"/>
          <w:sz w:val="24"/>
        </w:rPr>
      </w:pPr>
      <w:bookmarkStart w:id="74" w:name="_Ref467378840"/>
      <w:r>
        <w:rPr>
          <w:rFonts w:hint="eastAsia" w:ascii="宋体" w:hAnsi="宋体" w:cs="宋体"/>
          <w:color w:val="auto"/>
          <w:sz w:val="24"/>
        </w:rPr>
        <w:t>2.1.4 “甲方”系指与中标或成交供应商签署合同的采购人</w:t>
      </w:r>
      <w:bookmarkEnd w:id="74"/>
      <w:r>
        <w:rPr>
          <w:rFonts w:hint="eastAsia" w:ascii="宋体" w:hAnsi="宋体" w:cs="宋体"/>
          <w:color w:val="auto"/>
          <w:sz w:val="24"/>
        </w:rPr>
        <w:t>；采购人委托采购代理机构代表其与乙方签订合同的，采购人的授权委托书作为合同附件。</w:t>
      </w:r>
    </w:p>
    <w:p>
      <w:pPr>
        <w:spacing w:line="560" w:lineRule="exact"/>
        <w:ind w:firstLine="480" w:firstLineChars="200"/>
        <w:rPr>
          <w:rFonts w:ascii="宋体" w:hAnsi="宋体" w:cs="宋体"/>
          <w:color w:val="auto"/>
          <w:sz w:val="24"/>
        </w:rPr>
      </w:pPr>
      <w:bookmarkStart w:id="75" w:name="_Ref467379400"/>
      <w:r>
        <w:rPr>
          <w:rFonts w:hint="eastAsia" w:ascii="宋体" w:hAnsi="宋体" w:cs="宋体"/>
          <w:color w:val="auto"/>
          <w:sz w:val="24"/>
        </w:rPr>
        <w:t>2.1.5 “乙方”系指根据合同约定交付货物的中标或成交供应商</w:t>
      </w:r>
      <w:bookmarkEnd w:id="75"/>
      <w:r>
        <w:rPr>
          <w:rFonts w:hint="eastAsia" w:ascii="宋体" w:hAnsi="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宋体" w:hAnsi="宋体" w:cs="宋体"/>
          <w:color w:val="auto"/>
          <w:sz w:val="24"/>
        </w:rPr>
      </w:pPr>
      <w:bookmarkStart w:id="76" w:name="_Ref467379436"/>
      <w:r>
        <w:rPr>
          <w:rFonts w:hint="eastAsia" w:ascii="宋体" w:hAnsi="宋体" w:cs="宋体"/>
          <w:color w:val="auto"/>
          <w:sz w:val="24"/>
        </w:rPr>
        <w:t>2.1.6 “现场”系指合同约定货物将要运至或者安装的地点。</w:t>
      </w:r>
      <w:bookmarkEnd w:id="76"/>
    </w:p>
    <w:p>
      <w:pPr>
        <w:spacing w:line="560" w:lineRule="exact"/>
        <w:ind w:firstLine="482" w:firstLineChars="200"/>
        <w:outlineLvl w:val="0"/>
        <w:rPr>
          <w:rFonts w:ascii="宋体" w:hAnsi="宋体" w:cs="宋体"/>
          <w:b/>
          <w:color w:val="auto"/>
          <w:sz w:val="24"/>
        </w:rPr>
      </w:pPr>
      <w:bookmarkStart w:id="77" w:name="_Toc32504"/>
      <w:bookmarkStart w:id="78" w:name="_Toc13336"/>
      <w:bookmarkStart w:id="79" w:name="_Toc279701241"/>
      <w:bookmarkStart w:id="80" w:name="_Toc487900350"/>
      <w:bookmarkStart w:id="81" w:name="_Toc27635"/>
      <w:bookmarkStart w:id="82" w:name="_Toc259093670"/>
      <w:r>
        <w:rPr>
          <w:rFonts w:hint="eastAsia" w:ascii="宋体" w:hAnsi="宋体" w:cs="宋体"/>
          <w:b/>
          <w:color w:val="auto"/>
          <w:sz w:val="24"/>
        </w:rPr>
        <w:t>2.2 技术规范</w:t>
      </w:r>
      <w:bookmarkEnd w:id="77"/>
      <w:bookmarkEnd w:id="78"/>
      <w:bookmarkEnd w:id="79"/>
      <w:bookmarkEnd w:id="80"/>
      <w:bookmarkEnd w:id="81"/>
      <w:bookmarkEnd w:id="82"/>
    </w:p>
    <w:p>
      <w:pPr>
        <w:spacing w:line="560" w:lineRule="exact"/>
        <w:ind w:firstLine="480" w:firstLineChars="200"/>
        <w:rPr>
          <w:rFonts w:ascii="宋体" w:hAnsi="宋体" w:cs="宋体"/>
          <w:color w:val="auto"/>
          <w:sz w:val="24"/>
        </w:rPr>
      </w:pPr>
      <w:r>
        <w:rPr>
          <w:rFonts w:hint="eastAsia" w:ascii="宋体" w:hAnsi="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ascii="宋体" w:hAnsi="宋体" w:cs="宋体"/>
          <w:b/>
          <w:color w:val="auto"/>
          <w:sz w:val="24"/>
        </w:rPr>
      </w:pPr>
      <w:bookmarkStart w:id="83" w:name="_Toc9829"/>
      <w:bookmarkStart w:id="84" w:name="_Toc259093671"/>
      <w:bookmarkStart w:id="85" w:name="_Toc27853"/>
      <w:bookmarkStart w:id="86" w:name="_Toc279701242"/>
      <w:bookmarkStart w:id="87" w:name="_Toc487900351"/>
      <w:bookmarkStart w:id="88" w:name="_Toc31634"/>
      <w:r>
        <w:rPr>
          <w:rFonts w:hint="eastAsia" w:ascii="宋体" w:hAnsi="宋体" w:cs="宋体"/>
          <w:b/>
          <w:color w:val="auto"/>
          <w:sz w:val="24"/>
        </w:rPr>
        <w:t>2.3 知识产权</w:t>
      </w:r>
      <w:bookmarkEnd w:id="83"/>
      <w:bookmarkEnd w:id="84"/>
      <w:bookmarkEnd w:id="85"/>
      <w:bookmarkEnd w:id="86"/>
      <w:bookmarkEnd w:id="87"/>
      <w:bookmarkEnd w:id="88"/>
    </w:p>
    <w:p>
      <w:pPr>
        <w:spacing w:line="560" w:lineRule="exact"/>
        <w:ind w:firstLine="480" w:firstLineChars="200"/>
        <w:rPr>
          <w:rFonts w:ascii="宋体" w:hAnsi="宋体" w:cs="宋体"/>
          <w:color w:val="auto"/>
          <w:sz w:val="24"/>
        </w:rPr>
      </w:pPr>
      <w:r>
        <w:rPr>
          <w:rFonts w:hint="eastAsia" w:ascii="宋体" w:hAnsi="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pPr>
        <w:spacing w:line="560" w:lineRule="exact"/>
        <w:ind w:firstLine="480" w:firstLineChars="200"/>
        <w:rPr>
          <w:rFonts w:ascii="宋体" w:hAnsi="宋体" w:cs="宋体"/>
          <w:color w:val="auto"/>
          <w:sz w:val="24"/>
        </w:rPr>
      </w:pPr>
      <w:r>
        <w:rPr>
          <w:rFonts w:hint="eastAsia" w:ascii="宋体" w:hAnsi="宋体" w:cs="宋体"/>
          <w:color w:val="auto"/>
          <w:sz w:val="24"/>
        </w:rPr>
        <w:t>2.3.2具有知识产权的计算机软件等货物的知识产权归属，详见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89" w:name="_Toc4194"/>
      <w:bookmarkStart w:id="90" w:name="_Toc11932"/>
      <w:bookmarkStart w:id="91" w:name="_Toc29149"/>
      <w:r>
        <w:rPr>
          <w:rFonts w:hint="eastAsia" w:ascii="宋体" w:hAnsi="宋体" w:cs="宋体"/>
          <w:b/>
          <w:color w:val="auto"/>
          <w:sz w:val="24"/>
        </w:rPr>
        <w:t>2.4 包装和装运</w:t>
      </w:r>
      <w:bookmarkEnd w:id="89"/>
      <w:bookmarkEnd w:id="90"/>
      <w:bookmarkEnd w:id="91"/>
    </w:p>
    <w:p>
      <w:pPr>
        <w:spacing w:line="560" w:lineRule="exact"/>
        <w:ind w:firstLine="480" w:firstLineChars="200"/>
        <w:rPr>
          <w:rFonts w:ascii="宋体" w:hAnsi="宋体" w:cs="宋体"/>
          <w:color w:val="auto"/>
          <w:sz w:val="24"/>
        </w:rPr>
      </w:pPr>
      <w:r>
        <w:rPr>
          <w:rFonts w:hint="eastAsia" w:ascii="宋体" w:hAnsi="宋体" w:cs="宋体"/>
          <w:color w:val="auto"/>
          <w:sz w:val="24"/>
        </w:rPr>
        <w:t>2.4.1除</w:t>
      </w:r>
      <w:r>
        <w:rPr>
          <w:rFonts w:hint="eastAsia" w:ascii="宋体" w:hAnsi="宋体" w:cs="宋体"/>
          <w:b/>
          <w:i/>
          <w:color w:val="auto"/>
          <w:sz w:val="24"/>
          <w:u w:val="single"/>
        </w:rPr>
        <w:t>合同专用条款</w:t>
      </w:r>
      <w:r>
        <w:rPr>
          <w:rFonts w:hint="eastAsia" w:ascii="宋体" w:hAnsi="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ascii="宋体" w:hAnsi="宋体" w:cs="宋体"/>
          <w:color w:val="auto"/>
          <w:sz w:val="24"/>
        </w:rPr>
      </w:pPr>
      <w:r>
        <w:rPr>
          <w:rFonts w:hint="eastAsia" w:ascii="宋体" w:hAnsi="宋体" w:cs="宋体"/>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pPr>
        <w:spacing w:line="560" w:lineRule="exact"/>
        <w:ind w:firstLine="480" w:firstLineChars="200"/>
        <w:rPr>
          <w:rFonts w:ascii="宋体" w:hAnsi="宋体" w:cs="宋体"/>
          <w:color w:val="auto"/>
          <w:sz w:val="24"/>
        </w:rPr>
      </w:pPr>
      <w:r>
        <w:rPr>
          <w:rFonts w:hint="eastAsia" w:ascii="宋体" w:hAnsi="宋体" w:cs="宋体"/>
          <w:color w:val="auto"/>
          <w:sz w:val="24"/>
        </w:rPr>
        <w:t>2.4.3 装运货物的要求和通知，详见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92" w:name="_Toc487900354"/>
      <w:bookmarkStart w:id="93" w:name="_Ref467379542"/>
      <w:bookmarkStart w:id="94" w:name="_Ref467378541"/>
      <w:bookmarkStart w:id="95" w:name="_Ref467379527"/>
      <w:bookmarkStart w:id="96" w:name="_Toc279701245"/>
      <w:bookmarkStart w:id="97" w:name="_Ref467379536"/>
      <w:bookmarkStart w:id="98" w:name="_Ref467378591"/>
      <w:bookmarkStart w:id="99" w:name="_Toc259093674"/>
      <w:bookmarkStart w:id="100" w:name="_Toc30272"/>
      <w:bookmarkStart w:id="101" w:name="_Toc19074"/>
      <w:bookmarkStart w:id="102" w:name="_Toc26182"/>
      <w:r>
        <w:rPr>
          <w:rFonts w:hint="eastAsia" w:ascii="宋体" w:hAnsi="宋体" w:cs="宋体"/>
          <w:b/>
          <w:color w:val="auto"/>
          <w:sz w:val="24"/>
        </w:rPr>
        <w:t>2.</w:t>
      </w:r>
      <w:bookmarkEnd w:id="92"/>
      <w:bookmarkEnd w:id="93"/>
      <w:bookmarkEnd w:id="94"/>
      <w:bookmarkEnd w:id="95"/>
      <w:bookmarkEnd w:id="96"/>
      <w:bookmarkEnd w:id="97"/>
      <w:bookmarkEnd w:id="98"/>
      <w:bookmarkEnd w:id="99"/>
      <w:r>
        <w:rPr>
          <w:rFonts w:hint="eastAsia" w:ascii="宋体" w:hAnsi="宋体" w:cs="宋体"/>
          <w:b/>
          <w:color w:val="auto"/>
          <w:sz w:val="24"/>
        </w:rPr>
        <w:t>5 履约检查和问题反馈</w:t>
      </w:r>
      <w:bookmarkEnd w:id="100"/>
      <w:bookmarkEnd w:id="101"/>
      <w:bookmarkEnd w:id="102"/>
    </w:p>
    <w:p>
      <w:pPr>
        <w:spacing w:line="560" w:lineRule="exact"/>
        <w:ind w:firstLine="480" w:firstLineChars="200"/>
        <w:rPr>
          <w:rFonts w:ascii="宋体" w:hAnsi="宋体" w:cs="宋体"/>
          <w:color w:val="auto"/>
          <w:sz w:val="24"/>
        </w:rPr>
      </w:pPr>
      <w:bookmarkStart w:id="103" w:name="_Ref467379657"/>
      <w:r>
        <w:rPr>
          <w:rFonts w:hint="eastAsia" w:ascii="宋体" w:hAnsi="宋体" w:cs="宋体"/>
          <w:color w:val="auto"/>
          <w:sz w:val="24"/>
        </w:rPr>
        <w:t>2.5.1</w:t>
      </w:r>
      <w:bookmarkEnd w:id="103"/>
      <w:bookmarkStart w:id="104" w:name="_Toc186431854"/>
      <w:bookmarkStart w:id="105" w:name="_Ref467379793"/>
      <w:bookmarkStart w:id="106" w:name="_Ref467379807"/>
      <w:bookmarkStart w:id="107" w:name="_Toc259093676"/>
      <w:bookmarkStart w:id="108" w:name="_Toc279701247"/>
      <w:bookmarkStart w:id="109" w:name="_Toc487900357"/>
      <w:r>
        <w:rPr>
          <w:rFonts w:hint="eastAsia" w:ascii="宋体" w:hAnsi="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ascii="宋体" w:hAnsi="宋体" w:cs="宋体"/>
          <w:color w:val="auto"/>
          <w:sz w:val="24"/>
        </w:rPr>
      </w:pPr>
      <w:r>
        <w:rPr>
          <w:rFonts w:hint="eastAsia" w:ascii="宋体" w:hAnsi="宋体" w:cs="宋体"/>
          <w:color w:val="auto"/>
          <w:sz w:val="24"/>
        </w:rPr>
        <w:t>2.5.2 合同履行期间，甲方有权将履行过程中出现的问题反馈给乙方，双方当事人应以书面形式约定需要完善和改进的内容</w:t>
      </w:r>
      <w:bookmarkEnd w:id="104"/>
      <w:bookmarkStart w:id="110" w:name="_Toc186431855"/>
      <w:r>
        <w:rPr>
          <w:rFonts w:hint="eastAsia" w:ascii="宋体" w:hAnsi="宋体" w:cs="宋体"/>
          <w:color w:val="auto"/>
          <w:sz w:val="24"/>
        </w:rPr>
        <w:t>。</w:t>
      </w:r>
    </w:p>
    <w:bookmarkEnd w:id="105"/>
    <w:bookmarkEnd w:id="106"/>
    <w:bookmarkEnd w:id="107"/>
    <w:bookmarkEnd w:id="108"/>
    <w:bookmarkEnd w:id="109"/>
    <w:bookmarkEnd w:id="110"/>
    <w:p>
      <w:pPr>
        <w:spacing w:line="560" w:lineRule="exact"/>
        <w:ind w:firstLine="482" w:firstLineChars="200"/>
        <w:outlineLvl w:val="0"/>
        <w:rPr>
          <w:rFonts w:ascii="宋体" w:hAnsi="宋体" w:cs="宋体"/>
          <w:b/>
          <w:color w:val="auto"/>
          <w:sz w:val="24"/>
        </w:rPr>
      </w:pPr>
      <w:bookmarkStart w:id="111" w:name="_Toc279701248"/>
      <w:bookmarkStart w:id="112" w:name="_Toc487900358"/>
      <w:bookmarkStart w:id="113" w:name="_Toc259093677"/>
      <w:bookmarkStart w:id="114" w:name="_Ref467379863"/>
      <w:bookmarkStart w:id="115" w:name="_Ref467379923"/>
      <w:bookmarkStart w:id="116" w:name="_Ref467379852"/>
      <w:bookmarkStart w:id="117" w:name="_Toc16110"/>
      <w:bookmarkStart w:id="118" w:name="_Toc774"/>
      <w:bookmarkStart w:id="119" w:name="_Toc3225"/>
      <w:r>
        <w:rPr>
          <w:rFonts w:hint="eastAsia" w:ascii="宋体" w:hAnsi="宋体" w:cs="宋体"/>
          <w:b/>
          <w:color w:val="auto"/>
          <w:sz w:val="24"/>
        </w:rPr>
        <w:t>2.6 技术资料</w:t>
      </w:r>
      <w:bookmarkEnd w:id="111"/>
      <w:bookmarkEnd w:id="112"/>
      <w:bookmarkEnd w:id="113"/>
      <w:bookmarkEnd w:id="114"/>
      <w:bookmarkEnd w:id="115"/>
      <w:bookmarkEnd w:id="116"/>
      <w:r>
        <w:rPr>
          <w:rFonts w:hint="eastAsia" w:ascii="宋体" w:hAnsi="宋体" w:cs="宋体"/>
          <w:b/>
          <w:color w:val="auto"/>
          <w:sz w:val="24"/>
        </w:rPr>
        <w:t>和保密义务</w:t>
      </w:r>
      <w:bookmarkEnd w:id="117"/>
      <w:bookmarkEnd w:id="118"/>
      <w:bookmarkEnd w:id="119"/>
    </w:p>
    <w:p>
      <w:pPr>
        <w:spacing w:line="560" w:lineRule="exact"/>
        <w:ind w:firstLine="480" w:firstLineChars="200"/>
        <w:rPr>
          <w:rFonts w:ascii="宋体" w:hAnsi="宋体" w:cs="宋体"/>
          <w:color w:val="auto"/>
          <w:sz w:val="24"/>
        </w:rPr>
      </w:pPr>
      <w:r>
        <w:rPr>
          <w:rFonts w:hint="eastAsia" w:ascii="宋体" w:hAnsi="宋体" w:cs="宋体"/>
          <w:color w:val="auto"/>
          <w:sz w:val="24"/>
        </w:rPr>
        <w:t>2.6.1 乙方有权依据合同约定和项目需要，向甲方了解有关情况，调阅有关资料等，甲方应予积极配合；</w:t>
      </w:r>
    </w:p>
    <w:p>
      <w:pPr>
        <w:spacing w:line="560" w:lineRule="exact"/>
        <w:ind w:firstLine="480" w:firstLineChars="200"/>
        <w:rPr>
          <w:rFonts w:ascii="宋体" w:hAnsi="宋体" w:cs="宋体"/>
          <w:color w:val="auto"/>
          <w:sz w:val="24"/>
        </w:rPr>
      </w:pPr>
      <w:r>
        <w:rPr>
          <w:rFonts w:hint="eastAsia" w:ascii="宋体" w:hAnsi="宋体" w:cs="宋体"/>
          <w:color w:val="auto"/>
          <w:sz w:val="24"/>
        </w:rPr>
        <w:t>2.6.2 乙方有义务妥善保管和保护由甲方提供的前款信息和资料等；</w:t>
      </w:r>
    </w:p>
    <w:p>
      <w:pPr>
        <w:spacing w:line="560" w:lineRule="exact"/>
        <w:ind w:firstLine="480" w:firstLineChars="200"/>
        <w:rPr>
          <w:rFonts w:ascii="宋体" w:hAnsi="宋体" w:cs="宋体"/>
          <w:color w:val="auto"/>
          <w:sz w:val="24"/>
        </w:rPr>
      </w:pPr>
      <w:r>
        <w:rPr>
          <w:rFonts w:hint="eastAsia" w:ascii="宋体" w:hAnsi="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宋体" w:hAnsi="宋体" w:cs="宋体"/>
          <w:b/>
          <w:color w:val="auto"/>
          <w:sz w:val="24"/>
        </w:rPr>
      </w:pPr>
      <w:bookmarkStart w:id="120" w:name="_Toc7860"/>
      <w:r>
        <w:rPr>
          <w:rFonts w:hint="eastAsia" w:ascii="宋体" w:hAnsi="宋体" w:cs="宋体"/>
          <w:b/>
          <w:color w:val="auto"/>
          <w:sz w:val="24"/>
        </w:rPr>
        <w:t>2.7 质量保证</w:t>
      </w:r>
      <w:bookmarkEnd w:id="120"/>
    </w:p>
    <w:p>
      <w:pPr>
        <w:spacing w:line="560" w:lineRule="exact"/>
        <w:ind w:firstLine="480" w:firstLineChars="200"/>
        <w:rPr>
          <w:rFonts w:ascii="宋体" w:hAnsi="宋体" w:cs="宋体"/>
          <w:color w:val="auto"/>
          <w:sz w:val="24"/>
        </w:rPr>
      </w:pPr>
      <w:r>
        <w:rPr>
          <w:rFonts w:hint="eastAsia" w:ascii="宋体" w:hAnsi="宋体" w:cs="宋体"/>
          <w:color w:val="auto"/>
          <w:sz w:val="24"/>
        </w:rPr>
        <w:t>2.7.1 乙方应建立和完善履行合同的内部质量保证体系，并提供相关内部规章制度给甲方，以便甲方进行监督检查；</w:t>
      </w:r>
    </w:p>
    <w:p>
      <w:pPr>
        <w:spacing w:line="560" w:lineRule="exact"/>
        <w:ind w:firstLine="480" w:firstLineChars="200"/>
        <w:rPr>
          <w:rFonts w:ascii="宋体" w:hAnsi="宋体" w:cs="宋体"/>
          <w:color w:val="auto"/>
          <w:sz w:val="24"/>
        </w:rPr>
      </w:pPr>
      <w:r>
        <w:rPr>
          <w:rFonts w:hint="eastAsia" w:ascii="宋体" w:hAnsi="宋体" w:cs="宋体"/>
          <w:color w:val="auto"/>
          <w:sz w:val="24"/>
        </w:rPr>
        <w:t>2.7.2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宋体" w:hAnsi="宋体" w:cs="宋体"/>
          <w:b/>
          <w:color w:val="auto"/>
          <w:sz w:val="24"/>
        </w:rPr>
      </w:pPr>
      <w:bookmarkStart w:id="121" w:name="_Toc17244"/>
      <w:bookmarkStart w:id="122" w:name="_Toc279701252"/>
      <w:bookmarkStart w:id="123" w:name="_Toc259093681"/>
      <w:bookmarkStart w:id="124" w:name="_Toc487900362"/>
      <w:r>
        <w:rPr>
          <w:rFonts w:hint="eastAsia" w:ascii="宋体" w:hAnsi="宋体" w:cs="宋体"/>
          <w:b/>
          <w:color w:val="auto"/>
          <w:sz w:val="24"/>
        </w:rPr>
        <w:t>2.8 货物的风险负担</w:t>
      </w:r>
      <w:bookmarkEnd w:id="121"/>
    </w:p>
    <w:p>
      <w:pPr>
        <w:spacing w:line="560" w:lineRule="exact"/>
        <w:ind w:firstLine="480" w:firstLineChars="200"/>
        <w:rPr>
          <w:rFonts w:ascii="宋体" w:hAnsi="宋体" w:cs="宋体"/>
          <w:b/>
          <w:color w:val="auto"/>
          <w:sz w:val="24"/>
        </w:rPr>
      </w:pPr>
      <w:r>
        <w:rPr>
          <w:rFonts w:hint="eastAsia" w:ascii="宋体" w:hAnsi="宋体" w:cs="宋体"/>
          <w:color w:val="auto"/>
          <w:sz w:val="24"/>
        </w:rPr>
        <w:t>货物或者在途货物或者交付给第一承运人后的货物毁损、灭失的风险负担详见</w:t>
      </w:r>
      <w:r>
        <w:rPr>
          <w:rFonts w:hint="eastAsia" w:ascii="宋体" w:hAnsi="宋体" w:cs="宋体"/>
          <w:b/>
          <w:i/>
          <w:color w:val="auto"/>
          <w:sz w:val="24"/>
          <w:u w:val="single"/>
        </w:rPr>
        <w:t>合同专用条款</w:t>
      </w:r>
      <w:r>
        <w:rPr>
          <w:rFonts w:hint="eastAsia" w:ascii="宋体" w:hAnsi="宋体" w:cs="宋体"/>
          <w:color w:val="auto"/>
          <w:sz w:val="24"/>
        </w:rPr>
        <w:t>。</w:t>
      </w:r>
    </w:p>
    <w:p>
      <w:pPr>
        <w:spacing w:line="560" w:lineRule="exact"/>
        <w:ind w:firstLine="482" w:firstLineChars="200"/>
        <w:outlineLvl w:val="0"/>
        <w:rPr>
          <w:rFonts w:ascii="宋体" w:hAnsi="宋体" w:cs="宋体"/>
          <w:b/>
          <w:color w:val="auto"/>
          <w:sz w:val="24"/>
        </w:rPr>
      </w:pPr>
      <w:bookmarkStart w:id="125" w:name="_Toc14055"/>
      <w:r>
        <w:rPr>
          <w:rFonts w:hint="eastAsia" w:ascii="宋体" w:hAnsi="宋体" w:cs="宋体"/>
          <w:b/>
          <w:color w:val="auto"/>
          <w:sz w:val="24"/>
        </w:rPr>
        <w:t>2.9 延迟交货</w:t>
      </w:r>
      <w:bookmarkEnd w:id="122"/>
      <w:bookmarkEnd w:id="123"/>
      <w:bookmarkEnd w:id="124"/>
      <w:bookmarkEnd w:id="125"/>
    </w:p>
    <w:p>
      <w:pPr>
        <w:spacing w:line="560" w:lineRule="exact"/>
        <w:ind w:firstLine="480" w:firstLineChars="200"/>
        <w:rPr>
          <w:rFonts w:ascii="宋体" w:hAnsi="宋体" w:cs="宋体"/>
          <w:color w:val="auto"/>
          <w:sz w:val="24"/>
        </w:rPr>
      </w:pPr>
      <w:r>
        <w:rPr>
          <w:rFonts w:hint="eastAsia" w:ascii="宋体" w:hAnsi="宋体"/>
          <w:color w:val="auto"/>
          <w:sz w:val="24"/>
        </w:rPr>
        <w:t>甲乙双方签订合同后，乙方应按照合同约定履行合同义务，除不可抗力外，乙方不得延迟交货。</w:t>
      </w:r>
      <w:r>
        <w:rPr>
          <w:rFonts w:hint="eastAsia" w:ascii="宋体" w:hAnsi="宋体" w:cs="宋体"/>
          <w:color w:val="auto"/>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ascii="宋体" w:hAnsi="宋体" w:cs="宋体"/>
          <w:b/>
          <w:color w:val="auto"/>
          <w:sz w:val="24"/>
        </w:rPr>
      </w:pPr>
      <w:bookmarkStart w:id="126" w:name="_Toc7502"/>
      <w:bookmarkStart w:id="127" w:name="_Toc487900364"/>
      <w:bookmarkStart w:id="128" w:name="_Toc279701254"/>
      <w:bookmarkStart w:id="129" w:name="_Toc259093683"/>
      <w:bookmarkStart w:id="130" w:name="_Ref467378121"/>
      <w:r>
        <w:rPr>
          <w:rFonts w:hint="eastAsia" w:ascii="宋体" w:hAnsi="宋体" w:cs="宋体"/>
          <w:b/>
          <w:color w:val="auto"/>
          <w:sz w:val="24"/>
        </w:rPr>
        <w:t>2.10 合同变更</w:t>
      </w:r>
      <w:bookmarkEnd w:id="126"/>
    </w:p>
    <w:p>
      <w:pPr>
        <w:spacing w:line="560" w:lineRule="exact"/>
        <w:ind w:firstLine="480" w:firstLineChars="200"/>
        <w:rPr>
          <w:rFonts w:ascii="宋体" w:hAnsi="宋体" w:cs="宋体"/>
          <w:color w:val="auto"/>
          <w:sz w:val="24"/>
        </w:rPr>
      </w:pPr>
      <w:r>
        <w:rPr>
          <w:rFonts w:hint="eastAsia" w:ascii="宋体" w:hAnsi="宋体" w:cs="宋体"/>
          <w:color w:val="auto"/>
          <w:sz w:val="24"/>
        </w:rPr>
        <w:t>合同继续履行将损害国家利益和社会公共利益的，双方当事人应当以书面形式变更合同。有过错的一方应当承担赔偿责任，双方当事人都有过错的，各自承担相应的责任。</w:t>
      </w:r>
      <w:bookmarkStart w:id="131" w:name="_Toc279701259"/>
      <w:bookmarkStart w:id="132" w:name="_Toc259093688"/>
      <w:bookmarkStart w:id="133" w:name="_Toc487900369"/>
    </w:p>
    <w:p>
      <w:pPr>
        <w:spacing w:line="560" w:lineRule="exact"/>
        <w:ind w:firstLine="482" w:firstLineChars="200"/>
        <w:outlineLvl w:val="0"/>
        <w:rPr>
          <w:rFonts w:ascii="宋体" w:hAnsi="宋体" w:cs="宋体"/>
          <w:b/>
          <w:color w:val="auto"/>
          <w:sz w:val="24"/>
        </w:rPr>
      </w:pPr>
      <w:bookmarkStart w:id="134" w:name="_Toc15237"/>
      <w:bookmarkStart w:id="135" w:name="_Toc22955"/>
      <w:bookmarkStart w:id="136" w:name="_Toc10366"/>
      <w:r>
        <w:rPr>
          <w:rFonts w:hint="eastAsia" w:ascii="宋体" w:hAnsi="宋体" w:cs="宋体"/>
          <w:b/>
          <w:color w:val="auto"/>
          <w:sz w:val="24"/>
        </w:rPr>
        <w:t>2.11 合同转让</w:t>
      </w:r>
      <w:bookmarkEnd w:id="131"/>
      <w:bookmarkEnd w:id="132"/>
      <w:bookmarkEnd w:id="133"/>
      <w:r>
        <w:rPr>
          <w:rFonts w:hint="eastAsia" w:ascii="宋体" w:hAnsi="宋体" w:cs="宋体"/>
          <w:b/>
          <w:color w:val="auto"/>
          <w:sz w:val="24"/>
        </w:rPr>
        <w:t>和分包</w:t>
      </w:r>
      <w:bookmarkEnd w:id="134"/>
      <w:bookmarkEnd w:id="135"/>
      <w:bookmarkEnd w:id="136"/>
    </w:p>
    <w:p>
      <w:pPr>
        <w:spacing w:line="560" w:lineRule="exact"/>
        <w:ind w:firstLine="480" w:firstLineChars="200"/>
        <w:rPr>
          <w:rFonts w:ascii="宋体" w:hAnsi="宋体" w:cs="宋体"/>
          <w:color w:val="auto"/>
          <w:sz w:val="24"/>
        </w:rPr>
      </w:pPr>
      <w:r>
        <w:rPr>
          <w:rFonts w:hint="eastAsia" w:ascii="宋体" w:hAnsi="宋体" w:cs="宋体"/>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rPr>
          <w:rFonts w:ascii="宋体" w:hAnsi="宋体" w:cs="宋体"/>
          <w:color w:val="auto"/>
          <w:sz w:val="24"/>
        </w:rPr>
      </w:pPr>
      <w:r>
        <w:rPr>
          <w:rFonts w:hint="eastAsia" w:ascii="宋体" w:hAnsi="宋体" w:cs="宋体"/>
          <w:color w:val="auto"/>
          <w:sz w:val="24"/>
        </w:rPr>
        <w:t>2.11.2乙方采取分包方式履行合同的，甲方可直接向分包供应商支付款项。</w:t>
      </w:r>
    </w:p>
    <w:p>
      <w:pPr>
        <w:spacing w:line="560" w:lineRule="exact"/>
        <w:ind w:firstLine="482" w:firstLineChars="200"/>
        <w:outlineLvl w:val="0"/>
        <w:rPr>
          <w:rFonts w:ascii="宋体" w:hAnsi="宋体" w:cs="宋体"/>
          <w:b/>
          <w:color w:val="auto"/>
          <w:sz w:val="24"/>
        </w:rPr>
      </w:pPr>
      <w:bookmarkStart w:id="137" w:name="_Toc14066"/>
      <w:bookmarkStart w:id="138" w:name="_Toc16508"/>
      <w:bookmarkStart w:id="139" w:name="_Toc13566"/>
      <w:r>
        <w:rPr>
          <w:rFonts w:hint="eastAsia" w:ascii="宋体" w:hAnsi="宋体" w:cs="宋体"/>
          <w:b/>
          <w:color w:val="auto"/>
          <w:sz w:val="24"/>
        </w:rPr>
        <w:t>2.12 不可抗力</w:t>
      </w:r>
      <w:bookmarkEnd w:id="137"/>
      <w:bookmarkEnd w:id="138"/>
      <w:bookmarkEnd w:id="139"/>
    </w:p>
    <w:p>
      <w:pPr>
        <w:spacing w:line="560" w:lineRule="exact"/>
        <w:ind w:firstLine="480" w:firstLineChars="200"/>
        <w:rPr>
          <w:rFonts w:ascii="宋体" w:hAnsi="宋体" w:cs="宋体"/>
          <w:color w:val="auto"/>
          <w:sz w:val="24"/>
        </w:rPr>
      </w:pPr>
      <w:r>
        <w:rPr>
          <w:rFonts w:hint="eastAsia" w:ascii="宋体" w:hAnsi="宋体" w:cs="宋体"/>
          <w:color w:val="auto"/>
          <w:sz w:val="24"/>
        </w:rPr>
        <w:t>2.12.1如果任何一方遭遇法律规定的不可抗力，致使合同履行受阻时，履行合同的期限应予延长，延长的期限应相当于不可抗力所影响的时间；</w:t>
      </w:r>
    </w:p>
    <w:p>
      <w:pPr>
        <w:spacing w:line="560" w:lineRule="exact"/>
        <w:ind w:firstLine="480" w:firstLineChars="200"/>
        <w:rPr>
          <w:rFonts w:ascii="宋体" w:hAnsi="宋体" w:cs="宋体"/>
          <w:color w:val="auto"/>
          <w:sz w:val="24"/>
        </w:rPr>
      </w:pPr>
      <w:r>
        <w:rPr>
          <w:rFonts w:hint="eastAsia" w:ascii="宋体" w:hAnsi="宋体" w:cs="宋体"/>
          <w:color w:val="auto"/>
          <w:sz w:val="24"/>
        </w:rPr>
        <w:t>2.12.2 因不可抗力致使不能实现合同目的的，当事人可以解除合同；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2.12.3 因不可抗力致使合同有变更必要的，双方当事人应在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约定时间内以书面形式变更合同；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2.12.4受不可抗力影响的一方在不可抗力发生后，应在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约定时间内以书面形式通知对方当事人，并在</w:t>
      </w:r>
      <w:r>
        <w:rPr>
          <w:rFonts w:hint="eastAsia" w:ascii="宋体" w:hAnsi="宋体" w:cs="宋体"/>
          <w:b/>
          <w:i/>
          <w:color w:val="auto"/>
          <w:sz w:val="24"/>
          <w:u w:val="single"/>
        </w:rPr>
        <w:t>合同专用条款</w:t>
      </w:r>
      <w:r>
        <w:rPr>
          <w:rFonts w:hint="eastAsia" w:ascii="宋体" w:hAnsi="宋体" w:cs="宋体"/>
          <w:color w:val="auto"/>
          <w:sz w:val="24"/>
        </w:rPr>
        <w:t>约定时间内，将有关部门出具的证明文件送达对方当事人。</w:t>
      </w:r>
    </w:p>
    <w:p>
      <w:pPr>
        <w:spacing w:line="560" w:lineRule="exact"/>
        <w:ind w:firstLine="482" w:firstLineChars="200"/>
        <w:outlineLvl w:val="0"/>
        <w:rPr>
          <w:rFonts w:ascii="宋体" w:hAnsi="宋体" w:cs="宋体"/>
          <w:b/>
          <w:color w:val="auto"/>
          <w:sz w:val="24"/>
        </w:rPr>
      </w:pPr>
      <w:bookmarkStart w:id="140" w:name="_Toc487900365"/>
      <w:bookmarkStart w:id="141" w:name="_Toc259093684"/>
      <w:bookmarkStart w:id="142" w:name="_Toc689"/>
      <w:bookmarkStart w:id="143" w:name="_Toc30676"/>
      <w:bookmarkStart w:id="144" w:name="_Toc279701255"/>
      <w:bookmarkStart w:id="145" w:name="_Toc6969"/>
      <w:r>
        <w:rPr>
          <w:rFonts w:hint="eastAsia" w:ascii="宋体" w:hAnsi="宋体" w:cs="宋体"/>
          <w:b/>
          <w:color w:val="auto"/>
          <w:sz w:val="24"/>
        </w:rPr>
        <w:t>2.13 税费</w:t>
      </w:r>
      <w:bookmarkEnd w:id="140"/>
      <w:bookmarkEnd w:id="141"/>
      <w:bookmarkEnd w:id="142"/>
      <w:bookmarkEnd w:id="143"/>
      <w:bookmarkEnd w:id="144"/>
      <w:bookmarkEnd w:id="145"/>
    </w:p>
    <w:p>
      <w:pPr>
        <w:spacing w:line="560" w:lineRule="exact"/>
        <w:ind w:firstLine="480" w:firstLineChars="200"/>
        <w:rPr>
          <w:rFonts w:ascii="宋体" w:hAnsi="宋体" w:cs="宋体"/>
          <w:color w:val="auto"/>
          <w:sz w:val="24"/>
        </w:rPr>
      </w:pPr>
      <w:r>
        <w:rPr>
          <w:rFonts w:hint="eastAsia" w:ascii="宋体" w:hAnsi="宋体" w:cs="宋体"/>
          <w:color w:val="auto"/>
          <w:sz w:val="24"/>
        </w:rPr>
        <w:t>与合同有关的一切税费，均按照中华人民共和国法律的相关规定。</w:t>
      </w:r>
    </w:p>
    <w:p>
      <w:pPr>
        <w:spacing w:line="560" w:lineRule="exact"/>
        <w:ind w:firstLine="482" w:firstLineChars="200"/>
        <w:outlineLvl w:val="0"/>
        <w:rPr>
          <w:rFonts w:ascii="宋体" w:hAnsi="宋体" w:cs="宋体"/>
          <w:b/>
          <w:color w:val="auto"/>
          <w:sz w:val="24"/>
        </w:rPr>
      </w:pPr>
      <w:bookmarkStart w:id="146" w:name="_Toc16959"/>
      <w:bookmarkStart w:id="147" w:name="_Toc7102"/>
      <w:bookmarkStart w:id="148" w:name="_Toc8298"/>
      <w:bookmarkStart w:id="149" w:name="_Toc487900368"/>
      <w:bookmarkStart w:id="150" w:name="_Toc279701258"/>
      <w:bookmarkStart w:id="151" w:name="_Toc259093687"/>
      <w:r>
        <w:rPr>
          <w:rFonts w:hint="eastAsia" w:ascii="宋体" w:hAnsi="宋体" w:cs="宋体"/>
          <w:b/>
          <w:color w:val="auto"/>
          <w:sz w:val="24"/>
        </w:rPr>
        <w:t>2.14乙方破产</w:t>
      </w:r>
      <w:bookmarkEnd w:id="146"/>
      <w:bookmarkEnd w:id="147"/>
      <w:bookmarkEnd w:id="148"/>
      <w:bookmarkEnd w:id="149"/>
      <w:bookmarkEnd w:id="150"/>
      <w:bookmarkEnd w:id="151"/>
    </w:p>
    <w:p>
      <w:pPr>
        <w:spacing w:line="560" w:lineRule="exact"/>
        <w:ind w:firstLine="480" w:firstLineChars="200"/>
        <w:rPr>
          <w:rFonts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宋体" w:hAnsi="宋体" w:cs="宋体"/>
          <w:b/>
          <w:color w:val="auto"/>
          <w:sz w:val="24"/>
        </w:rPr>
      </w:pPr>
      <w:bookmarkStart w:id="152" w:name="_Toc29333"/>
      <w:bookmarkStart w:id="153" w:name="_Toc6134"/>
      <w:bookmarkStart w:id="154" w:name="_Toc15387"/>
      <w:r>
        <w:rPr>
          <w:rFonts w:hint="eastAsia" w:ascii="宋体" w:hAnsi="宋体" w:cs="宋体"/>
          <w:b/>
          <w:color w:val="auto"/>
          <w:sz w:val="24"/>
        </w:rPr>
        <w:t>2.15 合同中止、终止</w:t>
      </w:r>
      <w:bookmarkEnd w:id="152"/>
      <w:bookmarkEnd w:id="153"/>
      <w:bookmarkEnd w:id="154"/>
    </w:p>
    <w:p>
      <w:pPr>
        <w:spacing w:line="560" w:lineRule="exact"/>
        <w:ind w:firstLine="480" w:firstLineChars="200"/>
        <w:rPr>
          <w:rFonts w:ascii="宋体" w:hAnsi="宋体" w:cs="宋体"/>
          <w:color w:val="auto"/>
          <w:sz w:val="24"/>
        </w:rPr>
      </w:pPr>
      <w:r>
        <w:rPr>
          <w:rFonts w:hint="eastAsia" w:ascii="宋体" w:hAnsi="宋体" w:cs="宋体"/>
          <w:color w:val="auto"/>
          <w:sz w:val="24"/>
        </w:rPr>
        <w:t>2.15.1 双方当事人不得擅自中止或者终止合同；</w:t>
      </w:r>
    </w:p>
    <w:p>
      <w:pPr>
        <w:spacing w:line="560" w:lineRule="exact"/>
        <w:ind w:firstLine="480" w:firstLineChars="200"/>
        <w:rPr>
          <w:rFonts w:ascii="宋体" w:hAnsi="宋体" w:cs="宋体"/>
          <w:color w:val="auto"/>
          <w:sz w:val="24"/>
        </w:rPr>
      </w:pPr>
      <w:r>
        <w:rPr>
          <w:rFonts w:hint="eastAsia" w:ascii="宋体" w:hAnsi="宋体" w:cs="宋体"/>
          <w:color w:val="auto"/>
          <w:sz w:val="24"/>
        </w:rPr>
        <w:t>2.15.2合同继续履行将损害国家利益和社会公共利益的，双方当事人应当中止或者终止合同。有过错的一方应当承担赔偿责任，双方当事人都有过错的，各自承担相应的责任。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宋体" w:hAnsi="宋体" w:cs="宋体"/>
          <w:b/>
          <w:color w:val="auto"/>
          <w:sz w:val="24"/>
        </w:rPr>
      </w:pPr>
      <w:bookmarkStart w:id="155" w:name="_Toc1125"/>
      <w:bookmarkStart w:id="156" w:name="_Toc6596"/>
      <w:bookmarkStart w:id="157" w:name="_Toc14563"/>
      <w:r>
        <w:rPr>
          <w:rFonts w:hint="eastAsia" w:ascii="宋体" w:hAnsi="宋体" w:cs="宋体"/>
          <w:b/>
          <w:color w:val="auto"/>
          <w:sz w:val="24"/>
        </w:rPr>
        <w:t>2.16检验和验收</w:t>
      </w:r>
      <w:bookmarkEnd w:id="155"/>
      <w:bookmarkEnd w:id="156"/>
      <w:bookmarkEnd w:id="157"/>
    </w:p>
    <w:p>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u w:val="single"/>
        </w:rPr>
        <w:t>合同专用条款</w:t>
      </w:r>
      <w:r>
        <w:rPr>
          <w:rFonts w:hint="eastAsia" w:ascii="宋体" w:hAnsi="宋体" w:cs="宋体"/>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2.16.3 检验和验收标准、程序等具体内容以及前述验收书的效力详见</w:t>
      </w:r>
      <w:r>
        <w:rPr>
          <w:rFonts w:hint="eastAsia" w:ascii="宋体" w:hAnsi="宋体" w:cs="宋体"/>
          <w:b/>
          <w:i/>
          <w:color w:val="auto"/>
          <w:sz w:val="24"/>
          <w:u w:val="single"/>
        </w:rPr>
        <w:t>合同专用条款</w:t>
      </w:r>
      <w:r>
        <w:rPr>
          <w:rFonts w:hint="eastAsia" w:ascii="宋体" w:hAnsi="宋体" w:cs="宋体"/>
          <w:i/>
          <w:color w:val="auto"/>
          <w:sz w:val="24"/>
        </w:rPr>
        <w:t>。</w:t>
      </w:r>
    </w:p>
    <w:bookmarkEnd w:id="127"/>
    <w:bookmarkEnd w:id="128"/>
    <w:bookmarkEnd w:id="129"/>
    <w:bookmarkEnd w:id="130"/>
    <w:p>
      <w:pPr>
        <w:spacing w:line="560" w:lineRule="exact"/>
        <w:ind w:firstLine="482" w:firstLineChars="200"/>
        <w:outlineLvl w:val="0"/>
        <w:rPr>
          <w:rFonts w:ascii="宋体" w:hAnsi="宋体" w:cs="宋体"/>
          <w:b/>
          <w:color w:val="auto"/>
          <w:sz w:val="24"/>
        </w:rPr>
      </w:pPr>
      <w:bookmarkStart w:id="158" w:name="_Toc259093690"/>
      <w:bookmarkStart w:id="159" w:name="_Toc487900371"/>
      <w:bookmarkStart w:id="160" w:name="_Toc279701261"/>
      <w:bookmarkStart w:id="161" w:name="_Toc11284"/>
      <w:bookmarkStart w:id="162" w:name="_Toc25182"/>
      <w:bookmarkStart w:id="163" w:name="_Toc19604"/>
      <w:r>
        <w:rPr>
          <w:rFonts w:hint="eastAsia" w:ascii="宋体" w:hAnsi="宋体" w:cs="宋体"/>
          <w:b/>
          <w:color w:val="auto"/>
          <w:sz w:val="24"/>
        </w:rPr>
        <w:t>2.17 通知</w:t>
      </w:r>
      <w:bookmarkEnd w:id="158"/>
      <w:bookmarkEnd w:id="159"/>
      <w:bookmarkEnd w:id="160"/>
      <w:r>
        <w:rPr>
          <w:rFonts w:hint="eastAsia" w:ascii="宋体" w:hAnsi="宋体" w:cs="宋体"/>
          <w:b/>
          <w:color w:val="auto"/>
          <w:sz w:val="24"/>
        </w:rPr>
        <w:t>和送达</w:t>
      </w:r>
      <w:bookmarkEnd w:id="161"/>
      <w:bookmarkEnd w:id="162"/>
      <w:bookmarkEnd w:id="163"/>
    </w:p>
    <w:p>
      <w:pPr>
        <w:spacing w:line="560" w:lineRule="exact"/>
        <w:ind w:firstLine="480" w:firstLineChars="200"/>
        <w:rPr>
          <w:rFonts w:ascii="宋体" w:hAnsi="宋体" w:cs="宋体"/>
          <w:color w:val="auto"/>
          <w:sz w:val="24"/>
        </w:rPr>
      </w:pPr>
      <w:bookmarkStart w:id="164" w:name="_Toc6698"/>
      <w:bookmarkStart w:id="165" w:name="_Toc3135"/>
      <w:bookmarkStart w:id="166" w:name="_Toc487900372"/>
      <w:bookmarkStart w:id="167" w:name="_Toc279701262"/>
      <w:bookmarkStart w:id="168" w:name="_Toc259093691"/>
      <w:r>
        <w:rPr>
          <w:rFonts w:hint="eastAsia" w:ascii="宋体" w:hAnsi="宋体" w:cs="宋体"/>
          <w:color w:val="auto"/>
          <w:sz w:val="24"/>
        </w:rPr>
        <w:t xml:space="preserve">2.17.1任何一方因履行合同而以合同第一部分尾部所列明的传真或电子邮件 </w:t>
      </w:r>
      <w:r>
        <w:rPr>
          <w:rFonts w:hint="eastAsia" w:ascii="宋体" w:hAnsi="宋体" w:cs="宋体"/>
          <w:color w:val="auto"/>
          <w:sz w:val="24"/>
          <w:u w:val="single"/>
        </w:rPr>
        <w:t xml:space="preserve">       </w:t>
      </w:r>
      <w:r>
        <w:rPr>
          <w:rFonts w:hint="eastAsia" w:ascii="宋体" w:hAnsi="宋体" w:cs="宋体"/>
          <w:color w:val="auto"/>
          <w:sz w:val="24"/>
        </w:rPr>
        <w:t>发出的所有通知、文件、材料，均视为已向对方当事人送达；任何一方变更上述送达方式或者地址的，应于</w:t>
      </w:r>
      <w:r>
        <w:rPr>
          <w:rFonts w:hint="eastAsia" w:ascii="宋体" w:hAnsi="宋体" w:cs="宋体"/>
          <w:color w:val="auto"/>
          <w:sz w:val="24"/>
          <w:u w:val="single"/>
        </w:rPr>
        <w:t>3</w:t>
      </w:r>
      <w:r>
        <w:rPr>
          <w:rFonts w:hint="eastAsia" w:ascii="宋体" w:hAnsi="宋体" w:cs="宋体"/>
          <w:color w:val="auto"/>
          <w:sz w:val="24"/>
        </w:rPr>
        <w:t>个工作日内书面通知对方当事人，在对方当事人收到有关变更通知之前，变更前的约定送达方式或者地址仍视为有效。</w:t>
      </w:r>
      <w:bookmarkEnd w:id="164"/>
      <w:bookmarkEnd w:id="165"/>
    </w:p>
    <w:p>
      <w:pPr>
        <w:spacing w:line="560" w:lineRule="exact"/>
        <w:ind w:firstLine="480" w:firstLineChars="200"/>
        <w:rPr>
          <w:rFonts w:ascii="宋体" w:hAnsi="宋体" w:cs="宋体"/>
          <w:color w:val="auto"/>
          <w:sz w:val="24"/>
        </w:rPr>
      </w:pPr>
      <w:bookmarkStart w:id="169" w:name="_Toc23294"/>
      <w:bookmarkStart w:id="170" w:name="_Toc23128"/>
      <w:r>
        <w:rPr>
          <w:rFonts w:hint="eastAsia" w:ascii="宋体" w:hAnsi="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169"/>
      <w:bookmarkEnd w:id="170"/>
    </w:p>
    <w:p>
      <w:pPr>
        <w:spacing w:line="560" w:lineRule="exact"/>
        <w:ind w:firstLine="482" w:firstLineChars="200"/>
        <w:outlineLvl w:val="0"/>
        <w:rPr>
          <w:rFonts w:ascii="宋体" w:hAnsi="宋体" w:cs="宋体"/>
          <w:b/>
          <w:color w:val="auto"/>
          <w:sz w:val="24"/>
        </w:rPr>
      </w:pPr>
      <w:bookmarkStart w:id="171" w:name="_Toc4355"/>
      <w:bookmarkStart w:id="172" w:name="_Toc30599"/>
      <w:bookmarkStart w:id="173" w:name="_Toc18540"/>
      <w:r>
        <w:rPr>
          <w:rFonts w:hint="eastAsia" w:ascii="宋体" w:hAnsi="宋体" w:cs="宋体"/>
          <w:b/>
          <w:color w:val="auto"/>
          <w:sz w:val="24"/>
        </w:rPr>
        <w:t>2.18 计量单位</w:t>
      </w:r>
      <w:bookmarkEnd w:id="166"/>
      <w:bookmarkEnd w:id="167"/>
      <w:bookmarkEnd w:id="168"/>
      <w:bookmarkEnd w:id="171"/>
      <w:bookmarkEnd w:id="172"/>
      <w:bookmarkEnd w:id="173"/>
    </w:p>
    <w:p>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pPr>
        <w:spacing w:line="560" w:lineRule="exact"/>
        <w:ind w:firstLine="482" w:firstLineChars="200"/>
        <w:outlineLvl w:val="0"/>
        <w:rPr>
          <w:rFonts w:ascii="宋体" w:hAnsi="宋体" w:cs="宋体"/>
          <w:b/>
          <w:color w:val="auto"/>
          <w:sz w:val="24"/>
        </w:rPr>
      </w:pPr>
      <w:bookmarkStart w:id="174" w:name="_Toc12773"/>
      <w:bookmarkStart w:id="175" w:name="_Toc259093692"/>
      <w:bookmarkStart w:id="176" w:name="_Toc487900373"/>
      <w:bookmarkStart w:id="177" w:name="_Toc279701263"/>
      <w:bookmarkStart w:id="178" w:name="_Toc10330"/>
      <w:bookmarkStart w:id="179" w:name="_Toc18567"/>
      <w:r>
        <w:rPr>
          <w:rFonts w:hint="eastAsia" w:ascii="宋体" w:hAnsi="宋体" w:cs="宋体"/>
          <w:b/>
          <w:color w:val="auto"/>
          <w:sz w:val="24"/>
        </w:rPr>
        <w:t>2.19 合同使用的文字和适用的法律</w:t>
      </w:r>
      <w:bookmarkEnd w:id="174"/>
      <w:bookmarkEnd w:id="175"/>
      <w:bookmarkEnd w:id="176"/>
      <w:bookmarkEnd w:id="177"/>
      <w:bookmarkEnd w:id="178"/>
      <w:bookmarkEnd w:id="179"/>
    </w:p>
    <w:p>
      <w:pPr>
        <w:spacing w:line="560" w:lineRule="exact"/>
        <w:ind w:firstLine="480" w:firstLineChars="200"/>
        <w:rPr>
          <w:rFonts w:ascii="宋体" w:hAnsi="宋体" w:cs="宋体"/>
          <w:color w:val="auto"/>
          <w:sz w:val="24"/>
        </w:rPr>
      </w:pPr>
      <w:r>
        <w:rPr>
          <w:rFonts w:hint="eastAsia" w:ascii="宋体" w:hAnsi="宋体" w:cs="宋体"/>
          <w:color w:val="auto"/>
          <w:sz w:val="24"/>
        </w:rPr>
        <w:t>2.19.1 合同使用汉语书就、变更和解释；</w:t>
      </w:r>
    </w:p>
    <w:p>
      <w:pPr>
        <w:spacing w:line="560" w:lineRule="exact"/>
        <w:ind w:firstLine="480" w:firstLineChars="200"/>
        <w:rPr>
          <w:rFonts w:ascii="宋体" w:hAnsi="宋体" w:cs="宋体"/>
          <w:color w:val="auto"/>
          <w:sz w:val="24"/>
        </w:rPr>
      </w:pPr>
      <w:r>
        <w:rPr>
          <w:rFonts w:hint="eastAsia" w:ascii="宋体" w:hAnsi="宋体" w:cs="宋体"/>
          <w:color w:val="auto"/>
          <w:sz w:val="24"/>
        </w:rPr>
        <w:t>2.19.2 合同适用中华人民共和国法律。</w:t>
      </w:r>
    </w:p>
    <w:p>
      <w:pPr>
        <w:spacing w:line="560" w:lineRule="exact"/>
        <w:ind w:firstLine="482" w:firstLineChars="200"/>
        <w:outlineLvl w:val="0"/>
        <w:rPr>
          <w:rFonts w:ascii="宋体" w:hAnsi="宋体" w:cs="宋体"/>
          <w:b/>
          <w:color w:val="auto"/>
          <w:sz w:val="24"/>
        </w:rPr>
      </w:pPr>
      <w:bookmarkStart w:id="180" w:name="_Toc14001"/>
      <w:bookmarkStart w:id="181" w:name="_Toc6885"/>
      <w:bookmarkStart w:id="182" w:name="_Toc19890"/>
      <w:r>
        <w:rPr>
          <w:rFonts w:hint="eastAsia" w:ascii="宋体" w:hAnsi="宋体" w:cs="宋体"/>
          <w:b/>
          <w:color w:val="auto"/>
          <w:sz w:val="24"/>
        </w:rPr>
        <w:t>2.20 合同份数</w:t>
      </w:r>
      <w:bookmarkEnd w:id="180"/>
      <w:bookmarkEnd w:id="181"/>
      <w:bookmarkEnd w:id="182"/>
    </w:p>
    <w:p>
      <w:pPr>
        <w:spacing w:line="560" w:lineRule="exact"/>
        <w:ind w:firstLine="480" w:firstLineChars="200"/>
        <w:rPr>
          <w:rFonts w:ascii="宋体" w:hAnsi="宋体" w:cs="宋体"/>
          <w:color w:val="auto"/>
          <w:sz w:val="24"/>
        </w:rPr>
      </w:pPr>
      <w:r>
        <w:rPr>
          <w:rFonts w:hint="eastAsia" w:ascii="宋体" w:hAnsi="宋体" w:cs="宋体"/>
          <w:color w:val="auto"/>
          <w:sz w:val="24"/>
        </w:rPr>
        <w:t>合同份数按</w:t>
      </w:r>
      <w:r>
        <w:rPr>
          <w:rFonts w:hint="eastAsia" w:ascii="宋体" w:hAnsi="宋体" w:cs="宋体"/>
          <w:b/>
          <w:i/>
          <w:color w:val="auto"/>
          <w:sz w:val="24"/>
          <w:u w:val="single"/>
        </w:rPr>
        <w:t>合同专用条款</w:t>
      </w:r>
      <w:r>
        <w:rPr>
          <w:rFonts w:hint="eastAsia" w:ascii="宋体" w:hAnsi="宋体" w:cs="宋体"/>
          <w:color w:val="auto"/>
          <w:sz w:val="24"/>
        </w:rPr>
        <w:t>规定，每份均具有同等法律效力。</w:t>
      </w:r>
    </w:p>
    <w:p>
      <w:pPr>
        <w:adjustRightInd/>
        <w:spacing w:line="360" w:lineRule="auto"/>
        <w:ind w:firstLine="2513" w:firstLineChars="1197"/>
        <w:outlineLvl w:val="0"/>
        <w:rPr>
          <w:rFonts w:ascii="宋体" w:hAnsi="宋体" w:cs="宋体"/>
          <w:b/>
          <w:color w:val="auto"/>
        </w:rPr>
      </w:pPr>
      <w:r>
        <w:rPr>
          <w:rFonts w:hint="eastAsia" w:ascii="宋体" w:hAnsi="宋体" w:cs="宋体"/>
          <w:color w:val="auto"/>
          <w:kern w:val="0"/>
        </w:rPr>
        <w:br w:type="page"/>
      </w:r>
      <w:r>
        <w:rPr>
          <w:rFonts w:hint="eastAsia" w:ascii="宋体" w:hAnsi="宋体" w:cs="宋体"/>
          <w:b/>
          <w:color w:val="auto"/>
          <w:sz w:val="32"/>
          <w:szCs w:val="20"/>
        </w:rPr>
        <w:t xml:space="preserve"> 第三部分  合同专用条款</w:t>
      </w:r>
    </w:p>
    <w:p>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534" w:type="pct"/>
            <w:vAlign w:val="center"/>
          </w:tcPr>
          <w:p>
            <w:pPr>
              <w:spacing w:line="360" w:lineRule="auto"/>
              <w:jc w:val="center"/>
              <w:rPr>
                <w:rFonts w:ascii="宋体" w:hAnsi="宋体" w:cs="宋体"/>
                <w:b/>
                <w:color w:val="auto"/>
                <w:sz w:val="24"/>
              </w:rPr>
            </w:pPr>
            <w:r>
              <w:rPr>
                <w:rFonts w:hint="eastAsia" w:ascii="宋体" w:hAnsi="宋体" w:cs="宋体"/>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1.4.2</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1.5.1</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 xml:space="preserve">1.5.2 </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1.5.3</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1.6.2</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1.7.1</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1.7.2</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1.7.3</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1.8.6</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1.9</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2.3.2</w:t>
            </w:r>
          </w:p>
        </w:tc>
        <w:tc>
          <w:tcPr>
            <w:tcW w:w="4534" w:type="pct"/>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2.4.1</w:t>
            </w:r>
          </w:p>
        </w:tc>
        <w:tc>
          <w:tcPr>
            <w:tcW w:w="4534" w:type="pct"/>
            <w:vAlign w:val="center"/>
          </w:tcPr>
          <w:p>
            <w:pPr>
              <w:spacing w:line="360" w:lineRule="auto"/>
              <w:ind w:left="-420" w:leftChars="-200" w:right="-420" w:rightChars="-200" w:firstLine="480" w:firstLineChars="200"/>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2.4.3</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pPr>
              <w:spacing w:line="360" w:lineRule="auto"/>
              <w:rPr>
                <w:rFonts w:ascii="宋体" w:hAnsi="宋体" w:cs="宋体"/>
                <w:color w:val="auto"/>
                <w:sz w:val="24"/>
              </w:rPr>
            </w:pPr>
            <w:r>
              <w:rPr>
                <w:rFonts w:hint="eastAsia" w:ascii="宋体" w:hAnsi="宋体" w:cs="宋体"/>
                <w:color w:val="auto"/>
                <w:sz w:val="24"/>
              </w:rPr>
              <w:t xml:space="preserve">2.8 </w:t>
            </w:r>
          </w:p>
        </w:tc>
        <w:tc>
          <w:tcPr>
            <w:tcW w:w="4534" w:type="pct"/>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2.12.3</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2.12.4</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2.16.1</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pPr>
              <w:spacing w:line="360" w:lineRule="auto"/>
              <w:rPr>
                <w:rFonts w:ascii="宋体" w:hAnsi="宋体" w:cs="宋体"/>
                <w:color w:val="auto"/>
                <w:sz w:val="24"/>
              </w:rPr>
            </w:pPr>
            <w:r>
              <w:rPr>
                <w:rFonts w:hint="eastAsia" w:ascii="宋体" w:hAnsi="宋体" w:cs="宋体"/>
                <w:color w:val="auto"/>
                <w:sz w:val="24"/>
              </w:rPr>
              <w:t>2.16.3</w:t>
            </w:r>
          </w:p>
        </w:tc>
        <w:tc>
          <w:tcPr>
            <w:tcW w:w="4534" w:type="pct"/>
            <w:vAlign w:val="center"/>
          </w:tcPr>
          <w:p>
            <w:pPr>
              <w:spacing w:line="360" w:lineRule="auto"/>
              <w:rPr>
                <w:rFonts w:ascii="宋体" w:hAnsi="宋体" w:cs="宋体"/>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pPr>
              <w:spacing w:line="360" w:lineRule="auto"/>
              <w:ind w:left="-420" w:leftChars="-200" w:right="-420" w:rightChars="-200" w:firstLine="480" w:firstLineChars="200"/>
              <w:outlineLvl w:val="0"/>
              <w:rPr>
                <w:rFonts w:ascii="宋体" w:hAnsi="宋体" w:cs="宋体"/>
                <w:color w:val="auto"/>
                <w:sz w:val="24"/>
              </w:rPr>
            </w:pPr>
            <w:r>
              <w:rPr>
                <w:rFonts w:hint="eastAsia" w:ascii="宋体" w:hAnsi="宋体" w:cs="宋体"/>
                <w:color w:val="auto"/>
                <w:sz w:val="24"/>
              </w:rPr>
              <w:t xml:space="preserve">2.20 </w:t>
            </w:r>
          </w:p>
        </w:tc>
        <w:tc>
          <w:tcPr>
            <w:tcW w:w="4534" w:type="pct"/>
            <w:vAlign w:val="center"/>
          </w:tcPr>
          <w:p>
            <w:pPr>
              <w:spacing w:line="360" w:lineRule="auto"/>
              <w:rPr>
                <w:rFonts w:ascii="宋体" w:hAnsi="宋体" w:cs="宋体"/>
                <w:color w:val="auto"/>
                <w:sz w:val="24"/>
              </w:rPr>
            </w:pPr>
          </w:p>
        </w:tc>
      </w:tr>
    </w:tbl>
    <w:p>
      <w:pPr>
        <w:spacing w:line="360" w:lineRule="auto"/>
        <w:ind w:left="-420" w:leftChars="-200" w:right="-420" w:rightChars="-200" w:firstLine="480" w:firstLineChars="200"/>
        <w:rPr>
          <w:rFonts w:ascii="宋体" w:hAnsi="宋体" w:cs="宋体"/>
          <w:color w:val="auto"/>
          <w:sz w:val="24"/>
        </w:rPr>
      </w:pPr>
    </w:p>
    <w:p>
      <w:pPr>
        <w:spacing w:line="360" w:lineRule="auto"/>
        <w:ind w:left="-420" w:leftChars="-200" w:right="-420" w:rightChars="-200"/>
        <w:rPr>
          <w:rFonts w:ascii="宋体" w:hAnsi="宋体" w:cs="宋体"/>
          <w:color w:val="auto"/>
          <w:sz w:val="24"/>
        </w:rPr>
      </w:pPr>
    </w:p>
    <w:p>
      <w:pPr>
        <w:pStyle w:val="5"/>
        <w:rPr>
          <w:color w:val="auto"/>
        </w:rPr>
      </w:pPr>
    </w:p>
    <w:p>
      <w:pPr>
        <w:rPr>
          <w:color w:val="auto"/>
        </w:rPr>
      </w:pPr>
    </w:p>
    <w:p>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2"/>
      <w:r>
        <w:rPr>
          <w:rFonts w:hint="eastAsia" w:ascii="宋体" w:hAnsi="宋体" w:cs="宋体"/>
          <w:b/>
          <w:color w:val="auto"/>
          <w:sz w:val="36"/>
          <w:szCs w:val="20"/>
        </w:rPr>
        <w:t xml:space="preserve"> </w:t>
      </w:r>
      <w:bookmarkEnd w:id="33"/>
      <w:r>
        <w:rPr>
          <w:rFonts w:hint="eastAsia" w:ascii="宋体" w:hAnsi="宋体" w:cs="宋体"/>
          <w:b/>
          <w:color w:val="auto"/>
          <w:sz w:val="36"/>
          <w:szCs w:val="20"/>
        </w:rPr>
        <w:t>应提交的有关格式范例</w:t>
      </w:r>
    </w:p>
    <w:p>
      <w:pPr>
        <w:spacing w:line="360" w:lineRule="auto"/>
        <w:jc w:val="center"/>
        <w:outlineLvl w:val="0"/>
        <w:rPr>
          <w:rFonts w:ascii="宋体" w:hAnsi="宋体" w:cs="宋体"/>
          <w:b/>
          <w:color w:val="auto"/>
          <w:kern w:val="0"/>
          <w:sz w:val="36"/>
          <w:szCs w:val="36"/>
        </w:r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pPr>
        <w:snapToGrid w:val="0"/>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widowControl/>
        <w:spacing w:line="360" w:lineRule="auto"/>
        <w:ind w:firstLine="643" w:firstLineChars="200"/>
        <w:jc w:val="center"/>
        <w:rPr>
          <w:rFonts w:ascii="宋体" w:hAnsi="宋体" w:cs="宋体"/>
          <w:b/>
          <w:color w:val="auto"/>
          <w:kern w:val="0"/>
          <w:sz w:val="32"/>
          <w:szCs w:val="32"/>
        </w:rPr>
      </w:pPr>
    </w:p>
    <w:p>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rPr>
          <w:color w:val="auto"/>
        </w:rPr>
      </w:pPr>
    </w:p>
    <w:p>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pPr>
        <w:rPr>
          <w:rFonts w:ascii="宋体" w:hAnsi="宋体" w:cs="宋体"/>
          <w:color w:val="auto"/>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rPr>
          <w:rFonts w:ascii="宋体" w:hAnsi="宋体" w:cs="宋体"/>
          <w:b/>
          <w:color w:val="auto"/>
          <w:kern w:val="0"/>
          <w:sz w:val="32"/>
          <w:szCs w:val="32"/>
          <w:lang w:val="zh-CN"/>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rPr>
          <w:rFonts w:ascii="宋体" w:hAnsi="宋体" w:cs="宋体"/>
          <w:color w:val="auto"/>
        </w:rPr>
      </w:pPr>
    </w:p>
    <w:p>
      <w:pPr>
        <w:snapToGrid w:val="0"/>
        <w:spacing w:line="360" w:lineRule="auto"/>
        <w:jc w:val="center"/>
        <w:outlineLvl w:val="0"/>
        <w:rPr>
          <w:rFonts w:ascii="宋体" w:hAnsi="宋体" w:cs="宋体"/>
          <w:b/>
          <w:color w:val="auto"/>
          <w:kern w:val="0"/>
          <w:sz w:val="32"/>
          <w:szCs w:val="32"/>
        </w:rPr>
      </w:pPr>
    </w:p>
    <w:p>
      <w:pPr>
        <w:snapToGrid w:val="0"/>
        <w:spacing w:line="360" w:lineRule="auto"/>
        <w:jc w:val="center"/>
        <w:outlineLvl w:val="0"/>
        <w:rPr>
          <w:rFonts w:ascii="宋体" w:hAnsi="宋体" w:cs="宋体"/>
          <w:b/>
          <w:color w:val="auto"/>
          <w:kern w:val="0"/>
          <w:sz w:val="32"/>
          <w:szCs w:val="32"/>
        </w:rPr>
      </w:pPr>
    </w:p>
    <w:p>
      <w:pPr>
        <w:pStyle w:val="5"/>
        <w:rPr>
          <w:color w:val="auto"/>
          <w:lang w:val="en-US"/>
        </w:rPr>
      </w:pPr>
    </w:p>
    <w:p>
      <w:pPr>
        <w:rPr>
          <w:color w:val="auto"/>
        </w:rPr>
      </w:pPr>
    </w:p>
    <w:p>
      <w:pPr>
        <w:snapToGrid w:val="0"/>
        <w:spacing w:line="360" w:lineRule="auto"/>
        <w:ind w:firstLine="3855" w:firstLineChars="1200"/>
        <w:outlineLvl w:val="0"/>
        <w:rPr>
          <w:rFonts w:ascii="宋体" w:hAnsi="宋体" w:cs="宋体"/>
          <w:b/>
          <w:color w:val="auto"/>
          <w:kern w:val="0"/>
          <w:sz w:val="32"/>
          <w:szCs w:val="32"/>
        </w:rPr>
      </w:pPr>
    </w:p>
    <w:p>
      <w:pPr>
        <w:snapToGrid w:val="0"/>
        <w:spacing w:line="360" w:lineRule="auto"/>
        <w:ind w:firstLine="3855" w:firstLineChars="1200"/>
        <w:outlineLvl w:val="0"/>
        <w:rPr>
          <w:rFonts w:ascii="宋体" w:hAnsi="宋体" w:cs="宋体"/>
          <w:b/>
          <w:color w:val="auto"/>
          <w:kern w:val="0"/>
          <w:sz w:val="32"/>
          <w:szCs w:val="32"/>
        </w:rPr>
      </w:pPr>
    </w:p>
    <w:p>
      <w:pPr>
        <w:snapToGrid w:val="0"/>
        <w:spacing w:line="360" w:lineRule="auto"/>
        <w:ind w:firstLine="3855" w:firstLineChars="1200"/>
        <w:outlineLvl w:val="0"/>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pPr>
        <w:snapToGrid w:val="0"/>
        <w:spacing w:line="360" w:lineRule="auto"/>
        <w:ind w:left="420" w:leftChars="200" w:firstLine="480" w:firstLineChars="200"/>
        <w:rPr>
          <w:rFonts w:eastAsia="仿宋_GB2312"/>
          <w:color w:val="auto"/>
        </w:rPr>
      </w:pPr>
      <w:r>
        <w:rPr>
          <w:rFonts w:hint="eastAsia" w:ascii="宋体" w:hAnsi="宋体" w:cs="宋体"/>
          <w:color w:val="auto"/>
          <w:sz w:val="24"/>
        </w:rPr>
        <w:t>2.3.2 报价情况说明（如果有）；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2.3.3中小企业声明函（如果有）。</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pPr>
        <w:snapToGrid w:val="0"/>
        <w:spacing w:line="360" w:lineRule="auto"/>
        <w:ind w:left="420" w:leftChars="200" w:firstLine="4200" w:firstLineChars="1750"/>
        <w:rPr>
          <w:rFonts w:ascii="宋体" w:hAnsi="宋体" w:cs="宋体"/>
          <w:color w:val="auto"/>
          <w:kern w:val="0"/>
          <w:sz w:val="24"/>
          <w:u w:val="single"/>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napToGrid w:val="0"/>
        <w:spacing w:line="360" w:lineRule="auto"/>
        <w:jc w:val="center"/>
        <w:rPr>
          <w:rFonts w:ascii="宋体" w:hAnsi="宋体" w:cs="宋体"/>
          <w:b/>
          <w:color w:val="auto"/>
          <w:kern w:val="0"/>
          <w:sz w:val="32"/>
          <w:szCs w:val="32"/>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pPr>
        <w:snapToGrid w:val="0"/>
        <w:spacing w:line="360" w:lineRule="auto"/>
        <w:rPr>
          <w:rFonts w:ascii="宋体" w:hAnsi="宋体" w:cs="宋体"/>
          <w:color w:val="auto"/>
          <w:sz w:val="24"/>
        </w:rPr>
      </w:pPr>
      <w:r>
        <w:rPr>
          <w:rFonts w:hint="eastAsia" w:ascii="宋体" w:hAnsi="宋体" w:cs="宋体"/>
          <w:color w:val="auto"/>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，所在单位：</w:t>
      </w:r>
      <w:r>
        <w:rPr>
          <w:rFonts w:hint="eastAsia" w:ascii="宋体" w:hAnsi="宋体" w:cs="宋体"/>
          <w:color w:val="auto"/>
          <w:kern w:val="0"/>
          <w:sz w:val="24"/>
          <w:u w:val="single"/>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rPr>
          <w:rFonts w:ascii="宋体" w:hAnsi="宋体" w:cs="宋体"/>
          <w:color w:val="auto"/>
        </w:rPr>
      </w:pP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pPr>
        <w:pStyle w:val="151"/>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1"/>
              <w:adjustRightInd w:val="0"/>
              <w:spacing w:line="360" w:lineRule="auto"/>
              <w:rPr>
                <w:rFonts w:hAnsi="宋体" w:cs="宋体"/>
                <w:bCs/>
                <w:color w:val="auto"/>
                <w:sz w:val="24"/>
              </w:rPr>
            </w:pPr>
            <w:r>
              <w:rPr>
                <w:rFonts w:hint="eastAsia" w:hAnsi="宋体" w:cs="宋体"/>
                <w:bCs/>
                <w:color w:val="auto"/>
                <w:sz w:val="24"/>
              </w:rPr>
              <w:t>正面：                                 反面：</w:t>
            </w:r>
          </w:p>
          <w:p>
            <w:pPr>
              <w:pStyle w:val="151"/>
              <w:adjustRightInd w:val="0"/>
              <w:spacing w:line="360" w:lineRule="auto"/>
              <w:rPr>
                <w:rFonts w:hAnsi="宋体" w:cs="宋体"/>
                <w:bCs/>
                <w:color w:val="auto"/>
                <w:sz w:val="24"/>
              </w:rPr>
            </w:pPr>
          </w:p>
        </w:tc>
      </w:tr>
    </w:tbl>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snapToGrid w:val="0"/>
        <w:spacing w:line="360" w:lineRule="auto"/>
        <w:ind w:right="480"/>
        <w:rPr>
          <w:rFonts w:ascii="宋体" w:hAnsi="宋体" w:cs="宋体"/>
          <w:b/>
          <w:color w:val="auto"/>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pPr>
        <w:widowControl/>
        <w:spacing w:line="360" w:lineRule="auto"/>
        <w:ind w:firstLine="120" w:firstLineChars="50"/>
        <w:jc w:val="left"/>
        <w:rPr>
          <w:rFonts w:ascii="宋体" w:hAnsi="宋体" w:cs="宋体"/>
          <w:color w:val="auto"/>
          <w:sz w:val="24"/>
        </w:rPr>
      </w:pPr>
      <w:bookmarkStart w:id="183"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183"/>
    <w:p>
      <w:pPr>
        <w:snapToGrid w:val="0"/>
        <w:spacing w:line="360" w:lineRule="auto"/>
        <w:rPr>
          <w:rFonts w:ascii="宋体" w:hAnsi="宋体" w:cs="宋体"/>
          <w:color w:val="auto"/>
          <w:kern w:val="0"/>
          <w:sz w:val="24"/>
        </w:rPr>
      </w:pPr>
    </w:p>
    <w:p>
      <w:pPr>
        <w:jc w:val="center"/>
        <w:rPr>
          <w:rFonts w:ascii="宋体" w:hAnsi="宋体" w:cs="宋体"/>
          <w:b/>
          <w:color w:val="auto"/>
          <w:kern w:val="0"/>
          <w:sz w:val="32"/>
          <w:szCs w:val="32"/>
        </w:rPr>
      </w:pPr>
    </w:p>
    <w:p>
      <w:pPr>
        <w:pStyle w:val="5"/>
        <w:rPr>
          <w:color w:val="auto"/>
          <w:lang w:val="en-US"/>
        </w:rPr>
      </w:pPr>
    </w:p>
    <w:p>
      <w:pPr>
        <w:rPr>
          <w:color w:val="auto"/>
        </w:rPr>
      </w:pPr>
    </w:p>
    <w:p>
      <w:pPr>
        <w:pStyle w:val="5"/>
        <w:rPr>
          <w:color w:val="auto"/>
          <w:lang w:val="en-US"/>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1</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pPr>
              <w:rPr>
                <w:rFonts w:ascii="宋体" w:hAnsi="宋体" w:cs="宋体"/>
                <w:color w:val="auto"/>
                <w:sz w:val="24"/>
              </w:rPr>
            </w:pPr>
          </w:p>
          <w:p>
            <w:pPr>
              <w:rPr>
                <w:rFonts w:ascii="宋体" w:hAnsi="宋体" w:cs="宋体"/>
                <w:color w:val="auto"/>
                <w:sz w:val="24"/>
              </w:rPr>
            </w:pPr>
            <w:r>
              <w:rPr>
                <w:rFonts w:hint="eastAsia" w:ascii="宋体" w:hAnsi="宋体" w:cs="宋体"/>
                <w:color w:val="auto"/>
                <w:sz w:val="24"/>
              </w:rPr>
              <w:t>见投标文件</w:t>
            </w:r>
          </w:p>
          <w:p>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2</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pPr>
              <w:rPr>
                <w:rFonts w:ascii="宋体" w:hAnsi="宋体" w:cs="宋体"/>
                <w:color w:val="auto"/>
                <w:sz w:val="24"/>
              </w:rPr>
            </w:pPr>
            <w:r>
              <w:rPr>
                <w:rFonts w:hint="eastAsia" w:ascii="宋体" w:hAnsi="宋体" w:cs="宋体"/>
                <w:color w:val="auto"/>
                <w:sz w:val="24"/>
              </w:rPr>
              <w:t>投标函</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color w:val="auto"/>
                <w:sz w:val="24"/>
              </w:rPr>
            </w:pPr>
            <w:r>
              <w:rPr>
                <w:rFonts w:hint="eastAsia" w:ascii="宋体" w:hAnsi="宋体" w:cs="宋体"/>
                <w:color w:val="auto"/>
                <w:sz w:val="24"/>
              </w:rPr>
              <w:t>3</w:t>
            </w:r>
          </w:p>
        </w:tc>
        <w:tc>
          <w:tcPr>
            <w:tcW w:w="4991" w:type="dxa"/>
          </w:tcPr>
          <w:p>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jc w:val="center"/>
        <w:rPr>
          <w:rFonts w:ascii="宋体" w:hAnsi="宋体" w:cs="宋体"/>
          <w:color w:val="auto"/>
        </w:rPr>
      </w:pPr>
      <w:r>
        <w:rPr>
          <w:rFonts w:hint="eastAsia" w:ascii="宋体" w:hAnsi="宋体" w:cs="宋体"/>
          <w:b/>
          <w:color w:val="auto"/>
          <w:kern w:val="0"/>
          <w:sz w:val="32"/>
          <w:szCs w:val="32"/>
        </w:rPr>
        <w:t>五、评标标准相应的商务技术资料</w:t>
      </w:r>
    </w:p>
    <w:p>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 w:val="24"/>
              </w:rPr>
            </w:pPr>
          </w:p>
        </w:tc>
      </w:tr>
    </w:tbl>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p>
    <w:p>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pPr>
              <w:jc w:val="center"/>
              <w:rPr>
                <w:rFonts w:ascii="宋体" w:hAnsi="宋体" w:cs="宋体"/>
                <w:b/>
                <w:bCs/>
                <w:color w:val="auto"/>
                <w:sz w:val="24"/>
              </w:rPr>
            </w:pPr>
            <w:r>
              <w:rPr>
                <w:rFonts w:hint="eastAsia" w:ascii="宋体" w:hAnsi="宋体" w:cs="宋体"/>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pPr>
              <w:jc w:val="center"/>
              <w:rPr>
                <w:rFonts w:ascii="宋体" w:hAnsi="宋体" w:cs="宋体"/>
                <w:b/>
                <w:color w:val="auto"/>
                <w:kern w:val="0"/>
                <w:sz w:val="32"/>
                <w:szCs w:val="32"/>
              </w:rPr>
            </w:pPr>
          </w:p>
        </w:tc>
        <w:tc>
          <w:tcPr>
            <w:tcW w:w="3546" w:type="dxa"/>
          </w:tcPr>
          <w:p>
            <w:pPr>
              <w:jc w:val="center"/>
              <w:rPr>
                <w:rFonts w:ascii="宋体" w:hAnsi="宋体" w:cs="宋体"/>
                <w:b/>
                <w:color w:val="auto"/>
                <w:kern w:val="0"/>
                <w:sz w:val="32"/>
                <w:szCs w:val="32"/>
              </w:rPr>
            </w:pPr>
          </w:p>
        </w:tc>
        <w:tc>
          <w:tcPr>
            <w:tcW w:w="1276" w:type="dxa"/>
          </w:tcPr>
          <w:p>
            <w:pPr>
              <w:jc w:val="center"/>
              <w:rPr>
                <w:rFonts w:ascii="宋体" w:hAnsi="宋体" w:cs="宋体"/>
                <w:b/>
                <w:color w:val="auto"/>
                <w:kern w:val="0"/>
                <w:sz w:val="32"/>
                <w:szCs w:val="32"/>
              </w:rPr>
            </w:pPr>
          </w:p>
        </w:tc>
      </w:tr>
    </w:tbl>
    <w:p>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pPr>
        <w:jc w:val="center"/>
        <w:rPr>
          <w:rFonts w:ascii="宋体" w:hAnsi="宋体" w:cs="宋体"/>
          <w:b/>
          <w:color w:val="auto"/>
          <w:kern w:val="0"/>
          <w:sz w:val="32"/>
          <w:szCs w:val="32"/>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ind w:firstLine="1911" w:firstLineChars="595"/>
        <w:rPr>
          <w:rFonts w:ascii="宋体" w:hAnsi="宋体" w:cs="宋体"/>
          <w:b/>
          <w:bCs/>
          <w:color w:val="auto"/>
          <w:sz w:val="32"/>
          <w:szCs w:val="32"/>
        </w:rPr>
      </w:pPr>
    </w:p>
    <w:p>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jc w:val="left"/>
        <w:rPr>
          <w:rFonts w:ascii="宋体" w:hAnsi="宋体" w:cs="宋体"/>
          <w:color w:val="auto"/>
          <w:kern w:val="0"/>
          <w:sz w:val="24"/>
          <w:lang w:val="zh-CN"/>
        </w:rPr>
      </w:pPr>
    </w:p>
    <w:p>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pPr>
        <w:spacing w:line="360" w:lineRule="auto"/>
        <w:jc w:val="center"/>
        <w:rPr>
          <w:rFonts w:ascii="宋体" w:hAnsi="宋体" w:cs="宋体"/>
          <w:b/>
          <w:bCs/>
          <w:color w:val="auto"/>
          <w:sz w:val="24"/>
        </w:rPr>
      </w:pP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spacing w:line="360" w:lineRule="auto"/>
        <w:jc w:val="center"/>
        <w:rPr>
          <w:rFonts w:ascii="宋体" w:hAnsi="宋体" w:cs="宋体"/>
          <w:b/>
          <w:bCs/>
          <w:color w:val="auto"/>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pPr>
        <w:spacing w:line="360" w:lineRule="auto"/>
        <w:jc w:val="center"/>
        <w:outlineLvl w:val="0"/>
        <w:rPr>
          <w:rFonts w:ascii="宋体" w:hAnsi="宋体" w:cs="宋体"/>
          <w:b/>
          <w:color w:val="auto"/>
          <w:kern w:val="0"/>
          <w:sz w:val="36"/>
          <w:szCs w:val="36"/>
        </w:rPr>
      </w:pPr>
    </w:p>
    <w:p>
      <w:pPr>
        <w:numPr>
          <w:ilvl w:val="0"/>
          <w:numId w:val="2"/>
        </w:numPr>
        <w:snapToGrid w:val="0"/>
        <w:spacing w:line="360" w:lineRule="auto"/>
        <w:rPr>
          <w:rFonts w:ascii="宋体" w:hAnsi="宋体" w:cs="宋体"/>
          <w:color w:val="auto"/>
          <w:sz w:val="24"/>
        </w:rPr>
      </w:pPr>
      <w:r>
        <w:rPr>
          <w:rFonts w:hint="eastAsia" w:ascii="宋体" w:hAnsi="宋体" w:cs="宋体"/>
          <w:color w:val="auto"/>
          <w:sz w:val="24"/>
        </w:rPr>
        <w:t>开标一览表（报价表）………………………………………………………（页码）</w:t>
      </w:r>
    </w:p>
    <w:p>
      <w:pPr>
        <w:snapToGrid w:val="0"/>
        <w:spacing w:line="360" w:lineRule="auto"/>
        <w:rPr>
          <w:color w:val="auto"/>
        </w:rPr>
      </w:pPr>
      <w:r>
        <w:rPr>
          <w:rFonts w:hint="eastAsia" w:ascii="宋体" w:hAnsi="宋体" w:cs="宋体"/>
          <w:color w:val="auto"/>
          <w:sz w:val="24"/>
        </w:rPr>
        <w:t>（2）</w:t>
      </w:r>
      <w:r>
        <w:rPr>
          <w:rFonts w:hint="eastAsia" w:hAnsi="仿宋_GB2312" w:cs="仿宋_GB2312"/>
          <w:bCs/>
          <w:snapToGrid w:val="0"/>
          <w:color w:val="auto"/>
          <w:sz w:val="24"/>
        </w:rPr>
        <w:t>报价情况说明</w:t>
      </w:r>
      <w:r>
        <w:rPr>
          <w:rFonts w:hint="eastAsia" w:ascii="宋体" w:hAnsi="宋体" w:cs="宋体"/>
          <w:color w:val="auto"/>
          <w:sz w:val="24"/>
        </w:rPr>
        <w:t>…………………………………………………………………（页码）</w:t>
      </w:r>
    </w:p>
    <w:p>
      <w:pPr>
        <w:snapToGrid w:val="0"/>
        <w:spacing w:line="360" w:lineRule="auto"/>
        <w:rPr>
          <w:rFonts w:ascii="宋体" w:hAnsi="宋体" w:cs="宋体"/>
          <w:color w:val="auto"/>
          <w:sz w:val="24"/>
        </w:rPr>
      </w:pPr>
      <w:r>
        <w:rPr>
          <w:rFonts w:hint="eastAsia" w:ascii="宋体" w:hAnsi="宋体" w:cs="宋体"/>
          <w:color w:val="auto"/>
          <w:sz w:val="24"/>
        </w:rPr>
        <w:t>（3）中小企业声明函………………………………………………………………（页码）</w:t>
      </w:r>
    </w:p>
    <w:p>
      <w:pPr>
        <w:pStyle w:val="82"/>
        <w:rPr>
          <w:color w:val="auto"/>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pPr>
              <w:snapToGrid w:val="0"/>
              <w:spacing w:line="360" w:lineRule="auto"/>
              <w:jc w:val="center"/>
              <w:rPr>
                <w:rFonts w:ascii="宋体" w:hAnsi="宋体" w:cs="宋体"/>
                <w:color w:val="auto"/>
                <w:sz w:val="24"/>
              </w:rPr>
            </w:pP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p>
        </w:tc>
        <w:tc>
          <w:tcPr>
            <w:tcW w:w="1417" w:type="dxa"/>
            <w:vAlign w:val="center"/>
          </w:tcPr>
          <w:p>
            <w:pPr>
              <w:snapToGrid w:val="0"/>
              <w:spacing w:line="360" w:lineRule="auto"/>
              <w:jc w:val="center"/>
              <w:rPr>
                <w:rFonts w:ascii="宋体" w:hAnsi="宋体" w:cs="宋体"/>
                <w:color w:val="auto"/>
                <w:sz w:val="24"/>
              </w:rPr>
            </w:pP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360" w:lineRule="auto"/>
              <w:jc w:val="center"/>
              <w:rPr>
                <w:rFonts w:ascii="宋体" w:hAnsi="宋体" w:cs="宋体"/>
                <w:color w:val="auto"/>
                <w:sz w:val="24"/>
              </w:rPr>
            </w:pPr>
          </w:p>
        </w:tc>
        <w:tc>
          <w:tcPr>
            <w:tcW w:w="1417" w:type="dxa"/>
            <w:vAlign w:val="center"/>
          </w:tcPr>
          <w:p>
            <w:pPr>
              <w:snapToGrid w:val="0"/>
              <w:spacing w:line="360" w:lineRule="auto"/>
              <w:jc w:val="center"/>
              <w:rPr>
                <w:rFonts w:ascii="宋体" w:hAnsi="宋体" w:cs="宋体"/>
                <w:color w:val="auto"/>
                <w:sz w:val="24"/>
              </w:rPr>
            </w:pPr>
          </w:p>
        </w:tc>
        <w:tc>
          <w:tcPr>
            <w:tcW w:w="1843" w:type="dxa"/>
            <w:vAlign w:val="center"/>
          </w:tcPr>
          <w:p>
            <w:pPr>
              <w:snapToGrid w:val="0"/>
              <w:spacing w:line="360" w:lineRule="auto"/>
              <w:jc w:val="center"/>
              <w:rPr>
                <w:rFonts w:ascii="宋体" w:hAnsi="宋体" w:cs="宋体"/>
                <w:color w:val="auto"/>
                <w:sz w:val="24"/>
              </w:rPr>
            </w:pPr>
          </w:p>
        </w:tc>
        <w:tc>
          <w:tcPr>
            <w:tcW w:w="3118" w:type="dxa"/>
            <w:vAlign w:val="center"/>
          </w:tcPr>
          <w:p>
            <w:pPr>
              <w:snapToGrid w:val="0"/>
              <w:spacing w:line="360" w:lineRule="auto"/>
              <w:jc w:val="center"/>
              <w:rPr>
                <w:rFonts w:ascii="宋体" w:hAnsi="宋体" w:cs="宋体"/>
                <w:color w:val="auto"/>
                <w:sz w:val="24"/>
              </w:rPr>
            </w:pPr>
          </w:p>
        </w:tc>
        <w:tc>
          <w:tcPr>
            <w:tcW w:w="993" w:type="dxa"/>
            <w:vAlign w:val="center"/>
          </w:tcPr>
          <w:p>
            <w:pPr>
              <w:snapToGrid w:val="0"/>
              <w:spacing w:line="360" w:lineRule="auto"/>
              <w:jc w:val="center"/>
              <w:rPr>
                <w:rFonts w:ascii="宋体" w:hAnsi="宋体" w:cs="宋体"/>
                <w:color w:val="auto"/>
                <w:sz w:val="24"/>
              </w:rPr>
            </w:pPr>
          </w:p>
        </w:tc>
        <w:tc>
          <w:tcPr>
            <w:tcW w:w="1559" w:type="dxa"/>
            <w:vAlign w:val="center"/>
          </w:tcPr>
          <w:p>
            <w:pPr>
              <w:spacing w:line="360" w:lineRule="auto"/>
              <w:jc w:val="center"/>
              <w:rPr>
                <w:rFonts w:ascii="宋体" w:hAnsi="宋体" w:cs="宋体"/>
                <w:color w:val="auto"/>
                <w:sz w:val="24"/>
              </w:rPr>
            </w:pPr>
          </w:p>
        </w:tc>
        <w:tc>
          <w:tcPr>
            <w:tcW w:w="1984" w:type="dxa"/>
            <w:vAlign w:val="center"/>
          </w:tcPr>
          <w:p>
            <w:pPr>
              <w:spacing w:line="360" w:lineRule="auto"/>
              <w:jc w:val="center"/>
              <w:rPr>
                <w:rFonts w:ascii="宋体" w:hAnsi="宋体" w:cs="宋体"/>
                <w:color w:val="auto"/>
                <w:sz w:val="24"/>
              </w:rPr>
            </w:pPr>
          </w:p>
        </w:tc>
        <w:tc>
          <w:tcPr>
            <w:tcW w:w="3119"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宋体" w:hAnsi="宋体" w:cs="宋体"/>
          <w:b/>
          <w:color w:val="auto"/>
          <w:kern w:val="0"/>
          <w:sz w:val="24"/>
        </w:r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pPr>
        <w:pStyle w:val="695"/>
        <w:keepNext w:val="0"/>
        <w:pageBreakBefore w:val="0"/>
        <w:numPr>
          <w:ilvl w:val="0"/>
          <w:numId w:val="3"/>
        </w:numPr>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报价情况说明（如果有）</w:t>
      </w:r>
    </w:p>
    <w:p>
      <w:pPr>
        <w:pStyle w:val="5"/>
        <w:keepNext w:val="0"/>
        <w:numPr>
          <w:ilvl w:val="255"/>
          <w:numId w:val="0"/>
        </w:numPr>
        <w:tabs>
          <w:tab w:val="clear" w:pos="432"/>
        </w:tabs>
        <w:snapToGrid w:val="0"/>
        <w:spacing w:before="120" w:after="120"/>
        <w:rPr>
          <w:rFonts w:ascii="宋体" w:hAnsi="宋体" w:eastAsia="宋体" w:cs="宋体"/>
          <w:color w:val="auto"/>
          <w:lang w:val="en-US"/>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5"/>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pPr>
        <w:pStyle w:val="695"/>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rPr>
        <w:t>三、</w:t>
      </w:r>
      <w:r>
        <w:rPr>
          <w:rFonts w:hint="eastAsia" w:ascii="宋体" w:hAnsi="宋体" w:eastAsia="宋体" w:cs="宋体"/>
          <w:color w:val="auto"/>
          <w:sz w:val="32"/>
          <w:szCs w:val="32"/>
        </w:rPr>
        <w:t>中小企业声明函</w:t>
      </w:r>
      <w:bookmarkStart w:id="184" w:name="_Hlk101259491"/>
      <w:r>
        <w:rPr>
          <w:rFonts w:hint="eastAsia" w:ascii="宋体" w:hAnsi="宋体" w:eastAsia="宋体" w:cs="宋体"/>
          <w:color w:val="auto"/>
          <w:sz w:val="32"/>
          <w:szCs w:val="32"/>
        </w:rPr>
        <w:t>（如果有）</w:t>
      </w:r>
      <w:bookmarkEnd w:id="184"/>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pStyle w:val="695"/>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spacing w:line="360" w:lineRule="auto"/>
        <w:ind w:right="420" w:firstLine="3614" w:firstLineChars="1000"/>
        <w:rPr>
          <w:rFonts w:ascii="宋体" w:hAnsi="宋体" w:cs="宋体"/>
          <w:b/>
          <w:color w:val="auto"/>
          <w:kern w:val="0"/>
          <w:sz w:val="36"/>
          <w:szCs w:val="36"/>
        </w:rPr>
      </w:pPr>
    </w:p>
    <w:p>
      <w:pPr>
        <w:pStyle w:val="4"/>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185" w:name="_Toc465665161"/>
      <w:r>
        <w:rPr>
          <w:rFonts w:hint="eastAsia" w:ascii="宋体" w:hAnsi="宋体" w:cs="宋体"/>
          <w:color w:val="auto"/>
        </w:rPr>
        <w:t>附件</w:t>
      </w:r>
      <w:bookmarkEnd w:id="185"/>
    </w:p>
    <w:p>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pPr>
        <w:spacing w:line="360" w:lineRule="auto"/>
        <w:jc w:val="center"/>
        <w:rPr>
          <w:rFonts w:ascii="宋体" w:hAnsi="宋体" w:cs="宋体"/>
          <w:b/>
          <w:color w:val="auto"/>
          <w:spacing w:val="6"/>
          <w:sz w:val="32"/>
          <w:szCs w:val="32"/>
        </w:rPr>
      </w:pPr>
      <w:bookmarkStart w:id="186" w:name="OLE_LINK13"/>
      <w:bookmarkStart w:id="187" w:name="OLE_LINK14"/>
      <w:r>
        <w:rPr>
          <w:rFonts w:hint="eastAsia" w:ascii="宋体" w:hAnsi="宋体" w:cs="宋体"/>
          <w:b/>
          <w:color w:val="auto"/>
          <w:spacing w:val="6"/>
          <w:sz w:val="32"/>
          <w:szCs w:val="32"/>
        </w:rPr>
        <w:t>残疾人福利性单位声明函</w:t>
      </w:r>
    </w:p>
    <w:bookmarkEnd w:id="186"/>
    <w:bookmarkEnd w:id="187"/>
    <w:p>
      <w:pPr>
        <w:spacing w:line="360" w:lineRule="auto"/>
        <w:rPr>
          <w:rFonts w:ascii="宋体" w:hAnsi="宋体" w:cs="宋体"/>
          <w:b/>
          <w:color w:val="auto"/>
          <w:spacing w:val="6"/>
          <w:sz w:val="30"/>
          <w:szCs w:val="30"/>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pPr>
        <w:spacing w:line="360" w:lineRule="auto"/>
        <w:ind w:firstLine="480" w:firstLineChars="200"/>
        <w:rPr>
          <w:rFonts w:ascii="宋体" w:hAnsi="宋体" w:cs="宋体"/>
          <w:color w:val="auto"/>
          <w:sz w:val="24"/>
        </w:rPr>
      </w:pPr>
    </w:p>
    <w:p>
      <w:pPr>
        <w:spacing w:line="360" w:lineRule="auto"/>
        <w:ind w:firstLine="480" w:firstLineChars="200"/>
        <w:rPr>
          <w:rFonts w:ascii="宋体" w:hAnsi="宋体" w:cs="宋体"/>
          <w:color w:val="auto"/>
          <w:sz w:val="24"/>
        </w:rPr>
      </w:pP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pPr>
        <w:spacing w:line="360" w:lineRule="auto"/>
        <w:ind w:firstLine="480" w:firstLineChars="200"/>
        <w:rPr>
          <w:rFonts w:ascii="宋体" w:hAnsi="宋体" w:cs="宋体"/>
          <w:color w:val="auto"/>
          <w:sz w:val="24"/>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ind w:firstLine="420" w:firstLineChars="200"/>
        <w:rPr>
          <w:rFonts w:ascii="宋体" w:hAnsi="宋体" w:cs="宋体"/>
          <w:color w:val="auto"/>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pPr>
        <w:snapToGrid w:val="0"/>
        <w:spacing w:line="360" w:lineRule="auto"/>
        <w:rPr>
          <w:rFonts w:ascii="宋体" w:hAnsi="宋体" w:cs="宋体"/>
          <w:color w:val="auto"/>
          <w:sz w:val="24"/>
        </w:rPr>
      </w:pPr>
      <w:r>
        <w:rPr>
          <w:rFonts w:hint="eastAsia" w:ascii="宋体" w:hAnsi="宋体" w:cs="宋体"/>
          <w:color w:val="auto"/>
          <w:sz w:val="24"/>
        </w:rPr>
        <w:t>……</w:t>
      </w:r>
    </w:p>
    <w:p>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jc w:val="center"/>
        <w:rPr>
          <w:rFonts w:ascii="宋体" w:hAnsi="宋体" w:cs="宋体"/>
          <w:b/>
          <w:bCs/>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质疑函制作说明：</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color w:val="auto"/>
          <w:sz w:val="30"/>
          <w:szCs w:val="30"/>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center"/>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p>
    <w:p>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pPr>
        <w:spacing w:line="360" w:lineRule="auto"/>
        <w:jc w:val="center"/>
        <w:rPr>
          <w:rFonts w:ascii="宋体" w:hAnsi="宋体" w:cs="宋体"/>
          <w:b/>
          <w:color w:val="auto"/>
          <w:sz w:val="24"/>
        </w:rPr>
      </w:pPr>
    </w:p>
    <w:p>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pPr>
        <w:spacing w:line="360" w:lineRule="auto"/>
        <w:rPr>
          <w:rFonts w:ascii="宋体" w:hAnsi="宋体" w:cs="宋体"/>
          <w:color w:val="auto"/>
          <w:sz w:val="24"/>
        </w:rPr>
      </w:pPr>
      <w:r>
        <w:rPr>
          <w:rFonts w:hint="eastAsia" w:ascii="宋体" w:hAnsi="宋体" w:cs="宋体"/>
          <w:color w:val="auto"/>
          <w:sz w:val="24"/>
        </w:rPr>
        <w:t>一、投诉相关主体基本情况</w:t>
      </w:r>
    </w:p>
    <w:p>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被投诉人2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二、投诉项目基本情况</w:t>
      </w:r>
    </w:p>
    <w:p>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三、质疑基本情况</w:t>
      </w:r>
    </w:p>
    <w:p>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pPr>
        <w:spacing w:line="360" w:lineRule="auto"/>
        <w:rPr>
          <w:rFonts w:ascii="宋体" w:hAnsi="宋体" w:cs="宋体"/>
          <w:color w:val="auto"/>
          <w:sz w:val="24"/>
        </w:rPr>
      </w:pPr>
      <w:r>
        <w:rPr>
          <w:rFonts w:hint="eastAsia" w:ascii="宋体" w:hAnsi="宋体" w:cs="宋体"/>
          <w:color w:val="auto"/>
          <w:sz w:val="24"/>
        </w:rPr>
        <w:t>四、投诉事项具体内容</w:t>
      </w:r>
    </w:p>
    <w:p>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pPr>
        <w:spacing w:line="360" w:lineRule="auto"/>
        <w:rPr>
          <w:rFonts w:ascii="宋体" w:hAnsi="宋体" w:cs="宋体"/>
          <w:color w:val="auto"/>
          <w:sz w:val="24"/>
        </w:rPr>
      </w:pPr>
      <w:r>
        <w:rPr>
          <w:rFonts w:hint="eastAsia" w:ascii="宋体" w:hAnsi="宋体" w:cs="宋体"/>
          <w:color w:val="auto"/>
          <w:sz w:val="24"/>
        </w:rPr>
        <w:t>投诉事项2</w:t>
      </w:r>
    </w:p>
    <w:p>
      <w:pPr>
        <w:spacing w:line="360" w:lineRule="auto"/>
        <w:rPr>
          <w:rFonts w:ascii="宋体" w:hAnsi="宋体" w:cs="宋体"/>
          <w:color w:val="auto"/>
          <w:sz w:val="24"/>
          <w:u w:val="dotted"/>
        </w:rPr>
      </w:pP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五、与投诉事项相关的投诉请求</w:t>
      </w:r>
    </w:p>
    <w:p>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签字(签章)：                   公章：                      </w:t>
      </w:r>
    </w:p>
    <w:p>
      <w:pPr>
        <w:spacing w:line="360" w:lineRule="auto"/>
        <w:rPr>
          <w:rFonts w:ascii="宋体" w:hAnsi="宋体" w:cs="宋体"/>
          <w:color w:val="auto"/>
          <w:sz w:val="24"/>
        </w:rPr>
      </w:pPr>
      <w:r>
        <w:rPr>
          <w:rFonts w:hint="eastAsia" w:ascii="宋体" w:hAnsi="宋体" w:cs="宋体"/>
          <w:color w:val="auto"/>
          <w:sz w:val="24"/>
        </w:rPr>
        <w:t xml:space="preserve">日期：    </w:t>
      </w: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r>
        <w:rPr>
          <w:rFonts w:hint="eastAsia" w:ascii="宋体" w:hAnsi="宋体" w:cs="宋体"/>
          <w:b/>
          <w:color w:val="auto"/>
          <w:sz w:val="24"/>
        </w:rPr>
        <w:t>投诉书制作说明：</w:t>
      </w:r>
    </w:p>
    <w:p>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color w:val="auto"/>
          <w:sz w:val="24"/>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rPr>
        <w:t>（采购人）、（采购代理机构）：</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firstLine="494"/>
        <w:rPr>
          <w:rFonts w:ascii="宋体" w:hAnsi="宋体" w:cs="宋体"/>
          <w:color w:val="auto"/>
          <w:sz w:val="24"/>
        </w:rPr>
      </w:pPr>
    </w:p>
    <w:p>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pPr>
        <w:rPr>
          <w:rFonts w:ascii="宋体" w:hAnsi="宋体" w:cs="宋体"/>
          <w:color w:val="auto"/>
          <w:sz w:val="24"/>
        </w:rPr>
      </w:pPr>
      <w:r>
        <w:rPr>
          <w:rFonts w:hint="eastAsia" w:ascii="宋体" w:hAnsi="宋体" w:cs="宋体"/>
          <w:b/>
          <w:bCs/>
          <w:color w:val="auto"/>
          <w:sz w:val="24"/>
        </w:rPr>
        <w:t>附：</w:t>
      </w:r>
    </w:p>
    <w:p>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pPr>
        <w:snapToGrid w:val="0"/>
        <w:spacing w:line="360" w:lineRule="auto"/>
        <w:ind w:firstLine="576"/>
        <w:rPr>
          <w:rFonts w:ascii="宋体" w:hAnsi="宋体" w:cs="宋体"/>
          <w:color w:val="auto"/>
          <w:kern w:val="0"/>
          <w:sz w:val="24"/>
          <w:lang w:val="zh-CN"/>
        </w:rPr>
      </w:pPr>
      <w:bookmarkStart w:id="188"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188"/>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189"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189"/>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autoSpaceDE w:val="0"/>
        <w:autoSpaceDN w:val="0"/>
        <w:jc w:val="center"/>
        <w:rPr>
          <w:rFonts w:ascii="宋体" w:hAnsi="宋体" w:cs="宋体"/>
          <w:b/>
          <w:color w:val="auto"/>
          <w:spacing w:val="6"/>
          <w:sz w:val="32"/>
          <w:szCs w:val="32"/>
        </w:rPr>
      </w:pPr>
    </w:p>
    <w:p>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pPr>
        <w:snapToGrid w:val="0"/>
        <w:spacing w:line="360" w:lineRule="auto"/>
        <w:outlineLvl w:val="0"/>
        <w:rPr>
          <w:rFonts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pPr>
        <w:spacing w:line="360" w:lineRule="auto"/>
        <w:jc w:val="center"/>
        <w:rPr>
          <w:rFonts w:ascii="宋体" w:hAnsi="宋体" w:cs="宋体"/>
          <w:color w:val="auto"/>
          <w:sz w:val="24"/>
          <w:u w:val="single"/>
        </w:rPr>
      </w:pPr>
    </w:p>
    <w:p>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u w:val="single"/>
        </w:rPr>
        <w:t xml:space="preserve">                 </w:t>
      </w:r>
      <w:r>
        <w:rPr>
          <w:rFonts w:hint="eastAsia" w:ascii="宋体" w:hAnsi="宋体" w:cs="宋体"/>
          <w:color w:val="auto"/>
          <w:sz w:val="24"/>
        </w:rPr>
        <w:t xml:space="preserve"> ，属于 </w:t>
      </w:r>
      <w:r>
        <w:rPr>
          <w:rFonts w:hint="eastAsia" w:ascii="宋体" w:hAnsi="宋体" w:cs="宋体"/>
          <w:color w:val="auto"/>
          <w:sz w:val="24"/>
          <w:u w:val="single"/>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u w:val="single"/>
        </w:rPr>
        <w:t xml:space="preserve">                 </w:t>
      </w:r>
      <w:r>
        <w:rPr>
          <w:rFonts w:hint="eastAsia" w:ascii="宋体" w:hAnsi="宋体" w:cs="宋体"/>
          <w:color w:val="auto"/>
          <w:sz w:val="24"/>
        </w:rPr>
        <w:t xml:space="preserve"> ，属于 </w:t>
      </w:r>
      <w:r>
        <w:rPr>
          <w:rFonts w:hint="eastAsia" w:ascii="宋体" w:hAnsi="宋体" w:cs="宋体"/>
          <w:color w:val="auto"/>
          <w:sz w:val="24"/>
          <w:u w:val="single"/>
        </w:rPr>
        <w:t xml:space="preserve">       </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rPr>
      </w:pPr>
      <w:r>
        <w:rPr>
          <w:rFonts w:hint="eastAsia" w:ascii="宋体" w:hAnsi="宋体" w:cs="宋体"/>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pStyle w:val="61"/>
        <w:ind w:firstLine="0"/>
        <w:rPr>
          <w:rFonts w:hAnsi="宋体" w:cs="宋体"/>
          <w:color w:val="auto"/>
        </w:rPr>
      </w:pPr>
      <w:r>
        <w:rPr>
          <w:rFonts w:hint="eastAsia" w:hAnsi="宋体" w:cs="宋体"/>
          <w:color w:val="auto"/>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61"/>
        <w:ind w:firstLine="0"/>
        <w:rPr>
          <w:rFonts w:hAnsi="宋体" w:cs="宋体"/>
          <w:color w:val="auto"/>
        </w:rPr>
      </w:pPr>
    </w:p>
    <w:p>
      <w:pPr>
        <w:pStyle w:val="61"/>
        <w:ind w:firstLine="0"/>
        <w:rPr>
          <w:rFonts w:hAnsi="宋体" w:cs="宋体"/>
          <w:color w:val="auto"/>
        </w:rPr>
      </w:pPr>
    </w:p>
    <w:p>
      <w:pPr>
        <w:pStyle w:val="61"/>
        <w:ind w:firstLine="0"/>
        <w:rPr>
          <w:rFonts w:hAnsi="宋体" w:cs="宋体"/>
          <w:color w:val="auto"/>
        </w:rPr>
      </w:pPr>
    </w:p>
    <w:p>
      <w:pPr>
        <w:pStyle w:val="61"/>
        <w:ind w:firstLine="0"/>
        <w:rPr>
          <w:rFonts w:hAnsi="宋体" w:cs="宋体"/>
          <w:color w:val="auto"/>
        </w:rPr>
      </w:pPr>
    </w:p>
    <w:p>
      <w:pPr>
        <w:pStyle w:val="61"/>
        <w:ind w:firstLine="0"/>
        <w:rPr>
          <w:rFonts w:hAnsi="宋体" w:cs="宋体"/>
          <w:color w:val="auto"/>
        </w:rPr>
      </w:pPr>
    </w:p>
    <w:p>
      <w:pPr>
        <w:pStyle w:val="61"/>
        <w:ind w:firstLine="0"/>
        <w:rPr>
          <w:rFonts w:hAnsi="宋体" w:cs="宋体"/>
          <w:color w:val="auto"/>
        </w:rPr>
      </w:pPr>
    </w:p>
    <w:p>
      <w:pPr>
        <w:pStyle w:val="61"/>
        <w:ind w:firstLine="0"/>
        <w:rPr>
          <w:rFonts w:hAnsi="宋体" w:cs="宋体"/>
          <w:color w:val="auto"/>
        </w:rPr>
      </w:pPr>
    </w:p>
    <w:p>
      <w:pPr>
        <w:pStyle w:val="61"/>
        <w:ind w:firstLine="0"/>
        <w:rPr>
          <w:rFonts w:hAnsi="宋体" w:cs="宋体"/>
          <w:color w:val="auto"/>
        </w:rPr>
      </w:pPr>
    </w:p>
    <w:p>
      <w:pPr>
        <w:pStyle w:val="61"/>
        <w:ind w:firstLine="0"/>
        <w:rPr>
          <w:rFonts w:hAnsi="宋体" w:cs="宋体"/>
          <w:color w:val="auto"/>
        </w:rPr>
      </w:pPr>
    </w:p>
    <w:p>
      <w:pPr>
        <w:pStyle w:val="61"/>
        <w:ind w:firstLine="0"/>
        <w:rPr>
          <w:rFonts w:hAnsi="宋体" w:cs="宋体"/>
          <w:color w:val="auto"/>
        </w:rPr>
      </w:pPr>
    </w:p>
    <w:p>
      <w:pPr>
        <w:pStyle w:val="61"/>
        <w:ind w:firstLine="0"/>
        <w:rPr>
          <w:rFonts w:hAnsi="宋体" w:cs="宋体"/>
          <w:color w:val="auto"/>
        </w:rPr>
      </w:pPr>
    </w:p>
    <w:p>
      <w:pPr>
        <w:pStyle w:val="61"/>
        <w:ind w:firstLine="0"/>
        <w:rPr>
          <w:rFonts w:hAnsi="宋体" w:cs="宋体"/>
          <w:color w:val="auto"/>
        </w:rPr>
      </w:pPr>
    </w:p>
    <w:p>
      <w:pPr>
        <w:pStyle w:val="61"/>
        <w:ind w:firstLine="0"/>
        <w:rPr>
          <w:rFonts w:hAnsi="宋体" w:cs="宋体"/>
          <w:color w:val="auto"/>
        </w:rPr>
      </w:pPr>
    </w:p>
    <w:p>
      <w:pPr>
        <w:pStyle w:val="61"/>
        <w:ind w:firstLine="0"/>
        <w:rPr>
          <w:rFonts w:hAnsi="宋体" w:cs="宋体"/>
          <w:color w:val="auto"/>
        </w:rPr>
      </w:pPr>
    </w:p>
    <w:p>
      <w:pPr>
        <w:pStyle w:val="61"/>
        <w:ind w:firstLine="0"/>
        <w:rPr>
          <w:rFonts w:hAnsi="宋体" w:cs="宋体"/>
          <w:color w:val="auto"/>
        </w:rPr>
      </w:pPr>
    </w:p>
    <w:p>
      <w:pPr>
        <w:pStyle w:val="61"/>
        <w:ind w:firstLine="0"/>
        <w:rPr>
          <w:rFonts w:hAnsi="宋体" w:cs="宋体"/>
          <w:color w:val="auto"/>
        </w:rPr>
      </w:pPr>
    </w:p>
    <w:p>
      <w:pPr>
        <w:pStyle w:val="61"/>
        <w:ind w:firstLine="0"/>
        <w:rPr>
          <w:rFonts w:hAnsi="宋体" w:cs="宋体"/>
          <w:color w:val="auto"/>
        </w:rPr>
      </w:pPr>
    </w:p>
    <w:p>
      <w:pPr>
        <w:pStyle w:val="61"/>
        <w:ind w:firstLine="0"/>
        <w:rPr>
          <w:rFonts w:hAnsi="宋体" w:cs="宋体"/>
          <w:color w:val="auto"/>
        </w:rPr>
      </w:pPr>
    </w:p>
    <w:p>
      <w:pPr>
        <w:pStyle w:val="61"/>
        <w:ind w:firstLine="0"/>
        <w:rPr>
          <w:rFonts w:hAnsi="宋体" w:cs="宋体"/>
          <w:color w:val="auto"/>
        </w:rPr>
      </w:pPr>
    </w:p>
    <w:p>
      <w:pPr>
        <w:pStyle w:val="61"/>
        <w:ind w:firstLine="0"/>
        <w:rPr>
          <w:rFonts w:hAnsi="宋体" w:cs="宋体"/>
          <w:color w:val="auto"/>
        </w:rPr>
      </w:pPr>
    </w:p>
    <w:p>
      <w:pPr>
        <w:pStyle w:val="61"/>
        <w:ind w:firstLine="0"/>
        <w:rPr>
          <w:rFonts w:hAnsi="宋体" w:cs="宋体"/>
          <w:color w:val="auto"/>
        </w:rPr>
      </w:pPr>
    </w:p>
    <w:p>
      <w:pPr>
        <w:pStyle w:val="61"/>
        <w:ind w:firstLine="0"/>
        <w:rPr>
          <w:rFonts w:hAnsi="宋体" w:cs="宋体"/>
          <w:color w:val="auto"/>
        </w:rPr>
      </w:pPr>
    </w:p>
    <w:p>
      <w:pPr>
        <w:pStyle w:val="61"/>
        <w:ind w:firstLine="0"/>
        <w:rPr>
          <w:rFonts w:hAnsi="宋体" w:cs="宋体"/>
          <w:color w:val="auto"/>
        </w:rPr>
      </w:pPr>
    </w:p>
    <w:p>
      <w:pPr>
        <w:pStyle w:val="61"/>
        <w:ind w:firstLine="0"/>
        <w:rPr>
          <w:rFonts w:hAnsi="宋体" w:cs="宋体"/>
          <w:color w:val="auto"/>
        </w:rPr>
      </w:pPr>
    </w:p>
    <w:p>
      <w:pPr>
        <w:pStyle w:val="61"/>
        <w:ind w:firstLine="0"/>
        <w:rPr>
          <w:rFonts w:hAnsi="宋体" w:cs="宋体"/>
          <w:color w:val="auto"/>
        </w:rPr>
      </w:pPr>
    </w:p>
    <w:p>
      <w:pPr>
        <w:pStyle w:val="61"/>
        <w:ind w:firstLine="0"/>
        <w:rPr>
          <w:rFonts w:hAnsi="宋体" w:cs="宋体"/>
          <w:color w:val="auto"/>
        </w:rPr>
      </w:pPr>
    </w:p>
    <w:p>
      <w:pPr>
        <w:pStyle w:val="61"/>
        <w:ind w:firstLine="0"/>
        <w:rPr>
          <w:rFonts w:hAnsi="宋体" w:cs="宋体"/>
          <w:color w:val="auto"/>
        </w:rPr>
      </w:pPr>
    </w:p>
    <w:p>
      <w:pPr>
        <w:pStyle w:val="61"/>
        <w:ind w:firstLine="0"/>
        <w:rPr>
          <w:rFonts w:hAnsi="宋体" w:cs="宋体"/>
          <w:color w:val="auto"/>
        </w:rPr>
      </w:pPr>
    </w:p>
    <w:p>
      <w:pPr>
        <w:snapToGrid w:val="0"/>
        <w:outlineLvl w:val="0"/>
        <w:rPr>
          <w:rFonts w:ascii="宋体" w:hAnsi="宋体" w:cs="宋体"/>
          <w:b/>
          <w:color w:val="auto"/>
          <w:kern w:val="0"/>
          <w:sz w:val="44"/>
          <w:szCs w:val="44"/>
        </w:rPr>
      </w:pPr>
      <w:r>
        <w:rPr>
          <w:rFonts w:hint="eastAsia" w:ascii="宋体" w:hAnsi="宋体" w:cs="宋体"/>
          <w:b/>
          <w:color w:val="auto"/>
          <w:kern w:val="0"/>
          <w:sz w:val="44"/>
          <w:szCs w:val="44"/>
        </w:rPr>
        <w:t>附件8：</w:t>
      </w:r>
    </w:p>
    <w:p>
      <w:pPr>
        <w:pStyle w:val="61"/>
        <w:ind w:firstLine="0"/>
        <w:jc w:val="center"/>
        <w:rPr>
          <w:rFonts w:hAnsi="宋体" w:cs="宋体"/>
          <w:b/>
          <w:color w:val="auto"/>
          <w:sz w:val="36"/>
          <w:lang w:val="en-US"/>
        </w:rPr>
      </w:pPr>
      <w:r>
        <w:rPr>
          <w:rFonts w:hint="eastAsia" w:hAnsi="宋体" w:cs="宋体"/>
          <w:b/>
          <w:color w:val="auto"/>
          <w:sz w:val="36"/>
          <w:lang w:val="en-US"/>
        </w:rPr>
        <w:t>中小企业划型标准规定</w:t>
      </w:r>
    </w:p>
    <w:p>
      <w:pPr>
        <w:pStyle w:val="967"/>
        <w:spacing w:line="360" w:lineRule="auto"/>
        <w:rPr>
          <w:rFonts w:ascii="宋体" w:hAnsi="宋体" w:eastAsia="宋体" w:cs="宋体"/>
          <w:color w:val="auto"/>
          <w:spacing w:val="6"/>
          <w:sz w:val="24"/>
          <w:szCs w:val="24"/>
        </w:rPr>
      </w:pPr>
      <w:r>
        <w:rPr>
          <w:rFonts w:hint="eastAsia" w:ascii="宋体" w:hAnsi="宋体" w:eastAsia="宋体" w:cs="宋体"/>
          <w:color w:val="auto"/>
          <w:spacing w:val="6"/>
          <w:sz w:val="24"/>
          <w:szCs w:val="24"/>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967"/>
        <w:adjustRightInd w:val="0"/>
        <w:spacing w:line="360" w:lineRule="auto"/>
        <w:ind w:firstLine="504" w:firstLineChars="200"/>
        <w:jc w:val="both"/>
        <w:rPr>
          <w:rFonts w:ascii="宋体" w:hAnsi="宋体" w:eastAsia="宋体" w:cs="宋体"/>
          <w:color w:val="auto"/>
          <w:spacing w:val="6"/>
          <w:sz w:val="24"/>
          <w:szCs w:val="24"/>
        </w:rPr>
      </w:pPr>
      <w:r>
        <w:rPr>
          <w:rFonts w:hint="eastAsia" w:ascii="宋体" w:hAnsi="宋体" w:eastAsia="宋体" w:cs="宋体"/>
          <w:color w:val="auto"/>
          <w:spacing w:val="6"/>
          <w:sz w:val="24"/>
          <w:szCs w:val="24"/>
        </w:rPr>
        <w:t>一、根据《中华人民共和国中小企业促进法》和《</w:t>
      </w:r>
      <w:r>
        <w:rPr>
          <w:color w:val="auto"/>
        </w:rPr>
        <w:fldChar w:fldCharType="begin"/>
      </w:r>
      <w:r>
        <w:rPr>
          <w:color w:val="auto"/>
        </w:rPr>
        <w:instrText xml:space="preserve"> HYPERLINK "https://www.shui5.cn/article/47/26142.html" </w:instrText>
      </w:r>
      <w:r>
        <w:rPr>
          <w:color w:val="auto"/>
        </w:rPr>
        <w:fldChar w:fldCharType="separate"/>
      </w:r>
      <w:r>
        <w:rPr>
          <w:rFonts w:hint="eastAsia" w:ascii="宋体" w:hAnsi="宋体" w:eastAsia="宋体" w:cs="宋体"/>
          <w:color w:val="auto"/>
          <w:spacing w:val="6"/>
          <w:sz w:val="24"/>
          <w:szCs w:val="24"/>
        </w:rPr>
        <w:t>国务院关于进一步促进中小企业发展的若干意见</w:t>
      </w:r>
      <w:r>
        <w:rPr>
          <w:rFonts w:hint="eastAsia" w:ascii="宋体" w:hAnsi="宋体" w:eastAsia="宋体" w:cs="宋体"/>
          <w:color w:val="auto"/>
          <w:spacing w:val="6"/>
          <w:sz w:val="24"/>
          <w:szCs w:val="24"/>
        </w:rPr>
        <w:fldChar w:fldCharType="end"/>
      </w:r>
      <w:r>
        <w:rPr>
          <w:rFonts w:hint="eastAsia" w:ascii="宋体" w:hAnsi="宋体" w:eastAsia="宋体" w:cs="宋体"/>
          <w:color w:val="auto"/>
          <w:spacing w:val="6"/>
          <w:sz w:val="24"/>
          <w:szCs w:val="24"/>
        </w:rPr>
        <w:t>》（</w:t>
      </w:r>
      <w:r>
        <w:rPr>
          <w:color w:val="auto"/>
        </w:rPr>
        <w:fldChar w:fldCharType="begin"/>
      </w:r>
      <w:r>
        <w:rPr>
          <w:color w:val="auto"/>
        </w:rPr>
        <w:instrText xml:space="preserve"> HYPERLINK "https://www.shui5.cn/article/47/26142.html" </w:instrText>
      </w:r>
      <w:r>
        <w:rPr>
          <w:color w:val="auto"/>
        </w:rPr>
        <w:fldChar w:fldCharType="separate"/>
      </w:r>
      <w:r>
        <w:rPr>
          <w:rFonts w:hint="eastAsia" w:ascii="宋体" w:hAnsi="宋体" w:eastAsia="宋体" w:cs="宋体"/>
          <w:color w:val="auto"/>
          <w:spacing w:val="6"/>
          <w:sz w:val="24"/>
          <w:szCs w:val="24"/>
        </w:rPr>
        <w:t>国发〔2009〕36号</w:t>
      </w:r>
      <w:r>
        <w:rPr>
          <w:rFonts w:hint="eastAsia" w:ascii="宋体" w:hAnsi="宋体" w:eastAsia="宋体" w:cs="宋体"/>
          <w:color w:val="auto"/>
          <w:spacing w:val="6"/>
          <w:sz w:val="24"/>
          <w:szCs w:val="24"/>
        </w:rPr>
        <w:fldChar w:fldCharType="end"/>
      </w:r>
      <w:r>
        <w:rPr>
          <w:rFonts w:hint="eastAsia" w:ascii="宋体" w:hAnsi="宋体" w:eastAsia="宋体" w:cs="宋体"/>
          <w:color w:val="auto"/>
          <w:spacing w:val="6"/>
          <w:sz w:val="24"/>
          <w:szCs w:val="24"/>
        </w:rPr>
        <w:t>)，制定本规定。</w:t>
      </w:r>
    </w:p>
    <w:p>
      <w:pPr>
        <w:pStyle w:val="967"/>
        <w:adjustRightInd w:val="0"/>
        <w:spacing w:line="360" w:lineRule="auto"/>
        <w:ind w:firstLine="504" w:firstLineChars="200"/>
        <w:jc w:val="both"/>
        <w:rPr>
          <w:rFonts w:ascii="宋体" w:hAnsi="宋体" w:eastAsia="宋体" w:cs="宋体"/>
          <w:color w:val="auto"/>
          <w:spacing w:val="6"/>
          <w:sz w:val="24"/>
          <w:szCs w:val="24"/>
        </w:rPr>
      </w:pPr>
      <w:r>
        <w:rPr>
          <w:rFonts w:hint="eastAsia" w:ascii="宋体" w:hAnsi="宋体" w:eastAsia="宋体" w:cs="宋体"/>
          <w:color w:val="auto"/>
          <w:spacing w:val="6"/>
          <w:sz w:val="24"/>
          <w:szCs w:val="24"/>
        </w:rPr>
        <w:t>二、中小企业划分为中型、小型、微型三种类型，具体标准根据企业从业人员、营业收入、资产总额等指标，结合行业特点制定。</w:t>
      </w:r>
    </w:p>
    <w:p>
      <w:pPr>
        <w:pStyle w:val="967"/>
        <w:adjustRightInd w:val="0"/>
        <w:spacing w:line="360" w:lineRule="auto"/>
        <w:ind w:firstLine="504" w:firstLineChars="200"/>
        <w:jc w:val="both"/>
        <w:rPr>
          <w:rFonts w:ascii="宋体" w:hAnsi="宋体" w:eastAsia="宋体" w:cs="宋体"/>
          <w:color w:val="auto"/>
          <w:spacing w:val="6"/>
          <w:sz w:val="24"/>
          <w:szCs w:val="24"/>
        </w:rPr>
      </w:pPr>
      <w:r>
        <w:rPr>
          <w:rFonts w:hint="eastAsia" w:ascii="宋体" w:hAnsi="宋体" w:eastAsia="宋体" w:cs="宋体"/>
          <w:color w:val="auto"/>
          <w:spacing w:val="6"/>
          <w:sz w:val="24"/>
          <w:szCs w:val="24"/>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967"/>
        <w:adjustRightInd w:val="0"/>
        <w:spacing w:line="360" w:lineRule="auto"/>
        <w:ind w:firstLine="504" w:firstLineChars="200"/>
        <w:jc w:val="both"/>
        <w:rPr>
          <w:rFonts w:ascii="宋体" w:hAnsi="宋体" w:eastAsia="宋体" w:cs="宋体"/>
          <w:color w:val="auto"/>
          <w:spacing w:val="6"/>
          <w:sz w:val="24"/>
          <w:szCs w:val="24"/>
        </w:rPr>
      </w:pPr>
      <w:r>
        <w:rPr>
          <w:rFonts w:hint="eastAsia" w:ascii="宋体" w:hAnsi="宋体" w:eastAsia="宋体" w:cs="宋体"/>
          <w:color w:val="auto"/>
          <w:spacing w:val="6"/>
          <w:sz w:val="24"/>
          <w:szCs w:val="24"/>
        </w:rPr>
        <w:t>四、各行业划型标准为：</w:t>
      </w:r>
      <w:r>
        <w:rPr>
          <w:rFonts w:hint="eastAsia" w:ascii="宋体" w:hAnsi="宋体" w:eastAsia="宋体" w:cs="宋体"/>
          <w:color w:val="auto"/>
          <w:spacing w:val="6"/>
          <w:sz w:val="24"/>
          <w:szCs w:val="24"/>
        </w:rPr>
        <w:br w:type="textWrapping"/>
      </w:r>
      <w:r>
        <w:rPr>
          <w:rFonts w:hint="eastAsia" w:ascii="宋体" w:hAnsi="宋体" w:eastAsia="宋体" w:cs="宋体"/>
          <w:color w:val="auto"/>
          <w:spacing w:val="6"/>
          <w:sz w:val="24"/>
          <w:szCs w:val="24"/>
        </w:rPr>
        <w:t>　　（一）农、林、牧、渔业。营业收入20000万元以下的为中小微型企业。其中，营业收入500万元及以上的为中型企业，营业收入50万元及以上的为小型企业，营业收入50万元以下的为微型企业。</w:t>
      </w:r>
    </w:p>
    <w:p>
      <w:pPr>
        <w:pStyle w:val="967"/>
        <w:adjustRightInd w:val="0"/>
        <w:spacing w:line="360" w:lineRule="auto"/>
        <w:ind w:firstLine="504" w:firstLineChars="200"/>
        <w:jc w:val="both"/>
        <w:rPr>
          <w:rFonts w:ascii="宋体" w:hAnsi="宋体" w:eastAsia="宋体" w:cs="宋体"/>
          <w:color w:val="auto"/>
          <w:spacing w:val="6"/>
          <w:sz w:val="24"/>
          <w:szCs w:val="24"/>
        </w:rPr>
      </w:pPr>
      <w:r>
        <w:rPr>
          <w:rFonts w:hint="eastAsia" w:ascii="宋体" w:hAnsi="宋体" w:eastAsia="宋体" w:cs="宋体"/>
          <w:color w:val="auto"/>
          <w:spacing w:val="6"/>
          <w:sz w:val="24"/>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967"/>
        <w:adjustRightInd w:val="0"/>
        <w:spacing w:line="360" w:lineRule="auto"/>
        <w:ind w:firstLine="504" w:firstLineChars="200"/>
        <w:jc w:val="both"/>
        <w:rPr>
          <w:rFonts w:ascii="宋体" w:hAnsi="宋体" w:eastAsia="宋体" w:cs="宋体"/>
          <w:color w:val="auto"/>
          <w:spacing w:val="6"/>
          <w:sz w:val="24"/>
          <w:szCs w:val="24"/>
        </w:rPr>
      </w:pPr>
      <w:r>
        <w:rPr>
          <w:rFonts w:hint="eastAsia" w:ascii="宋体" w:hAnsi="宋体" w:eastAsia="宋体" w:cs="宋体"/>
          <w:color w:val="auto"/>
          <w:spacing w:val="6"/>
          <w:sz w:val="24"/>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967"/>
        <w:adjustRightInd w:val="0"/>
        <w:spacing w:line="360" w:lineRule="auto"/>
        <w:ind w:firstLine="504" w:firstLineChars="200"/>
        <w:jc w:val="both"/>
        <w:rPr>
          <w:rFonts w:ascii="宋体" w:hAnsi="宋体" w:eastAsia="宋体" w:cs="宋体"/>
          <w:color w:val="auto"/>
          <w:spacing w:val="6"/>
          <w:sz w:val="24"/>
          <w:szCs w:val="24"/>
        </w:rPr>
      </w:pPr>
      <w:r>
        <w:rPr>
          <w:rFonts w:hint="eastAsia" w:ascii="宋体" w:hAnsi="宋体" w:eastAsia="宋体" w:cs="宋体"/>
          <w:color w:val="auto"/>
          <w:spacing w:val="6"/>
          <w:sz w:val="24"/>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967"/>
        <w:adjustRightInd w:val="0"/>
        <w:spacing w:line="360" w:lineRule="auto"/>
        <w:ind w:firstLine="504" w:firstLineChars="200"/>
        <w:jc w:val="both"/>
        <w:rPr>
          <w:rFonts w:ascii="宋体" w:hAnsi="宋体" w:eastAsia="宋体" w:cs="宋体"/>
          <w:color w:val="auto"/>
          <w:spacing w:val="6"/>
          <w:sz w:val="24"/>
          <w:szCs w:val="24"/>
        </w:rPr>
      </w:pPr>
      <w:r>
        <w:rPr>
          <w:rFonts w:hint="eastAsia" w:ascii="宋体" w:hAnsi="宋体" w:eastAsia="宋体" w:cs="宋体"/>
          <w:color w:val="auto"/>
          <w:spacing w:val="6"/>
          <w:sz w:val="24"/>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967"/>
        <w:adjustRightInd w:val="0"/>
        <w:spacing w:line="360" w:lineRule="auto"/>
        <w:ind w:firstLine="504" w:firstLineChars="200"/>
        <w:jc w:val="both"/>
        <w:rPr>
          <w:rFonts w:ascii="宋体" w:hAnsi="宋体" w:eastAsia="宋体" w:cs="宋体"/>
          <w:color w:val="auto"/>
          <w:spacing w:val="6"/>
          <w:sz w:val="24"/>
          <w:szCs w:val="24"/>
        </w:rPr>
      </w:pPr>
      <w:r>
        <w:rPr>
          <w:rFonts w:hint="eastAsia" w:ascii="宋体" w:hAnsi="宋体" w:eastAsia="宋体" w:cs="宋体"/>
          <w:color w:val="auto"/>
          <w:spacing w:val="6"/>
          <w:sz w:val="24"/>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967"/>
        <w:adjustRightInd w:val="0"/>
        <w:spacing w:line="360" w:lineRule="auto"/>
        <w:ind w:firstLine="504" w:firstLineChars="200"/>
        <w:jc w:val="both"/>
        <w:rPr>
          <w:rFonts w:ascii="宋体" w:hAnsi="宋体" w:eastAsia="宋体" w:cs="宋体"/>
          <w:color w:val="auto"/>
          <w:spacing w:val="6"/>
          <w:sz w:val="24"/>
          <w:szCs w:val="24"/>
        </w:rPr>
      </w:pPr>
      <w:r>
        <w:rPr>
          <w:rFonts w:hint="eastAsia" w:ascii="宋体" w:hAnsi="宋体" w:eastAsia="宋体" w:cs="宋体"/>
          <w:color w:val="auto"/>
          <w:spacing w:val="6"/>
          <w:sz w:val="24"/>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967"/>
        <w:adjustRightInd w:val="0"/>
        <w:spacing w:line="360" w:lineRule="auto"/>
        <w:ind w:firstLine="504" w:firstLineChars="200"/>
        <w:jc w:val="both"/>
        <w:rPr>
          <w:rFonts w:ascii="宋体" w:hAnsi="宋体" w:eastAsia="宋体" w:cs="宋体"/>
          <w:color w:val="auto"/>
          <w:spacing w:val="6"/>
          <w:sz w:val="24"/>
          <w:szCs w:val="24"/>
        </w:rPr>
      </w:pPr>
      <w:r>
        <w:rPr>
          <w:rFonts w:hint="eastAsia" w:ascii="宋体" w:hAnsi="宋体" w:eastAsia="宋体" w:cs="宋体"/>
          <w:color w:val="auto"/>
          <w:spacing w:val="6"/>
          <w:sz w:val="24"/>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967"/>
        <w:adjustRightInd w:val="0"/>
        <w:spacing w:line="360" w:lineRule="auto"/>
        <w:ind w:firstLine="504" w:firstLineChars="200"/>
        <w:jc w:val="both"/>
        <w:rPr>
          <w:rFonts w:ascii="宋体" w:hAnsi="宋体" w:eastAsia="宋体" w:cs="宋体"/>
          <w:color w:val="auto"/>
          <w:spacing w:val="6"/>
          <w:sz w:val="24"/>
          <w:szCs w:val="24"/>
        </w:rPr>
      </w:pPr>
      <w:r>
        <w:rPr>
          <w:rFonts w:hint="eastAsia" w:ascii="宋体" w:hAnsi="宋体" w:eastAsia="宋体" w:cs="宋体"/>
          <w:color w:val="auto"/>
          <w:spacing w:val="6"/>
          <w:sz w:val="24"/>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7"/>
        <w:adjustRightInd w:val="0"/>
        <w:spacing w:line="360" w:lineRule="auto"/>
        <w:ind w:firstLine="504" w:firstLineChars="200"/>
        <w:jc w:val="both"/>
        <w:rPr>
          <w:rFonts w:ascii="宋体" w:hAnsi="宋体" w:eastAsia="宋体" w:cs="宋体"/>
          <w:color w:val="auto"/>
          <w:spacing w:val="6"/>
          <w:sz w:val="24"/>
          <w:szCs w:val="24"/>
        </w:rPr>
      </w:pPr>
      <w:r>
        <w:rPr>
          <w:rFonts w:hint="eastAsia" w:ascii="宋体" w:hAnsi="宋体" w:eastAsia="宋体" w:cs="宋体"/>
          <w:color w:val="auto"/>
          <w:spacing w:val="6"/>
          <w:sz w:val="24"/>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967"/>
        <w:adjustRightInd w:val="0"/>
        <w:spacing w:line="360" w:lineRule="auto"/>
        <w:ind w:firstLine="504" w:firstLineChars="200"/>
        <w:jc w:val="both"/>
        <w:rPr>
          <w:rFonts w:ascii="宋体" w:hAnsi="宋体" w:eastAsia="宋体" w:cs="宋体"/>
          <w:color w:val="auto"/>
          <w:spacing w:val="6"/>
          <w:sz w:val="24"/>
          <w:szCs w:val="24"/>
        </w:rPr>
      </w:pPr>
      <w:r>
        <w:rPr>
          <w:rFonts w:hint="eastAsia" w:ascii="宋体" w:hAnsi="宋体" w:eastAsia="宋体" w:cs="宋体"/>
          <w:color w:val="auto"/>
          <w:spacing w:val="6"/>
          <w:sz w:val="24"/>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61"/>
        <w:rPr>
          <w:rFonts w:hAnsi="宋体" w:cs="宋体"/>
          <w:b/>
          <w:color w:val="auto"/>
          <w:szCs w:val="24"/>
        </w:rPr>
      </w:pPr>
      <w:r>
        <w:rPr>
          <w:rFonts w:hint="eastAsia" w:hAnsi="宋体" w:cs="宋体"/>
          <w:color w:val="auto"/>
          <w:spacing w:val="6"/>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967"/>
        <w:adjustRightInd w:val="0"/>
        <w:spacing w:line="360" w:lineRule="auto"/>
        <w:ind w:firstLine="504" w:firstLineChars="200"/>
        <w:jc w:val="both"/>
        <w:rPr>
          <w:rFonts w:ascii="宋体" w:hAnsi="宋体" w:eastAsia="宋体" w:cs="宋体"/>
          <w:color w:val="auto"/>
          <w:spacing w:val="6"/>
          <w:sz w:val="24"/>
          <w:szCs w:val="24"/>
        </w:rPr>
      </w:pPr>
      <w:r>
        <w:rPr>
          <w:rFonts w:hint="eastAsia" w:ascii="宋体" w:hAnsi="宋体" w:eastAsia="宋体" w:cs="宋体"/>
          <w:color w:val="auto"/>
          <w:spacing w:val="6"/>
          <w:sz w:val="24"/>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967"/>
        <w:adjustRightInd w:val="0"/>
        <w:spacing w:line="360" w:lineRule="auto"/>
        <w:ind w:firstLine="504" w:firstLineChars="200"/>
        <w:jc w:val="both"/>
        <w:rPr>
          <w:rFonts w:ascii="宋体" w:hAnsi="宋体" w:eastAsia="宋体" w:cs="宋体"/>
          <w:color w:val="auto"/>
          <w:spacing w:val="6"/>
          <w:sz w:val="24"/>
          <w:szCs w:val="24"/>
        </w:rPr>
      </w:pPr>
      <w:r>
        <w:rPr>
          <w:rFonts w:hint="eastAsia" w:ascii="宋体" w:hAnsi="宋体" w:eastAsia="宋体" w:cs="宋体"/>
          <w:color w:val="auto"/>
          <w:spacing w:val="6"/>
          <w:sz w:val="24"/>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967"/>
        <w:adjustRightInd w:val="0"/>
        <w:spacing w:line="360" w:lineRule="auto"/>
        <w:ind w:firstLine="504" w:firstLineChars="200"/>
        <w:jc w:val="both"/>
        <w:rPr>
          <w:rFonts w:ascii="宋体" w:hAnsi="宋体" w:eastAsia="宋体" w:cs="宋体"/>
          <w:color w:val="auto"/>
          <w:spacing w:val="6"/>
          <w:sz w:val="24"/>
          <w:szCs w:val="24"/>
        </w:rPr>
      </w:pPr>
      <w:r>
        <w:rPr>
          <w:rFonts w:hint="eastAsia" w:ascii="宋体" w:hAnsi="宋体" w:eastAsia="宋体" w:cs="宋体"/>
          <w:color w:val="auto"/>
          <w:spacing w:val="6"/>
          <w:sz w:val="24"/>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967"/>
        <w:adjustRightInd w:val="0"/>
        <w:spacing w:line="360" w:lineRule="auto"/>
        <w:ind w:firstLine="504" w:firstLineChars="200"/>
        <w:jc w:val="both"/>
        <w:rPr>
          <w:rFonts w:ascii="宋体" w:hAnsi="宋体" w:eastAsia="宋体" w:cs="宋体"/>
          <w:color w:val="auto"/>
          <w:spacing w:val="6"/>
          <w:sz w:val="24"/>
          <w:szCs w:val="24"/>
        </w:rPr>
      </w:pPr>
      <w:r>
        <w:rPr>
          <w:rFonts w:hint="eastAsia" w:ascii="宋体" w:hAnsi="宋体" w:eastAsia="宋体" w:cs="宋体"/>
          <w:color w:val="auto"/>
          <w:spacing w:val="6"/>
          <w:sz w:val="24"/>
          <w:szCs w:val="24"/>
        </w:rPr>
        <w:t>（十六）其他未列明行业。从业人员300人以下的为中小微型企业。其中，从业人员100人及以上的为中型企业；从业人员10人及以上的为小型企业；从业人员10人以下的为微型企业。</w:t>
      </w:r>
    </w:p>
    <w:p>
      <w:pPr>
        <w:pStyle w:val="967"/>
        <w:adjustRightInd w:val="0"/>
        <w:spacing w:line="360" w:lineRule="auto"/>
        <w:ind w:firstLine="504" w:firstLineChars="200"/>
        <w:jc w:val="both"/>
        <w:rPr>
          <w:rFonts w:ascii="宋体" w:hAnsi="宋体" w:eastAsia="宋体" w:cs="宋体"/>
          <w:color w:val="auto"/>
          <w:spacing w:val="6"/>
          <w:sz w:val="24"/>
          <w:szCs w:val="24"/>
        </w:rPr>
      </w:pPr>
      <w:r>
        <w:rPr>
          <w:rFonts w:hint="eastAsia" w:ascii="宋体" w:hAnsi="宋体" w:eastAsia="宋体" w:cs="宋体"/>
          <w:color w:val="auto"/>
          <w:spacing w:val="6"/>
          <w:sz w:val="24"/>
          <w:szCs w:val="24"/>
        </w:rPr>
        <w:t>五、企业类型的划分以统计部门的统计数据为依据。</w:t>
      </w:r>
    </w:p>
    <w:p>
      <w:pPr>
        <w:pStyle w:val="967"/>
        <w:adjustRightInd w:val="0"/>
        <w:spacing w:line="360" w:lineRule="auto"/>
        <w:ind w:firstLine="504" w:firstLineChars="200"/>
        <w:jc w:val="both"/>
        <w:rPr>
          <w:rFonts w:ascii="宋体" w:hAnsi="宋体" w:eastAsia="宋体" w:cs="宋体"/>
          <w:color w:val="auto"/>
          <w:spacing w:val="6"/>
          <w:sz w:val="24"/>
          <w:szCs w:val="24"/>
        </w:rPr>
      </w:pPr>
      <w:r>
        <w:rPr>
          <w:rFonts w:hint="eastAsia" w:ascii="宋体" w:hAnsi="宋体" w:eastAsia="宋体" w:cs="宋体"/>
          <w:color w:val="auto"/>
          <w:spacing w:val="6"/>
          <w:sz w:val="24"/>
          <w:szCs w:val="24"/>
        </w:rPr>
        <w:t>六、本规定适用于在中华人民共和国境内依法设立的各类所有制和各种组织形式的企业。个体工商户和本规定以外的行业，参照本规定进行划型。</w:t>
      </w:r>
    </w:p>
    <w:p>
      <w:pPr>
        <w:pStyle w:val="967"/>
        <w:adjustRightInd w:val="0"/>
        <w:spacing w:line="360" w:lineRule="auto"/>
        <w:ind w:firstLine="504" w:firstLineChars="200"/>
        <w:jc w:val="both"/>
        <w:rPr>
          <w:rFonts w:ascii="宋体" w:hAnsi="宋体" w:eastAsia="宋体" w:cs="宋体"/>
          <w:color w:val="auto"/>
          <w:spacing w:val="6"/>
          <w:sz w:val="24"/>
          <w:szCs w:val="24"/>
        </w:rPr>
      </w:pPr>
      <w:r>
        <w:rPr>
          <w:rFonts w:hint="eastAsia" w:ascii="宋体" w:hAnsi="宋体" w:eastAsia="宋体" w:cs="宋体"/>
          <w:color w:val="auto"/>
          <w:spacing w:val="6"/>
          <w:sz w:val="24"/>
          <w:szCs w:val="24"/>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967"/>
        <w:adjustRightInd w:val="0"/>
        <w:spacing w:line="360" w:lineRule="auto"/>
        <w:ind w:firstLine="504" w:firstLineChars="200"/>
        <w:jc w:val="both"/>
        <w:rPr>
          <w:rFonts w:ascii="宋体" w:hAnsi="宋体" w:eastAsia="宋体" w:cs="宋体"/>
          <w:color w:val="auto"/>
          <w:spacing w:val="6"/>
          <w:sz w:val="24"/>
          <w:szCs w:val="24"/>
        </w:rPr>
      </w:pPr>
      <w:r>
        <w:rPr>
          <w:rFonts w:hint="eastAsia" w:ascii="宋体" w:hAnsi="宋体" w:eastAsia="宋体" w:cs="宋体"/>
          <w:color w:val="auto"/>
          <w:spacing w:val="6"/>
          <w:sz w:val="24"/>
          <w:szCs w:val="24"/>
        </w:rPr>
        <w:t>八、本规定由工业和信息化部、国家统计局会同有关部门根据《国民经济行业分类》修订情况和企业发展变化情况适时修订。</w:t>
      </w:r>
    </w:p>
    <w:p>
      <w:pPr>
        <w:pStyle w:val="967"/>
        <w:adjustRightInd w:val="0"/>
        <w:spacing w:line="360" w:lineRule="auto"/>
        <w:ind w:firstLine="504" w:firstLineChars="200"/>
        <w:jc w:val="both"/>
        <w:rPr>
          <w:rFonts w:ascii="宋体" w:hAnsi="宋体" w:eastAsia="宋体" w:cs="宋体"/>
          <w:color w:val="auto"/>
          <w:spacing w:val="6"/>
          <w:sz w:val="24"/>
          <w:szCs w:val="24"/>
        </w:rPr>
      </w:pPr>
      <w:r>
        <w:rPr>
          <w:rFonts w:hint="eastAsia" w:ascii="宋体" w:hAnsi="宋体" w:eastAsia="宋体" w:cs="宋体"/>
          <w:color w:val="auto"/>
          <w:spacing w:val="6"/>
          <w:sz w:val="24"/>
          <w:szCs w:val="24"/>
        </w:rPr>
        <w:t>九、本规定由工业和信息化部、国家统计局会同有关部门负责解释。</w:t>
      </w:r>
    </w:p>
    <w:p>
      <w:pPr>
        <w:pStyle w:val="967"/>
        <w:ind w:firstLine="504" w:firstLineChars="200"/>
        <w:rPr>
          <w:rFonts w:ascii="宋体" w:hAnsi="宋体" w:cs="宋体"/>
          <w:bCs/>
          <w:color w:val="auto"/>
          <w:sz w:val="24"/>
        </w:rPr>
      </w:pPr>
      <w:r>
        <w:rPr>
          <w:rFonts w:hint="eastAsia" w:ascii="宋体" w:hAnsi="宋体" w:eastAsia="宋体" w:cs="宋体"/>
          <w:color w:val="auto"/>
          <w:spacing w:val="6"/>
          <w:sz w:val="24"/>
          <w:szCs w:val="24"/>
        </w:rPr>
        <w:t>十、本规定自发布之日起执行，原国家经贸委、原国家计委、财政部和国家统计局2003年颁布的《</w:t>
      </w:r>
      <w:r>
        <w:rPr>
          <w:color w:val="auto"/>
        </w:rPr>
        <w:fldChar w:fldCharType="begin"/>
      </w:r>
      <w:r>
        <w:rPr>
          <w:color w:val="auto"/>
        </w:rPr>
        <w:instrText xml:space="preserve"> HYPERLINK "https://www.shui5.cn/article/df/24263.html" </w:instrText>
      </w:r>
      <w:r>
        <w:rPr>
          <w:color w:val="auto"/>
        </w:rPr>
        <w:fldChar w:fldCharType="separate"/>
      </w:r>
      <w:r>
        <w:rPr>
          <w:rFonts w:hint="eastAsia" w:ascii="宋体" w:hAnsi="宋体" w:eastAsia="宋体" w:cs="宋体"/>
          <w:color w:val="auto"/>
          <w:spacing w:val="6"/>
          <w:sz w:val="24"/>
          <w:szCs w:val="24"/>
        </w:rPr>
        <w:t>中小企业标准暂行规定</w:t>
      </w:r>
      <w:r>
        <w:rPr>
          <w:rFonts w:hint="eastAsia" w:ascii="宋体" w:hAnsi="宋体" w:eastAsia="宋体" w:cs="宋体"/>
          <w:color w:val="auto"/>
          <w:spacing w:val="6"/>
          <w:sz w:val="24"/>
          <w:szCs w:val="24"/>
        </w:rPr>
        <w:fldChar w:fldCharType="end"/>
      </w:r>
      <w:r>
        <w:rPr>
          <w:rFonts w:hint="eastAsia" w:ascii="宋体" w:hAnsi="宋体" w:eastAsia="宋体" w:cs="宋体"/>
          <w:color w:val="auto"/>
          <w:spacing w:val="6"/>
          <w:sz w:val="24"/>
          <w:szCs w:val="24"/>
        </w:rPr>
        <w:t>》</w:t>
      </w:r>
      <w:r>
        <w:rPr>
          <w:color w:val="auto"/>
        </w:rPr>
        <w:fldChar w:fldCharType="begin"/>
      </w:r>
      <w:r>
        <w:rPr>
          <w:color w:val="auto"/>
        </w:rPr>
        <w:instrText xml:space="preserve"> HYPERLINK "https://www.shui5.cn/article/df/24263.html" </w:instrText>
      </w:r>
      <w:r>
        <w:rPr>
          <w:color w:val="auto"/>
        </w:rPr>
        <w:fldChar w:fldCharType="separate"/>
      </w:r>
      <w:r>
        <w:rPr>
          <w:rFonts w:hint="eastAsia" w:ascii="宋体" w:hAnsi="宋体" w:eastAsia="宋体" w:cs="宋体"/>
          <w:color w:val="auto"/>
          <w:spacing w:val="6"/>
          <w:sz w:val="24"/>
          <w:szCs w:val="24"/>
        </w:rPr>
        <w:t>国经贸中小企[2003]143号</w:t>
      </w:r>
      <w:r>
        <w:rPr>
          <w:rFonts w:hint="eastAsia" w:ascii="宋体" w:hAnsi="宋体" w:eastAsia="宋体" w:cs="宋体"/>
          <w:color w:val="auto"/>
          <w:spacing w:val="6"/>
          <w:sz w:val="24"/>
          <w:szCs w:val="24"/>
        </w:rPr>
        <w:fldChar w:fldCharType="end"/>
      </w:r>
      <w:r>
        <w:rPr>
          <w:rFonts w:hint="eastAsia" w:ascii="宋体" w:hAnsi="宋体" w:eastAsia="宋体" w:cs="宋体"/>
          <w:color w:val="auto"/>
          <w:spacing w:val="6"/>
          <w:sz w:val="24"/>
          <w:szCs w:val="24"/>
        </w:rPr>
        <w:t>同时废止。</w:t>
      </w: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190" w:name="_Toc91899912"/>
    <w:bookmarkStart w:id="191" w:name="_Toc131845147"/>
    <w:bookmarkStart w:id="192" w:name="_Toc164085800"/>
    <w:bookmarkStart w:id="193" w:name="_Toc36110187"/>
    <w:r>
      <w:rPr>
        <w:rFonts w:hint="eastAsia" w:ascii="仿宋_GB2312" w:eastAsia="仿宋_GB2312"/>
        <w:kern w:val="0"/>
        <w:szCs w:val="21"/>
      </w:rPr>
      <w:t xml:space="preserve"> 页</w:t>
    </w:r>
    <w:bookmarkEnd w:id="190"/>
    <w:bookmarkEnd w:id="191"/>
    <w:bookmarkEnd w:id="192"/>
    <w:bookmarkEnd w:id="19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2"/>
      </w:rPr>
    </w:pPr>
    <w:r>
      <w:fldChar w:fldCharType="begin"/>
    </w:r>
    <w:r>
      <w:rPr>
        <w:rStyle w:val="72"/>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ascii="宋体" w:hAnsi="宋体" w:cs="宋体"/>
                              <w:sz w:val="18"/>
                              <w:szCs w:val="18"/>
                            </w:rPr>
                          </w:pPr>
                          <w:r>
                            <w:rPr>
                              <w:rFonts w:hint="eastAsia" w:ascii="宋体" w:hAnsi="宋体" w:cs="宋体"/>
                              <w:sz w:val="18"/>
                              <w:szCs w:val="18"/>
                            </w:rPr>
                            <w:t xml:space="preserve">第 </w:t>
                          </w: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t>28</w:t>
                          </w:r>
                          <w:r>
                            <w:rPr>
                              <w:rFonts w:hint="eastAsia" w:ascii="宋体" w:hAnsi="宋体" w:cs="宋体"/>
                              <w:sz w:val="18"/>
                              <w:szCs w:val="18"/>
                            </w:rPr>
                            <w:fldChar w:fldCharType="end"/>
                          </w:r>
                          <w:r>
                            <w:rPr>
                              <w:rFonts w:hint="eastAsia" w:ascii="宋体" w:hAnsi="宋体" w:cs="宋体"/>
                              <w:sz w:val="18"/>
                              <w:szCs w:val="18"/>
                            </w:rPr>
                            <w:t xml:space="preserve"> 页 共 </w:t>
                          </w:r>
                          <w:r>
                            <w:rPr>
                              <w:rFonts w:hint="eastAsia" w:ascii="宋体" w:hAnsi="宋体" w:cs="宋体"/>
                              <w:sz w:val="18"/>
                              <w:szCs w:val="18"/>
                            </w:rPr>
                            <w:fldChar w:fldCharType="begin"/>
                          </w:r>
                          <w:r>
                            <w:rPr>
                              <w:rFonts w:hint="eastAsia" w:ascii="宋体" w:hAnsi="宋体" w:cs="宋体"/>
                              <w:sz w:val="18"/>
                              <w:szCs w:val="18"/>
                            </w:rPr>
                            <w:instrText xml:space="preserve"> NUMPAGES  \* MERGEFORMAT </w:instrText>
                          </w:r>
                          <w:r>
                            <w:rPr>
                              <w:rFonts w:hint="eastAsia" w:ascii="宋体" w:hAnsi="宋体" w:cs="宋体"/>
                              <w:sz w:val="18"/>
                              <w:szCs w:val="18"/>
                            </w:rPr>
                            <w:fldChar w:fldCharType="separate"/>
                          </w:r>
                          <w:r>
                            <w:rPr>
                              <w:rFonts w:hint="eastAsia" w:ascii="宋体" w:hAnsi="宋体" w:cs="宋体"/>
                              <w:sz w:val="18"/>
                              <w:szCs w:val="18"/>
                            </w:rPr>
                            <w:t>106</w:t>
                          </w:r>
                          <w:r>
                            <w:rPr>
                              <w:rFonts w:hint="eastAsia" w:ascii="宋体" w:hAnsi="宋体" w:cs="宋体"/>
                              <w:sz w:val="18"/>
                              <w:szCs w:val="18"/>
                            </w:rPr>
                            <w:fldChar w:fldCharType="end"/>
                          </w:r>
                          <w:r>
                            <w:rPr>
                              <w:rFonts w:hint="eastAsia" w:ascii="宋体" w:hAnsi="宋体" w:cs="宋体"/>
                              <w:sz w:val="18"/>
                              <w:szCs w:val="18"/>
                            </w:rPr>
                            <w:t xml:space="preserve"> 页</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pPr>
                      <w:snapToGrid w:val="0"/>
                      <w:rPr>
                        <w:rFonts w:ascii="宋体" w:hAnsi="宋体" w:cs="宋体"/>
                        <w:sz w:val="18"/>
                        <w:szCs w:val="18"/>
                      </w:rPr>
                    </w:pPr>
                    <w:r>
                      <w:rPr>
                        <w:rFonts w:hint="eastAsia" w:ascii="宋体" w:hAnsi="宋体" w:cs="宋体"/>
                        <w:sz w:val="18"/>
                        <w:szCs w:val="18"/>
                      </w:rPr>
                      <w:t xml:space="preserve">第 </w:t>
                    </w:r>
                    <w:r>
                      <w:rPr>
                        <w:rFonts w:hint="eastAsia" w:ascii="宋体" w:hAnsi="宋体" w:cs="宋体"/>
                        <w:sz w:val="18"/>
                        <w:szCs w:val="18"/>
                      </w:rPr>
                      <w:fldChar w:fldCharType="begin"/>
                    </w:r>
                    <w:r>
                      <w:rPr>
                        <w:rFonts w:hint="eastAsia" w:ascii="宋体" w:hAnsi="宋体" w:cs="宋体"/>
                        <w:sz w:val="18"/>
                        <w:szCs w:val="18"/>
                      </w:rPr>
                      <w:instrText xml:space="preserve"> PAGE  \* MERGEFORMAT </w:instrText>
                    </w:r>
                    <w:r>
                      <w:rPr>
                        <w:rFonts w:hint="eastAsia" w:ascii="宋体" w:hAnsi="宋体" w:cs="宋体"/>
                        <w:sz w:val="18"/>
                        <w:szCs w:val="18"/>
                      </w:rPr>
                      <w:fldChar w:fldCharType="separate"/>
                    </w:r>
                    <w:r>
                      <w:t>28</w:t>
                    </w:r>
                    <w:r>
                      <w:rPr>
                        <w:rFonts w:hint="eastAsia" w:ascii="宋体" w:hAnsi="宋体" w:cs="宋体"/>
                        <w:sz w:val="18"/>
                        <w:szCs w:val="18"/>
                      </w:rPr>
                      <w:fldChar w:fldCharType="end"/>
                    </w:r>
                    <w:r>
                      <w:rPr>
                        <w:rFonts w:hint="eastAsia" w:ascii="宋体" w:hAnsi="宋体" w:cs="宋体"/>
                        <w:sz w:val="18"/>
                        <w:szCs w:val="18"/>
                      </w:rPr>
                      <w:t xml:space="preserve"> 页 共 </w:t>
                    </w:r>
                    <w:r>
                      <w:rPr>
                        <w:rFonts w:hint="eastAsia" w:ascii="宋体" w:hAnsi="宋体" w:cs="宋体"/>
                        <w:sz w:val="18"/>
                        <w:szCs w:val="18"/>
                      </w:rPr>
                      <w:fldChar w:fldCharType="begin"/>
                    </w:r>
                    <w:r>
                      <w:rPr>
                        <w:rFonts w:hint="eastAsia" w:ascii="宋体" w:hAnsi="宋体" w:cs="宋体"/>
                        <w:sz w:val="18"/>
                        <w:szCs w:val="18"/>
                      </w:rPr>
                      <w:instrText xml:space="preserve"> NUMPAGES  \* MERGEFORMAT </w:instrText>
                    </w:r>
                    <w:r>
                      <w:rPr>
                        <w:rFonts w:hint="eastAsia" w:ascii="宋体" w:hAnsi="宋体" w:cs="宋体"/>
                        <w:sz w:val="18"/>
                        <w:szCs w:val="18"/>
                      </w:rPr>
                      <w:fldChar w:fldCharType="separate"/>
                    </w:r>
                    <w:r>
                      <w:rPr>
                        <w:rFonts w:hint="eastAsia" w:ascii="宋体" w:hAnsi="宋体" w:cs="宋体"/>
                        <w:sz w:val="18"/>
                        <w:szCs w:val="18"/>
                      </w:rPr>
                      <w:t>106</w:t>
                    </w:r>
                    <w:r>
                      <w:rPr>
                        <w:rFonts w:hint="eastAsia" w:ascii="宋体" w:hAnsi="宋体" w:cs="宋体"/>
                        <w:sz w:val="18"/>
                        <w:szCs w:val="18"/>
                      </w:rPr>
                      <w:fldChar w:fldCharType="end"/>
                    </w:r>
                    <w:r>
                      <w:rPr>
                        <w:rFonts w:hint="eastAsia" w:ascii="宋体" w:hAnsi="宋体" w:cs="宋体"/>
                        <w:sz w:val="18"/>
                        <w:szCs w:val="18"/>
                      </w:rP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w:t>
    </w:r>
    <w:r>
      <w:rPr>
        <w:rFonts w:hint="eastAsia"/>
      </w:rPr>
      <w:t xml:space="preserve">         </w:t>
    </w:r>
  </w:p>
  <w:p>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rPr>
        <w:rFonts w:ascii="仿宋_GB2312" w:eastAsia="仿宋_GB2312"/>
        <w:b/>
        <w:i/>
        <w:u w:val="single"/>
      </w:rPr>
    </w:pPr>
    <w:r>
      <w:t></w:t>
    </w:r>
    <w:r>
      <w:rPr>
        <w:rFonts w:hint="eastAsia"/>
      </w:rPr>
      <w:t xml:space="preserve">                                                </w:t>
    </w:r>
    <w:r>
      <w:t xml:space="preserve"> 杭州市政府采购公开招标文件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71DA11"/>
    <w:multiLevelType w:val="singleLevel"/>
    <w:tmpl w:val="BC71DA11"/>
    <w:lvl w:ilvl="0" w:tentative="0">
      <w:start w:val="2"/>
      <w:numFmt w:val="chineseCounting"/>
      <w:suff w:val="nothing"/>
      <w:lvlText w:val="%1、"/>
      <w:lvlJc w:val="left"/>
      <w:rPr>
        <w:rFonts w:hint="eastAsia"/>
      </w:rPr>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35D71722"/>
    <w:multiLevelType w:val="singleLevel"/>
    <w:tmpl w:val="35D71722"/>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ViODk3YzFlZTk4ODAwM2ViYTNhN2NmY2Y3MmJhMz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0C2"/>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5B3"/>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6054"/>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723028"/>
    <w:rsid w:val="0C8445DA"/>
    <w:rsid w:val="0C87121B"/>
    <w:rsid w:val="0CA048B3"/>
    <w:rsid w:val="0CC007F7"/>
    <w:rsid w:val="0CC617AC"/>
    <w:rsid w:val="0CE618DF"/>
    <w:rsid w:val="0CEE3CDC"/>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0D7FBE"/>
    <w:rsid w:val="0E5604B2"/>
    <w:rsid w:val="0E6D5D79"/>
    <w:rsid w:val="0E760F90"/>
    <w:rsid w:val="0E9D0089"/>
    <w:rsid w:val="0EB803EE"/>
    <w:rsid w:val="0EF94D4B"/>
    <w:rsid w:val="0F4958DC"/>
    <w:rsid w:val="0F515DF7"/>
    <w:rsid w:val="0F596BA8"/>
    <w:rsid w:val="0F6248D2"/>
    <w:rsid w:val="0F693536"/>
    <w:rsid w:val="0F7B0511"/>
    <w:rsid w:val="0F7B76D9"/>
    <w:rsid w:val="0F816ACD"/>
    <w:rsid w:val="0F9832DB"/>
    <w:rsid w:val="0FBF3FD2"/>
    <w:rsid w:val="0FBF7FF3"/>
    <w:rsid w:val="10233642"/>
    <w:rsid w:val="10646583"/>
    <w:rsid w:val="107D4B15"/>
    <w:rsid w:val="108A3C80"/>
    <w:rsid w:val="10C26171"/>
    <w:rsid w:val="10F33360"/>
    <w:rsid w:val="10FC16EA"/>
    <w:rsid w:val="110F1D40"/>
    <w:rsid w:val="11266F33"/>
    <w:rsid w:val="118963A1"/>
    <w:rsid w:val="11C6522A"/>
    <w:rsid w:val="11E104CC"/>
    <w:rsid w:val="11E20309"/>
    <w:rsid w:val="12131608"/>
    <w:rsid w:val="12255233"/>
    <w:rsid w:val="12530213"/>
    <w:rsid w:val="127723A9"/>
    <w:rsid w:val="12862074"/>
    <w:rsid w:val="12883966"/>
    <w:rsid w:val="129E45B4"/>
    <w:rsid w:val="12BC3C29"/>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DE0F68"/>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98041E"/>
    <w:rsid w:val="22BE6801"/>
    <w:rsid w:val="233500BF"/>
    <w:rsid w:val="23377FF7"/>
    <w:rsid w:val="236B425F"/>
    <w:rsid w:val="23836192"/>
    <w:rsid w:val="23901F29"/>
    <w:rsid w:val="239C0061"/>
    <w:rsid w:val="23B908A4"/>
    <w:rsid w:val="23E95BEF"/>
    <w:rsid w:val="23EB4FF5"/>
    <w:rsid w:val="23FD0064"/>
    <w:rsid w:val="245375B0"/>
    <w:rsid w:val="24642C0A"/>
    <w:rsid w:val="24B22173"/>
    <w:rsid w:val="24B95AD9"/>
    <w:rsid w:val="24BE24DA"/>
    <w:rsid w:val="24CF5825"/>
    <w:rsid w:val="24D663E6"/>
    <w:rsid w:val="24D77F2B"/>
    <w:rsid w:val="255A0F8D"/>
    <w:rsid w:val="256E66D6"/>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9653C"/>
    <w:rsid w:val="2E5D4E86"/>
    <w:rsid w:val="2E5D790B"/>
    <w:rsid w:val="2E9A3C18"/>
    <w:rsid w:val="2EA37F37"/>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12FFE"/>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0E50E4"/>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F91F92"/>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52741"/>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0FF757C"/>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307750"/>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FC0463"/>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CBF3292"/>
    <w:rsid w:val="6D167928"/>
    <w:rsid w:val="6D26299B"/>
    <w:rsid w:val="6D4772EC"/>
    <w:rsid w:val="6D9078AF"/>
    <w:rsid w:val="6DAA3FEF"/>
    <w:rsid w:val="6DC0172B"/>
    <w:rsid w:val="6DCB690C"/>
    <w:rsid w:val="6DD41A5B"/>
    <w:rsid w:val="6DF43C2E"/>
    <w:rsid w:val="6DF51CA3"/>
    <w:rsid w:val="6E2A4D9E"/>
    <w:rsid w:val="6E8335BD"/>
    <w:rsid w:val="6E8E12EF"/>
    <w:rsid w:val="6E972936"/>
    <w:rsid w:val="6ED446C5"/>
    <w:rsid w:val="6F2A7D94"/>
    <w:rsid w:val="6F8331F1"/>
    <w:rsid w:val="6FAE1A09"/>
    <w:rsid w:val="6FB72D8E"/>
    <w:rsid w:val="6FD75BF8"/>
    <w:rsid w:val="707723D0"/>
    <w:rsid w:val="70F5661B"/>
    <w:rsid w:val="71360107"/>
    <w:rsid w:val="713B688E"/>
    <w:rsid w:val="71D43752"/>
    <w:rsid w:val="71F1796A"/>
    <w:rsid w:val="72154626"/>
    <w:rsid w:val="72262B5D"/>
    <w:rsid w:val="72274910"/>
    <w:rsid w:val="72283FF7"/>
    <w:rsid w:val="722E7212"/>
    <w:rsid w:val="723A0474"/>
    <w:rsid w:val="725923E4"/>
    <w:rsid w:val="72864BF7"/>
    <w:rsid w:val="729023FC"/>
    <w:rsid w:val="72D7674A"/>
    <w:rsid w:val="73C0646E"/>
    <w:rsid w:val="742222F5"/>
    <w:rsid w:val="74476126"/>
    <w:rsid w:val="74663CA2"/>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57376F"/>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9"/>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link w:val="267"/>
    <w:qFormat/>
    <w:uiPriority w:val="0"/>
    <w:pPr>
      <w:spacing w:line="480" w:lineRule="exact"/>
      <w:ind w:firstLine="480" w:firstLineChars="200"/>
    </w:pPr>
    <w:rPr>
      <w:rFonts w:ascii="宋体" w:hAnsi="宋体"/>
      <w:sz w:val="24"/>
    </w:rPr>
  </w:style>
  <w:style w:type="paragraph" w:styleId="3">
    <w:name w:val="Body Text First Indent 2"/>
    <w:basedOn w:val="2"/>
    <w:next w:val="1"/>
    <w:link w:val="123"/>
    <w:qFormat/>
    <w:uiPriority w:val="0"/>
    <w:pPr>
      <w:adjustRightInd/>
      <w:spacing w:after="120" w:line="240" w:lineRule="auto"/>
      <w:ind w:left="420" w:leftChars="200" w:firstLine="210"/>
    </w:pPr>
    <w:rPr>
      <w:sz w:val="21"/>
    </w:rPr>
  </w:style>
  <w:style w:type="paragraph" w:styleId="7">
    <w:name w:val="Normal Indent"/>
    <w:basedOn w:val="1"/>
    <w:link w:val="195"/>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1"/>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4"/>
    <w:qFormat/>
    <w:uiPriority w:val="0"/>
    <w:pPr>
      <w:shd w:val="clear" w:color="auto" w:fill="000080"/>
    </w:p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link w:val="432"/>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1"/>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7"/>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3"/>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90"/>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8"/>
    <w:qFormat/>
    <w:uiPriority w:val="0"/>
    <w:rPr>
      <w:b/>
      <w:bCs/>
    </w:rPr>
  </w:style>
  <w:style w:type="paragraph" w:styleId="61">
    <w:name w:val="Body Text First Indent"/>
    <w:basedOn w:val="25"/>
    <w:link w:val="323"/>
    <w:qFormat/>
    <w:uiPriority w:val="0"/>
    <w:pPr>
      <w:ind w:firstLine="420"/>
    </w:pPr>
    <w:rPr>
      <w:rFonts w:hAnsi="Calibri" w:cs="Times New Roman"/>
      <w:snapToGrid/>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正文1"/>
    <w:qFormat/>
    <w:uiPriority w:val="0"/>
    <w:pPr>
      <w:widowControl w:val="0"/>
      <w:adjustRightInd w:val="0"/>
      <w:spacing w:line="318" w:lineRule="atLeast"/>
      <w:ind w:left="369" w:firstLine="369"/>
      <w:jc w:val="both"/>
      <w:textAlignment w:val="baseline"/>
    </w:pPr>
    <w:rPr>
      <w:rFonts w:ascii="宋体" w:hAnsi="Calibri" w:eastAsia="宋体" w:cs="Times New Roman"/>
      <w:kern w:val="2"/>
      <w:sz w:val="21"/>
      <w:lang w:val="en-US" w:eastAsia="zh-CN" w:bidi="ar-SA"/>
    </w:rPr>
  </w:style>
  <w:style w:type="paragraph" w:customStyle="1" w:styleId="81">
    <w:name w:val="[Normal]"/>
    <w:qFormat/>
    <w:uiPriority w:val="0"/>
    <w:rPr>
      <w:rFonts w:ascii="宋体" w:hAnsi="宋体" w:eastAsia="宋体" w:cs="Times New Roman"/>
      <w:sz w:val="24"/>
      <w:szCs w:val="22"/>
      <w:lang w:val="zh-CN"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character" w:customStyle="1" w:styleId="84">
    <w:name w:val="表格非标题文字 Char"/>
    <w:link w:val="85"/>
    <w:qFormat/>
    <w:uiPriority w:val="0"/>
    <w:rPr>
      <w:rFonts w:ascii="Futura Bk" w:hAnsi="Futura Bk"/>
      <w:kern w:val="2"/>
      <w:sz w:val="18"/>
      <w:szCs w:val="21"/>
      <w:lang w:val="en-US" w:eastAsia="zh-CN" w:bidi="ar-SA"/>
    </w:rPr>
  </w:style>
  <w:style w:type="paragraph" w:customStyle="1" w:styleId="85">
    <w:name w:val="表格非标题文字"/>
    <w:link w:val="8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qFormat/>
    <w:locked/>
    <w:uiPriority w:val="0"/>
    <w:rPr>
      <w:rFonts w:ascii="宋体" w:hAnsi="宋体"/>
      <w:sz w:val="24"/>
    </w:rPr>
  </w:style>
  <w:style w:type="paragraph" w:customStyle="1" w:styleId="87">
    <w:name w:val="*正文"/>
    <w:basedOn w:val="1"/>
    <w:link w:val="86"/>
    <w:qFormat/>
    <w:uiPriority w:val="0"/>
    <w:pPr>
      <w:snapToGrid w:val="0"/>
      <w:spacing w:line="360" w:lineRule="auto"/>
      <w:ind w:firstLine="482"/>
      <w:jc w:val="left"/>
    </w:pPr>
    <w:rPr>
      <w:rFonts w:ascii="宋体" w:hAnsi="宋体"/>
      <w:kern w:val="0"/>
      <w:sz w:val="24"/>
      <w:szCs w:val="20"/>
    </w:rPr>
  </w:style>
  <w:style w:type="character" w:customStyle="1" w:styleId="88">
    <w:name w:val="Char Char71"/>
    <w:semiHidden/>
    <w:qFormat/>
    <w:uiPriority w:val="0"/>
    <w:rPr>
      <w:rFonts w:eastAsia="宋体"/>
      <w:kern w:val="2"/>
      <w:sz w:val="21"/>
      <w:szCs w:val="24"/>
      <w:lang w:val="en-US" w:eastAsia="zh-CN" w:bidi="ar-SA"/>
    </w:rPr>
  </w:style>
  <w:style w:type="character" w:customStyle="1" w:styleId="89">
    <w:name w:val="Char Char6"/>
    <w:qFormat/>
    <w:uiPriority w:val="0"/>
    <w:rPr>
      <w:rFonts w:eastAsia="宋体"/>
      <w:kern w:val="2"/>
      <w:sz w:val="21"/>
      <w:szCs w:val="24"/>
      <w:lang w:val="en-US" w:eastAsia="zh-CN" w:bidi="ar-SA"/>
    </w:rPr>
  </w:style>
  <w:style w:type="character" w:customStyle="1" w:styleId="90">
    <w:name w:val="正文缩进 Char"/>
    <w:qFormat/>
    <w:uiPriority w:val="0"/>
    <w:rPr>
      <w:rFonts w:eastAsia="宋体"/>
      <w:kern w:val="2"/>
      <w:sz w:val="21"/>
      <w:lang w:val="en-US" w:eastAsia="zh-CN"/>
    </w:rPr>
  </w:style>
  <w:style w:type="character" w:customStyle="1" w:styleId="91">
    <w:name w:val="正文首行缩进 Char1"/>
    <w:qFormat/>
    <w:uiPriority w:val="0"/>
    <w:rPr>
      <w:rFonts w:ascii="宋体" w:hAnsi="Times New Roman" w:eastAsia="宋体" w:cs="Times New Roman"/>
      <w:snapToGrid w:val="0"/>
      <w:kern w:val="2"/>
      <w:sz w:val="24"/>
      <w:szCs w:val="21"/>
      <w:lang w:val="zh-CN"/>
    </w:rPr>
  </w:style>
  <w:style w:type="character" w:customStyle="1" w:styleId="92">
    <w:name w:val="Char Char28"/>
    <w:qFormat/>
    <w:uiPriority w:val="6"/>
    <w:rPr>
      <w:rFonts w:ascii="仿宋_GB2312" w:hAnsi="仿宋_GB2312" w:eastAsia="仿宋_GB2312"/>
      <w:kern w:val="1"/>
      <w:sz w:val="28"/>
    </w:rPr>
  </w:style>
  <w:style w:type="character" w:customStyle="1" w:styleId="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qFormat/>
    <w:uiPriority w:val="6"/>
    <w:rPr>
      <w:rFonts w:ascii="Times New Roman" w:hAnsi="Times New Roman" w:eastAsia="黑体" w:cs="Times New Roman"/>
      <w:b/>
      <w:kern w:val="0"/>
      <w:sz w:val="24"/>
      <w:szCs w:val="24"/>
    </w:rPr>
  </w:style>
  <w:style w:type="character" w:customStyle="1" w:styleId="95">
    <w:name w:val="U_正文 Char"/>
    <w:link w:val="96"/>
    <w:qFormat/>
    <w:uiPriority w:val="0"/>
    <w:rPr>
      <w:sz w:val="24"/>
      <w:szCs w:val="24"/>
    </w:rPr>
  </w:style>
  <w:style w:type="paragraph" w:customStyle="1" w:styleId="96">
    <w:name w:val="U_正文"/>
    <w:basedOn w:val="1"/>
    <w:link w:val="95"/>
    <w:qFormat/>
    <w:uiPriority w:val="0"/>
    <w:pPr>
      <w:adjustRightInd/>
      <w:spacing w:beforeLines="20" w:afterLines="20" w:line="300" w:lineRule="auto"/>
      <w:ind w:firstLine="200" w:firstLineChars="200"/>
    </w:pPr>
    <w:rPr>
      <w:kern w:val="0"/>
      <w:sz w:val="24"/>
    </w:rPr>
  </w:style>
  <w:style w:type="character" w:customStyle="1" w:styleId="97">
    <w:name w:val="HTML 地址 Char1"/>
    <w:qFormat/>
    <w:uiPriority w:val="0"/>
    <w:rPr>
      <w:rFonts w:ascii="Times New Roman" w:hAnsi="Times New Roman" w:eastAsia="宋体" w:cs="Times New Roman"/>
      <w:i/>
      <w:iCs/>
      <w:szCs w:val="24"/>
    </w:rPr>
  </w:style>
  <w:style w:type="character" w:customStyle="1" w:styleId="98">
    <w:name w:val="批注主题 字符"/>
    <w:link w:val="60"/>
    <w:qFormat/>
    <w:uiPriority w:val="0"/>
    <w:rPr>
      <w:b/>
      <w:bCs/>
      <w:kern w:val="2"/>
      <w:sz w:val="21"/>
      <w:szCs w:val="24"/>
    </w:rPr>
  </w:style>
  <w:style w:type="character" w:customStyle="1" w:styleId="99">
    <w:name w:val="Char Char51"/>
    <w:qFormat/>
    <w:uiPriority w:val="0"/>
    <w:rPr>
      <w:rFonts w:ascii="宋体" w:hAnsi="Courier New" w:eastAsia="宋体"/>
      <w:kern w:val="2"/>
      <w:sz w:val="21"/>
      <w:lang w:val="en-US" w:eastAsia="zh-CN"/>
    </w:rPr>
  </w:style>
  <w:style w:type="character" w:customStyle="1" w:styleId="100">
    <w:name w:val="表正文 Char"/>
    <w:qFormat/>
    <w:uiPriority w:val="0"/>
    <w:rPr>
      <w:rFonts w:ascii="宋体" w:eastAsia="宋体"/>
      <w:snapToGrid w:val="0"/>
      <w:color w:val="000000"/>
      <w:kern w:val="28"/>
      <w:sz w:val="28"/>
      <w:lang w:val="en-US" w:eastAsia="zh-CN" w:bidi="ar-SA"/>
    </w:rPr>
  </w:style>
  <w:style w:type="character" w:customStyle="1" w:styleId="101">
    <w:name w:val="Char Char34"/>
    <w:qFormat/>
    <w:uiPriority w:val="6"/>
    <w:rPr>
      <w:b/>
      <w:kern w:val="1"/>
      <w:sz w:val="28"/>
      <w:szCs w:val="28"/>
    </w:rPr>
  </w:style>
  <w:style w:type="character" w:customStyle="1" w:styleId="102">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qFormat/>
    <w:uiPriority w:val="0"/>
    <w:rPr>
      <w:rFonts w:ascii="宋体" w:hAnsi="宋体" w:eastAsia="宋体"/>
      <w:kern w:val="2"/>
      <w:sz w:val="24"/>
      <w:lang w:bidi="ar-SA"/>
    </w:rPr>
  </w:style>
  <w:style w:type="paragraph" w:customStyle="1" w:styleId="104">
    <w:name w:val="哈哈正文"/>
    <w:basedOn w:val="1"/>
    <w:link w:val="103"/>
    <w:qFormat/>
    <w:uiPriority w:val="0"/>
    <w:pPr>
      <w:adjustRightInd/>
      <w:spacing w:line="360" w:lineRule="auto"/>
      <w:ind w:firstLine="200" w:firstLineChars="200"/>
    </w:pPr>
    <w:rPr>
      <w:rFonts w:ascii="宋体" w:hAnsi="宋体"/>
      <w:sz w:val="24"/>
      <w:szCs w:val="20"/>
    </w:rPr>
  </w:style>
  <w:style w:type="character" w:customStyle="1" w:styleId="105">
    <w:name w:val="未处理的提及1"/>
    <w:qFormat/>
    <w:uiPriority w:val="0"/>
    <w:rPr>
      <w:color w:val="808080"/>
      <w:shd w:val="clear" w:color="auto" w:fill="E6E6E6"/>
    </w:rPr>
  </w:style>
  <w:style w:type="character" w:customStyle="1" w:styleId="106">
    <w:name w:val="txt"/>
    <w:qFormat/>
    <w:uiPriority w:val="0"/>
    <w:rPr>
      <w:rFonts w:ascii="仿宋_GB2312" w:eastAsia="微软雅黑"/>
      <w:b/>
      <w:kern w:val="2"/>
      <w:sz w:val="32"/>
      <w:szCs w:val="32"/>
      <w:lang w:val="en-US" w:eastAsia="zh-CN" w:bidi="ar-SA"/>
    </w:rPr>
  </w:style>
  <w:style w:type="character" w:customStyle="1" w:styleId="107">
    <w:name w:val="二级标题 Char Char"/>
    <w:qFormat/>
    <w:uiPriority w:val="0"/>
    <w:rPr>
      <w:rFonts w:ascii="宋体" w:hAnsi="宋体" w:eastAsia="宋体"/>
      <w:b/>
      <w:snapToGrid w:val="0"/>
      <w:kern w:val="2"/>
      <w:sz w:val="24"/>
      <w:szCs w:val="24"/>
      <w:lang w:val="en-US" w:eastAsia="zh-CN" w:bidi="ar-SA"/>
    </w:rPr>
  </w:style>
  <w:style w:type="character" w:customStyle="1" w:styleId="108">
    <w:name w:val="Char Char32"/>
    <w:qFormat/>
    <w:uiPriority w:val="6"/>
    <w:rPr>
      <w:b/>
      <w:kern w:val="1"/>
      <w:sz w:val="24"/>
      <w:szCs w:val="24"/>
    </w:rPr>
  </w:style>
  <w:style w:type="character" w:customStyle="1" w:styleId="109">
    <w:name w:val="PI Char1"/>
    <w:qFormat/>
    <w:uiPriority w:val="0"/>
    <w:rPr>
      <w:rFonts w:ascii="宋体" w:hAnsi="宋体"/>
      <w:kern w:val="2"/>
      <w:sz w:val="24"/>
      <w:szCs w:val="24"/>
    </w:rPr>
  </w:style>
  <w:style w:type="character" w:customStyle="1" w:styleId="110">
    <w:name w:val="tw4winTerm"/>
    <w:qFormat/>
    <w:uiPriority w:val="0"/>
    <w:rPr>
      <w:color w:val="0000FF"/>
    </w:rPr>
  </w:style>
  <w:style w:type="character" w:customStyle="1" w:styleId="111">
    <w:name w:val="Footer Char"/>
    <w:qFormat/>
    <w:locked/>
    <w:uiPriority w:val="0"/>
    <w:rPr>
      <w:rFonts w:eastAsia="宋体"/>
      <w:kern w:val="2"/>
      <w:sz w:val="18"/>
      <w:lang w:val="en-US" w:eastAsia="zh-CN" w:bidi="ar-SA"/>
    </w:rPr>
  </w:style>
  <w:style w:type="character" w:customStyle="1" w:styleId="112">
    <w:name w:val="普通文字 Char Char1"/>
    <w:qFormat/>
    <w:uiPriority w:val="0"/>
    <w:rPr>
      <w:rFonts w:ascii="宋体" w:hAnsi="Courier New"/>
      <w:kern w:val="2"/>
      <w:sz w:val="21"/>
    </w:rPr>
  </w:style>
  <w:style w:type="character" w:customStyle="1" w:styleId="113">
    <w:name w:val="Char Char101"/>
    <w:qFormat/>
    <w:uiPriority w:val="6"/>
    <w:rPr>
      <w:rFonts w:ascii="宋体" w:hAnsi="宋体"/>
      <w:kern w:val="2"/>
      <w:sz w:val="21"/>
      <w:szCs w:val="24"/>
      <w:lang w:val="en-US" w:eastAsia="zh-CN"/>
    </w:rPr>
  </w:style>
  <w:style w:type="character" w:customStyle="1" w:styleId="114">
    <w:name w:val="标题 4 Char"/>
    <w:qFormat/>
    <w:uiPriority w:val="0"/>
    <w:rPr>
      <w:rFonts w:ascii="Arial" w:hAnsi="Arial" w:eastAsia="黑体"/>
      <w:b/>
      <w:kern w:val="2"/>
      <w:sz w:val="28"/>
    </w:rPr>
  </w:style>
  <w:style w:type="character" w:customStyle="1" w:styleId="115">
    <w:name w:val="链接"/>
    <w:qFormat/>
    <w:uiPriority w:val="0"/>
    <w:rPr>
      <w:color w:val="0000FF"/>
      <w:sz w:val="21"/>
      <w:szCs w:val="21"/>
      <w:u w:val="single"/>
    </w:rPr>
  </w:style>
  <w:style w:type="character" w:customStyle="1" w:styleId="116">
    <w:name w:val="h4 Char"/>
    <w:qFormat/>
    <w:uiPriority w:val="0"/>
    <w:rPr>
      <w:rFonts w:ascii="Arial" w:hAnsi="Arial" w:eastAsia="黑体"/>
      <w:b/>
      <w:bCs/>
      <w:kern w:val="2"/>
      <w:sz w:val="28"/>
      <w:szCs w:val="28"/>
      <w:lang w:val="zh-CN" w:eastAsia="zh-CN" w:bidi="ar-SA"/>
    </w:rPr>
  </w:style>
  <w:style w:type="character" w:customStyle="1" w:styleId="117">
    <w:name w:val="5正文 Char"/>
    <w:link w:val="118"/>
    <w:qFormat/>
    <w:uiPriority w:val="0"/>
    <w:rPr>
      <w:rFonts w:ascii="仿宋_GB2312" w:hAnsi="微软雅黑" w:eastAsia="仿宋_GB2312"/>
      <w:sz w:val="28"/>
      <w:szCs w:val="21"/>
    </w:rPr>
  </w:style>
  <w:style w:type="paragraph" w:customStyle="1" w:styleId="118">
    <w:name w:val="5正文"/>
    <w:basedOn w:val="1"/>
    <w:link w:val="117"/>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qFormat/>
    <w:uiPriority w:val="9"/>
    <w:rPr>
      <w:b/>
      <w:bCs/>
      <w:kern w:val="2"/>
      <w:sz w:val="32"/>
      <w:szCs w:val="32"/>
    </w:rPr>
  </w:style>
  <w:style w:type="character" w:customStyle="1" w:styleId="120">
    <w:name w:val="样式6 Char"/>
    <w:qFormat/>
    <w:uiPriority w:val="0"/>
    <w:rPr>
      <w:rFonts w:ascii="仿宋_GB2312" w:hAnsi="宋体" w:eastAsia="仿宋_GB2312"/>
      <w:b/>
      <w:bCs/>
      <w:kern w:val="2"/>
      <w:sz w:val="24"/>
      <w:szCs w:val="24"/>
      <w:lang w:val="en-US" w:eastAsia="zh-CN" w:bidi="ar-SA"/>
    </w:rPr>
  </w:style>
  <w:style w:type="character" w:customStyle="1" w:styleId="121">
    <w:name w:val="Char Char14"/>
    <w:qFormat/>
    <w:uiPriority w:val="6"/>
    <w:rPr>
      <w:rFonts w:ascii="黑体" w:hAnsi="黑体" w:eastAsia="黑体"/>
    </w:rPr>
  </w:style>
  <w:style w:type="character" w:customStyle="1" w:styleId="122">
    <w:name w:val="Heading 2 Hidden Char"/>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3"/>
    <w:qFormat/>
    <w:uiPriority w:val="0"/>
    <w:rPr>
      <w:rFonts w:ascii="宋体" w:hAnsi="宋体"/>
      <w:kern w:val="2"/>
      <w:sz w:val="21"/>
      <w:szCs w:val="24"/>
    </w:rPr>
  </w:style>
  <w:style w:type="character" w:customStyle="1" w:styleId="124">
    <w:name w:val="font11"/>
    <w:qFormat/>
    <w:uiPriority w:val="0"/>
    <w:rPr>
      <w:rFonts w:hint="default" w:ascii="Times New Roman" w:hAnsi="Times New Roman" w:cs="Times New Roman"/>
      <w:color w:val="000000"/>
      <w:sz w:val="22"/>
      <w:szCs w:val="22"/>
      <w:u w:val="none"/>
    </w:rPr>
  </w:style>
  <w:style w:type="character" w:customStyle="1" w:styleId="125">
    <w:name w:val="表正文 Char1"/>
    <w:qFormat/>
    <w:uiPriority w:val="0"/>
    <w:rPr>
      <w:rFonts w:ascii="宋体" w:eastAsia="宋体"/>
      <w:snapToGrid w:val="0"/>
      <w:color w:val="000000"/>
      <w:kern w:val="28"/>
      <w:sz w:val="28"/>
    </w:rPr>
  </w:style>
  <w:style w:type="character" w:customStyle="1" w:styleId="126">
    <w:name w:val="blue1"/>
    <w:basedOn w:val="69"/>
    <w:qFormat/>
    <w:uiPriority w:val="0"/>
    <w:rPr>
      <w:rFonts w:ascii="Arial" w:hAnsi="Arial" w:eastAsia="黑体" w:cs="Arial"/>
      <w:snapToGrid w:val="0"/>
      <w:kern w:val="0"/>
      <w:szCs w:val="21"/>
    </w:rPr>
  </w:style>
  <w:style w:type="character" w:customStyle="1" w:styleId="127">
    <w:name w:val="纯文本 字符1"/>
    <w:link w:val="33"/>
    <w:qFormat/>
    <w:uiPriority w:val="0"/>
    <w:rPr>
      <w:rFonts w:ascii="宋体" w:hAnsi="Courier New" w:eastAsia="宋体" w:cs="Arial"/>
      <w:snapToGrid w:val="0"/>
      <w:kern w:val="2"/>
      <w:sz w:val="21"/>
      <w:szCs w:val="21"/>
      <w:lang w:val="en-US" w:eastAsia="zh-CN" w:bidi="ar-SA"/>
    </w:rPr>
  </w:style>
  <w:style w:type="character" w:customStyle="1" w:styleId="128">
    <w:name w:val="标书1 Char"/>
    <w:qFormat/>
    <w:uiPriority w:val="0"/>
    <w:rPr>
      <w:rFonts w:eastAsia="宋体"/>
      <w:b/>
      <w:bCs/>
      <w:kern w:val="44"/>
      <w:sz w:val="44"/>
      <w:szCs w:val="44"/>
      <w:lang w:val="en-US" w:eastAsia="zh-CN" w:bidi="ar-SA"/>
    </w:rPr>
  </w:style>
  <w:style w:type="character" w:customStyle="1" w:styleId="129">
    <w:name w:val="样式5 Char"/>
    <w:qFormat/>
    <w:uiPriority w:val="0"/>
    <w:rPr>
      <w:rFonts w:ascii="仿宋_GB2312" w:hAnsi="仿宋" w:eastAsia="仿宋_GB2312"/>
      <w:kern w:val="2"/>
      <w:sz w:val="24"/>
      <w:szCs w:val="24"/>
    </w:rPr>
  </w:style>
  <w:style w:type="character" w:customStyle="1" w:styleId="130">
    <w:name w:val="样式4 Char"/>
    <w:qFormat/>
    <w:uiPriority w:val="0"/>
    <w:rPr>
      <w:rFonts w:ascii="仿宋_GB2312" w:hAnsi="仿宋" w:eastAsia="仿宋_GB2312"/>
      <w:b/>
      <w:kern w:val="2"/>
      <w:sz w:val="32"/>
      <w:szCs w:val="32"/>
      <w:lang w:bidi="ar-SA"/>
    </w:rPr>
  </w:style>
  <w:style w:type="character" w:customStyle="1" w:styleId="131">
    <w:name w:val="插图说明 Char"/>
    <w:qFormat/>
    <w:uiPriority w:val="0"/>
    <w:rPr>
      <w:rFonts w:eastAsia="黑体"/>
      <w:sz w:val="24"/>
      <w:lang w:val="en-US" w:eastAsia="zh-CN"/>
    </w:rPr>
  </w:style>
  <w:style w:type="character" w:customStyle="1" w:styleId="132">
    <w:name w:val="正文2 Char Char"/>
    <w:link w:val="133"/>
    <w:qFormat/>
    <w:uiPriority w:val="0"/>
    <w:rPr>
      <w:rFonts w:eastAsia="宋体"/>
      <w:kern w:val="2"/>
      <w:sz w:val="24"/>
      <w:lang w:val="en-US" w:eastAsia="zh-CN" w:bidi="ar-SA"/>
    </w:rPr>
  </w:style>
  <w:style w:type="paragraph" w:customStyle="1" w:styleId="133">
    <w:name w:val="正文2"/>
    <w:basedOn w:val="1"/>
    <w:link w:val="132"/>
    <w:qFormat/>
    <w:uiPriority w:val="0"/>
    <w:pPr>
      <w:spacing w:before="156" w:line="360" w:lineRule="auto"/>
      <w:ind w:firstLine="510" w:firstLineChars="200"/>
    </w:pPr>
    <w:rPr>
      <w:sz w:val="24"/>
      <w:szCs w:val="20"/>
    </w:rPr>
  </w:style>
  <w:style w:type="character" w:customStyle="1" w:styleId="134">
    <w:name w:val="Char Char24"/>
    <w:qFormat/>
    <w:uiPriority w:val="6"/>
    <w:rPr>
      <w:kern w:val="1"/>
      <w:sz w:val="21"/>
    </w:rPr>
  </w:style>
  <w:style w:type="character" w:customStyle="1" w:styleId="135">
    <w:name w:val="副标题 字符"/>
    <w:link w:val="47"/>
    <w:qFormat/>
    <w:uiPriority w:val="0"/>
    <w:rPr>
      <w:rFonts w:ascii="Arial" w:hAnsi="Arial" w:eastAsia="隶书"/>
      <w:b/>
      <w:bCs/>
      <w:kern w:val="28"/>
      <w:sz w:val="44"/>
      <w:szCs w:val="32"/>
      <w:lang w:val="en-US" w:eastAsia="zh-CN" w:bidi="ar-SA"/>
    </w:rPr>
  </w:style>
  <w:style w:type="character" w:customStyle="1" w:styleId="136">
    <w:name w:val="普通文字 Char1 Char"/>
    <w:qFormat/>
    <w:uiPriority w:val="0"/>
    <w:rPr>
      <w:rFonts w:ascii="宋体" w:hAnsi="Courier New" w:eastAsia="宋体"/>
      <w:kern w:val="2"/>
      <w:sz w:val="21"/>
      <w:szCs w:val="24"/>
      <w:lang w:val="en-US" w:eastAsia="zh-CN" w:bidi="ar-SA"/>
    </w:rPr>
  </w:style>
  <w:style w:type="character" w:customStyle="1" w:styleId="137">
    <w:name w:val="h3 Char1"/>
    <w:qFormat/>
    <w:uiPriority w:val="0"/>
    <w:rPr>
      <w:rFonts w:eastAsia="宋体"/>
      <w:b/>
      <w:bCs/>
      <w:kern w:val="2"/>
      <w:sz w:val="32"/>
      <w:szCs w:val="32"/>
      <w:lang w:bidi="ar-SA"/>
    </w:rPr>
  </w:style>
  <w:style w:type="character" w:customStyle="1" w:styleId="138">
    <w:name w:val="标题 Char1"/>
    <w:qFormat/>
    <w:uiPriority w:val="0"/>
    <w:rPr>
      <w:rFonts w:ascii="Cambria" w:hAnsi="Cambria" w:eastAsia="宋体" w:cs="Times New Roman"/>
      <w:b/>
      <w:bCs/>
      <w:sz w:val="32"/>
      <w:szCs w:val="32"/>
      <w:lang w:bidi="ar-SA"/>
    </w:rPr>
  </w:style>
  <w:style w:type="character" w:customStyle="1" w:styleId="139">
    <w:name w:val="gf正文1 Char"/>
    <w:qFormat/>
    <w:uiPriority w:val="0"/>
    <w:rPr>
      <w:rFonts w:ascii="宋体" w:hAnsi="宋体" w:eastAsia="宋体" w:cs="宋体"/>
      <w:kern w:val="2"/>
      <w:sz w:val="24"/>
      <w:szCs w:val="24"/>
      <w:lang w:val="en-US" w:eastAsia="zh-CN" w:bidi="ar-SA"/>
    </w:rPr>
  </w:style>
  <w:style w:type="character" w:customStyle="1" w:styleId="140">
    <w:name w:val="正文文本缩进 Char1"/>
    <w:qFormat/>
    <w:uiPriority w:val="0"/>
    <w:rPr>
      <w:rFonts w:ascii="Calibri" w:hAnsi="Calibri"/>
      <w:sz w:val="28"/>
    </w:rPr>
  </w:style>
  <w:style w:type="character" w:customStyle="1" w:styleId="141">
    <w:name w:val="No Spacing Char"/>
    <w:link w:val="142"/>
    <w:qFormat/>
    <w:uiPriority w:val="1"/>
    <w:rPr>
      <w:sz w:val="22"/>
      <w:szCs w:val="22"/>
      <w:lang w:val="en-US" w:eastAsia="zh-CN" w:bidi="ar-SA"/>
    </w:rPr>
  </w:style>
  <w:style w:type="paragraph" w:customStyle="1" w:styleId="142">
    <w:name w:val="无间隔1"/>
    <w:link w:val="141"/>
    <w:qFormat/>
    <w:uiPriority w:val="1"/>
    <w:rPr>
      <w:rFonts w:ascii="Times New Roman" w:hAnsi="Times New Roman" w:eastAsia="宋体" w:cs="Times New Roman"/>
      <w:sz w:val="22"/>
      <w:szCs w:val="22"/>
      <w:lang w:val="en-US" w:eastAsia="zh-CN" w:bidi="ar-SA"/>
    </w:rPr>
  </w:style>
  <w:style w:type="character" w:customStyle="1" w:styleId="143">
    <w:name w:val="样式7 Char"/>
    <w:qFormat/>
    <w:uiPriority w:val="0"/>
    <w:rPr>
      <w:rFonts w:ascii="仿宋_GB2312" w:hAnsi="仿宋" w:eastAsia="仿宋_GB2312"/>
      <w:b/>
      <w:kern w:val="2"/>
      <w:sz w:val="24"/>
      <w:szCs w:val="24"/>
    </w:rPr>
  </w:style>
  <w:style w:type="character" w:customStyle="1" w:styleId="144">
    <w:name w:val="font12gray1"/>
    <w:qFormat/>
    <w:uiPriority w:val="0"/>
    <w:rPr>
      <w:rFonts w:ascii="仿宋_GB2312" w:eastAsia="微软雅黑"/>
      <w:b/>
      <w:spacing w:val="300"/>
      <w:kern w:val="2"/>
      <w:sz w:val="18"/>
      <w:szCs w:val="18"/>
      <w:lang w:val="en-US" w:eastAsia="zh-CN" w:bidi="ar-SA"/>
    </w:rPr>
  </w:style>
  <w:style w:type="character" w:customStyle="1" w:styleId="145">
    <w:name w:val="Char Char7"/>
    <w:semiHidden/>
    <w:qFormat/>
    <w:uiPriority w:val="0"/>
    <w:rPr>
      <w:rFonts w:eastAsia="宋体"/>
      <w:kern w:val="2"/>
      <w:sz w:val="21"/>
      <w:szCs w:val="24"/>
      <w:lang w:val="en-US" w:eastAsia="zh-CN" w:bidi="ar-SA"/>
    </w:rPr>
  </w:style>
  <w:style w:type="character" w:customStyle="1" w:styleId="146">
    <w:name w:val="表名 Char"/>
    <w:qFormat/>
    <w:uiPriority w:val="0"/>
    <w:rPr>
      <w:rFonts w:eastAsia="宋体"/>
      <w:b/>
      <w:bCs/>
      <w:kern w:val="2"/>
      <w:sz w:val="24"/>
      <w:szCs w:val="24"/>
      <w:lang w:val="en-US" w:eastAsia="zh-CN" w:bidi="ar-SA"/>
    </w:rPr>
  </w:style>
  <w:style w:type="character" w:customStyle="1" w:styleId="147">
    <w:name w:val="Document Map Char"/>
    <w:qFormat/>
    <w:locked/>
    <w:uiPriority w:val="0"/>
    <w:rPr>
      <w:rFonts w:eastAsia="宋体"/>
      <w:kern w:val="2"/>
      <w:sz w:val="21"/>
      <w:szCs w:val="24"/>
      <w:lang w:val="en-US" w:eastAsia="zh-CN" w:bidi="ar-SA"/>
    </w:rPr>
  </w:style>
  <w:style w:type="character" w:customStyle="1" w:styleId="148">
    <w:name w:val="font41"/>
    <w:qFormat/>
    <w:uiPriority w:val="0"/>
    <w:rPr>
      <w:rFonts w:hint="eastAsia" w:ascii="仿宋_GB2312" w:eastAsia="仿宋_GB2312" w:cs="仿宋_GB2312"/>
      <w:color w:val="000000"/>
      <w:sz w:val="22"/>
      <w:szCs w:val="22"/>
      <w:u w:val="none"/>
    </w:rPr>
  </w:style>
  <w:style w:type="character" w:customStyle="1" w:styleId="149">
    <w:name w:val="标题 6 字符"/>
    <w:link w:val="10"/>
    <w:qFormat/>
    <w:uiPriority w:val="0"/>
    <w:rPr>
      <w:rFonts w:ascii="Arial" w:hAnsi="Arial" w:eastAsia="黑体"/>
      <w:b/>
      <w:bCs/>
      <w:kern w:val="2"/>
      <w:sz w:val="24"/>
      <w:szCs w:val="24"/>
    </w:rPr>
  </w:style>
  <w:style w:type="character" w:customStyle="1" w:styleId="150">
    <w:name w:val="纯文本 Char_0"/>
    <w:link w:val="151"/>
    <w:qFormat/>
    <w:uiPriority w:val="0"/>
    <w:rPr>
      <w:rFonts w:ascii="宋体" w:hAnsi="Courier New"/>
      <w:kern w:val="2"/>
      <w:sz w:val="21"/>
      <w:szCs w:val="21"/>
      <w:lang w:val="en-US" w:eastAsia="zh-CN"/>
    </w:rPr>
  </w:style>
  <w:style w:type="paragraph" w:customStyle="1" w:styleId="151">
    <w:name w:val="纯文本_0_0"/>
    <w:basedOn w:val="152"/>
    <w:link w:val="150"/>
    <w:qFormat/>
    <w:uiPriority w:val="0"/>
    <w:rPr>
      <w:rFonts w:ascii="宋体" w:hAnsi="Courier New"/>
      <w:szCs w:val="21"/>
    </w:rPr>
  </w:style>
  <w:style w:type="paragraph" w:customStyle="1" w:styleId="15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qFormat/>
    <w:locked/>
    <w:uiPriority w:val="0"/>
    <w:rPr>
      <w:rFonts w:eastAsia="宋体"/>
      <w:kern w:val="2"/>
      <w:sz w:val="18"/>
      <w:szCs w:val="18"/>
      <w:lang w:val="en-US" w:eastAsia="zh-CN" w:bidi="ar-SA"/>
    </w:rPr>
  </w:style>
  <w:style w:type="character" w:customStyle="1" w:styleId="154">
    <w:name w:val="正文 项目2 Char"/>
    <w:basedOn w:val="155"/>
    <w:qFormat/>
    <w:uiPriority w:val="0"/>
    <w:rPr>
      <w:rFonts w:ascii="仿宋_GB2312" w:hAnsi="仿宋_GB2312" w:eastAsia="仿宋_GB2312"/>
      <w:kern w:val="2"/>
      <w:sz w:val="24"/>
      <w:lang w:bidi="ar-SA"/>
    </w:rPr>
  </w:style>
  <w:style w:type="character" w:customStyle="1" w:styleId="155">
    <w:name w:val="正文 项目 Char"/>
    <w:qFormat/>
    <w:uiPriority w:val="0"/>
    <w:rPr>
      <w:rFonts w:ascii="仿宋_GB2312" w:hAnsi="仿宋_GB2312" w:eastAsia="仿宋_GB2312"/>
      <w:kern w:val="2"/>
      <w:sz w:val="24"/>
      <w:lang w:bidi="ar-SA"/>
    </w:rPr>
  </w:style>
  <w:style w:type="character" w:customStyle="1" w:styleId="156">
    <w:name w:val="h Char Char1"/>
    <w:qFormat/>
    <w:uiPriority w:val="0"/>
    <w:rPr>
      <w:rFonts w:eastAsia="宋体"/>
      <w:kern w:val="2"/>
      <w:sz w:val="18"/>
      <w:szCs w:val="18"/>
      <w:lang w:val="en-US" w:eastAsia="zh-CN" w:bidi="ar-SA"/>
    </w:rPr>
  </w:style>
  <w:style w:type="character" w:customStyle="1" w:styleId="157">
    <w:name w:val="Char Char27"/>
    <w:qFormat/>
    <w:uiPriority w:val="6"/>
    <w:rPr>
      <w:rFonts w:ascii="宋体" w:hAnsi="宋体" w:eastAsia="宋体"/>
      <w:color w:val="000000"/>
      <w:kern w:val="1"/>
      <w:sz w:val="28"/>
      <w:lang w:val="en-US" w:eastAsia="zh-CN" w:bidi="ar-SA"/>
    </w:rPr>
  </w:style>
  <w:style w:type="character" w:customStyle="1" w:styleId="158">
    <w:name w:val="px14"/>
    <w:qFormat/>
    <w:uiPriority w:val="0"/>
    <w:rPr>
      <w:rFonts w:ascii="仿宋_GB2312" w:eastAsia="微软雅黑" w:cs="Times New Roman"/>
      <w:b/>
      <w:kern w:val="2"/>
      <w:sz w:val="32"/>
      <w:szCs w:val="32"/>
      <w:lang w:val="en-US" w:eastAsia="zh-CN" w:bidi="ar-SA"/>
    </w:rPr>
  </w:style>
  <w:style w:type="character" w:customStyle="1" w:styleId="159">
    <w:name w:val="HTML 预设格式 Char1"/>
    <w:qFormat/>
    <w:uiPriority w:val="0"/>
    <w:rPr>
      <w:rFonts w:ascii="Courier New" w:hAnsi="Courier New" w:eastAsia="宋体" w:cs="Courier New"/>
      <w:sz w:val="20"/>
      <w:szCs w:val="20"/>
    </w:rPr>
  </w:style>
  <w:style w:type="character" w:customStyle="1" w:styleId="160">
    <w:name w:val="普通文字 Char1"/>
    <w:qFormat/>
    <w:uiPriority w:val="0"/>
    <w:rPr>
      <w:rFonts w:ascii="宋体" w:hAnsi="Courier New" w:eastAsia="宋体"/>
      <w:kern w:val="2"/>
      <w:sz w:val="21"/>
      <w:lang w:val="en-US" w:eastAsia="zh-CN"/>
    </w:rPr>
  </w:style>
  <w:style w:type="character" w:customStyle="1" w:styleId="161">
    <w:name w:val="hei16b1"/>
    <w:qFormat/>
    <w:uiPriority w:val="0"/>
    <w:rPr>
      <w:rFonts w:hint="default" w:ascii="Arial" w:hAnsi="Arial" w:cs="Arial"/>
      <w:b/>
      <w:bCs/>
      <w:color w:val="000000"/>
      <w:sz w:val="24"/>
      <w:szCs w:val="24"/>
    </w:rPr>
  </w:style>
  <w:style w:type="character" w:customStyle="1" w:styleId="162">
    <w:name w:val="正文（绿盟科技） Char"/>
    <w:link w:val="163"/>
    <w:qFormat/>
    <w:uiPriority w:val="0"/>
    <w:rPr>
      <w:rFonts w:ascii="Arial" w:hAnsi="Arial"/>
      <w:sz w:val="21"/>
      <w:szCs w:val="21"/>
    </w:rPr>
  </w:style>
  <w:style w:type="paragraph" w:customStyle="1" w:styleId="163">
    <w:name w:val="正文（绿盟科技）"/>
    <w:link w:val="162"/>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qFormat/>
    <w:uiPriority w:val="6"/>
    <w:rPr>
      <w:rFonts w:ascii="宋体" w:hAnsi="宋体"/>
      <w:i/>
      <w:sz w:val="24"/>
      <w:szCs w:val="24"/>
    </w:rPr>
  </w:style>
  <w:style w:type="character" w:customStyle="1" w:styleId="165">
    <w:name w:val="页脚 Char"/>
    <w:qFormat/>
    <w:uiPriority w:val="0"/>
    <w:rPr>
      <w:rFonts w:eastAsia="仿宋_GB2312"/>
      <w:kern w:val="2"/>
      <w:sz w:val="18"/>
      <w:lang w:val="en-US" w:eastAsia="zh-CN"/>
    </w:rPr>
  </w:style>
  <w:style w:type="character" w:customStyle="1" w:styleId="166">
    <w:name w:val="批注主题 Char"/>
    <w:qFormat/>
    <w:uiPriority w:val="0"/>
    <w:rPr>
      <w:rFonts w:eastAsia="宋体"/>
      <w:b/>
      <w:bCs/>
      <w:kern w:val="2"/>
      <w:sz w:val="21"/>
      <w:szCs w:val="24"/>
      <w:lang w:val="en-US" w:eastAsia="zh-CN" w:bidi="ar-SA"/>
    </w:rPr>
  </w:style>
  <w:style w:type="character" w:customStyle="1" w:styleId="167">
    <w:name w:val="Comment Text Char"/>
    <w:qFormat/>
    <w:locked/>
    <w:uiPriority w:val="0"/>
    <w:rPr>
      <w:rFonts w:ascii="宋体" w:hAnsi="宋体" w:eastAsia="宋体"/>
      <w:kern w:val="2"/>
      <w:sz w:val="24"/>
      <w:lang w:val="en-US" w:eastAsia="zh-CN" w:bidi="ar-SA"/>
    </w:rPr>
  </w:style>
  <w:style w:type="character" w:customStyle="1" w:styleId="168">
    <w:name w:val="标题 2 字符"/>
    <w:qFormat/>
    <w:uiPriority w:val="1"/>
    <w:rPr>
      <w:rFonts w:ascii="仿宋_GB2312" w:hAnsi="Times New Roman" w:eastAsia="仿宋_GB2312" w:cs="Times New Roman"/>
      <w:b/>
      <w:kern w:val="2"/>
      <w:sz w:val="24"/>
      <w:lang w:val="zh-CN"/>
    </w:rPr>
  </w:style>
  <w:style w:type="character" w:customStyle="1" w:styleId="169">
    <w:name w:val="Char Char72"/>
    <w:qFormat/>
    <w:uiPriority w:val="0"/>
    <w:rPr>
      <w:rFonts w:eastAsia="宋体"/>
      <w:kern w:val="2"/>
      <w:sz w:val="21"/>
      <w:szCs w:val="24"/>
      <w:lang w:val="en-US" w:eastAsia="zh-CN" w:bidi="ar-SA"/>
    </w:rPr>
  </w:style>
  <w:style w:type="character" w:customStyle="1" w:styleId="170">
    <w:name w:val="正文文本缩进 Char2"/>
    <w:qFormat/>
    <w:uiPriority w:val="0"/>
    <w:rPr>
      <w:rFonts w:ascii="Times New Roman" w:hAnsi="Times New Roman" w:eastAsia="宋体" w:cs="Times New Roman"/>
      <w:snapToGrid w:val="0"/>
      <w:kern w:val="0"/>
      <w:szCs w:val="24"/>
    </w:rPr>
  </w:style>
  <w:style w:type="character" w:customStyle="1" w:styleId="171">
    <w:name w:val="样式2 Char"/>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qFormat/>
    <w:uiPriority w:val="0"/>
    <w:rPr>
      <w:sz w:val="32"/>
    </w:rPr>
  </w:style>
  <w:style w:type="paragraph" w:customStyle="1" w:styleId="173">
    <w:name w:val="表格名称"/>
    <w:basedOn w:val="5"/>
    <w:link w:val="172"/>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qFormat/>
    <w:uiPriority w:val="0"/>
    <w:rPr>
      <w:rFonts w:eastAsia="宋体"/>
      <w:b/>
      <w:sz w:val="24"/>
      <w:lang w:val="en-GB" w:eastAsia="zh-CN" w:bidi="ar-SA"/>
    </w:rPr>
  </w:style>
  <w:style w:type="character" w:customStyle="1" w:styleId="175">
    <w:name w:val="c7 style3"/>
    <w:qFormat/>
    <w:uiPriority w:val="0"/>
  </w:style>
  <w:style w:type="character" w:customStyle="1" w:styleId="176">
    <w:name w:val="正文文本 3 Char1"/>
    <w:semiHidden/>
    <w:qFormat/>
    <w:uiPriority w:val="99"/>
    <w:rPr>
      <w:rFonts w:ascii="Times New Roman" w:hAnsi="Times New Roman" w:eastAsia="宋体" w:cs="Times New Roman"/>
      <w:sz w:val="16"/>
      <w:szCs w:val="16"/>
    </w:rPr>
  </w:style>
  <w:style w:type="character" w:customStyle="1" w:styleId="177">
    <w:name w:val="tw4winInternal"/>
    <w:qFormat/>
    <w:uiPriority w:val="0"/>
    <w:rPr>
      <w:rFonts w:ascii="Courier New" w:hAnsi="Courier New" w:cs="Courier New"/>
      <w:color w:val="FF0000"/>
      <w:lang w:val="en-US" w:eastAsia="zh-CN"/>
    </w:rPr>
  </w:style>
  <w:style w:type="character" w:customStyle="1" w:styleId="178">
    <w:name w:val="Char Char10"/>
    <w:semiHidden/>
    <w:qFormat/>
    <w:uiPriority w:val="0"/>
    <w:rPr>
      <w:rFonts w:ascii="宋体" w:hAnsi="宋体"/>
      <w:kern w:val="2"/>
      <w:sz w:val="21"/>
      <w:szCs w:val="24"/>
      <w:lang w:val="en-US" w:eastAsia="zh-CN"/>
    </w:rPr>
  </w:style>
  <w:style w:type="character" w:customStyle="1" w:styleId="179">
    <w:name w:val="shadow11"/>
    <w:qFormat/>
    <w:uiPriority w:val="0"/>
    <w:rPr>
      <w:color w:val="000000"/>
      <w:sz w:val="21"/>
    </w:rPr>
  </w:style>
  <w:style w:type="character" w:customStyle="1" w:styleId="180">
    <w:name w:val="正文非缩进 Char3"/>
    <w:qFormat/>
    <w:uiPriority w:val="0"/>
    <w:rPr>
      <w:rFonts w:ascii="宋体" w:eastAsia="宋体"/>
      <w:snapToGrid w:val="0"/>
      <w:color w:val="000000"/>
      <w:kern w:val="28"/>
      <w:sz w:val="28"/>
      <w:lang w:val="en-US" w:eastAsia="zh-CN" w:bidi="ar-SA"/>
    </w:rPr>
  </w:style>
  <w:style w:type="character" w:customStyle="1" w:styleId="181">
    <w:name w:val="Char Char"/>
    <w:qFormat/>
    <w:uiPriority w:val="0"/>
    <w:rPr>
      <w:rFonts w:ascii="宋体" w:hAnsi="Courier New" w:eastAsia="宋体"/>
      <w:kern w:val="2"/>
      <w:sz w:val="21"/>
      <w:lang w:val="en-US" w:eastAsia="zh-CN" w:bidi="ar-SA"/>
    </w:rPr>
  </w:style>
  <w:style w:type="character" w:customStyle="1" w:styleId="182">
    <w:name w:val="签名 Char1"/>
    <w:qFormat/>
    <w:uiPriority w:val="0"/>
    <w:rPr>
      <w:rFonts w:ascii="Times New Roman" w:hAnsi="Times New Roman" w:eastAsia="宋体" w:cs="Times New Roman"/>
      <w:szCs w:val="24"/>
    </w:rPr>
  </w:style>
  <w:style w:type="character" w:customStyle="1" w:styleId="183">
    <w:name w:val="日期 字符"/>
    <w:link w:val="36"/>
    <w:qFormat/>
    <w:uiPriority w:val="0"/>
    <w:rPr>
      <w:rFonts w:ascii="宋体"/>
      <w:kern w:val="2"/>
      <w:sz w:val="24"/>
      <w:szCs w:val="21"/>
      <w:lang w:val="zh-CN"/>
    </w:rPr>
  </w:style>
  <w:style w:type="character" w:customStyle="1" w:styleId="184">
    <w:name w:val="标题 9 字符"/>
    <w:link w:val="13"/>
    <w:qFormat/>
    <w:uiPriority w:val="0"/>
    <w:rPr>
      <w:rFonts w:ascii="Arial" w:hAnsi="Arial" w:eastAsia="黑体"/>
      <w:kern w:val="2"/>
      <w:sz w:val="21"/>
      <w:szCs w:val="21"/>
    </w:rPr>
  </w:style>
  <w:style w:type="character" w:customStyle="1" w:styleId="185">
    <w:name w:val="Char Char18"/>
    <w:qFormat/>
    <w:uiPriority w:val="6"/>
    <w:rPr>
      <w:rFonts w:ascii="宋体" w:hAnsi="宋体"/>
      <w:sz w:val="28"/>
    </w:rPr>
  </w:style>
  <w:style w:type="character" w:customStyle="1" w:styleId="186">
    <w:name w:val="批注文字 Char"/>
    <w:qFormat/>
    <w:uiPriority w:val="0"/>
    <w:rPr>
      <w:kern w:val="2"/>
      <w:sz w:val="21"/>
      <w:szCs w:val="24"/>
    </w:rPr>
  </w:style>
  <w:style w:type="character" w:customStyle="1" w:styleId="187">
    <w:name w:val="Char Char22"/>
    <w:qFormat/>
    <w:uiPriority w:val="6"/>
    <w:rPr>
      <w:rFonts w:ascii="宋体" w:hAnsi="宋体"/>
      <w:kern w:val="1"/>
      <w:sz w:val="24"/>
      <w:szCs w:val="24"/>
    </w:rPr>
  </w:style>
  <w:style w:type="character" w:customStyle="1" w:styleId="188">
    <w:name w:val="pt141"/>
    <w:qFormat/>
    <w:uiPriority w:val="0"/>
    <w:rPr>
      <w:color w:val="330066"/>
      <w:sz w:val="22"/>
      <w:szCs w:val="22"/>
    </w:rPr>
  </w:style>
  <w:style w:type="character" w:customStyle="1" w:styleId="189">
    <w:name w:val="正文文本缩进 2 Char1"/>
    <w:semiHidden/>
    <w:qFormat/>
    <w:uiPriority w:val="99"/>
    <w:rPr>
      <w:rFonts w:ascii="Times New Roman" w:hAnsi="Times New Roman" w:eastAsia="宋体" w:cs="Times New Roman"/>
      <w:szCs w:val="24"/>
    </w:rPr>
  </w:style>
  <w:style w:type="character" w:customStyle="1" w:styleId="190">
    <w:name w:val="批注框文本 字符1"/>
    <w:link w:val="39"/>
    <w:qFormat/>
    <w:uiPriority w:val="0"/>
    <w:rPr>
      <w:kern w:val="2"/>
      <w:sz w:val="18"/>
      <w:szCs w:val="18"/>
    </w:rPr>
  </w:style>
  <w:style w:type="character" w:customStyle="1" w:styleId="191">
    <w:name w:val="Char Char611"/>
    <w:qFormat/>
    <w:uiPriority w:val="0"/>
    <w:rPr>
      <w:rFonts w:eastAsia="宋体"/>
      <w:kern w:val="2"/>
      <w:sz w:val="21"/>
      <w:szCs w:val="24"/>
      <w:lang w:val="en-US" w:eastAsia="zh-CN" w:bidi="ar-SA"/>
    </w:rPr>
  </w:style>
  <w:style w:type="character" w:customStyle="1" w:styleId="192">
    <w:name w:val="highlight1"/>
    <w:qFormat/>
    <w:uiPriority w:val="0"/>
    <w:rPr>
      <w:rFonts w:ascii="仿宋_GB2312" w:eastAsia="微软雅黑"/>
      <w:b/>
      <w:kern w:val="2"/>
      <w:sz w:val="23"/>
      <w:szCs w:val="23"/>
      <w:lang w:val="en-US" w:eastAsia="zh-CN" w:bidi="ar-SA"/>
    </w:rPr>
  </w:style>
  <w:style w:type="character" w:customStyle="1" w:styleId="193">
    <w:name w:val="my正文 Char"/>
    <w:link w:val="194"/>
    <w:qFormat/>
    <w:locked/>
    <w:uiPriority w:val="0"/>
    <w:rPr>
      <w:rFonts w:ascii="Tahoma" w:hAnsi="Tahoma"/>
      <w:sz w:val="24"/>
      <w:szCs w:val="24"/>
    </w:rPr>
  </w:style>
  <w:style w:type="paragraph" w:customStyle="1" w:styleId="194">
    <w:name w:val="my正文"/>
    <w:basedOn w:val="1"/>
    <w:link w:val="193"/>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7"/>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qFormat/>
    <w:uiPriority w:val="0"/>
    <w:rPr>
      <w:color w:val="0000FF"/>
      <w:sz w:val="21"/>
    </w:rPr>
  </w:style>
  <w:style w:type="character" w:customStyle="1" w:styleId="197">
    <w:name w:val="页眉 Char"/>
    <w:qFormat/>
    <w:uiPriority w:val="0"/>
    <w:rPr>
      <w:rFonts w:eastAsia="仿宋_GB2312"/>
      <w:kern w:val="2"/>
      <w:sz w:val="18"/>
      <w:lang w:val="en-US" w:eastAsia="zh-CN"/>
    </w:rPr>
  </w:style>
  <w:style w:type="character" w:customStyle="1" w:styleId="198">
    <w:name w:val="FA正文 Char Char"/>
    <w:qFormat/>
    <w:uiPriority w:val="0"/>
    <w:rPr>
      <w:rFonts w:hAnsi="宋体"/>
      <w:kern w:val="2"/>
      <w:sz w:val="24"/>
      <w:lang w:bidi="ar-SA"/>
    </w:rPr>
  </w:style>
  <w:style w:type="character" w:customStyle="1" w:styleId="199">
    <w:name w:val="纯文本 字符"/>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qFormat/>
    <w:uiPriority w:val="0"/>
    <w:rPr>
      <w:rFonts w:ascii="宋体" w:hAnsi="宋体"/>
      <w:b/>
      <w:bCs/>
      <w:snapToGrid/>
      <w:sz w:val="28"/>
    </w:rPr>
  </w:style>
  <w:style w:type="paragraph" w:customStyle="1" w:styleId="201">
    <w:name w:val="3级"/>
    <w:basedOn w:val="202"/>
    <w:link w:val="200"/>
    <w:qFormat/>
    <w:uiPriority w:val="0"/>
    <w:pPr>
      <w:ind w:left="0" w:right="466" w:firstLine="288"/>
    </w:pPr>
    <w:rPr>
      <w:rFonts w:hAnsi="宋体"/>
      <w:snapToGrid/>
    </w:rPr>
  </w:style>
  <w:style w:type="paragraph" w:customStyle="1" w:styleId="202">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qFormat/>
    <w:uiPriority w:val="0"/>
    <w:rPr>
      <w:rFonts w:ascii="仿宋_GB2312" w:eastAsia="微软雅黑"/>
      <w:b/>
      <w:kern w:val="2"/>
      <w:sz w:val="32"/>
      <w:szCs w:val="32"/>
      <w:lang w:val="en-US" w:eastAsia="zh-CN" w:bidi="ar-SA"/>
    </w:rPr>
  </w:style>
  <w:style w:type="character" w:customStyle="1" w:styleId="204">
    <w:name w:val="文档结构图 字符"/>
    <w:link w:val="20"/>
    <w:qFormat/>
    <w:uiPriority w:val="0"/>
    <w:rPr>
      <w:kern w:val="2"/>
      <w:sz w:val="21"/>
      <w:szCs w:val="24"/>
      <w:shd w:val="clear" w:color="auto" w:fill="000080"/>
    </w:rPr>
  </w:style>
  <w:style w:type="character" w:customStyle="1" w:styleId="205">
    <w:name w:val="H6 Char"/>
    <w:qFormat/>
    <w:uiPriority w:val="0"/>
    <w:rPr>
      <w:rFonts w:ascii="Arial" w:hAnsi="Arial" w:eastAsia="黑体"/>
      <w:b/>
      <w:bCs/>
      <w:kern w:val="2"/>
      <w:sz w:val="24"/>
      <w:szCs w:val="24"/>
    </w:rPr>
  </w:style>
  <w:style w:type="character" w:customStyle="1" w:styleId="206">
    <w:name w:val="Char Char91"/>
    <w:qFormat/>
    <w:uiPriority w:val="0"/>
    <w:rPr>
      <w:rFonts w:eastAsia="宋体"/>
      <w:kern w:val="2"/>
      <w:sz w:val="18"/>
      <w:szCs w:val="18"/>
      <w:lang w:val="en-US" w:eastAsia="zh-CN" w:bidi="ar-SA"/>
    </w:rPr>
  </w:style>
  <w:style w:type="character" w:customStyle="1" w:styleId="207">
    <w:name w:val="副标题 Char1"/>
    <w:qFormat/>
    <w:uiPriority w:val="0"/>
    <w:rPr>
      <w:rFonts w:ascii="Cambria" w:hAnsi="Cambria" w:eastAsia="宋体" w:cs="Times New Roman"/>
      <w:b/>
      <w:bCs/>
      <w:snapToGrid w:val="0"/>
      <w:kern w:val="28"/>
      <w:sz w:val="32"/>
      <w:szCs w:val="32"/>
    </w:rPr>
  </w:style>
  <w:style w:type="character" w:customStyle="1" w:styleId="208">
    <w:name w:val="font61"/>
    <w:qFormat/>
    <w:uiPriority w:val="0"/>
    <w:rPr>
      <w:rFonts w:hint="eastAsia" w:ascii="仿宋" w:hAnsi="仿宋" w:eastAsia="仿宋" w:cs="仿宋"/>
      <w:color w:val="000000"/>
      <w:sz w:val="20"/>
      <w:szCs w:val="20"/>
      <w:u w:val="none"/>
    </w:rPr>
  </w:style>
  <w:style w:type="character" w:customStyle="1" w:styleId="209">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题 2 Char"/>
    <w:qFormat/>
    <w:uiPriority w:val="0"/>
    <w:rPr>
      <w:rFonts w:ascii="Arial" w:hAnsi="Arial" w:eastAsia="黑体"/>
      <w:b/>
      <w:kern w:val="2"/>
      <w:sz w:val="32"/>
      <w:lang w:val="en-US" w:eastAsia="zh-CN"/>
    </w:rPr>
  </w:style>
  <w:style w:type="character" w:customStyle="1" w:styleId="212">
    <w:name w:val="maywed421"/>
    <w:qFormat/>
    <w:uiPriority w:val="0"/>
    <w:rPr>
      <w:color w:val="366FB6"/>
      <w:u w:val="none"/>
    </w:rPr>
  </w:style>
  <w:style w:type="character" w:customStyle="1" w:styleId="213">
    <w:name w:val="正文文本缩进 Char"/>
    <w:qFormat/>
    <w:uiPriority w:val="0"/>
    <w:rPr>
      <w:rFonts w:ascii="宋体" w:hAnsi="宋体"/>
      <w:kern w:val="2"/>
      <w:sz w:val="24"/>
      <w:szCs w:val="24"/>
    </w:rPr>
  </w:style>
  <w:style w:type="character" w:customStyle="1" w:styleId="214">
    <w:name w:val="Char Char102"/>
    <w:semiHidden/>
    <w:qFormat/>
    <w:uiPriority w:val="0"/>
    <w:rPr>
      <w:rFonts w:ascii="宋体" w:hAnsi="宋体"/>
      <w:kern w:val="2"/>
      <w:sz w:val="21"/>
      <w:szCs w:val="24"/>
      <w:lang w:val="en-US" w:eastAsia="zh-CN"/>
    </w:rPr>
  </w:style>
  <w:style w:type="character" w:customStyle="1" w:styleId="215">
    <w:name w:val="页眉 Char1"/>
    <w:qFormat/>
    <w:uiPriority w:val="0"/>
    <w:rPr>
      <w:rFonts w:eastAsia="宋体"/>
      <w:kern w:val="2"/>
      <w:sz w:val="18"/>
      <w:szCs w:val="18"/>
      <w:lang w:val="en-US" w:eastAsia="zh-CN" w:bidi="ar-SA"/>
    </w:rPr>
  </w:style>
  <w:style w:type="character" w:customStyle="1" w:styleId="216">
    <w:name w:val="md"/>
    <w:basedOn w:val="69"/>
    <w:qFormat/>
    <w:uiPriority w:val="0"/>
    <w:rPr>
      <w:rFonts w:ascii="Arial" w:hAnsi="Arial" w:eastAsia="黑体" w:cs="Arial"/>
      <w:snapToGrid w:val="0"/>
      <w:kern w:val="0"/>
      <w:szCs w:val="21"/>
    </w:rPr>
  </w:style>
  <w:style w:type="character" w:customStyle="1" w:styleId="217">
    <w:name w:val="big1"/>
    <w:qFormat/>
    <w:uiPriority w:val="0"/>
    <w:rPr>
      <w:rFonts w:hint="eastAsia" w:ascii="宋体" w:hAnsi="宋体" w:eastAsia="宋体"/>
      <w:color w:val="333333"/>
      <w:sz w:val="22"/>
      <w:szCs w:val="22"/>
    </w:rPr>
  </w:style>
  <w:style w:type="character" w:customStyle="1" w:styleId="218">
    <w:name w:val="Char Char311"/>
    <w:qFormat/>
    <w:uiPriority w:val="0"/>
    <w:rPr>
      <w:rFonts w:eastAsia="宋体"/>
      <w:kern w:val="2"/>
      <w:sz w:val="21"/>
      <w:szCs w:val="24"/>
      <w:lang w:val="en-US" w:eastAsia="zh-CN" w:bidi="ar-SA"/>
    </w:rPr>
  </w:style>
  <w:style w:type="character" w:customStyle="1" w:styleId="219">
    <w:name w:val="Char Char81"/>
    <w:qFormat/>
    <w:uiPriority w:val="6"/>
    <w:rPr>
      <w:rFonts w:eastAsia="宋体"/>
      <w:b/>
      <w:sz w:val="24"/>
      <w:lang w:val="en-GB" w:eastAsia="zh-CN"/>
    </w:rPr>
  </w:style>
  <w:style w:type="character" w:customStyle="1" w:styleId="220">
    <w:name w:val="样式3 Char"/>
    <w:basedOn w:val="171"/>
    <w:qFormat/>
    <w:uiPriority w:val="0"/>
    <w:rPr>
      <w:rFonts w:ascii="仿宋_GB2312" w:hAnsi="仿宋" w:eastAsia="仿宋_GB2312" w:cs="仿宋_GB2312"/>
      <w:sz w:val="32"/>
      <w:szCs w:val="30"/>
      <w:lang w:val="zh-CN"/>
    </w:rPr>
  </w:style>
  <w:style w:type="character" w:customStyle="1" w:styleId="221">
    <w:name w:val="HTML 地址 字符"/>
    <w:link w:val="30"/>
    <w:qFormat/>
    <w:uiPriority w:val="0"/>
    <w:rPr>
      <w:rFonts w:ascii="宋体" w:hAnsi="宋体"/>
      <w:i/>
      <w:iCs/>
      <w:sz w:val="24"/>
      <w:szCs w:val="24"/>
    </w:rPr>
  </w:style>
  <w:style w:type="character" w:customStyle="1" w:styleId="222">
    <w:name w:val="正文首行缩进 2 Char1"/>
    <w:qFormat/>
    <w:uiPriority w:val="0"/>
    <w:rPr>
      <w:rFonts w:ascii="Times New Roman" w:hAnsi="Times New Roman" w:eastAsia="宋体" w:cs="Times New Roman"/>
      <w:kern w:val="2"/>
      <w:sz w:val="24"/>
      <w:szCs w:val="24"/>
    </w:rPr>
  </w:style>
  <w:style w:type="character" w:customStyle="1" w:styleId="223">
    <w:name w:val="副标题 Char2"/>
    <w:qFormat/>
    <w:uiPriority w:val="0"/>
    <w:rPr>
      <w:rFonts w:ascii="Cambria" w:hAnsi="Cambria" w:eastAsia="宋体" w:cs="Times New Roman"/>
      <w:b/>
      <w:bCs/>
      <w:snapToGrid w:val="0"/>
      <w:kern w:val="28"/>
      <w:sz w:val="32"/>
      <w:szCs w:val="32"/>
    </w:rPr>
  </w:style>
  <w:style w:type="character" w:customStyle="1" w:styleId="224">
    <w:name w:val="标题4-dyf Char"/>
    <w:link w:val="225"/>
    <w:qFormat/>
    <w:uiPriority w:val="0"/>
    <w:rPr>
      <w:rFonts w:ascii="Cambria" w:hAnsi="Cambria"/>
      <w:b/>
      <w:bCs/>
      <w:color w:val="000000"/>
      <w:kern w:val="2"/>
      <w:sz w:val="21"/>
      <w:szCs w:val="21"/>
    </w:rPr>
  </w:style>
  <w:style w:type="paragraph" w:customStyle="1" w:styleId="225">
    <w:name w:val="标题4-dyf"/>
    <w:basedOn w:val="8"/>
    <w:link w:val="224"/>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qFormat/>
    <w:uiPriority w:val="0"/>
    <w:rPr>
      <w:rFonts w:ascii="宋体" w:hAnsi="宋体" w:eastAsia="宋体"/>
      <w:color w:val="333333"/>
      <w:sz w:val="21"/>
      <w:szCs w:val="21"/>
      <w:u w:val="none"/>
    </w:rPr>
  </w:style>
  <w:style w:type="character" w:customStyle="1" w:styleId="227">
    <w:name w:val="冯 Char"/>
    <w:link w:val="228"/>
    <w:qFormat/>
    <w:uiPriority w:val="0"/>
    <w:rPr>
      <w:rFonts w:ascii="宋体" w:hAnsi="宋体"/>
      <w:color w:val="000000"/>
      <w:sz w:val="24"/>
      <w:szCs w:val="24"/>
    </w:rPr>
  </w:style>
  <w:style w:type="paragraph" w:customStyle="1" w:styleId="228">
    <w:name w:val="冯"/>
    <w:basedOn w:val="1"/>
    <w:link w:val="227"/>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qFormat/>
    <w:locked/>
    <w:uiPriority w:val="0"/>
    <w:rPr>
      <w:rFonts w:eastAsia="宋体"/>
      <w:kern w:val="2"/>
      <w:sz w:val="18"/>
      <w:szCs w:val="18"/>
      <w:lang w:val="en-US" w:eastAsia="zh-CN" w:bidi="ar-SA"/>
    </w:rPr>
  </w:style>
  <w:style w:type="character" w:customStyle="1" w:styleId="230">
    <w:name w:val="Char Char12"/>
    <w:qFormat/>
    <w:uiPriority w:val="0"/>
    <w:rPr>
      <w:rFonts w:ascii="仿宋_GB2312" w:eastAsia="仿宋_GB2312"/>
      <w:b/>
      <w:bCs/>
      <w:kern w:val="2"/>
      <w:sz w:val="24"/>
      <w:szCs w:val="24"/>
      <w:lang w:val="zh-CN" w:eastAsia="zh-CN" w:bidi="ar-SA"/>
    </w:rPr>
  </w:style>
  <w:style w:type="character" w:customStyle="1" w:styleId="231">
    <w:name w:val="题注 字符"/>
    <w:link w:val="18"/>
    <w:qFormat/>
    <w:uiPriority w:val="0"/>
    <w:rPr>
      <w:b/>
      <w:kern w:val="2"/>
      <w:sz w:val="28"/>
    </w:rPr>
  </w:style>
  <w:style w:type="character" w:customStyle="1" w:styleId="232">
    <w:name w:val="普通文字 Char3"/>
    <w:qFormat/>
    <w:uiPriority w:val="0"/>
    <w:rPr>
      <w:rFonts w:ascii="宋体" w:hAnsi="Courier New" w:eastAsia="宋体"/>
      <w:kern w:val="2"/>
      <w:sz w:val="21"/>
      <w:lang w:val="en-US" w:eastAsia="zh-CN" w:bidi="ar-SA"/>
    </w:rPr>
  </w:style>
  <w:style w:type="character" w:customStyle="1" w:styleId="233">
    <w:name w:val="公文正文 Char"/>
    <w:qFormat/>
    <w:uiPriority w:val="0"/>
    <w:rPr>
      <w:rFonts w:ascii="仿宋_GB2312" w:eastAsia="仿宋_GB2312"/>
      <w:kern w:val="2"/>
      <w:sz w:val="24"/>
      <w:szCs w:val="24"/>
      <w:lang w:val="en-US" w:eastAsia="zh-CN" w:bidi="ar-SA"/>
    </w:rPr>
  </w:style>
  <w:style w:type="character" w:customStyle="1" w:styleId="234">
    <w:name w:val="正文首行缩进 Char Char Char Char Char"/>
    <w:qFormat/>
    <w:uiPriority w:val="0"/>
    <w:rPr>
      <w:rFonts w:ascii="宋体"/>
      <w:kern w:val="2"/>
      <w:sz w:val="24"/>
      <w:lang w:val="zh-CN"/>
    </w:rPr>
  </w:style>
  <w:style w:type="character" w:customStyle="1" w:styleId="235">
    <w:name w:val="PI Char"/>
    <w:qFormat/>
    <w:uiPriority w:val="0"/>
    <w:rPr>
      <w:rFonts w:ascii="宋体" w:hAnsi="宋体" w:eastAsia="宋体"/>
      <w:kern w:val="2"/>
      <w:sz w:val="24"/>
      <w:szCs w:val="24"/>
      <w:lang w:val="en-US" w:eastAsia="zh-CN" w:bidi="ar-SA"/>
    </w:rPr>
  </w:style>
  <w:style w:type="character" w:customStyle="1" w:styleId="236">
    <w:name w:val="Default Char"/>
    <w:link w:val="237"/>
    <w:qFormat/>
    <w:uiPriority w:val="0"/>
    <w:rPr>
      <w:rFonts w:ascii="仿宋_GB2312" w:eastAsia="仿宋_GB2312" w:cs="仿宋_GB2312"/>
      <w:color w:val="000000"/>
      <w:sz w:val="24"/>
      <w:szCs w:val="24"/>
      <w:lang w:val="en-US" w:eastAsia="zh-CN" w:bidi="ar-SA"/>
    </w:rPr>
  </w:style>
  <w:style w:type="paragraph" w:customStyle="1" w:styleId="237">
    <w:name w:val="Default"/>
    <w:link w:val="23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字符1"/>
    <w:link w:val="2"/>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字符1"/>
    <w:link w:val="4"/>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字符"/>
    <w:link w:val="59"/>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字符"/>
    <w:link w:val="9"/>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字符"/>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字符"/>
    <w:link w:val="57"/>
    <w:qFormat/>
    <w:uiPriority w:val="0"/>
    <w:rPr>
      <w:rFonts w:ascii="黑体" w:hAnsi="Courier New" w:eastAsia="黑体"/>
    </w:rPr>
  </w:style>
  <w:style w:type="character" w:customStyle="1" w:styleId="304">
    <w:name w:val="正文文本 2 字符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8"/>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11"/>
    <w:qFormat/>
    <w:uiPriority w:val="0"/>
    <w:rPr>
      <w:b/>
      <w:bCs/>
      <w:kern w:val="2"/>
      <w:sz w:val="24"/>
      <w:szCs w:val="24"/>
    </w:rPr>
  </w:style>
  <w:style w:type="character" w:customStyle="1" w:styleId="310">
    <w:name w:val="正文文本缩进 2 字符"/>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basedOn w:val="69"/>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8"/>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1"/>
    <w:qFormat/>
    <w:uiPriority w:val="0"/>
    <w:rPr>
      <w:kern w:val="2"/>
      <w:sz w:val="21"/>
      <w:szCs w:val="24"/>
    </w:rPr>
  </w:style>
  <w:style w:type="character" w:customStyle="1" w:styleId="347">
    <w:name w:val="签名 字符"/>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12"/>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69"/>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7"/>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433">
    <w:name w:val="gray6"/>
    <w:basedOn w:val="69"/>
    <w:qFormat/>
    <w:uiPriority w:val="0"/>
    <w:rPr>
      <w:rFonts w:ascii="Arial" w:hAnsi="Arial" w:eastAsia="黑体" w:cs="Arial"/>
      <w:snapToGrid w:val="0"/>
      <w:kern w:val="0"/>
      <w:szCs w:val="21"/>
    </w:rPr>
  </w:style>
  <w:style w:type="character" w:customStyle="1" w:styleId="434">
    <w:name w:val="hui"/>
    <w:basedOn w:val="69"/>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8"/>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6"/>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9"/>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3"/>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8"/>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7"/>
    <w:next w:val="237"/>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7"/>
    <w:next w:val="237"/>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6"/>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4"/>
    <w:qFormat/>
    <w:uiPriority w:val="0"/>
    <w:pPr>
      <w:tabs>
        <w:tab w:val="left" w:pos="840"/>
      </w:tabs>
      <w:adjustRightInd/>
      <w:ind w:left="840" w:hanging="420"/>
    </w:pPr>
  </w:style>
  <w:style w:type="paragraph" w:customStyle="1" w:styleId="62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8"/>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1"/>
    <w:basedOn w:val="32"/>
    <w:qFormat/>
    <w:uiPriority w:val="0"/>
    <w:pPr>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0"/>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9"/>
    <w:next w:val="1"/>
    <w:qFormat/>
    <w:uiPriority w:val="0"/>
    <w:pPr>
      <w:tabs>
        <w:tab w:val="left" w:pos="1080"/>
      </w:tabs>
      <w:ind w:left="1080" w:hanging="1080"/>
    </w:pPr>
  </w:style>
  <w:style w:type="paragraph" w:customStyle="1" w:styleId="899">
    <w:name w:val="数字标题1"/>
    <w:basedOn w:val="4"/>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字符"/>
    <w:link w:val="38"/>
    <w:qFormat/>
    <w:uiPriority w:val="0"/>
    <w:rPr>
      <w:kern w:val="2"/>
      <w:sz w:val="21"/>
      <w:szCs w:val="24"/>
      <w:lang w:val="zh-CN"/>
    </w:rPr>
  </w:style>
  <w:style w:type="character" w:customStyle="1" w:styleId="935">
    <w:name w:val="无间隔 字符"/>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69"/>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7">
    <w:name w:val="纯文本3"/>
    <w:basedOn w:val="1"/>
    <w:qFormat/>
    <w:uiPriority w:val="99"/>
    <w:pPr>
      <w:adjustRightInd/>
      <w:snapToGrid w:val="0"/>
      <w:jc w:val="left"/>
    </w:pPr>
    <w:rPr>
      <w:rFonts w:ascii="Century Gothic" w:hAnsi="楷体_GB2312" w:eastAsia="Times New Roman"/>
      <w:szCs w:val="20"/>
    </w:rPr>
  </w:style>
  <w:style w:type="paragraph" w:customStyle="1" w:styleId="968">
    <w:name w:val="Revision"/>
    <w:hidden/>
    <w:semiHidden/>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png"/><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7615</Words>
  <Characters>43406</Characters>
  <Lines>361</Lines>
  <Paragraphs>101</Paragraphs>
  <TotalTime>0</TotalTime>
  <ScaleCrop>false</ScaleCrop>
  <LinksUpToDate>false</LinksUpToDate>
  <CharactersWithSpaces>50920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2024-08-29T07:54:00Z</dcterms:created>
  <dc:creator>玥</dc:creator>
  <cp:lastModifiedBy>天天天</cp:lastModifiedBy>
  <cp:lastPrinted>2021-12-27T11:06:00Z</cp:lastPrinted>
  <dcterms:modified xsi:type="dcterms:W3CDTF">2024-09-18T10:01:15Z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