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color w:val="000000" w:themeColor="text1"/>
          <w:sz w:val="48"/>
          <w:szCs w:val="48"/>
          <w:lang w:eastAsia="zh-CN"/>
          <w14:textFill>
            <w14:solidFill>
              <w14:schemeClr w14:val="tx1"/>
            </w14:solidFill>
          </w14:textFill>
        </w:rPr>
      </w:pPr>
      <w:bookmarkStart w:id="0" w:name="_Hlt74649545"/>
      <w:bookmarkEnd w:id="0"/>
      <w:bookmarkStart w:id="1" w:name="_Hlt74729822"/>
      <w:bookmarkEnd w:id="1"/>
      <w:bookmarkStart w:id="2" w:name="_Hlt74728647"/>
      <w:bookmarkEnd w:id="2"/>
      <w:bookmarkStart w:id="3" w:name="_Hlt74707423"/>
      <w:bookmarkEnd w:id="3"/>
      <w:bookmarkStart w:id="4" w:name="第二部分"/>
      <w:bookmarkStart w:id="5" w:name="_Toc91899870"/>
      <w:bookmarkStart w:id="6" w:name="_Toc91899871"/>
    </w:p>
    <w:p>
      <w:pPr>
        <w:adjustRightInd/>
        <w:spacing w:line="360" w:lineRule="auto"/>
        <w:jc w:val="center"/>
        <w:rPr>
          <w:rFonts w:hint="eastAsia" w:ascii="宋体" w:hAnsi="宋体" w:cs="宋体"/>
          <w:color w:val="000000" w:themeColor="text1"/>
          <w:sz w:val="48"/>
          <w:szCs w:val="48"/>
          <w14:textFill>
            <w14:solidFill>
              <w14:schemeClr w14:val="tx1"/>
            </w14:solidFill>
          </w14:textFill>
        </w:rPr>
      </w:pP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萧山区义桥镇企业、单位安全生产（含消防）社会化服务项目</w:t>
      </w:r>
    </w:p>
    <w:p>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14:textFill>
            <w14:solidFill>
              <w14:schemeClr w14:val="tx1"/>
            </w14:solidFill>
          </w14:textFill>
        </w:rPr>
        <w:t xml:space="preserve">招标文件 </w:t>
      </w:r>
    </w:p>
    <w:p>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编号:XS102024</w:t>
      </w:r>
      <w:r>
        <w:rPr>
          <w:rFonts w:hint="eastAsia" w:ascii="宋体" w:hAnsi="宋体" w:cs="宋体"/>
          <w:color w:val="000000" w:themeColor="text1"/>
          <w:sz w:val="30"/>
          <w:szCs w:val="30"/>
          <w:lang w:val="en-US" w:eastAsia="zh-CN"/>
          <w14:textFill>
            <w14:solidFill>
              <w14:schemeClr w14:val="tx1"/>
            </w14:solidFill>
          </w14:textFill>
        </w:rPr>
        <w:t>11</w:t>
      </w:r>
      <w:r>
        <w:rPr>
          <w:rFonts w:hint="eastAsia" w:ascii="宋体" w:hAnsi="宋体" w:cs="宋体"/>
          <w:color w:val="000000" w:themeColor="text1"/>
          <w:sz w:val="30"/>
          <w:szCs w:val="30"/>
          <w14:textFill>
            <w14:solidFill>
              <w14:schemeClr w14:val="tx1"/>
            </w14:solidFill>
          </w14:textFill>
        </w:rPr>
        <w:t>00</w:t>
      </w:r>
      <w:r>
        <w:rPr>
          <w:rFonts w:hint="eastAsia" w:ascii="宋体" w:hAnsi="宋体" w:cs="宋体"/>
          <w:color w:val="000000" w:themeColor="text1"/>
          <w:sz w:val="30"/>
          <w:szCs w:val="30"/>
          <w:lang w:val="en-US" w:eastAsia="zh-CN"/>
          <w14:textFill>
            <w14:solidFill>
              <w14:schemeClr w14:val="tx1"/>
            </w14:solidFill>
          </w14:textFill>
        </w:rPr>
        <w:t>1</w:t>
      </w:r>
    </w:p>
    <w:p>
      <w:pPr>
        <w:adjustRightInd/>
        <w:spacing w:line="360" w:lineRule="auto"/>
        <w:rPr>
          <w:rFonts w:ascii="宋体" w:hAnsi="宋体" w:cs="宋体"/>
          <w:color w:val="000000" w:themeColor="text1"/>
          <w:sz w:val="28"/>
          <w:szCs w:val="20"/>
          <w14:textFill>
            <w14:solidFill>
              <w14:schemeClr w14:val="tx1"/>
            </w14:solidFill>
          </w14:textFill>
        </w:rPr>
      </w:pPr>
    </w:p>
    <w:p>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pPr>
        <w:spacing w:line="360" w:lineRule="auto"/>
        <w:rPr>
          <w:rFonts w:ascii="宋体" w:hAnsi="宋体" w:cs="宋体"/>
          <w:color w:val="000000" w:themeColor="text1"/>
          <w:sz w:val="32"/>
          <w:szCs w:val="32"/>
          <w14:textFill>
            <w14:solidFill>
              <w14:schemeClr w14:val="tx1"/>
            </w14:solidFill>
          </w14:textFill>
        </w:rPr>
      </w:pPr>
    </w:p>
    <w:p>
      <w:pPr>
        <w:snapToGrid w:val="0"/>
        <w:spacing w:line="360" w:lineRule="auto"/>
        <w:jc w:val="center"/>
        <w:rPr>
          <w:rFonts w:hint="eastAsia" w:ascii="宋体" w:hAnsi="宋体" w:cs="宋体"/>
          <w:color w:val="000000" w:themeColor="text1"/>
          <w:sz w:val="32"/>
          <w:szCs w:val="32"/>
          <w14:textFill>
            <w14:solidFill>
              <w14:schemeClr w14:val="tx1"/>
            </w14:solidFill>
          </w14:textFill>
        </w:rPr>
      </w:pPr>
    </w:p>
    <w:p>
      <w:pPr>
        <w:snapToGrid w:val="0"/>
        <w:spacing w:line="360" w:lineRule="auto"/>
        <w:jc w:val="center"/>
        <w:rPr>
          <w:rFonts w:hint="eastAsia" w:ascii="宋体" w:hAnsi="宋体" w:cs="宋体"/>
          <w:color w:val="000000" w:themeColor="text1"/>
          <w:sz w:val="32"/>
          <w:szCs w:val="32"/>
          <w14:textFill>
            <w14:solidFill>
              <w14:schemeClr w14:val="tx1"/>
            </w14:solidFill>
          </w14:textFill>
        </w:rPr>
      </w:pPr>
    </w:p>
    <w:p>
      <w:pPr>
        <w:snapToGrid w:val="0"/>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杭州市萧山区义桥镇人民政府</w:t>
      </w:r>
    </w:p>
    <w:p>
      <w:pPr>
        <w:snapToGrid w:val="0"/>
        <w:spacing w:line="360" w:lineRule="auto"/>
        <w:jc w:val="center"/>
        <w:rPr>
          <w:rFonts w:hint="eastAsia" w:ascii="宋体" w:hAnsi="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杭州广业建设工程咨询有限公司</w:t>
      </w:r>
    </w:p>
    <w:p>
      <w:pPr>
        <w:snapToGrid w:val="0"/>
        <w:spacing w:line="360" w:lineRule="auto"/>
        <w:jc w:val="center"/>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lang w:val="en-US" w:eastAsia="zh-CN"/>
          <w14:textFill>
            <w14:solidFill>
              <w14:schemeClr w14:val="tx1"/>
            </w14:solidFill>
          </w14:textFill>
        </w:rPr>
        <w:t xml:space="preserve"> </w:t>
      </w:r>
      <w:r>
        <w:rPr>
          <w:rFonts w:hint="eastAsia" w:ascii="宋体" w:hAnsi="宋体" w:cs="宋体"/>
          <w:bCs/>
          <w:color w:val="000000" w:themeColor="text1"/>
          <w:sz w:val="32"/>
          <w:szCs w:val="32"/>
          <w14:textFill>
            <w14:solidFill>
              <w14:schemeClr w14:val="tx1"/>
            </w14:solidFill>
          </w14:textFill>
        </w:rPr>
        <w:t xml:space="preserve"> </w:t>
      </w:r>
      <w:r>
        <w:rPr>
          <w:rFonts w:hint="eastAsia" w:ascii="宋体" w:hAnsi="宋体" w:cs="宋体"/>
          <w:bCs/>
          <w:color w:val="000000" w:themeColor="text1"/>
          <w:sz w:val="32"/>
          <w:szCs w:val="32"/>
          <w:lang w:val="en-US" w:eastAsia="zh-CN"/>
          <w14:textFill>
            <w14:solidFill>
              <w14:schemeClr w14:val="tx1"/>
            </w14:solidFill>
          </w14:textFill>
        </w:rPr>
        <w:t>2024</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12</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17</w:t>
      </w:r>
      <w:r>
        <w:rPr>
          <w:rFonts w:hint="eastAsia" w:ascii="宋体" w:hAnsi="宋体" w:cs="宋体"/>
          <w:bCs/>
          <w:color w:val="000000" w:themeColor="text1"/>
          <w:sz w:val="32"/>
          <w:szCs w:val="32"/>
          <w14:textFill>
            <w14:solidFill>
              <w14:schemeClr w14:val="tx1"/>
            </w14:solidFill>
          </w14:textFill>
        </w:rPr>
        <w:t>日</w:t>
      </w: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萧山区义桥镇企业、单位安全生产（含消防）社会化服务项目</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"https://www.zcygov.cn/）获取（下载）招标文件，并于202%20年%20月%20日%20点%20分00秒" </w:instrText>
      </w:r>
      <w:r>
        <w:rPr>
          <w:color w:val="000000" w:themeColor="text1"/>
          <w14:textFill>
            <w14:solidFill>
              <w14:schemeClr w14:val="tx1"/>
            </w14:solidFill>
          </w14:textFill>
        </w:rPr>
        <w:fldChar w:fldCharType="separate"/>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202</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5</w:t>
      </w:r>
      <w:r>
        <w:rPr>
          <w:rStyle w:val="76"/>
          <w:rFonts w:cs="Times New Roman" w:asciiTheme="minorEastAsia" w:hAnsiTheme="minorEastAsia" w:eastAsiaTheme="minorEastAsia"/>
          <w:snapToGrid/>
          <w:color w:val="000000" w:themeColor="text1"/>
          <w:kern w:val="2"/>
          <w:sz w:val="24"/>
          <w:szCs w:val="24"/>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7</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日</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14</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点</w:t>
      </w:r>
      <w:r>
        <w:rPr>
          <w:rStyle w:val="76"/>
          <w:rFonts w:hint="eastAsia" w:cs="Times New Roman" w:asciiTheme="minorEastAsia" w:hAnsiTheme="minorEastAsia" w:eastAsiaTheme="minorEastAsia"/>
          <w:snapToGrid/>
          <w:color w:val="000000" w:themeColor="text1"/>
          <w:kern w:val="2"/>
          <w:sz w:val="24"/>
          <w:szCs w:val="24"/>
          <w:lang w:val="en-US" w:eastAsia="zh-CN"/>
          <w14:textFill>
            <w14:solidFill>
              <w14:schemeClr w14:val="tx1"/>
            </w14:solidFill>
          </w14:textFill>
        </w:rPr>
        <w:t>00</w:t>
      </w:r>
      <w:r>
        <w:rPr>
          <w:rStyle w:val="76"/>
          <w:rFonts w:hint="eastAsia" w:cs="Times New Roman" w:asciiTheme="minorEastAsia" w:hAnsiTheme="minorEastAsia" w:eastAsiaTheme="minorEastAsia"/>
          <w:snapToGrid/>
          <w:color w:val="000000" w:themeColor="text1"/>
          <w:kern w:val="2"/>
          <w:sz w:val="24"/>
          <w:szCs w:val="24"/>
          <w14:textFill>
            <w14:solidFill>
              <w14:schemeClr w14:val="tx1"/>
            </w14:solidFill>
          </w14:textFill>
        </w:rPr>
        <w:t>分</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t>00秒</w:t>
      </w:r>
      <w:r>
        <w:rPr>
          <w:rStyle w:val="76"/>
          <w:rFonts w:hint="eastAsia" w:cs="Times New Roman" w:asciiTheme="minorEastAsia" w:hAnsiTheme="minorEastAsia" w:eastAsiaTheme="minorEastAsia"/>
          <w:bCs/>
          <w:snapToGrid/>
          <w:color w:val="000000" w:themeColor="text1"/>
          <w:kern w:val="2"/>
          <w:sz w:val="24"/>
          <w:szCs w:val="24"/>
          <w14:textFill>
            <w14:solidFill>
              <w14:schemeClr w14:val="tx1"/>
            </w14:solidFill>
          </w14:textFill>
        </w:rPr>
        <w:fldChar w:fldCharType="end"/>
      </w:r>
      <w:r>
        <w:rPr>
          <w:rFonts w:hint="eastAsia" w:asciiTheme="minorEastAsia" w:hAnsiTheme="minorEastAsia" w:eastAsiaTheme="minorEastAsia"/>
          <w:bCs/>
          <w:color w:val="000000" w:themeColor="text1"/>
          <w:sz w:val="24"/>
          <w14:textFill>
            <w14:solidFill>
              <w14:schemeClr w14:val="tx1"/>
            </w14:solidFill>
          </w14:textFill>
        </w:rPr>
        <w:t>（北京时间）前</w:t>
      </w:r>
      <w:r>
        <w:rPr>
          <w:rFonts w:hint="eastAsia" w:asciiTheme="minorEastAsia" w:hAnsiTheme="minorEastAsia" w:eastAsiaTheme="minorEastAsia"/>
          <w:color w:val="000000" w:themeColor="text1"/>
          <w:sz w:val="24"/>
          <w14:textFill>
            <w14:solidFill>
              <w14:schemeClr w14:val="tx1"/>
            </w14:solidFill>
          </w14:textFill>
        </w:rPr>
        <w:t>递交（上传）投标文件。</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pPr>
        <w:spacing w:line="360" w:lineRule="auto"/>
        <w:rPr>
          <w:rFonts w:ascii="宋体" w:hAnsi="宋体" w:cs="宋体"/>
          <w:b w:val="0"/>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 w:val="0"/>
          <w:bCs/>
          <w:color w:val="000000" w:themeColor="text1"/>
          <w:sz w:val="24"/>
          <w14:textFill>
            <w14:solidFill>
              <w14:schemeClr w14:val="tx1"/>
            </w14:solidFill>
          </w14:textFill>
        </w:rPr>
        <w:t>XS10202411001</w:t>
      </w:r>
    </w:p>
    <w:p>
      <w:pPr>
        <w:spacing w:line="360" w:lineRule="auto"/>
        <w:rPr>
          <w:rFonts w:ascii="宋体" w:hAnsi="宋体" w:cs="宋体"/>
          <w:b w:val="0"/>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b w:val="0"/>
          <w:bCs/>
          <w:color w:val="000000" w:themeColor="text1"/>
          <w:sz w:val="24"/>
          <w14:textFill>
            <w14:solidFill>
              <w14:schemeClr w14:val="tx1"/>
            </w14:solidFill>
          </w14:textFill>
        </w:rPr>
        <w:t>萧山区义桥镇企业、单位安全生产（含消防）社会化服务项目</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预算金额（元）：</w:t>
      </w:r>
      <w:r>
        <w:rPr>
          <w:rFonts w:hint="eastAsia" w:eastAsia="宋体"/>
          <w:color w:val="000000" w:themeColor="text1"/>
          <w:sz w:val="24"/>
          <w:szCs w:val="24"/>
          <w:u w:val="none"/>
          <w:vertAlign w:val="baseline"/>
          <w:lang w:val="en-US" w:eastAsia="zh-CN"/>
          <w14:textFill>
            <w14:solidFill>
              <w14:schemeClr w14:val="tx1"/>
            </w14:solidFill>
          </w14:textFill>
        </w:rPr>
        <w:t>¥1443500.00元（大写：</w:t>
      </w:r>
      <w:r>
        <w:rPr>
          <w:rFonts w:hint="eastAsia" w:ascii="宋体" w:hAnsi="宋体" w:cs="宋体"/>
          <w:color w:val="000000" w:themeColor="text1"/>
          <w:sz w:val="24"/>
          <w:u w:val="single"/>
          <w:lang w:eastAsia="zh-CN"/>
          <w14:textFill>
            <w14:solidFill>
              <w14:schemeClr w14:val="tx1"/>
            </w14:solidFill>
          </w14:textFill>
        </w:rPr>
        <w:t>壹佰肆拾肆万叁仟伍佰圆整</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eastAsia="宋体"/>
          <w:color w:val="000000" w:themeColor="text1"/>
          <w:sz w:val="24"/>
          <w:szCs w:val="24"/>
          <w:u w:val="none"/>
          <w:vertAlign w:val="baseline"/>
          <w:lang w:val="en-US" w:eastAsia="zh-CN"/>
          <w14:textFill>
            <w14:solidFill>
              <w14:schemeClr w14:val="tx1"/>
            </w14:solidFill>
          </w14:textFill>
        </w:rPr>
        <w:t>¥1443500.00元（大写：</w:t>
      </w:r>
      <w:r>
        <w:rPr>
          <w:rFonts w:hint="eastAsia" w:ascii="宋体" w:hAnsi="宋体" w:cs="宋体"/>
          <w:color w:val="000000" w:themeColor="text1"/>
          <w:sz w:val="24"/>
          <w:u w:val="single"/>
          <w:lang w:eastAsia="zh-CN"/>
          <w14:textFill>
            <w14:solidFill>
              <w14:schemeClr w14:val="tx1"/>
            </w14:solidFill>
          </w14:textFill>
        </w:rPr>
        <w:t>壹佰肆拾肆万叁仟伍佰圆整</w:t>
      </w:r>
      <w:r>
        <w:rPr>
          <w:rFonts w:hint="eastAsia" w:ascii="宋体" w:hAnsi="宋体" w:cs="宋体"/>
          <w:color w:val="000000" w:themeColor="text1"/>
          <w:sz w:val="24"/>
          <w:lang w:eastAsia="zh-CN"/>
          <w14:textFill>
            <w14:solidFill>
              <w14:schemeClr w14:val="tx1"/>
            </w14:solidFill>
          </w14:textFill>
        </w:rPr>
        <w:t>）</w:t>
      </w:r>
    </w:p>
    <w:p>
      <w:pPr>
        <w:pStyle w:val="16"/>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b/>
          <w:color w:val="000000" w:themeColor="text1"/>
          <w:sz w:val="24"/>
          <w14:textFill>
            <w14:solidFill>
              <w14:schemeClr w14:val="tx1"/>
            </w14:solidFill>
          </w14:textFill>
        </w:rPr>
        <w:t>采购需求：</w:t>
      </w:r>
      <w:r>
        <w:rPr>
          <w:rFonts w:hint="eastAsia" w:asciiTheme="minorEastAsia" w:hAnsiTheme="minorEastAsia" w:eastAsiaTheme="minorEastAsia"/>
          <w:color w:val="000000" w:themeColor="text1"/>
          <w:sz w:val="24"/>
          <w:u w:val="none"/>
          <w14:textFill>
            <w14:solidFill>
              <w14:schemeClr w14:val="tx1"/>
            </w14:solidFill>
          </w14:textFill>
        </w:rPr>
        <w:t>萧山区义桥镇企业、单位安全生产（含消防）社会化服务项目</w:t>
      </w:r>
      <w:r>
        <w:rPr>
          <w:rFonts w:hint="eastAsia" w:asciiTheme="minorEastAsia" w:hAnsiTheme="minorEastAsia" w:eastAsiaTheme="minorEastAsia"/>
          <w:color w:val="000000" w:themeColor="text1"/>
          <w:sz w:val="24"/>
          <w:u w:val="none"/>
          <w:lang w:eastAsia="zh-CN"/>
          <w14:textFill>
            <w14:solidFill>
              <w14:schemeClr w14:val="tx1"/>
            </w14:solidFill>
          </w14:textFill>
        </w:rPr>
        <w:t>，</w:t>
      </w:r>
      <w:r>
        <w:rPr>
          <w:rFonts w:hint="eastAsia" w:hAnsi="宋体" w:cs="宋体"/>
          <w:bCs/>
          <w:snapToGrid/>
          <w:color w:val="000000" w:themeColor="text1"/>
          <w:kern w:val="2"/>
          <w:sz w:val="24"/>
          <w:szCs w:val="24"/>
          <w:u w:val="none"/>
          <w14:textFill>
            <w14:solidFill>
              <w14:schemeClr w14:val="tx1"/>
            </w14:solidFill>
          </w14:textFill>
        </w:rPr>
        <w:t xml:space="preserve">主要内容： </w:t>
      </w:r>
      <w:r>
        <w:rPr>
          <w:rFonts w:hint="eastAsia" w:asciiTheme="minorEastAsia" w:hAnsiTheme="minorEastAsia" w:eastAsiaTheme="minorEastAsia"/>
          <w:color w:val="000000" w:themeColor="text1"/>
          <w:sz w:val="24"/>
          <w:u w:val="none"/>
          <w14:textFill>
            <w14:solidFill>
              <w14:schemeClr w14:val="tx1"/>
            </w14:solidFill>
          </w14:textFill>
        </w:rPr>
        <w:t>萧山区义桥镇企业、单位安全生产（含消防）社会化服务项目</w:t>
      </w:r>
      <w:r>
        <w:rPr>
          <w:rFonts w:hint="eastAsia" w:hAnsi="宋体" w:cs="宋体"/>
          <w:bCs/>
          <w:snapToGrid/>
          <w:color w:val="000000" w:themeColor="text1"/>
          <w:kern w:val="2"/>
          <w:sz w:val="24"/>
          <w:szCs w:val="24"/>
          <w:u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30"/>
        <w:ind w:firstLine="482"/>
        <w:outlineLvl w:val="2"/>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合同履约期限： 详见招标文件</w:t>
      </w:r>
    </w:p>
    <w:p>
      <w:pPr>
        <w:pStyle w:val="16"/>
        <w:spacing w:line="360" w:lineRule="auto"/>
        <w:ind w:firstLine="480"/>
        <w:rPr>
          <w:rFonts w:hAnsi="宋体" w:cs="宋体"/>
          <w:color w:val="000000" w:themeColor="text1"/>
          <w:kern w:val="0"/>
          <w:sz w:val="24"/>
          <w14:textFill>
            <w14:solidFill>
              <w14:schemeClr w14:val="tx1"/>
            </w14:solidFill>
          </w14:textFill>
        </w:rPr>
      </w:pPr>
      <w:r>
        <w:rPr>
          <w:rFonts w:hint="eastAsia" w:hAnsi="宋体" w:cs="宋体"/>
          <w:b/>
          <w:color w:val="000000" w:themeColor="text1"/>
          <w:sz w:val="24"/>
          <w14:textFill>
            <w14:solidFill>
              <w14:schemeClr w14:val="tx1"/>
            </w14:solidFill>
          </w14:textFill>
        </w:rPr>
        <w:t>本项目接受联合体投标：</w:t>
      </w:r>
      <w:sdt>
        <w:sdtPr>
          <w:rPr>
            <w:rFonts w:hint="eastAsia" w:hAnsi="宋体" w:cs="宋体"/>
            <w:color w:val="000000" w:themeColor="text1"/>
            <w:kern w:val="0"/>
            <w:sz w:val="24"/>
            <w14:textFill>
              <w14:solidFill>
                <w14:schemeClr w14:val="tx1"/>
              </w14:solidFill>
            </w14:textFill>
          </w:rPr>
          <w:id w:val="4648"/>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14:textFill>
              <w14:solidFill>
                <w14:schemeClr w14:val="tx1"/>
              </w14:solidFill>
            </w14:textFill>
          </w:rPr>
        </w:sdtEndPr>
        <w:sdtContent>
          <w:r>
            <w:rPr>
              <w:rFonts w:ascii="Wingdings" w:hAnsi="Wingdings" w:cs="宋体"/>
              <w:snapToGrid/>
              <w:color w:val="000000" w:themeColor="text1"/>
              <w:kern w:val="2"/>
              <w:sz w:val="24"/>
              <w:szCs w:val="24"/>
              <w14:textFill>
                <w14:solidFill>
                  <w14:schemeClr w14:val="tx1"/>
                </w14:solidFill>
              </w14:textFill>
            </w:rPr>
            <w:t></w:t>
          </w:r>
        </w:sdtContent>
      </w:sdt>
      <w:r>
        <w:rPr>
          <w:rFonts w:hint="eastAsia" w:hAnsi="宋体" w:cs="宋体"/>
          <w:snapToGrid/>
          <w:color w:val="000000" w:themeColor="text1"/>
          <w:kern w:val="2"/>
          <w:sz w:val="24"/>
          <w:szCs w:val="24"/>
          <w14:textFill>
            <w14:solidFill>
              <w14:schemeClr w14:val="tx1"/>
            </w14:solidFill>
          </w14:textFill>
        </w:rPr>
        <w:t xml:space="preserve"> 是；</w:t>
      </w:r>
      <w:sdt>
        <w:sdtPr>
          <w:rPr>
            <w:rFonts w:hint="eastAsia" w:hAnsi="宋体" w:cs="宋体"/>
            <w:snapToGrid/>
            <w:color w:val="000000" w:themeColor="text1"/>
            <w:kern w:val="2"/>
            <w:sz w:val="24"/>
            <w:szCs w:val="24"/>
            <w14:textFill>
              <w14:solidFill>
                <w14:schemeClr w14:val="tx1"/>
              </w14:solidFill>
            </w14:textFill>
          </w:rPr>
          <w:id w:val="4649"/>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14:textFill>
              <w14:solidFill>
                <w14:schemeClr w14:val="tx1"/>
              </w14:solidFill>
            </w14:textFill>
          </w:rPr>
        </w:sdtEndPr>
        <w:sdtContent>
          <w:r>
            <w:rPr>
              <w:rFonts w:hint="eastAsia" w:hAnsi="宋体" w:cs="宋体"/>
              <w:snapToGrid/>
              <w:color w:val="000000" w:themeColor="text1"/>
              <w:kern w:val="2"/>
              <w:sz w:val="24"/>
              <w:szCs w:val="24"/>
              <w14:textFill>
                <w14:solidFill>
                  <w14:schemeClr w14:val="tx1"/>
                </w14:solidFill>
              </w14:textFill>
            </w:rPr>
            <w:t>☐</w:t>
          </w:r>
        </w:sdtContent>
      </w:sdt>
      <w:r>
        <w:rPr>
          <w:rFonts w:hint="eastAsia" w:hAnsi="宋体" w:cs="宋体"/>
          <w:snapToGrid/>
          <w:color w:val="000000" w:themeColor="text1"/>
          <w:kern w:val="2"/>
          <w:sz w:val="24"/>
          <w:szCs w:val="24"/>
          <w14:textFill>
            <w14:solidFill>
              <w14:schemeClr w14:val="tx1"/>
            </w14:solidFill>
          </w14:textFill>
        </w:rPr>
        <w:t xml:space="preserve"> 否</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 xml:space="preserve">    </w:t>
      </w:r>
      <w:r>
        <w:rPr>
          <w:rFonts w:ascii="宋体" w:hAnsi="宋体" w:cs="宋体"/>
          <w:snapToGrid w:val="0"/>
          <w:color w:val="000000" w:themeColor="text1"/>
          <w:kern w:val="28"/>
          <w:sz w:val="24"/>
          <w:szCs w:val="20"/>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snapToGrid w:val="0"/>
          <w:color w:val="000000" w:themeColor="text1"/>
          <w:kern w:val="28"/>
          <w:sz w:val="24"/>
          <w:szCs w:val="20"/>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6"/>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sdt>
        <w:sdtPr>
          <w:rPr>
            <w:rFonts w:hint="eastAsia" w:ascii="宋体" w:hAnsi="宋体" w:cs="宋体"/>
            <w:color w:val="000000" w:themeColor="text1"/>
            <w:kern w:val="0"/>
            <w:sz w:val="24"/>
            <w14:textFill>
              <w14:solidFill>
                <w14:schemeClr w14:val="tx1"/>
              </w14:solidFill>
            </w14:textFill>
          </w:rPr>
          <w:id w:val="465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无</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br w:type="textWrapping"/>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bookmarkStart w:id="504" w:name="_GoBack"/>
      <w:r>
        <w:rPr>
          <w:rFonts w:hint="eastAsia" w:ascii="宋体" w:hAnsi="宋体" w:cs="宋体"/>
          <w:color w:val="000000" w:themeColor="text1"/>
          <w:sz w:val="24"/>
          <w14:textFill>
            <w14:solidFill>
              <w14:schemeClr w14:val="tx1"/>
            </w14:solidFill>
          </w14:textFill>
        </w:rPr>
        <w:t>政采云平台（https://www.zcygov.cn/）</w:t>
      </w:r>
      <w:bookmarkEnd w:id="504"/>
      <w:r>
        <w:rPr>
          <w:rFonts w:hint="eastAsia" w:ascii="宋体" w:hAnsi="宋体" w:cs="宋体"/>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Style w:val="76"/>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202</w:t>
      </w:r>
      <w:r>
        <w:rPr>
          <w:rStyle w:val="76"/>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5</w:t>
      </w:r>
      <w:r>
        <w:rPr>
          <w:rStyle w:val="76"/>
          <w:rFonts w:cs="Times New Roman" w:asciiTheme="minorEastAsia" w:hAnsiTheme="minorEastAsia" w:eastAsiaTheme="minorEastAsia"/>
          <w:snapToGrid/>
          <w:color w:val="000000" w:themeColor="text1"/>
          <w:kern w:val="2"/>
          <w:sz w:val="24"/>
          <w:szCs w:val="24"/>
          <w:u w:val="single"/>
          <w14:textFill>
            <w14:solidFill>
              <w14:schemeClr w14:val="tx1"/>
            </w14:solidFill>
          </w14:textFill>
        </w:rPr>
        <w:t>年</w:t>
      </w:r>
      <w:r>
        <w:rPr>
          <w:rStyle w:val="76"/>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1</w:t>
      </w:r>
      <w:r>
        <w:rPr>
          <w:rStyle w:val="76"/>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月</w:t>
      </w:r>
      <w:r>
        <w:rPr>
          <w:rStyle w:val="76"/>
          <w:rFonts w:hint="eastAsia" w:cs="Times New Roman" w:asciiTheme="minorEastAsia" w:hAnsiTheme="minorEastAsia" w:eastAsiaTheme="minorEastAsia"/>
          <w:snapToGrid/>
          <w:color w:val="000000" w:themeColor="text1"/>
          <w:kern w:val="2"/>
          <w:sz w:val="24"/>
          <w:szCs w:val="24"/>
          <w:u w:val="single"/>
          <w:lang w:val="en-US" w:eastAsia="zh-CN"/>
          <w14:textFill>
            <w14:solidFill>
              <w14:schemeClr w14:val="tx1"/>
            </w14:solidFill>
          </w14:textFill>
        </w:rPr>
        <w:t>7</w:t>
      </w:r>
      <w:r>
        <w:rPr>
          <w:rStyle w:val="76"/>
          <w:rFonts w:hint="eastAsia" w:cs="Times New Roman" w:asciiTheme="minorEastAsia" w:hAnsiTheme="minorEastAsia" w:eastAsiaTheme="minorEastAsia"/>
          <w:snapToGrid/>
          <w:color w:val="000000" w:themeColor="text1"/>
          <w:kern w:val="2"/>
          <w:sz w:val="24"/>
          <w:szCs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称：杭州市萧山区义桥镇人民政府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址：杭州市萧山区义桥镇东方路138</w:t>
      </w:r>
      <w:r>
        <w:rPr>
          <w:rFonts w:hint="eastAsia" w:ascii="宋体" w:hAnsi="宋体" w:cs="宋体"/>
          <w:color w:val="000000" w:themeColor="text1"/>
          <w:sz w:val="24"/>
          <w:lang w:eastAsia="zh-CN"/>
          <w14:textFill>
            <w14:solidFill>
              <w14:schemeClr w14:val="tx1"/>
            </w14:solidFill>
          </w14:textFill>
        </w:rPr>
        <w:t>号</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  诸晓权</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 13805756742</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    质疑联系人： 谭女士</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    质疑联系方式：0571-82419573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pPr>
        <w:spacing w:line="360" w:lineRule="auto"/>
        <w:ind w:firstLine="48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名    称：杭州广业建设工程咨询有限公司</w:t>
      </w:r>
    </w:p>
    <w:p>
      <w:pPr>
        <w:spacing w:line="360" w:lineRule="auto"/>
        <w:ind w:firstLine="48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地    址：杭州市萧山区金惠路358号汇通大厦2幢1004室</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    传    真：/ </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    项目联系人（询问）：沈一凯 </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    项目联系方式（询问）：13588280298</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    质疑联系人： 陈斌</w:t>
      </w:r>
    </w:p>
    <w:p>
      <w:pPr>
        <w:spacing w:line="360" w:lineRule="auto"/>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    质疑联系方式：1845842842</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同级政府采购监督管理部门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称：萧山区财政局、浙江省政府采购行政裁决服务中心（杭州）</w:t>
      </w:r>
    </w:p>
    <w:p>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lang w:eastAsia="zh-CN"/>
          <w14:textFill>
            <w14:solidFill>
              <w14:schemeClr w14:val="tx1"/>
            </w14:solidFill>
          </w14:textFill>
        </w:rPr>
        <w:t>杭州市上城区清泰街549号城建综合大楼11楼</w:t>
      </w:r>
      <w:r>
        <w:rPr>
          <w:rFonts w:hint="eastAsia" w:ascii="宋体" w:hAnsi="宋体" w:cs="宋体"/>
          <w:color w:val="000000" w:themeColor="text1"/>
          <w:sz w:val="24"/>
          <w14:textFill>
            <w14:solidFill>
              <w14:schemeClr w14:val="tx1"/>
            </w14:solidFill>
          </w14:textFill>
        </w:rPr>
        <w:t>（快递仅限ems或顺丰）</w:t>
      </w:r>
    </w:p>
    <w:p>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p>
    <w:p>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联系人：朱女士/王女士</w:t>
      </w:r>
    </w:p>
    <w:p>
      <w:pPr>
        <w:spacing w:line="360" w:lineRule="auto"/>
        <w:ind w:left="237" w:leftChars="113" w:firstLine="180" w:firstLineChars="7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监督投诉电话：0571-8</w:t>
      </w:r>
      <w:r>
        <w:rPr>
          <w:rFonts w:hint="eastAsia" w:ascii="宋体" w:hAnsi="宋体" w:cs="宋体"/>
          <w:color w:val="000000" w:themeColor="text1"/>
          <w:sz w:val="24"/>
          <w:lang w:val="en-US" w:eastAsia="zh-CN"/>
          <w14:textFill>
            <w14:solidFill>
              <w14:schemeClr w14:val="tx1"/>
            </w14:solidFill>
          </w14:textFill>
        </w:rPr>
        <w:t>7227671,0571-87800218</w:t>
      </w:r>
      <w:r>
        <w:rPr>
          <w:rFonts w:hint="eastAsia" w:ascii="宋体" w:hAnsi="宋体" w:cs="宋体"/>
          <w:color w:val="000000" w:themeColor="text1"/>
          <w:sz w:val="24"/>
          <w14:textFill>
            <w14:solidFill>
              <w14:schemeClr w14:val="tx1"/>
            </w14:solidFill>
          </w14:textFill>
        </w:rPr>
        <w:t xml:space="preserve"> </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政策咨询电话：0571-82756122  （汤先生）</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w:t>
      </w:r>
      <w:bookmarkEnd w:id="4"/>
      <w:r>
        <w:rPr>
          <w:rFonts w:hint="eastAsia" w:ascii="宋体" w:hAnsi="宋体" w:cs="宋体"/>
          <w:b/>
          <w:color w:val="000000" w:themeColor="text1"/>
          <w:sz w:val="36"/>
          <w:szCs w:val="20"/>
          <w14:textFill>
            <w14:solidFill>
              <w14:schemeClr w14:val="tx1"/>
            </w14:solidFill>
          </w14:textFill>
        </w:rPr>
        <w:t xml:space="preserve"> 投标人须知</w:t>
      </w:r>
      <w:bookmarkEnd w:id="5"/>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（1）标的：</w:t>
            </w:r>
            <w:r>
              <w:rPr>
                <w:rFonts w:hint="eastAsia" w:ascii="宋体" w:hAnsi="宋体" w:cs="宋体"/>
                <w:color w:val="000000" w:themeColor="text1"/>
                <w:sz w:val="24"/>
                <w:u w:val="single"/>
                <w14:textFill>
                  <w14:solidFill>
                    <w14:schemeClr w14:val="tx1"/>
                  </w14:solidFill>
                </w14:textFill>
              </w:rPr>
              <w:t xml:space="preserve"> 萧山区义桥镇企业、单位安全生产（含消防）社会化服务项目</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其他未列明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行业；</w:t>
            </w:r>
          </w:p>
          <w:p>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4658"/>
                <w14:checkbox>
                  <w14:checked w14:val="1"/>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w:char="F0FE"/>
                </w:r>
              </w:sdtContent>
            </w:sdt>
            <w:r>
              <w:rPr>
                <w:rFonts w:hint="eastAsia"/>
                <w:color w:val="000000" w:themeColor="text1"/>
                <w:sz w:val="24"/>
                <w14:textFill>
                  <w14:solidFill>
                    <w14:schemeClr w14:val="tx1"/>
                  </w14:solidFill>
                </w14:textFill>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6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62"/>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4664"/>
                <w14:checkbox>
                  <w14:checked w14:val="1"/>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ascii="Wingdings" w:hAnsi="Wingdings"/>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color w:val="000000" w:themeColor="text1"/>
                <w:kern w:val="0"/>
                <w:sz w:val="24"/>
                <w:lang w:val="zh-C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70"/>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14:textFill>
                  <w14:solidFill>
                    <w14:schemeClr w14:val="tx1"/>
                  </w14:solidFill>
                </w14:textFill>
              </w:rPr>
              <w:t>;</w:t>
            </w:r>
          </w:p>
          <w:p>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支持</w:t>
            </w:r>
            <w:r>
              <w:rPr>
                <w:rFonts w:hint="eastAsia"/>
                <w:color w:val="000000" w:themeColor="text1"/>
                <w:sz w:val="24"/>
                <w14:textFill>
                  <w14:solidFill>
                    <w14:schemeClr w14:val="tx1"/>
                  </w14:solidFill>
                </w14:textFill>
              </w:rPr>
              <w:t>《杭州市萧山区政府采购支持中小企业信用融资暂行办法》。</w:t>
            </w:r>
          </w:p>
          <w:p>
            <w:pP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w:t>
            </w:r>
            <w:r>
              <w:rPr>
                <w:color w:val="000000" w:themeColor="text1"/>
                <w:sz w:val="24"/>
                <w14:textFill>
                  <w14:solidFill>
                    <w14:schemeClr w14:val="tx1"/>
                  </w14:solidFill>
                </w14:textFill>
              </w:rPr>
              <w:t>融资需求的中标供应商可参照相关规定及银行方案</w:t>
            </w:r>
            <w:r>
              <w:rPr>
                <w:rFonts w:hint="eastAsia"/>
                <w:color w:val="000000" w:themeColor="text1"/>
                <w:sz w:val="24"/>
                <w14:textFill>
                  <w14:solidFill>
                    <w14:schemeClr w14:val="tx1"/>
                  </w14:solidFill>
                </w14:textFill>
              </w:rPr>
              <w:t>凭政府采购合同向相关合作银行提出信用融资（贷款）申请。详见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"http://www.xiaoshan.gov.cn/art/2018/12/20/art_1229293109_1559514.html" </w:instrText>
            </w:r>
            <w:r>
              <w:rPr>
                <w:color w:val="000000" w:themeColor="text1"/>
                <w14:textFill>
                  <w14:solidFill>
                    <w14:schemeClr w14:val="tx1"/>
                  </w14:solidFill>
                </w14:textFill>
              </w:rPr>
              <w:fldChar w:fldCharType="separate"/>
            </w:r>
            <w:r>
              <w:rPr>
                <w:rStyle w:val="76"/>
                <w:rFonts w:ascii="仿宋" w:hAnsi="仿宋" w:eastAsia="仿宋" w:cstheme="majorBidi"/>
                <w:snapToGrid/>
                <w:color w:val="000000" w:themeColor="text1"/>
                <w:sz w:val="24"/>
                <w:szCs w:val="24"/>
                <w14:textFill>
                  <w14:solidFill>
                    <w14:schemeClr w14:val="tx1"/>
                  </w14:solidFill>
                </w14:textFill>
              </w:rPr>
              <w:t>http://www.xiaoshan.gov.cn/art/2018/12/20/art_1229293109_1559514.html</w:t>
            </w:r>
            <w:r>
              <w:rPr>
                <w:rStyle w:val="76"/>
                <w:rFonts w:ascii="仿宋" w:hAnsi="仿宋" w:eastAsia="仿宋" w:cstheme="majorBidi"/>
                <w:snapToGrid/>
                <w:color w:val="000000" w:themeColor="text1"/>
                <w:sz w:val="24"/>
                <w:szCs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本项目备份文件是否收取：不收取</w:t>
            </w:r>
          </w:p>
          <w:p>
            <w:pPr>
              <w:pStyle w:val="32"/>
              <w:spacing w:line="360" w:lineRule="auto"/>
              <w:rPr>
                <w:rFonts w:hAnsi="宋体" w:cs="宋体"/>
                <w:color w:val="000000" w:themeColor="text1"/>
                <w:kern w:val="28"/>
                <w:sz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14:textFill>
                  <w14:solidFill>
                    <w14:schemeClr w14:val="tx1"/>
                  </w14:solidFill>
                </w14:textFill>
              </w:rPr>
              <w:t>本项目的采购代理费由中标人支付</w:t>
            </w:r>
            <w:r>
              <w:rPr>
                <w:rFonts w:hint="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color w:val="000000" w:themeColor="text1"/>
                <w14:textFill>
                  <w14:solidFill>
                    <w14:schemeClr w14:val="tx1"/>
                  </w14:solidFill>
                </w14:textFill>
              </w:rPr>
            </w:pPr>
            <w:r>
              <w:rPr>
                <w:rFonts w:hint="eastAsia" w:cs="仿宋"/>
                <w:b/>
                <w:color w:val="000000" w:themeColor="text1"/>
                <w:sz w:val="24"/>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000000" w:themeColor="text1"/>
                <w14:textFill>
                  <w14:solidFill>
                    <w14:schemeClr w14:val="tx1"/>
                  </w14:solidFill>
                </w14:textFill>
              </w:rPr>
            </w:pPr>
            <w:r>
              <w:rPr>
                <w:rFonts w:hint="eastAsia" w:cs="仿宋_GB2312"/>
                <w:color w:val="000000" w:themeColor="text1"/>
                <w:sz w:val="24"/>
                <w14:textFill>
                  <w14:solidFill>
                    <w14:schemeClr w14:val="tx1"/>
                  </w14:solidFill>
                </w14:textFill>
              </w:rPr>
              <w:t>本项目</w:t>
            </w:r>
            <w:r>
              <w:rPr>
                <w:rFonts w:cs="仿宋_GB2312"/>
                <w:color w:val="000000" w:themeColor="text1"/>
                <w:sz w:val="24"/>
                <w14:textFill>
                  <w14:solidFill>
                    <w14:schemeClr w14:val="tx1"/>
                  </w14:solidFill>
                </w14:textFill>
              </w:rPr>
              <w:t>由采购人</w:t>
            </w:r>
            <w:r>
              <w:rPr>
                <w:rFonts w:hint="eastAsia" w:cs="仿宋_GB2312"/>
                <w:color w:val="000000" w:themeColor="text1"/>
                <w:sz w:val="24"/>
                <w14:textFill>
                  <w14:solidFill>
                    <w14:schemeClr w14:val="tx1"/>
                  </w14:solidFill>
                </w14:textFill>
              </w:rPr>
              <w:t>进行</w:t>
            </w:r>
            <w:r>
              <w:rPr>
                <w:rFonts w:cs="仿宋_GB2312"/>
                <w:color w:val="000000" w:themeColor="text1"/>
                <w:sz w:val="24"/>
                <w14:textFill>
                  <w14:solidFill>
                    <w14:schemeClr w14:val="tx1"/>
                  </w14:solidFill>
                </w14:textFill>
              </w:rPr>
              <w:t>资格文件</w:t>
            </w:r>
            <w:r>
              <w:rPr>
                <w:rFonts w:hint="eastAsia" w:cs="仿宋_GB2312"/>
                <w:color w:val="000000" w:themeColor="text1"/>
                <w:sz w:val="24"/>
                <w14:textFill>
                  <w14:solidFill>
                    <w14:schemeClr w14:val="tx1"/>
                  </w14:solidFill>
                </w14:textFill>
              </w:rPr>
              <w:t>及</w:t>
            </w:r>
            <w:r>
              <w:rPr>
                <w:rFonts w:cs="仿宋_GB2312"/>
                <w:color w:val="000000" w:themeColor="text1"/>
                <w:sz w:val="24"/>
                <w14:textFill>
                  <w14:solidFill>
                    <w14:schemeClr w14:val="tx1"/>
                  </w14:solidFill>
                </w14:textFill>
              </w:rPr>
              <w:t>信用信息</w:t>
            </w:r>
            <w:r>
              <w:rPr>
                <w:rFonts w:hint="eastAsia" w:cs="仿宋_GB2312"/>
                <w:color w:val="000000" w:themeColor="text1"/>
                <w:sz w:val="24"/>
                <w14:textFill>
                  <w14:solidFill>
                    <w14:schemeClr w14:val="tx1"/>
                  </w14:solidFill>
                </w14:textFill>
              </w:rPr>
              <w:t>查询</w:t>
            </w:r>
            <w:r>
              <w:rPr>
                <w:rFonts w:cs="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cs="仿宋"/>
                <w:b/>
                <w:color w:val="000000" w:themeColor="text1"/>
                <w:sz w:val="22"/>
                <w14:textFill>
                  <w14:solidFill>
                    <w14:schemeClr w14:val="tx1"/>
                  </w14:solidFill>
                </w14:textFill>
              </w:rPr>
            </w:pPr>
            <w:r>
              <w:rPr>
                <w:rFonts w:hint="eastAsia" w:cs="仿宋"/>
                <w:b/>
                <w:color w:val="000000" w:themeColor="text1"/>
                <w:sz w:val="24"/>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机构质疑接收人</w:t>
            </w:r>
            <w:r>
              <w:rPr>
                <w:rFonts w:hint="eastAsia"/>
                <w:color w:val="000000" w:themeColor="text1"/>
                <w:sz w:val="24"/>
                <w14:textFill>
                  <w14:solidFill>
                    <w14:schemeClr w14:val="tx1"/>
                  </w14:solidFill>
                </w14:textFill>
              </w:rPr>
              <w:t>、联系方式</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详见公告</w:t>
            </w:r>
          </w:p>
          <w:p>
            <w:pPr>
              <w:snapToGrid w:val="0"/>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本项目涉及资格条件、采购需求、评分办法及采购过程中有关现场考察或开标前答疑会等事项由</w:t>
            </w:r>
            <w:r>
              <w:rPr>
                <w:b/>
                <w:bCs/>
                <w:color w:val="000000" w:themeColor="text1"/>
                <w:sz w:val="24"/>
                <w14:textFill>
                  <w14:solidFill>
                    <w14:schemeClr w14:val="tx1"/>
                  </w14:solidFill>
                </w14:textFill>
              </w:rPr>
              <w:t>采购人</w:t>
            </w:r>
            <w:r>
              <w:rPr>
                <w:color w:val="000000" w:themeColor="text1"/>
                <w:sz w:val="24"/>
                <w14:textFill>
                  <w14:solidFill>
                    <w14:schemeClr w14:val="tx1"/>
                  </w14:solidFill>
                </w14:textFill>
              </w:rPr>
              <w:t>进行答复。</w:t>
            </w:r>
          </w:p>
          <w:p>
            <w:pPr>
              <w:rPr>
                <w:rFonts w:cs="仿宋_GB2312"/>
                <w:color w:val="000000" w:themeColor="text1"/>
                <w:sz w:val="22"/>
                <w14:textFill>
                  <w14:solidFill>
                    <w14:schemeClr w14:val="tx1"/>
                  </w14:solidFill>
                </w14:textFill>
              </w:rPr>
            </w:pPr>
            <w:r>
              <w:rPr>
                <w:rFonts w:hint="eastAsia"/>
                <w:color w:val="000000" w:themeColor="text1"/>
                <w:sz w:val="24"/>
                <w14:textFill>
                  <w14:solidFill>
                    <w14:schemeClr w14:val="tx1"/>
                  </w14:solidFill>
                </w14:textFill>
              </w:rPr>
              <w:t>涉及</w:t>
            </w:r>
            <w:r>
              <w:rPr>
                <w:color w:val="000000" w:themeColor="text1"/>
                <w:sz w:val="24"/>
                <w14:textFill>
                  <w14:solidFill>
                    <w14:schemeClr w14:val="tx1"/>
                  </w14:solidFill>
                </w14:textFill>
              </w:rPr>
              <w:t>流程规范性、组织程序等</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事项，由</w:t>
            </w:r>
            <w:r>
              <w:rPr>
                <w:rFonts w:hint="eastAsia"/>
                <w:b/>
                <w:bCs/>
                <w:color w:val="000000" w:themeColor="text1"/>
                <w:sz w:val="24"/>
                <w14:textFill>
                  <w14:solidFill>
                    <w14:schemeClr w14:val="tx1"/>
                  </w14:solidFill>
                </w14:textFill>
              </w:rPr>
              <w:t>采购代理</w:t>
            </w:r>
            <w:r>
              <w:rPr>
                <w:b/>
                <w:bCs/>
                <w:color w:val="000000" w:themeColor="text1"/>
                <w:sz w:val="24"/>
                <w14:textFill>
                  <w14:solidFill>
                    <w14:schemeClr w14:val="tx1"/>
                  </w14:solidFill>
                </w14:textFill>
              </w:rPr>
              <w:t>机构</w:t>
            </w:r>
            <w:r>
              <w:rPr>
                <w:color w:val="000000" w:themeColor="text1"/>
                <w:sz w:val="24"/>
                <w14:textFill>
                  <w14:solidFill>
                    <w14:schemeClr w14:val="tx1"/>
                  </w14:solidFill>
                </w14:textFill>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cs="仿宋"/>
                <w:b/>
                <w:color w:val="000000" w:themeColor="text1"/>
                <w:sz w:val="22"/>
                <w14:textFill>
                  <w14:solidFill>
                    <w14:schemeClr w14:val="tx1"/>
                  </w14:solidFill>
                </w14:textFill>
              </w:rPr>
            </w:pPr>
            <w:r>
              <w:rPr>
                <w:rFonts w:hint="eastAsia" w:cs="仿宋"/>
                <w:b/>
                <w:color w:val="000000" w:themeColor="text1"/>
                <w:sz w:val="24"/>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000000" w:themeColor="text1"/>
                <w:sz w:val="22"/>
                <w14:textFill>
                  <w14:solidFill>
                    <w14:schemeClr w14:val="tx1"/>
                  </w14:solidFill>
                </w14:textFill>
              </w:rPr>
            </w:pPr>
            <w:r>
              <w:rPr>
                <w:rFonts w:hint="eastAsia"/>
                <w:color w:val="000000" w:themeColor="text1"/>
                <w:sz w:val="24"/>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联系电话: 0571-83587785/0571-82816012 联系地址: 萧山区通惠北路2-1号304室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p>
            <w:pPr>
              <w:spacing w:line="360" w:lineRule="auto"/>
              <w:rPr>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4672"/>
                <w14:checkbox>
                  <w14:checked w14:val="0"/>
                  <w14:checkedState w14:val="00FE" w14:font="Wingdings"/>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t>☐</w:t>
                </w:r>
              </w:sdtContent>
            </w:sdt>
            <w:r>
              <w:rPr>
                <w:rFonts w:hint="eastAsia"/>
                <w:color w:val="000000" w:themeColor="text1"/>
                <w:sz w:val="24"/>
                <w14:textFill>
                  <w14:solidFill>
                    <w14:schemeClr w14:val="tx1"/>
                  </w14:solidFill>
                </w14:textFill>
              </w:rPr>
              <w:t>联合体投标的，联合体各方均需按招标文件第四部分评标标准要求提供资信证明文件，否则视为不符合相关要求。</w:t>
            </w:r>
          </w:p>
          <w:p>
            <w:pPr>
              <w:pStyle w:val="4"/>
              <w:ind w:left="0" w:firstLine="0"/>
              <w:rPr>
                <w:rFonts w:ascii="宋体" w:hAnsi="宋体" w:cs="宋体"/>
                <w:snapToGrid w:val="0"/>
                <w:color w:val="000000" w:themeColor="text1"/>
                <w:kern w:val="28"/>
                <w:sz w:val="24"/>
                <w14:textFill>
                  <w14:solidFill>
                    <w14:schemeClr w14:val="tx1"/>
                  </w14:solidFill>
                </w14:textFill>
              </w:rPr>
            </w:pPr>
            <w:sdt>
              <w:sdtPr>
                <w:rPr>
                  <w:rFonts w:hint="eastAsia"/>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000000" w:themeColor="text1"/>
                  <w:kern w:val="28"/>
                  <w:sz w:val="24"/>
                  <w:szCs w:val="24"/>
                  <w:lang w:val="en-US"/>
                  <w14:textFill>
                    <w14:solidFill>
                      <w14:schemeClr w14:val="tx1"/>
                    </w14:solidFill>
                  </w14:textFill>
                </w:rPr>
              </w:sdtEndPr>
              <w:sdtContent>
                <w:r>
                  <w:rPr>
                    <w:rFonts w:hint="eastAsia"/>
                    <w:color w:val="000000" w:themeColor="text1"/>
                    <w:sz w:val="24"/>
                    <w:szCs w:val="24"/>
                    <w14:textFill>
                      <w14:solidFill>
                        <w14:schemeClr w14:val="tx1"/>
                      </w14:solidFill>
                    </w14:textFill>
                  </w:rPr>
                  <w:sym w:font="Wingdings" w:char="F0FE"/>
                </w:r>
              </w:sdtContent>
            </w:sdt>
            <w:r>
              <w:rPr>
                <w:rFonts w:hint="eastAsia" w:ascii="宋体" w:hAnsi="宋体" w:eastAsia="宋体" w:cs="宋体"/>
                <w:b w:val="0"/>
                <w:bCs w:val="0"/>
                <w:snapToGrid w:val="0"/>
                <w:color w:val="000000" w:themeColor="text1"/>
                <w:kern w:val="28"/>
                <w:sz w:val="24"/>
                <w:szCs w:val="24"/>
                <w:lang w:val="en-US"/>
                <w14:textFill>
                  <w14:solidFill>
                    <w14:schemeClr w14:val="tx1"/>
                  </w14:solidFill>
                </w14:textFill>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评审因素对应的要求视为采购需求的一部分。</w:t>
            </w:r>
          </w:p>
          <w:p>
            <w:pPr>
              <w:spacing w:line="360" w:lineRule="auto"/>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b/>
                <w:bCs/>
                <w:color w:val="000000" w:themeColor="text1"/>
                <w14:textFill>
                  <w14:solidFill>
                    <w14:schemeClr w14:val="tx1"/>
                  </w14:solidFill>
                </w14:textFill>
              </w:rPr>
            </w:pPr>
            <w:r>
              <w:rPr>
                <w:rFonts w:hint="eastAsia"/>
                <w:color w:val="000000" w:themeColor="text1"/>
                <w:sz w:val="24"/>
                <w14:textFill>
                  <w14:solidFill>
                    <w14:schemeClr w14:val="tx1"/>
                  </w14:solidFill>
                </w14:textFill>
              </w:rPr>
              <w:t>本项目每个标项推荐中标候选人数量：1</w:t>
            </w:r>
          </w:p>
        </w:tc>
      </w:tr>
      <w:bookmarkEnd w:id="6"/>
    </w:tbl>
    <w:p>
      <w:pPr>
        <w:rPr>
          <w:rFonts w:ascii="宋体" w:hAnsi="宋体" w:cs="宋体"/>
          <w:b/>
          <w:color w:val="000000" w:themeColor="text1"/>
          <w:sz w:val="32"/>
          <w:szCs w:val="20"/>
          <w14:textFill>
            <w14:solidFill>
              <w14:schemeClr w14:val="tx1"/>
            </w14:solidFill>
          </w14:textFill>
        </w:rPr>
      </w:pPr>
      <w:bookmarkStart w:id="7" w:name="_Toc164416483"/>
      <w:bookmarkStart w:id="8" w:name="第三部分"/>
      <w:r>
        <w:rPr>
          <w:rFonts w:hint="eastAsia" w:ascii="宋体" w:hAnsi="宋体" w:cs="宋体"/>
          <w:b/>
          <w:color w:val="000000" w:themeColor="text1"/>
          <w:sz w:val="32"/>
          <w:szCs w:val="20"/>
          <w14:textFill>
            <w14:solidFill>
              <w14:schemeClr w14:val="tx1"/>
            </w14:solidFill>
          </w14:textFill>
        </w:rPr>
        <w:br w:type="page"/>
      </w:r>
    </w:p>
    <w:p>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pPr>
        <w:snapToGrid w:val="0"/>
        <w:spacing w:line="360" w:lineRule="auto"/>
        <w:jc w:val="left"/>
        <w:outlineLvl w:val="1"/>
        <w:rPr>
          <w:rFonts w:ascii="宋体" w:hAnsi="宋体" w:cs="宋体"/>
          <w:b/>
          <w:color w:val="000000" w:themeColor="text1"/>
          <w:sz w:val="24"/>
          <w14:textFill>
            <w14:solidFill>
              <w14:schemeClr w14:val="tx1"/>
            </w14:solidFill>
          </w14:textFill>
        </w:rPr>
      </w:pPr>
      <w:bookmarkStart w:id="9" w:name="_Toc91899903"/>
      <w:r>
        <w:rPr>
          <w:rFonts w:hint="eastAsia" w:ascii="宋体" w:hAnsi="宋体" w:cs="宋体"/>
          <w:b/>
          <w:color w:val="000000" w:themeColor="text1"/>
          <w:sz w:val="24"/>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numPr>
          <w:ilvl w:val="0"/>
          <w:numId w:val="1"/>
        </w:num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定义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支持中小企业发展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w:t>
      </w:r>
      <w:r>
        <w:rPr>
          <w:rFonts w:hint="eastAsia" w:ascii="宋体" w:hAnsi="宋体" w:cs="宋体"/>
          <w:snapToGrid w:val="0"/>
          <w:color w:val="000000" w:themeColor="text1"/>
          <w:kern w:val="28"/>
          <w:sz w:val="24"/>
          <w14:textFill>
            <w14:solidFill>
              <w14:schemeClr w14:val="tx1"/>
            </w14:solidFill>
          </w14:textFill>
        </w:rPr>
        <w:t>招标文件第四部分</w:t>
      </w:r>
      <w:r>
        <w:rPr>
          <w:rFonts w:hint="eastAsia" w:ascii="宋体" w:hAnsi="宋体" w:cs="宋体"/>
          <w:color w:val="000000" w:themeColor="text1"/>
          <w:sz w:val="24"/>
          <w:u w:val="single"/>
          <w14:textFill>
            <w14:solidFill>
              <w14:schemeClr w14:val="tx1"/>
            </w14:solidFill>
          </w14:textFill>
        </w:rPr>
        <w:t>评标办分法明确具体的扣除比例，未明确的，</w:t>
      </w:r>
      <w:r>
        <w:rPr>
          <w:rFonts w:hint="eastAsia" w:ascii="宋体" w:hAnsi="宋体" w:cs="宋体"/>
          <w:color w:val="000000" w:themeColor="text1"/>
          <w:sz w:val="24"/>
          <w14:textFill>
            <w14:solidFill>
              <w14:schemeClr w14:val="tx1"/>
            </w14:solidFill>
          </w14:textFill>
        </w:rPr>
        <w:t>给予2</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1"/>
      <w:r>
        <w:rPr>
          <w:rFonts w:hint="eastAsia" w:ascii="宋体" w:hAnsi="宋体" w:cs="宋体"/>
          <w:color w:val="000000" w:themeColor="text1"/>
          <w:sz w:val="24"/>
          <w14:textFill>
            <w14:solidFill>
              <w14:schemeClr w14:val="tx1"/>
            </w14:solidFill>
          </w14:textFill>
        </w:rPr>
        <w:t>，对联合体或者大中型企业的报价给予4%-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snapToGrid w:val="0"/>
          <w:color w:val="000000" w:themeColor="text1"/>
          <w:kern w:val="28"/>
          <w:sz w:val="24"/>
          <w14:textFill>
            <w14:solidFill>
              <w14:schemeClr w14:val="tx1"/>
            </w14:solidFill>
          </w14:textFill>
        </w:rPr>
        <w:t>招标文件第四部分</w:t>
      </w:r>
      <w:r>
        <w:rPr>
          <w:rFonts w:hint="eastAsia" w:ascii="宋体" w:hAnsi="宋体" w:cs="宋体"/>
          <w:color w:val="000000" w:themeColor="text1"/>
          <w:sz w:val="24"/>
          <w:u w:val="single"/>
          <w14:textFill>
            <w14:solidFill>
              <w14:schemeClr w14:val="tx1"/>
            </w14:solidFill>
          </w14:textFill>
        </w:rPr>
        <w:t>评标办分法明确具体的扣除比例，未明确的，</w:t>
      </w:r>
      <w:r>
        <w:rPr>
          <w:rFonts w:hint="eastAsia" w:ascii="宋体" w:hAnsi="宋体" w:cs="宋体"/>
          <w:color w:val="000000" w:themeColor="text1"/>
          <w:sz w:val="24"/>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3.4 </w:t>
      </w:r>
      <w:r>
        <w:rPr>
          <w:rFonts w:hint="eastAsia" w:ascii="宋体" w:hAnsi="宋体" w:cs="宋体"/>
          <w:bCs/>
          <w:color w:val="000000" w:themeColor="text1"/>
          <w:sz w:val="24"/>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平等对待内外资企业和符合条件的破产重整企业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p>
    <w:p>
      <w:pPr>
        <w:spacing w:line="360" w:lineRule="auto"/>
        <w:rPr>
          <w:b/>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 询问、质疑、投诉</w:t>
      </w:r>
    </w:p>
    <w:p>
      <w:pPr>
        <w:spacing w:line="360" w:lineRule="auto"/>
        <w:ind w:firstLine="240" w:firstLineChars="1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4.1</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在线询问、质疑、投诉</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供应商询问</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供应商质疑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w:t>
      </w:r>
      <w:r>
        <w:rPr>
          <w:rFonts w:hint="eastAsia" w:ascii="宋体"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w:t>
      </w:r>
      <w:r>
        <w:rPr>
          <w:rFonts w:hint="eastAsia" w:ascii="宋体"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4.3.2.1对招标文件提出质疑的，质疑期限为供应商获得招标文件之日或者招标文件公告期限届满之日起计算。</w:t>
      </w:r>
    </w:p>
    <w:p>
      <w:pPr>
        <w:spacing w:line="360" w:lineRule="auto"/>
        <w:ind w:left="479" w:leftChars="22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w:t>
      </w:r>
      <w:r>
        <w:rPr>
          <w:rFonts w:hint="eastAsia" w:ascii="宋体" w:hAnsi="宋体" w:cs="宋体"/>
          <w:color w:val="000000" w:themeColor="text1"/>
          <w:sz w:val="24"/>
          <w14:textFill>
            <w14:solidFill>
              <w14:schemeClr w14:val="tx1"/>
            </w14:solidFill>
          </w14:textFill>
        </w:rPr>
        <w:t>供应商提出质疑应当提交质疑函和必要的证明材料。质疑函应当包括下列内容：</w:t>
      </w:r>
    </w:p>
    <w:p>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4.3.3.1供应商的姓名或者名称、地址、邮编、联系人及联系电话；</w:t>
      </w:r>
    </w:p>
    <w:p>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4.3.3.2质疑项目的名称、编号；</w:t>
      </w:r>
    </w:p>
    <w:p>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4.3.3.3具体、明确的质疑事项和与质疑事项相关的请求；</w:t>
      </w:r>
    </w:p>
    <w:p>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4.3.3.4事实依据；</w:t>
      </w:r>
    </w:p>
    <w:p>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4.3.3.5必要的法律依据；</w:t>
      </w:r>
    </w:p>
    <w:p>
      <w:pPr>
        <w:spacing w:line="360" w:lineRule="auto"/>
        <w:ind w:left="479" w:leftChars="228"/>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4.3.3.6提出质疑的日期。</w:t>
      </w:r>
    </w:p>
    <w:p>
      <w:pPr>
        <w:spacing w:line="360" w:lineRule="auto"/>
        <w:ind w:left="479" w:leftChars="228"/>
        <w:rPr>
          <w:color w:val="000000" w:themeColor="text1"/>
          <w14:textFill>
            <w14:solidFill>
              <w14:schemeClr w14:val="tx1"/>
            </w14:solidFill>
          </w14:textFill>
        </w:rPr>
      </w:pPr>
      <w:r>
        <w:rPr>
          <w:rFonts w:hint="eastAsia"/>
          <w:color w:val="000000" w:themeColor="text1"/>
          <w:sz w:val="24"/>
          <w:szCs w:val="32"/>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4.3.4对同一采购程序环节的质疑，供应商须在法定质疑期内一次性提出。</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4.3.6询问或者质疑事项可能影响采购结果的，采购人应当暂停签订合同，已经签订合同的，应当中止履行合同。</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4.4</w:t>
      </w:r>
      <w:r>
        <w:rPr>
          <w:rFonts w:hint="eastAsia" w:ascii="宋体" w:hAnsi="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供应商投诉</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4.4.2供应商投诉的事项不得超出已质疑事项的范围，基于质疑答复内容提出的投诉事项除外。</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4.4.3供应商投诉应当有明确的请求和必要的证明材料。</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4.4.4 以联合体形式参加政府采购活动的，其投诉应当由组成联合体的所有供应商共同提出。</w:t>
      </w:r>
    </w:p>
    <w:p>
      <w:pPr>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投诉书范本及制作说明详见附件3。</w:t>
      </w:r>
    </w:p>
    <w:p>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二、招标文件的构成、澄清、修改</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招标文件的构成</w:t>
      </w:r>
    </w:p>
    <w:p>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5.1 招标文件包括下列文件及附件：</w:t>
      </w:r>
    </w:p>
    <w:p>
      <w:pPr>
        <w:pStyle w:val="32"/>
        <w:tabs>
          <w:tab w:val="left" w:pos="840"/>
        </w:tabs>
        <w:spacing w:line="360" w:lineRule="auto"/>
        <w:ind w:firstLine="960" w:firstLineChars="400"/>
        <w:rPr>
          <w:rFonts w:hAnsi="宋体" w:cs="宋体"/>
          <w:snapToGrid/>
          <w:color w:val="000000" w:themeColor="text1"/>
          <w:sz w:val="24"/>
          <w:szCs w:val="24"/>
          <w:lang w:val="zh-CN"/>
          <w14:textFill>
            <w14:solidFill>
              <w14:schemeClr w14:val="tx1"/>
            </w14:solidFill>
          </w14:textFill>
        </w:rPr>
      </w:pPr>
      <w:r>
        <w:rPr>
          <w:rFonts w:hint="eastAsia" w:hAnsi="宋体" w:cs="宋体"/>
          <w:snapToGrid/>
          <w:color w:val="000000" w:themeColor="text1"/>
          <w:sz w:val="24"/>
          <w:szCs w:val="24"/>
          <w:lang w:val="zh-CN"/>
          <w14:textFill>
            <w14:solidFill>
              <w14:schemeClr w14:val="tx1"/>
            </w14:solidFill>
          </w14:textFill>
        </w:rPr>
        <w:t>5.1.1招标公告；</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r>
        <w:rPr>
          <w:rFonts w:hint="eastAsia" w:hAnsi="宋体" w:cs="宋体"/>
          <w:snapToGrid/>
          <w:color w:val="000000" w:themeColor="text1"/>
          <w:sz w:val="24"/>
          <w:szCs w:val="24"/>
          <w:lang w:val="zh-CN"/>
          <w14:textFill>
            <w14:solidFill>
              <w14:schemeClr w14:val="tx1"/>
            </w14:solidFill>
          </w14:textFill>
        </w:rPr>
        <w:t>.1.2投标人须知</w:t>
      </w:r>
      <w:r>
        <w:rPr>
          <w:rFonts w:hint="eastAsia" w:hAnsi="宋体" w:cs="宋体"/>
          <w:color w:val="000000" w:themeColor="text1"/>
          <w:sz w:val="24"/>
          <w:szCs w:val="24"/>
          <w14:textFill>
            <w14:solidFill>
              <w14:schemeClr w14:val="tx1"/>
            </w14:solidFill>
          </w14:textFill>
        </w:rPr>
        <w:t>；</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pPr>
        <w:pStyle w:val="32"/>
        <w:tabs>
          <w:tab w:val="left" w:pos="840"/>
        </w:tabs>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000000" w:themeColor="text1"/>
          <w:sz w:val="32"/>
          <w:szCs w:val="21"/>
          <w14:textFill>
            <w14:solidFill>
              <w14:schemeClr w14:val="tx1"/>
            </w14:solidFill>
          </w14:textFill>
        </w:rPr>
      </w:pPr>
      <w:r>
        <w:rPr>
          <w:rFonts w:hint="eastAsia" w:ascii="宋体" w:hAnsi="宋体" w:cs="宋体"/>
          <w:b/>
          <w:color w:val="000000" w:themeColor="text1"/>
          <w:sz w:val="32"/>
          <w:szCs w:val="21"/>
          <w14:textFill>
            <w14:solidFill>
              <w14:schemeClr w14:val="tx1"/>
            </w14:solidFill>
          </w14:textFill>
        </w:rPr>
        <w:t>三、投标</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pPr>
        <w:pStyle w:val="32"/>
        <w:numPr>
          <w:ilvl w:val="0"/>
          <w:numId w:val="2"/>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开标前答疑会或现场考察</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numPr>
          <w:ilvl w:val="0"/>
          <w:numId w:val="2"/>
        </w:numPr>
        <w:spacing w:line="360" w:lineRule="auto"/>
        <w:ind w:left="0" w:leftChars="0" w:firstLine="0" w:firstLineChars="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投标保证金</w:t>
      </w:r>
    </w:p>
    <w:p>
      <w:pPr>
        <w:pStyle w:val="16"/>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bookmarkStart w:id="12" w:name="_Hlk101259339"/>
      <w:r>
        <w:rPr>
          <w:rFonts w:hint="eastAsia" w:ascii="宋体" w:hAnsi="宋体" w:cs="宋体"/>
          <w:snapToGrid w:val="0"/>
          <w:color w:val="000000" w:themeColor="text1"/>
          <w:kern w:val="28"/>
          <w:sz w:val="24"/>
          <w:szCs w:val="20"/>
          <w14:textFill>
            <w14:solidFill>
              <w14:schemeClr w14:val="tx1"/>
            </w14:solidFill>
          </w14:textFill>
        </w:rPr>
        <w:t>联合协议</w:t>
      </w:r>
      <w:bookmarkEnd w:id="12"/>
      <w:r>
        <w:rPr>
          <w:rFonts w:hint="eastAsia" w:ascii="宋体" w:hAnsi="宋体" w:cs="宋体"/>
          <w:snapToGrid w:val="0"/>
          <w:color w:val="000000" w:themeColor="text1"/>
          <w:kern w:val="28"/>
          <w:sz w:val="24"/>
          <w:szCs w:val="20"/>
          <w14:textFill>
            <w14:solidFill>
              <w14:schemeClr w14:val="tx1"/>
            </w14:solidFill>
          </w14:textFill>
        </w:rPr>
        <w:t>（如果有)；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11.</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pPr>
        <w:pStyle w:val="130"/>
        <w:snapToGrid w:val="0"/>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投标文件的签署、盖章</w:t>
      </w:r>
    </w:p>
    <w:p>
      <w:pPr>
        <w:pStyle w:val="130"/>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pPr>
        <w:pStyle w:val="13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pPr>
        <w:pStyle w:val="13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2"/>
        <w:numPr>
          <w:ilvl w:val="0"/>
          <w:numId w:val="4"/>
        </w:numPr>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备份投标文件</w:t>
      </w:r>
    </w:p>
    <w:p>
      <w:pPr>
        <w:pStyle w:val="32"/>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pPr>
        <w:pStyle w:val="32"/>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pPr>
        <w:pStyle w:val="130"/>
        <w:numPr>
          <w:ilvl w:val="0"/>
          <w:numId w:val="5"/>
        </w:numPr>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投标文件的无效处理</w:t>
      </w:r>
    </w:p>
    <w:p>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pPr>
        <w:pStyle w:val="130"/>
        <w:numPr>
          <w:ilvl w:val="0"/>
          <w:numId w:val="5"/>
        </w:numPr>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投标有效期</w:t>
      </w:r>
    </w:p>
    <w:p>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17.4在投标截止时间起至投标有效期届满，供应商投标文件不可撤销。</w:t>
      </w:r>
    </w:p>
    <w:p>
      <w:pPr>
        <w:pStyle w:val="130"/>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pPr>
        <w:pStyle w:val="555"/>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 开标</w:t>
      </w:r>
      <w:r>
        <w:rPr>
          <w:rFonts w:hint="eastAsia" w:ascii="宋体" w:hAnsi="宋体" w:cs="宋体"/>
          <w:color w:val="000000" w:themeColor="text1"/>
          <w:sz w:val="24"/>
          <w14:textFill>
            <w14:solidFill>
              <w14:schemeClr w14:val="tx1"/>
            </w14:solidFill>
          </w14:textFill>
        </w:rPr>
        <w:t xml:space="preserve"> </w:t>
      </w:r>
    </w:p>
    <w:p>
      <w:pPr>
        <w:pStyle w:val="555"/>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pPr>
        <w:pStyle w:val="555"/>
        <w:spacing w:before="0" w:line="360" w:lineRule="auto"/>
        <w:ind w:left="0" w:leftChars="0" w:firstLine="422" w:firstLineChars="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leftChars="0" w:firstLine="422" w:firstLineChars="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widowControl/>
        <w:numPr>
          <w:ilvl w:val="0"/>
          <w:numId w:val="6"/>
        </w:numPr>
        <w:spacing w:before="100" w:beforeAutospacing="1" w:after="240"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资格审查</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pPr>
        <w:pStyle w:val="130"/>
        <w:numPr>
          <w:ilvl w:val="0"/>
          <w:numId w:val="6"/>
        </w:numPr>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信用信息查询</w:t>
      </w:r>
    </w:p>
    <w:p>
      <w:pPr>
        <w:pStyle w:val="130"/>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五、评标</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六、定标</w:t>
      </w:r>
    </w:p>
    <w:p>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pPr>
        <w:pStyle w:val="130"/>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pPr>
        <w:snapToGrid w:val="0"/>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pPr>
        <w:tabs>
          <w:tab w:val="left" w:pos="0"/>
        </w:tabs>
        <w:spacing w:line="360" w:lineRule="auto"/>
        <w:ind w:firstLine="482"/>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供应商可登录政采云平台-【金融服务】—【我的项目】—【已备案合同】以保函形式提供：</w:t>
      </w:r>
    </w:p>
    <w:p>
      <w:pPr>
        <w:numPr>
          <w:ilvl w:val="0"/>
          <w:numId w:val="7"/>
        </w:numPr>
        <w:tabs>
          <w:tab w:val="left" w:pos="0"/>
        </w:tabs>
        <w:spacing w:line="360" w:lineRule="auto"/>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供应商在合同列表选择需要投保的合同，点击[保函推荐]。</w:t>
      </w:r>
    </w:p>
    <w:p>
      <w:pPr>
        <w:numPr>
          <w:ilvl w:val="0"/>
          <w:numId w:val="7"/>
        </w:numPr>
        <w:tabs>
          <w:tab w:val="left" w:pos="0"/>
        </w:tabs>
        <w:spacing w:line="360" w:lineRule="auto"/>
        <w:ind w:left="0" w:leftChars="0" w:firstLine="0" w:firstLineChars="0"/>
        <w:rPr>
          <w:rFonts w:hint="eastAsia"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在弹框里查看推荐的保函产品，供应商自行选择保函产品，点击[立即申请]</w:t>
      </w:r>
      <w:r>
        <w:rPr>
          <w:rFonts w:hint="eastAsia" w:ascii="宋体" w:hAnsi="宋体" w:cs="宋体"/>
          <w:snapToGrid w:val="0"/>
          <w:color w:val="000000" w:themeColor="text1"/>
          <w:kern w:val="28"/>
          <w:sz w:val="24"/>
          <w:lang w:eastAsia="zh-CN"/>
          <w14:textFill>
            <w14:solidFill>
              <w14:schemeClr w14:val="tx1"/>
            </w14:solidFill>
          </w14:textFill>
        </w:rPr>
        <w:t>。</w:t>
      </w:r>
    </w:p>
    <w:p>
      <w:pPr>
        <w:numPr>
          <w:ilvl w:val="0"/>
          <w:numId w:val="0"/>
        </w:numPr>
        <w:tabs>
          <w:tab w:val="left" w:pos="0"/>
        </w:tabs>
        <w:spacing w:line="360" w:lineRule="auto"/>
        <w:ind w:leftChars="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lang w:val="en-US" w:eastAsia="zh-CN"/>
          <w14:textFill>
            <w14:solidFill>
              <w14:schemeClr w14:val="tx1"/>
            </w14:solidFill>
          </w14:textFill>
        </w:rPr>
        <w:t xml:space="preserve">27. </w:t>
      </w:r>
      <w:r>
        <w:rPr>
          <w:rFonts w:hint="eastAsia" w:ascii="宋体" w:hAnsi="宋体" w:eastAsia="宋体" w:cs="宋体"/>
          <w:b/>
          <w:color w:val="000000" w:themeColor="text1"/>
          <w:lang w:val="en-US"/>
          <w14:textFill>
            <w14:solidFill>
              <w14:schemeClr w14:val="tx1"/>
            </w14:solidFill>
          </w14:textFill>
        </w:rPr>
        <w:t>预付款</w:t>
      </w:r>
    </w:p>
    <w:p>
      <w:pPr>
        <w:adjustRightInd/>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w:t>
      </w:r>
      <w:r>
        <w:rPr>
          <w:rFonts w:ascii="宋体" w:hAnsi="宋体"/>
          <w:color w:val="000000" w:themeColor="text1"/>
          <w:sz w:val="24"/>
          <w14:textFill>
            <w14:solidFill>
              <w14:schemeClr w14:val="tx1"/>
            </w14:solidFill>
          </w14:textFill>
        </w:rPr>
        <w:t>400-903-9583。</w:t>
      </w:r>
    </w:p>
    <w:p>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pPr>
        <w:pStyle w:val="130"/>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pPr>
        <w:pStyle w:val="130"/>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pPr>
        <w:pStyle w:val="130"/>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 验收</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pPr>
        <w:widowControl/>
        <w:adjustRightInd/>
        <w:jc w:val="left"/>
        <w:rPr>
          <w:rFonts w:ascii="宋体" w:hAnsi="宋体" w:cs="宋体"/>
          <w:color w:val="000000" w:themeColor="text1"/>
          <w:kern w:val="0"/>
          <w:sz w:val="24"/>
          <w14:textFill>
            <w14:solidFill>
              <w14:schemeClr w14:val="tx1"/>
            </w14:solidFill>
          </w14:textFill>
        </w:rPr>
      </w:pPr>
      <w:bookmarkStart w:id="13" w:name="_Hlt68403820"/>
      <w:bookmarkEnd w:id="13"/>
      <w:bookmarkStart w:id="14" w:name="_Hlt74714665"/>
      <w:bookmarkEnd w:id="14"/>
      <w:bookmarkStart w:id="15" w:name="_Hlt74707468"/>
      <w:bookmarkEnd w:id="15"/>
      <w:bookmarkStart w:id="16" w:name="_Hlt68057669"/>
      <w:bookmarkEnd w:id="16"/>
      <w:bookmarkStart w:id="17" w:name="_Hlt75236101"/>
      <w:bookmarkEnd w:id="17"/>
      <w:bookmarkStart w:id="18" w:name="_Hlt75236290"/>
      <w:bookmarkEnd w:id="18"/>
      <w:bookmarkStart w:id="19" w:name="_Hlt74730295"/>
      <w:bookmarkEnd w:id="19"/>
      <w:bookmarkStart w:id="20" w:name="_Hlt68072998"/>
      <w:bookmarkEnd w:id="20"/>
      <w:bookmarkStart w:id="21" w:name="_Hlt68072990"/>
      <w:bookmarkEnd w:id="21"/>
      <w:bookmarkStart w:id="22" w:name="_Hlt68073093"/>
      <w:bookmarkEnd w:id="22"/>
      <w:bookmarkStart w:id="23" w:name="_Hlt75236011"/>
      <w:bookmarkEnd w:id="23"/>
      <w:bookmarkStart w:id="24" w:name="_Hlt74729768"/>
      <w:bookmarkEnd w:id="24"/>
      <w:bookmarkStart w:id="25" w:name="第四部分"/>
      <w:r>
        <w:rPr>
          <w:rFonts w:ascii="宋体" w:hAnsi="宋体" w:cs="宋体"/>
          <w:color w:val="000000" w:themeColor="text1"/>
          <w:kern w:val="0"/>
          <w:sz w:val="24"/>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第三部分   采购需求</w:t>
      </w:r>
    </w:p>
    <w:p>
      <w:pPr>
        <w:snapToGrid w:val="0"/>
        <w:rPr>
          <w:rStyle w:val="963"/>
          <w:i w:val="0"/>
          <w:iCs w:val="0"/>
          <w:color w:val="000000" w:themeColor="text1"/>
          <w14:textFill>
            <w14:solidFill>
              <w14:schemeClr w14:val="tx1"/>
            </w14:solidFill>
          </w14:textFill>
        </w:rPr>
      </w:pPr>
      <w:r>
        <w:rPr>
          <w:rStyle w:val="963"/>
          <w:rFonts w:hint="eastAsia"/>
          <w:i w:val="0"/>
          <w:iCs w:val="0"/>
          <w:color w:val="000000" w:themeColor="text1"/>
          <w14:textFill>
            <w14:solidFill>
              <w14:schemeClr w14:val="tx1"/>
            </w14:solidFill>
          </w14:textFill>
        </w:rPr>
        <w:t>属于实质性要求条款的，请用符号“▲”标明，否则属于非实质性要求。“★”系产品采购项目中单一产品或核心产品。</w:t>
      </w:r>
    </w:p>
    <w:p>
      <w:pPr>
        <w:pStyle w:val="4"/>
        <w:numPr>
          <w:ilvl w:val="0"/>
          <w:numId w:val="8"/>
        </w:num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招标一览表</w:t>
      </w:r>
    </w:p>
    <w:p>
      <w:pPr>
        <w:pStyle w:val="6"/>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标项一：</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885"/>
        <w:gridCol w:w="817"/>
        <w:gridCol w:w="817"/>
        <w:gridCol w:w="1316"/>
        <w:gridCol w:w="163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序号</w:t>
            </w:r>
          </w:p>
        </w:tc>
        <w:tc>
          <w:tcPr>
            <w:tcW w:w="1885"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名称</w:t>
            </w:r>
          </w:p>
        </w:tc>
        <w:tc>
          <w:tcPr>
            <w:tcW w:w="817"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数量</w:t>
            </w:r>
          </w:p>
        </w:tc>
        <w:tc>
          <w:tcPr>
            <w:tcW w:w="817" w:type="dxa"/>
            <w:tcMar>
              <w:top w:w="15" w:type="dxa"/>
              <w:left w:w="15" w:type="dxa"/>
              <w:bottom w:w="0" w:type="dxa"/>
              <w:right w:w="15" w:type="dxa"/>
            </w:tcMar>
            <w:vAlign w:val="center"/>
          </w:tcPr>
          <w:p>
            <w:pPr>
              <w:tabs>
                <w:tab w:val="left" w:pos="0"/>
              </w:tabs>
              <w:snapToGrid w:val="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单位</w:t>
            </w:r>
          </w:p>
        </w:tc>
        <w:tc>
          <w:tcPr>
            <w:tcW w:w="1316" w:type="dxa"/>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预算（元）</w:t>
            </w:r>
          </w:p>
        </w:tc>
        <w:tc>
          <w:tcPr>
            <w:tcW w:w="1634" w:type="dxa"/>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简要规格描述或基本情况介绍</w:t>
            </w:r>
          </w:p>
        </w:tc>
        <w:tc>
          <w:tcPr>
            <w:tcW w:w="1687" w:type="dxa"/>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9" w:hRule="atLeast"/>
        </w:trPr>
        <w:tc>
          <w:tcPr>
            <w:tcW w:w="523" w:type="dxa"/>
            <w:tcMar>
              <w:top w:w="15" w:type="dxa"/>
              <w:left w:w="15" w:type="dxa"/>
              <w:bottom w:w="0" w:type="dxa"/>
              <w:right w:w="15" w:type="dxa"/>
            </w:tcMar>
            <w:vAlign w:val="center"/>
          </w:tcPr>
          <w:p>
            <w:pPr>
              <w:tabs>
                <w:tab w:val="left" w:pos="0"/>
              </w:tabs>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1885" w:type="dxa"/>
            <w:tcMar>
              <w:top w:w="15" w:type="dxa"/>
              <w:left w:w="15" w:type="dxa"/>
              <w:bottom w:w="0" w:type="dxa"/>
              <w:right w:w="15" w:type="dxa"/>
            </w:tcMar>
            <w:vAlign w:val="center"/>
          </w:tcPr>
          <w:p>
            <w:pPr>
              <w:jc w:val="center"/>
              <w:textAlignment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萧山区义桥镇企业、单位安全生产（含消防）社会化服务项目</w:t>
            </w:r>
          </w:p>
        </w:tc>
        <w:tc>
          <w:tcPr>
            <w:tcW w:w="817" w:type="dxa"/>
            <w:tcMar>
              <w:top w:w="15" w:type="dxa"/>
              <w:left w:w="15" w:type="dxa"/>
              <w:bottom w:w="0" w:type="dxa"/>
              <w:right w:w="15" w:type="dxa"/>
            </w:tcMar>
            <w:vAlign w:val="center"/>
          </w:tcPr>
          <w:p>
            <w:pPr>
              <w:jc w:val="center"/>
              <w:textAlignment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p>
        </w:tc>
        <w:tc>
          <w:tcPr>
            <w:tcW w:w="817" w:type="dxa"/>
            <w:tcMar>
              <w:top w:w="15" w:type="dxa"/>
              <w:left w:w="15" w:type="dxa"/>
              <w:bottom w:w="0" w:type="dxa"/>
              <w:right w:w="15" w:type="dxa"/>
            </w:tcMar>
            <w:vAlign w:val="center"/>
          </w:tcPr>
          <w:p>
            <w:pPr>
              <w:jc w:val="center"/>
              <w:textAlignment w:val="cente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年</w:t>
            </w:r>
          </w:p>
        </w:tc>
        <w:tc>
          <w:tcPr>
            <w:tcW w:w="1316" w:type="dxa"/>
            <w:vAlign w:val="center"/>
          </w:tcPr>
          <w:p>
            <w:pPr>
              <w:jc w:val="center"/>
              <w:textAlignment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1443500</w:t>
            </w:r>
          </w:p>
        </w:tc>
        <w:tc>
          <w:tcPr>
            <w:tcW w:w="1634" w:type="dxa"/>
            <w:vAlign w:val="center"/>
          </w:tcPr>
          <w:p>
            <w:pPr>
              <w:tabs>
                <w:tab w:val="left" w:pos="0"/>
              </w:tabs>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详见</w:t>
            </w:r>
            <w:r>
              <w:rPr>
                <w:rFonts w:hint="eastAsia" w:asciiTheme="minorEastAsia" w:hAnsiTheme="minorEastAsia" w:eastAsiaTheme="minorEastAsia" w:cstheme="minorEastAsia"/>
                <w:color w:val="000000" w:themeColor="text1"/>
                <w:lang w:eastAsia="zh-Hans"/>
                <w14:textFill>
                  <w14:solidFill>
                    <w14:schemeClr w14:val="tx1"/>
                  </w14:solidFill>
                </w14:textFill>
              </w:rPr>
              <w:t>二、</w:t>
            </w:r>
            <w:r>
              <w:rPr>
                <w:rFonts w:hint="eastAsia" w:asciiTheme="minorEastAsia" w:hAnsiTheme="minorEastAsia" w:eastAsiaTheme="minorEastAsia" w:cstheme="minorEastAsia"/>
                <w:color w:val="000000" w:themeColor="text1"/>
                <w14:textFill>
                  <w14:solidFill>
                    <w14:schemeClr w14:val="tx1"/>
                  </w14:solidFill>
                </w14:textFill>
              </w:rPr>
              <w:t>招标需求</w:t>
            </w:r>
          </w:p>
        </w:tc>
        <w:tc>
          <w:tcPr>
            <w:tcW w:w="1687" w:type="dxa"/>
            <w:vAlign w:val="center"/>
          </w:tcPr>
          <w:p>
            <w:pPr>
              <w:jc w:val="center"/>
              <w:textAlignment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1443500</w:t>
            </w:r>
          </w:p>
        </w:tc>
      </w:tr>
    </w:tbl>
    <w:p>
      <w:pPr>
        <w:rPr>
          <w:rFonts w:hint="eastAsia" w:asciiTheme="minorEastAsia" w:hAnsiTheme="minorEastAsia" w:eastAsiaTheme="minorEastAsia" w:cstheme="minorEastAsia"/>
          <w:b/>
          <w:color w:val="000000" w:themeColor="text1"/>
          <w:sz w:val="22"/>
          <w:szCs w:val="22"/>
          <w14:textFill>
            <w14:solidFill>
              <w14:schemeClr w14:val="tx1"/>
            </w14:solidFill>
          </w14:textFill>
        </w:rPr>
      </w:pPr>
      <w:r>
        <w:rPr>
          <w:rFonts w:hint="eastAsia" w:asciiTheme="minorEastAsia" w:hAnsiTheme="minorEastAsia" w:eastAsiaTheme="minorEastAsia" w:cstheme="minorEastAsia"/>
          <w:b/>
          <w:color w:val="000000" w:themeColor="text1"/>
          <w:sz w:val="22"/>
          <w:szCs w:val="22"/>
          <w14:textFill>
            <w14:solidFill>
              <w14:schemeClr w14:val="tx1"/>
            </w14:solidFill>
          </w14:textFill>
        </w:rPr>
        <w:t>注：▲投标人需在投标（开标）一览表中明确投标报价（总价）及以上各分项小计报价，各分项小计报价不得超过上表各最高限价。</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pPr>
        <w:pStyle w:val="4"/>
        <w:numPr>
          <w:ilvl w:val="0"/>
          <w:numId w:val="8"/>
        </w:num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采购需求</w:t>
      </w:r>
    </w:p>
    <w:p>
      <w:pPr>
        <w:numPr>
          <w:ilvl w:val="0"/>
          <w:numId w:val="9"/>
        </w:numPr>
        <w:rPr>
          <w:rFonts w:hint="eastAsia" w:asciiTheme="minorEastAsia" w:hAnsiTheme="minorEastAsia" w:eastAsiaTheme="minorEastAsia" w:cstheme="minorEastAsia"/>
          <w:b/>
          <w:bCs/>
          <w:color w:val="000000" w:themeColor="text1"/>
          <w:sz w:val="28"/>
          <w:szCs w:val="36"/>
          <w14:textFill>
            <w14:solidFill>
              <w14:schemeClr w14:val="tx1"/>
            </w14:solidFill>
          </w14:textFill>
        </w:rPr>
      </w:pPr>
      <w:r>
        <w:rPr>
          <w:rFonts w:hint="eastAsia" w:asciiTheme="minorEastAsia" w:hAnsiTheme="minorEastAsia" w:eastAsiaTheme="minorEastAsia" w:cstheme="minorEastAsia"/>
          <w:b/>
          <w:bCs/>
          <w:color w:val="000000" w:themeColor="text1"/>
          <w:sz w:val="28"/>
          <w:szCs w:val="36"/>
          <w14:textFill>
            <w14:solidFill>
              <w14:schemeClr w14:val="tx1"/>
            </w14:solidFill>
          </w14:textFill>
        </w:rPr>
        <w:t>技术需求：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b/>
          <w:bCs/>
          <w:color w:val="000000" w:themeColor="text1"/>
          <w:sz w:val="24"/>
          <w:szCs w:val="24"/>
          <w:u w:val="none"/>
          <w:lang w:val="en-US" w:eastAsia="zh-CN"/>
          <w14:textFill>
            <w14:solidFill>
              <w14:schemeClr w14:val="tx1"/>
            </w14:solidFill>
          </w14:textFill>
        </w:rPr>
      </w:pPr>
      <w:r>
        <w:rPr>
          <w:rFonts w:hint="eastAsia"/>
          <w:b/>
          <w:bCs/>
          <w:color w:val="000000" w:themeColor="text1"/>
          <w:sz w:val="24"/>
          <w:szCs w:val="24"/>
          <w:u w:val="none"/>
          <w:lang w:val="en-US" w:eastAsia="zh-CN"/>
          <w14:textFill>
            <w14:solidFill>
              <w14:schemeClr w14:val="tx1"/>
            </w14:solidFill>
          </w14:textFill>
        </w:rPr>
        <w:t>一、工作目标及内容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按上级文件精神和要求，对义桥镇辖区内工业企业、重点单位等开展安全生产（含消防安全）社会化服务，并协助开展平安暗访督查、应急消防综合救援队建设指导等工作。具体服务要求及相关内容如下：</w:t>
      </w:r>
    </w:p>
    <w:tbl>
      <w:tblPr>
        <w:tblStyle w:val="63"/>
        <w:tblW w:w="54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863"/>
        <w:gridCol w:w="919"/>
        <w:gridCol w:w="1193"/>
        <w:gridCol w:w="805"/>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序号</w:t>
            </w:r>
          </w:p>
        </w:tc>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服务对象</w:t>
            </w:r>
          </w:p>
        </w:tc>
        <w:tc>
          <w:tcPr>
            <w:tcW w:w="4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单位数（家）</w:t>
            </w:r>
          </w:p>
        </w:tc>
        <w:tc>
          <w:tcPr>
            <w:tcW w:w="58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最高单价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18"/>
                <w:szCs w:val="18"/>
                <w:u w:val="none"/>
                <w:vertAlign w:val="baseline"/>
                <w:lang w:val="en-US" w:eastAsia="zh-CN"/>
                <w14:textFill>
                  <w14:solidFill>
                    <w14:schemeClr w14:val="tx1"/>
                  </w14:solidFill>
                </w14:textFill>
              </w:rPr>
              <w:t>（元/家）</w:t>
            </w:r>
          </w:p>
        </w:tc>
        <w:tc>
          <w:tcPr>
            <w:tcW w:w="39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年度服务</w:t>
            </w:r>
          </w:p>
        </w:tc>
        <w:tc>
          <w:tcPr>
            <w:tcW w:w="289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具体服务内容简述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1</w:t>
            </w:r>
          </w:p>
        </w:tc>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重大风险企业（三场所三企业、危化品使用企业、锂电池企业）</w:t>
            </w:r>
          </w:p>
        </w:tc>
        <w:tc>
          <w:tcPr>
            <w:tcW w:w="4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69</w:t>
            </w:r>
          </w:p>
        </w:tc>
        <w:tc>
          <w:tcPr>
            <w:tcW w:w="58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5500</w:t>
            </w:r>
          </w:p>
        </w:tc>
        <w:tc>
          <w:tcPr>
            <w:tcW w:w="39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一个年度内</w:t>
            </w:r>
          </w:p>
        </w:tc>
        <w:tc>
          <w:tcPr>
            <w:tcW w:w="2898" w:type="pct"/>
            <w:noWrap w:val="0"/>
            <w:vAlign w:val="center"/>
          </w:tcPr>
          <w:p>
            <w:pPr>
              <w:spacing w:line="360" w:lineRule="auto"/>
              <w:ind w:firstLine="480" w:firstLineChars="200"/>
              <w:rPr>
                <w:rFonts w:hint="eastAsia" w:eastAsia="宋体"/>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对69家重大风险企业厂区范围内</w:t>
            </w:r>
            <w:r>
              <w:rPr>
                <w:rFonts w:hint="eastAsia" w:ascii="宋体" w:hAnsi="宋体"/>
                <w:color w:val="000000" w:themeColor="text1"/>
                <w:sz w:val="24"/>
                <w:szCs w:val="24"/>
                <w14:textFill>
                  <w14:solidFill>
                    <w14:schemeClr w14:val="tx1"/>
                  </w14:solidFill>
                </w14:textFill>
              </w:rPr>
              <w:t>开展一年</w:t>
            </w:r>
            <w:r>
              <w:rPr>
                <w:rFonts w:hint="eastAsia" w:ascii="宋体" w:hAnsi="宋体"/>
                <w:b/>
                <w:bCs/>
                <w:color w:val="000000" w:themeColor="text1"/>
                <w:sz w:val="24"/>
                <w:szCs w:val="24"/>
                <w14:textFill>
                  <w14:solidFill>
                    <w14:schemeClr w14:val="tx1"/>
                  </w14:solidFill>
                </w14:textFill>
              </w:rPr>
              <w:t>四次</w:t>
            </w:r>
            <w:r>
              <w:rPr>
                <w:rFonts w:hint="eastAsia" w:ascii="宋体" w:hAnsi="宋体"/>
                <w:b/>
                <w:bCs/>
                <w:color w:val="000000" w:themeColor="text1"/>
                <w:sz w:val="24"/>
                <w:szCs w:val="24"/>
                <w:lang w:eastAsia="zh-CN"/>
                <w14:textFill>
                  <w14:solidFill>
                    <w14:schemeClr w14:val="tx1"/>
                  </w14:solidFill>
                </w14:textFill>
              </w:rPr>
              <w:t>（隐患排查＋整改后闭环算一次）</w:t>
            </w:r>
            <w:r>
              <w:rPr>
                <w:rFonts w:hint="eastAsia" w:ascii="宋体" w:hAnsi="宋体"/>
                <w:color w:val="000000" w:themeColor="text1"/>
                <w:sz w:val="24"/>
                <w:szCs w:val="24"/>
                <w14:textFill>
                  <w14:solidFill>
                    <w14:schemeClr w14:val="tx1"/>
                  </w14:solidFill>
                </w14:textFill>
              </w:rPr>
              <w:t>安全生产技术、管理服务，切实履行职责，如实反映</w:t>
            </w:r>
            <w:r>
              <w:rPr>
                <w:rFonts w:hint="eastAsia"/>
                <w:color w:val="000000" w:themeColor="text1"/>
                <w:sz w:val="24"/>
                <w:szCs w:val="24"/>
                <w:u w:val="none"/>
                <w:vertAlign w:val="baseline"/>
                <w:lang w:val="en-US" w:eastAsia="zh-CN"/>
                <w14:textFill>
                  <w14:solidFill>
                    <w14:schemeClr w14:val="tx1"/>
                  </w14:solidFill>
                </w14:textFill>
              </w:rPr>
              <w:t>重大风险企业厂区范围内</w:t>
            </w:r>
            <w:r>
              <w:rPr>
                <w:rFonts w:hint="eastAsia" w:ascii="宋体" w:hAnsi="宋体"/>
                <w:color w:val="000000" w:themeColor="text1"/>
                <w:sz w:val="24"/>
                <w:szCs w:val="24"/>
                <w14:textFill>
                  <w14:solidFill>
                    <w14:schemeClr w14:val="tx1"/>
                  </w14:solidFill>
                </w14:textFill>
              </w:rPr>
              <w:t>存在的安全生产问题和隐患，提出合理并切实可行的整改意见或建议，帮助企业解决安全生产中存在的问题</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每一次隐患排查服务分为三个阶段：1、安全隐患排查阶段</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对照安全生产有关法律法规和标准，重点对企业消防安全、危化品的存储和使用、特种设备和机械设备安全、电气安全、作业安全、风险识别告知、安全警示标志、职业病防护、应急救援、安全教育培训等内容开展全面彻底排查。2、出具报告阶段</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根据现场排摸情况，对照国家安全技术规范，列出安全隐患清单，由企业签字确认后立即在现场交给企业要求予以整改</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整改提升阶段。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检查过程中发现安全生产隐患的，及时报告镇</w:t>
            </w:r>
            <w:r>
              <w:rPr>
                <w:rFonts w:hint="eastAsia" w:ascii="宋体" w:hAnsi="宋体"/>
                <w:color w:val="000000" w:themeColor="text1"/>
                <w:sz w:val="24"/>
                <w:szCs w:val="24"/>
                <w:lang w:eastAsia="zh-CN"/>
                <w14:textFill>
                  <w14:solidFill>
                    <w14:schemeClr w14:val="tx1"/>
                  </w14:solidFill>
                </w14:textFill>
              </w:rPr>
              <w:t>应消站、安监办</w:t>
            </w:r>
            <w:r>
              <w:rPr>
                <w:rFonts w:hint="eastAsia" w:ascii="宋体" w:hAnsi="宋体"/>
                <w:color w:val="000000" w:themeColor="text1"/>
                <w:sz w:val="24"/>
                <w:szCs w:val="24"/>
                <w14:textFill>
                  <w14:solidFill>
                    <w14:schemeClr w14:val="tx1"/>
                  </w14:solidFill>
                </w14:textFill>
              </w:rPr>
              <w:t>，由</w:t>
            </w:r>
            <w:r>
              <w:rPr>
                <w:rFonts w:hint="eastAsia" w:ascii="宋体" w:hAnsi="宋体"/>
                <w:color w:val="000000" w:themeColor="text1"/>
                <w:sz w:val="24"/>
                <w:szCs w:val="24"/>
                <w:lang w:eastAsia="zh-CN"/>
                <w14:textFill>
                  <w14:solidFill>
                    <w14:schemeClr w14:val="tx1"/>
                  </w14:solidFill>
                </w14:textFill>
              </w:rPr>
              <w:t>应消站、安监办根据职责分工</w:t>
            </w:r>
            <w:r>
              <w:rPr>
                <w:rFonts w:hint="eastAsia" w:ascii="宋体" w:hAnsi="宋体"/>
                <w:color w:val="000000" w:themeColor="text1"/>
                <w:sz w:val="24"/>
                <w:szCs w:val="24"/>
                <w14:textFill>
                  <w14:solidFill>
                    <w14:schemeClr w14:val="tx1"/>
                  </w14:solidFill>
                </w14:textFill>
              </w:rPr>
              <w:t>督促落实整改；</w:t>
            </w:r>
            <w:r>
              <w:rPr>
                <w:rFonts w:hint="eastAsia" w:ascii="宋体" w:hAnsi="宋体"/>
                <w:color w:val="000000" w:themeColor="text1"/>
                <w:sz w:val="24"/>
                <w:szCs w:val="24"/>
                <w:lang w:val="en-US" w:eastAsia="zh-CN"/>
                <w14:textFill>
                  <w14:solidFill>
                    <w14:schemeClr w14:val="tx1"/>
                  </w14:solidFill>
                </w14:textFill>
              </w:rPr>
              <w:t>4、每季度检查的隐患与整改结果分别装订成册，上交镇应消站、安监办；每季度填写好底数、隐患、责任三张清单；及时将隐患、整改信息录入上级要求的系统。5、</w:t>
            </w:r>
            <w:r>
              <w:rPr>
                <w:rFonts w:hint="eastAsia" w:ascii="宋体" w:hAnsi="宋体" w:eastAsia="宋体" w:cs="宋体"/>
                <w:color w:val="000000" w:themeColor="text1"/>
                <w:sz w:val="24"/>
                <w14:textFill>
                  <w14:solidFill>
                    <w14:schemeClr w14:val="tx1"/>
                  </w14:solidFill>
                </w14:textFill>
              </w:rPr>
              <w:t>专人负责“工业在线”各类网上平台数据维护和操作及业主交办的</w:t>
            </w:r>
            <w:r>
              <w:rPr>
                <w:rFonts w:hint="eastAsia" w:ascii="宋体" w:hAnsi="宋体" w:eastAsia="宋体" w:cs="宋体"/>
                <w:color w:val="000000" w:themeColor="text1"/>
                <w:sz w:val="24"/>
                <w:lang w:eastAsia="zh-CN"/>
                <w14:textFill>
                  <w14:solidFill>
                    <w14:schemeClr w14:val="tx1"/>
                  </w14:solidFill>
                </w14:textFill>
              </w:rPr>
              <w:t>安全生产服务相关的其他工作。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2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2</w:t>
            </w:r>
          </w:p>
        </w:tc>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较大风险企业（“一厂多租”企业、规上企业）</w:t>
            </w:r>
          </w:p>
        </w:tc>
        <w:tc>
          <w:tcPr>
            <w:tcW w:w="4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169</w:t>
            </w:r>
          </w:p>
        </w:tc>
        <w:tc>
          <w:tcPr>
            <w:tcW w:w="586" w:type="pct"/>
            <w:noWrap w:val="0"/>
            <w:vAlign w:val="center"/>
          </w:tcPr>
          <w:p>
            <w:pPr>
              <w:pStyle w:val="2"/>
              <w:jc w:val="center"/>
              <w:rPr>
                <w:rFonts w:hint="default"/>
                <w:color w:val="000000" w:themeColor="text1"/>
                <w:sz w:val="21"/>
                <w:szCs w:val="21"/>
                <w:u w:val="none"/>
                <w:vertAlign w:val="baseli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3500</w:t>
            </w:r>
          </w:p>
        </w:tc>
        <w:tc>
          <w:tcPr>
            <w:tcW w:w="39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一个年度内</w:t>
            </w:r>
          </w:p>
        </w:tc>
        <w:tc>
          <w:tcPr>
            <w:tcW w:w="28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eastAsia="宋体"/>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对辖区内169家较大风险企业</w:t>
            </w:r>
            <w:r>
              <w:rPr>
                <w:rFonts w:hint="eastAsia" w:ascii="宋体" w:hAnsi="宋体"/>
                <w:color w:val="000000" w:themeColor="text1"/>
                <w:sz w:val="24"/>
                <w:szCs w:val="24"/>
                <w14:textFill>
                  <w14:solidFill>
                    <w14:schemeClr w14:val="tx1"/>
                  </w14:solidFill>
                </w14:textFill>
              </w:rPr>
              <w:t>开展一年</w:t>
            </w:r>
            <w:r>
              <w:rPr>
                <w:rFonts w:hint="eastAsia" w:ascii="宋体" w:hAnsi="宋体"/>
                <w:b/>
                <w:bCs/>
                <w:color w:val="000000" w:themeColor="text1"/>
                <w:sz w:val="24"/>
                <w:szCs w:val="24"/>
                <w:lang w:eastAsia="zh-CN"/>
                <w14:textFill>
                  <w14:solidFill>
                    <w14:schemeClr w14:val="tx1"/>
                  </w14:solidFill>
                </w14:textFill>
              </w:rPr>
              <w:t>两</w:t>
            </w:r>
            <w:r>
              <w:rPr>
                <w:rFonts w:hint="eastAsia" w:ascii="宋体" w:hAnsi="宋体"/>
                <w:b/>
                <w:bCs/>
                <w:color w:val="000000" w:themeColor="text1"/>
                <w:sz w:val="24"/>
                <w:szCs w:val="24"/>
                <w14:textFill>
                  <w14:solidFill>
                    <w14:schemeClr w14:val="tx1"/>
                  </w14:solidFill>
                </w14:textFill>
              </w:rPr>
              <w:t>次</w:t>
            </w:r>
            <w:r>
              <w:rPr>
                <w:rFonts w:hint="eastAsia" w:ascii="宋体" w:hAnsi="宋体"/>
                <w:b/>
                <w:bCs/>
                <w:color w:val="000000" w:themeColor="text1"/>
                <w:sz w:val="24"/>
                <w:szCs w:val="24"/>
                <w:lang w:eastAsia="zh-CN"/>
                <w14:textFill>
                  <w14:solidFill>
                    <w14:schemeClr w14:val="tx1"/>
                  </w14:solidFill>
                </w14:textFill>
              </w:rPr>
              <w:t>（隐患排查＋整改后闭环算一次）</w:t>
            </w:r>
            <w:r>
              <w:rPr>
                <w:rFonts w:hint="eastAsia" w:ascii="宋体" w:hAnsi="宋体"/>
                <w:color w:val="000000" w:themeColor="text1"/>
                <w:sz w:val="24"/>
                <w:szCs w:val="24"/>
                <w14:textFill>
                  <w14:solidFill>
                    <w14:schemeClr w14:val="tx1"/>
                  </w14:solidFill>
                </w14:textFill>
              </w:rPr>
              <w:t>安全生产技术、管理服务，切实履行职责</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每次检查的隐患与整改结果分别装订成册，上交镇应消站、安监办；每次填写好底数、隐患、责任三张清单；及时将隐患、整改信息录入上级要求的系统。</w:t>
            </w:r>
            <w:r>
              <w:rPr>
                <w:rFonts w:hint="eastAsia"/>
                <w:color w:val="000000" w:themeColor="text1"/>
                <w:sz w:val="24"/>
                <w:szCs w:val="24"/>
                <w:u w:val="none"/>
                <w:vertAlign w:val="baseline"/>
                <w:lang w:val="en-US" w:eastAsia="zh-CN"/>
                <w14:textFill>
                  <w14:solidFill>
                    <w14:schemeClr w14:val="tx1"/>
                  </w14:solidFill>
                </w14:textFill>
              </w:rPr>
              <w:t>其他服务内容及要求同上。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2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3</w:t>
            </w:r>
          </w:p>
        </w:tc>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一般风险企业（一般企业）</w:t>
            </w:r>
          </w:p>
        </w:tc>
        <w:tc>
          <w:tcPr>
            <w:tcW w:w="4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418</w:t>
            </w:r>
          </w:p>
        </w:tc>
        <w:tc>
          <w:tcPr>
            <w:tcW w:w="586" w:type="pct"/>
            <w:noWrap w:val="0"/>
            <w:vAlign w:val="center"/>
          </w:tcPr>
          <w:p>
            <w:pPr>
              <w:pStyle w:val="2"/>
              <w:jc w:val="center"/>
              <w:rPr>
                <w:rFonts w:hint="default" w:ascii="Calibri" w:hAnsi="Calibri" w:eastAsia="宋体" w:cs="Times New Roman"/>
                <w:snapToGrid/>
                <w:color w:val="000000" w:themeColor="text1"/>
                <w:kern w:val="2"/>
                <w:sz w:val="24"/>
                <w:szCs w:val="32"/>
                <w:lang w:val="en-US" w:eastAsia="zh-CN" w:bidi="ar-SA"/>
                <w14:textFill>
                  <w14:solidFill>
                    <w14:schemeClr w14:val="tx1"/>
                  </w14:solidFill>
                </w14:textFill>
              </w:rPr>
            </w:pPr>
            <w:r>
              <w:rPr>
                <w:rFonts w:hint="eastAsia" w:ascii="Calibri" w:hAnsi="Calibri" w:cs="Times New Roman"/>
                <w:snapToGrid/>
                <w:color w:val="000000" w:themeColor="text1"/>
                <w:kern w:val="2"/>
                <w:sz w:val="24"/>
                <w:szCs w:val="32"/>
                <w:lang w:val="en-US" w:eastAsia="zh-CN" w:bidi="ar-SA"/>
                <w14:textFill>
                  <w14:solidFill>
                    <w14:schemeClr w14:val="tx1"/>
                  </w14:solidFill>
                </w14:textFill>
              </w:rPr>
              <w:t>750</w:t>
            </w:r>
          </w:p>
        </w:tc>
        <w:tc>
          <w:tcPr>
            <w:tcW w:w="39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一个年度内</w:t>
            </w:r>
          </w:p>
        </w:tc>
        <w:tc>
          <w:tcPr>
            <w:tcW w:w="28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对辖区内418家一般风险企业</w:t>
            </w:r>
            <w:r>
              <w:rPr>
                <w:rFonts w:hint="eastAsia" w:ascii="宋体" w:hAnsi="宋体"/>
                <w:color w:val="000000" w:themeColor="text1"/>
                <w:sz w:val="24"/>
                <w:szCs w:val="24"/>
                <w14:textFill>
                  <w14:solidFill>
                    <w14:schemeClr w14:val="tx1"/>
                  </w14:solidFill>
                </w14:textFill>
              </w:rPr>
              <w:t>开展一年</w:t>
            </w:r>
            <w:r>
              <w:rPr>
                <w:rFonts w:hint="eastAsia" w:ascii="宋体" w:hAnsi="宋体"/>
                <w:b/>
                <w:bCs/>
                <w:color w:val="000000" w:themeColor="text1"/>
                <w:sz w:val="24"/>
                <w:szCs w:val="24"/>
                <w:lang w:eastAsia="zh-CN"/>
                <w14:textFill>
                  <w14:solidFill>
                    <w14:schemeClr w14:val="tx1"/>
                  </w14:solidFill>
                </w14:textFill>
              </w:rPr>
              <w:t>一</w:t>
            </w:r>
            <w:r>
              <w:rPr>
                <w:rFonts w:hint="eastAsia" w:ascii="宋体" w:hAnsi="宋体"/>
                <w:b/>
                <w:bCs/>
                <w:color w:val="000000" w:themeColor="text1"/>
                <w:sz w:val="24"/>
                <w:szCs w:val="24"/>
                <w14:textFill>
                  <w14:solidFill>
                    <w14:schemeClr w14:val="tx1"/>
                  </w14:solidFill>
                </w14:textFill>
              </w:rPr>
              <w:t>次</w:t>
            </w:r>
            <w:r>
              <w:rPr>
                <w:rFonts w:hint="eastAsia" w:ascii="宋体" w:hAnsi="宋体"/>
                <w:b/>
                <w:bCs/>
                <w:color w:val="000000" w:themeColor="text1"/>
                <w:sz w:val="24"/>
                <w:szCs w:val="24"/>
                <w:lang w:eastAsia="zh-CN"/>
                <w14:textFill>
                  <w14:solidFill>
                    <w14:schemeClr w14:val="tx1"/>
                  </w14:solidFill>
                </w14:textFill>
              </w:rPr>
              <w:t>（隐患排查＋整改后闭环算一次）</w:t>
            </w:r>
            <w:r>
              <w:rPr>
                <w:rFonts w:hint="eastAsia" w:ascii="宋体" w:hAnsi="宋体"/>
                <w:color w:val="000000" w:themeColor="text1"/>
                <w:sz w:val="24"/>
                <w:szCs w:val="24"/>
                <w14:textFill>
                  <w14:solidFill>
                    <w14:schemeClr w14:val="tx1"/>
                  </w14:solidFill>
                </w14:textFill>
              </w:rPr>
              <w:t>安全生产技术、管理服务，切实履行职责</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每次检查的隐患与整改结果分别装订成册，上交镇应消站、安监办；每次填写好底数、隐患、责任三张清单；及时将隐患、整改信息录入上级要求的系统。</w:t>
            </w:r>
            <w:r>
              <w:rPr>
                <w:rFonts w:hint="eastAsia"/>
                <w:color w:val="000000" w:themeColor="text1"/>
                <w:sz w:val="24"/>
                <w:szCs w:val="24"/>
                <w:u w:val="none"/>
                <w:vertAlign w:val="baseline"/>
                <w:lang w:val="en-US" w:eastAsia="zh-CN"/>
                <w14:textFill>
                  <w14:solidFill>
                    <w14:schemeClr w14:val="tx1"/>
                  </w14:solidFill>
                </w14:textFill>
              </w:rPr>
              <w:t>其他服务内容及要求同上。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2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4</w:t>
            </w:r>
          </w:p>
        </w:tc>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安全培训</w:t>
            </w:r>
          </w:p>
        </w:tc>
        <w:tc>
          <w:tcPr>
            <w:tcW w:w="4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1121</w:t>
            </w:r>
          </w:p>
        </w:tc>
        <w:tc>
          <w:tcPr>
            <w:tcW w:w="586" w:type="pct"/>
            <w:noWrap w:val="0"/>
            <w:vAlign w:val="center"/>
          </w:tcPr>
          <w:p>
            <w:pPr>
              <w:pStyle w:val="2"/>
              <w:jc w:val="center"/>
              <w:rPr>
                <w:rFonts w:hint="default" w:ascii="Calibri" w:hAnsi="Calibri" w:cs="Times New Roman"/>
                <w:snapToGrid/>
                <w:color w:val="000000" w:themeColor="text1"/>
                <w:kern w:val="2"/>
                <w:sz w:val="24"/>
                <w:szCs w:val="32"/>
                <w:lang w:val="en-US" w:eastAsia="zh-CN" w:bidi="ar-SA"/>
                <w14:textFill>
                  <w14:solidFill>
                    <w14:schemeClr w14:val="tx1"/>
                  </w14:solidFill>
                </w14:textFill>
              </w:rPr>
            </w:pPr>
            <w:r>
              <w:rPr>
                <w:rFonts w:hint="eastAsia" w:ascii="Calibri" w:hAnsi="Calibri" w:cs="Times New Roman"/>
                <w:snapToGrid/>
                <w:color w:val="000000" w:themeColor="text1"/>
                <w:kern w:val="2"/>
                <w:sz w:val="24"/>
                <w:szCs w:val="32"/>
                <w:lang w:val="en-US" w:eastAsia="zh-CN" w:bidi="ar-SA"/>
                <w14:textFill>
                  <w14:solidFill>
                    <w14:schemeClr w14:val="tx1"/>
                  </w14:solidFill>
                </w14:textFill>
              </w:rPr>
              <w:t>29000</w:t>
            </w:r>
          </w:p>
        </w:tc>
        <w:tc>
          <w:tcPr>
            <w:tcW w:w="39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一个年度内</w:t>
            </w:r>
          </w:p>
        </w:tc>
        <w:tc>
          <w:tcPr>
            <w:tcW w:w="289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eastAsia="宋体"/>
                <w:color w:val="000000" w:themeColor="text1"/>
                <w:sz w:val="24"/>
                <w:szCs w:val="24"/>
                <w:u w:val="none"/>
                <w:vertAlign w:val="baselin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每年对企业（单位等）员工开展</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次安全生产员工素质培训，完成萧山区应急局下达“百万员工大培训”的目标任务</w:t>
            </w:r>
            <w:r>
              <w:rPr>
                <w:rFonts w:hint="eastAsia" w:ascii="宋体" w:hAnsi="宋体" w:eastAsia="宋体" w:cs="宋体"/>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5</w:t>
            </w:r>
          </w:p>
        </w:tc>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应急演练</w:t>
            </w:r>
          </w:p>
        </w:tc>
        <w:tc>
          <w:tcPr>
            <w:tcW w:w="4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1121</w:t>
            </w:r>
          </w:p>
        </w:tc>
        <w:tc>
          <w:tcPr>
            <w:tcW w:w="586" w:type="pct"/>
            <w:noWrap w:val="0"/>
            <w:vAlign w:val="center"/>
          </w:tcPr>
          <w:p>
            <w:pPr>
              <w:pStyle w:val="2"/>
              <w:jc w:val="center"/>
              <w:rPr>
                <w:rFonts w:hint="default" w:ascii="Calibri" w:hAnsi="Calibri" w:cs="Times New Roman"/>
                <w:snapToGrid/>
                <w:color w:val="000000" w:themeColor="text1"/>
                <w:kern w:val="2"/>
                <w:sz w:val="24"/>
                <w:szCs w:val="32"/>
                <w:lang w:val="en-US" w:eastAsia="zh-CN" w:bidi="ar-SA"/>
                <w14:textFill>
                  <w14:solidFill>
                    <w14:schemeClr w14:val="tx1"/>
                  </w14:solidFill>
                </w14:textFill>
              </w:rPr>
            </w:pPr>
            <w:r>
              <w:rPr>
                <w:rFonts w:hint="eastAsia" w:ascii="Calibri" w:hAnsi="Calibri" w:cs="Times New Roman"/>
                <w:snapToGrid/>
                <w:color w:val="000000" w:themeColor="text1"/>
                <w:kern w:val="2"/>
                <w:sz w:val="24"/>
                <w:szCs w:val="32"/>
                <w:lang w:val="en-US" w:eastAsia="zh-CN" w:bidi="ar-SA"/>
                <w14:textFill>
                  <w14:solidFill>
                    <w14:schemeClr w14:val="tx1"/>
                  </w14:solidFill>
                </w14:textFill>
              </w:rPr>
              <w:t>20000</w:t>
            </w:r>
          </w:p>
        </w:tc>
        <w:tc>
          <w:tcPr>
            <w:tcW w:w="39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一个年度内</w:t>
            </w:r>
          </w:p>
        </w:tc>
        <w:tc>
          <w:tcPr>
            <w:tcW w:w="2898" w:type="pct"/>
            <w:noWrap w:val="0"/>
            <w:vAlign w:val="center"/>
          </w:tcPr>
          <w:p>
            <w:pPr>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每年指导企业及政府开展</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次安全生产应急演练指导，演练内容包括：</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编制应急演练方案和总结；</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现场指导安排</w:t>
            </w:r>
            <w:r>
              <w:rPr>
                <w:rFonts w:hint="eastAsia" w:ascii="宋体" w:hAnsi="宋体" w:eastAsia="宋体" w:cs="宋体"/>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6</w:t>
            </w:r>
          </w:p>
        </w:tc>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重点单位</w:t>
            </w:r>
          </w:p>
        </w:tc>
        <w:tc>
          <w:tcPr>
            <w:tcW w:w="4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50</w:t>
            </w:r>
          </w:p>
        </w:tc>
        <w:tc>
          <w:tcPr>
            <w:tcW w:w="586" w:type="pct"/>
            <w:noWrap w:val="0"/>
            <w:vAlign w:val="center"/>
          </w:tcPr>
          <w:p>
            <w:pPr>
              <w:pStyle w:val="2"/>
              <w:jc w:val="center"/>
              <w:rPr>
                <w:rFonts w:hint="default" w:ascii="Calibri" w:hAnsi="Calibri" w:cs="Times New Roman"/>
                <w:snapToGrid/>
                <w:color w:val="000000" w:themeColor="text1"/>
                <w:kern w:val="2"/>
                <w:sz w:val="24"/>
                <w:szCs w:val="32"/>
                <w:lang w:val="en-US" w:eastAsia="zh-CN" w:bidi="ar-SA"/>
                <w14:textFill>
                  <w14:solidFill>
                    <w14:schemeClr w14:val="tx1"/>
                  </w14:solidFill>
                </w14:textFill>
              </w:rPr>
            </w:pPr>
            <w:r>
              <w:rPr>
                <w:rFonts w:hint="eastAsia" w:ascii="Calibri" w:hAnsi="Calibri" w:cs="Times New Roman"/>
                <w:snapToGrid/>
                <w:color w:val="000000" w:themeColor="text1"/>
                <w:kern w:val="2"/>
                <w:sz w:val="24"/>
                <w:szCs w:val="32"/>
                <w:lang w:val="en-US" w:eastAsia="zh-CN" w:bidi="ar-SA"/>
                <w14:textFill>
                  <w14:solidFill>
                    <w14:schemeClr w14:val="tx1"/>
                  </w14:solidFill>
                </w14:textFill>
              </w:rPr>
              <w:t>2200</w:t>
            </w:r>
          </w:p>
        </w:tc>
        <w:tc>
          <w:tcPr>
            <w:tcW w:w="39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一个年度内</w:t>
            </w:r>
          </w:p>
        </w:tc>
        <w:tc>
          <w:tcPr>
            <w:tcW w:w="2898" w:type="pct"/>
            <w:noWrap w:val="0"/>
            <w:vAlign w:val="center"/>
          </w:tcPr>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对辖区内50家重点单位</w:t>
            </w:r>
            <w:r>
              <w:rPr>
                <w:rFonts w:hint="eastAsia" w:ascii="宋体" w:hAnsi="宋体"/>
                <w:color w:val="000000" w:themeColor="text1"/>
                <w:sz w:val="24"/>
                <w:szCs w:val="24"/>
                <w14:textFill>
                  <w14:solidFill>
                    <w14:schemeClr w14:val="tx1"/>
                  </w14:solidFill>
                </w14:textFill>
              </w:rPr>
              <w:t>开展一年</w:t>
            </w:r>
            <w:r>
              <w:rPr>
                <w:rFonts w:hint="eastAsia" w:ascii="宋体" w:hAnsi="宋体"/>
                <w:b/>
                <w:bCs/>
                <w:color w:val="000000" w:themeColor="text1"/>
                <w:sz w:val="24"/>
                <w:szCs w:val="24"/>
                <w:lang w:eastAsia="zh-CN"/>
                <w14:textFill>
                  <w14:solidFill>
                    <w14:schemeClr w14:val="tx1"/>
                  </w14:solidFill>
                </w14:textFill>
              </w:rPr>
              <w:t>两</w:t>
            </w:r>
            <w:r>
              <w:rPr>
                <w:rFonts w:hint="eastAsia" w:ascii="宋体" w:hAnsi="宋体"/>
                <w:b/>
                <w:bCs/>
                <w:color w:val="000000" w:themeColor="text1"/>
                <w:sz w:val="24"/>
                <w:szCs w:val="24"/>
                <w14:textFill>
                  <w14:solidFill>
                    <w14:schemeClr w14:val="tx1"/>
                  </w14:solidFill>
                </w14:textFill>
              </w:rPr>
              <w:t>次</w:t>
            </w:r>
            <w:r>
              <w:rPr>
                <w:rFonts w:hint="eastAsia" w:ascii="宋体" w:hAnsi="宋体"/>
                <w:b/>
                <w:bCs/>
                <w:color w:val="000000" w:themeColor="text1"/>
                <w:sz w:val="24"/>
                <w:szCs w:val="24"/>
                <w:lang w:eastAsia="zh-CN"/>
                <w14:textFill>
                  <w14:solidFill>
                    <w14:schemeClr w14:val="tx1"/>
                  </w14:solidFill>
                </w14:textFill>
              </w:rPr>
              <w:t>（隐患排查＋整改后闭环算一次）</w:t>
            </w:r>
            <w:r>
              <w:rPr>
                <w:rFonts w:hint="eastAsia" w:ascii="宋体" w:hAnsi="宋体"/>
                <w:color w:val="000000" w:themeColor="text1"/>
                <w:sz w:val="24"/>
                <w:szCs w:val="24"/>
                <w14:textFill>
                  <w14:solidFill>
                    <w14:schemeClr w14:val="tx1"/>
                  </w14:solidFill>
                </w14:textFill>
              </w:rPr>
              <w:t>安全</w:t>
            </w:r>
            <w:r>
              <w:rPr>
                <w:rFonts w:hint="eastAsia" w:ascii="宋体" w:hAnsi="宋体"/>
                <w:color w:val="000000" w:themeColor="text1"/>
                <w:sz w:val="24"/>
                <w:szCs w:val="24"/>
                <w:lang w:eastAsia="zh-CN"/>
                <w14:textFill>
                  <w14:solidFill>
                    <w14:schemeClr w14:val="tx1"/>
                  </w14:solidFill>
                </w14:textFill>
              </w:rPr>
              <w:t>检查（含消防安全），</w:t>
            </w:r>
            <w:r>
              <w:rPr>
                <w:rFonts w:hint="eastAsia" w:ascii="宋体" w:hAnsi="宋体"/>
                <w:color w:val="000000" w:themeColor="text1"/>
                <w:sz w:val="24"/>
                <w:szCs w:val="24"/>
                <w14:textFill>
                  <w14:solidFill>
                    <w14:schemeClr w14:val="tx1"/>
                  </w14:solidFill>
                </w14:textFill>
              </w:rPr>
              <w:t>技术、管理服务，切实履行职责</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每次检查的隐患与整改结果分别装订成册，上交镇应消站、安监办；每次填写好底数、隐患、责任三张清单；及时将隐患、整改信息录入上级要求的系统。如服务内容有其他要求的采购方会及时告知服务三方。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4" w:type="pct"/>
            <w:noWrap w:val="0"/>
            <w:vAlign w:val="center"/>
          </w:tcPr>
          <w:p>
            <w:pPr>
              <w:pStyle w:val="2"/>
              <w:rPr>
                <w:rFonts w:hint="default"/>
                <w:color w:val="000000" w:themeColor="text1"/>
                <w:lang w:val="en-US" w:eastAsia="zh-CN"/>
                <w14:textFill>
                  <w14:solidFill>
                    <w14:schemeClr w14:val="tx1"/>
                  </w14:solidFill>
                </w14:textFill>
              </w:rPr>
            </w:pPr>
          </w:p>
        </w:tc>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合计</w:t>
            </w:r>
          </w:p>
        </w:tc>
        <w:tc>
          <w:tcPr>
            <w:tcW w:w="45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u w:val="none"/>
                <w:vertAlign w:val="baseline"/>
                <w:lang w:val="en-US" w:eastAsia="zh-CN"/>
                <w14:textFill>
                  <w14:solidFill>
                    <w14:schemeClr w14:val="tx1"/>
                  </w14:solidFill>
                </w14:textFill>
              </w:rPr>
              <w:t>1171</w:t>
            </w:r>
          </w:p>
        </w:tc>
        <w:tc>
          <w:tcPr>
            <w:tcW w:w="58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r>
              <w:rPr>
                <w:rFonts w:hint="eastAsia" w:eastAsia="宋体"/>
                <w:color w:val="000000" w:themeColor="text1"/>
                <w:sz w:val="24"/>
                <w:szCs w:val="24"/>
                <w:u w:val="none"/>
                <w:vertAlign w:val="baseline"/>
                <w:lang w:val="en-US" w:eastAsia="zh-CN"/>
                <w14:textFill>
                  <w14:solidFill>
                    <w14:schemeClr w14:val="tx1"/>
                  </w14:solidFill>
                </w14:textFill>
              </w:rPr>
              <w:t>1443500</w:t>
            </w:r>
          </w:p>
        </w:tc>
        <w:tc>
          <w:tcPr>
            <w:tcW w:w="39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color w:val="000000" w:themeColor="text1"/>
                <w:sz w:val="24"/>
                <w:szCs w:val="24"/>
                <w:u w:val="none"/>
                <w:vertAlign w:val="baseline"/>
                <w:lang w:val="en-US" w:eastAsia="zh-CN"/>
                <w14:textFill>
                  <w14:solidFill>
                    <w14:schemeClr w14:val="tx1"/>
                  </w14:solidFill>
                </w14:textFill>
              </w:rPr>
            </w:pPr>
          </w:p>
        </w:tc>
        <w:tc>
          <w:tcPr>
            <w:tcW w:w="2898" w:type="pct"/>
            <w:noWrap w:val="0"/>
            <w:vAlign w:val="center"/>
          </w:tcPr>
          <w:p>
            <w:pPr>
              <w:spacing w:line="360" w:lineRule="auto"/>
              <w:ind w:firstLine="480" w:firstLineChars="200"/>
              <w:rPr>
                <w:rFonts w:hint="default"/>
                <w:color w:val="000000" w:themeColor="text1"/>
                <w:sz w:val="24"/>
                <w:szCs w:val="24"/>
                <w:u w:val="none"/>
                <w:vertAlign w:val="baseline"/>
                <w:lang w:val="en-US" w:eastAsia="zh-CN"/>
                <w14:textFill>
                  <w14:solidFill>
                    <w14:schemeClr w14:val="tx1"/>
                  </w14:solidFill>
                </w14:textFill>
              </w:rPr>
            </w:pPr>
          </w:p>
        </w:tc>
      </w:tr>
    </w:tbl>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eastAsia="楷体" w:cs="Times New Roman"/>
          <w:b w:val="0"/>
          <w:bCs w:val="0"/>
          <w:color w:val="000000" w:themeColor="text1"/>
          <w:sz w:val="24"/>
          <w:szCs w:val="32"/>
          <w:lang w:val="en-US"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32"/>
          <w:lang w:val="en-US" w:eastAsia="zh-CN"/>
          <w14:textFill>
            <w14:solidFill>
              <w14:schemeClr w14:val="tx1"/>
            </w14:solidFill>
          </w14:textFill>
        </w:rPr>
        <w:t>其他要求：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eastAsia" w:ascii="Times New Roman" w:hAnsi="Times New Roman" w:eastAsia="楷体" w:cs="Times New Roman"/>
          <w:b w:val="0"/>
          <w:bCs w:val="0"/>
          <w:color w:val="000000" w:themeColor="text1"/>
          <w:sz w:val="24"/>
          <w:szCs w:val="32"/>
          <w:lang w:val="en-US"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32"/>
          <w:lang w:val="en-US" w:eastAsia="zh-CN"/>
          <w14:textFill>
            <w14:solidFill>
              <w14:schemeClr w14:val="tx1"/>
            </w14:solidFill>
          </w14:textFill>
        </w:rPr>
        <w:t>1、第三方服务单位必须具备3名注册安全工程师，3名一级注册消防工程师，配备一名办公协助人员（需具备本科及以上学历，具备较强的公文写作能力及语文表达能力，熟悉掌握计算机及办公软件应用），上述7人常年服务采购方，在义桥常设办公地点，参照镇机关工作要求实行上下班制度，节假日实行值班制度，要求在2小时内响应采购人提出的疑问并及时提出修改意见，如采购人需要三方服务单位人员加班办公，必须配合采购人安排。</w:t>
      </w:r>
    </w:p>
    <w:p>
      <w:pPr>
        <w:pStyle w:val="2"/>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楷体" w:cs="Times New Roman"/>
          <w:b w:val="0"/>
          <w:bCs w:val="0"/>
          <w:color w:val="000000" w:themeColor="text1"/>
          <w:sz w:val="24"/>
          <w:szCs w:val="32"/>
          <w:lang w:val="en-US" w:eastAsia="zh-CN"/>
          <w14:textFill>
            <w14:solidFill>
              <w14:schemeClr w14:val="tx1"/>
            </w14:solidFill>
          </w14:textFill>
        </w:rPr>
      </w:pPr>
      <w:r>
        <w:rPr>
          <w:rFonts w:hint="eastAsia" w:ascii="Times New Roman" w:hAnsi="Times New Roman" w:eastAsia="楷体" w:cs="Times New Roman"/>
          <w:b w:val="0"/>
          <w:bCs w:val="0"/>
          <w:color w:val="000000" w:themeColor="text1"/>
          <w:sz w:val="24"/>
          <w:szCs w:val="32"/>
          <w:lang w:val="en-US" w:eastAsia="zh-CN"/>
          <w14:textFill>
            <w14:solidFill>
              <w14:schemeClr w14:val="tx1"/>
            </w14:solidFill>
          </w14:textFill>
        </w:rPr>
        <w:t>2、针对社会化服务中发现的问题隐患，第三方服务单位要认真指导企业单位落实主体责任，及时采取整改措施，确保在规定时间内整改落实到位，如发现当前阶段无法整改的问题隐患，必须及时上报采购方。3、中标单位服务人员不得在开展隐患诊断服务过程中推销产品或其他服务项目。不得有违反国家咨询服务相关规定，弄虚作假、出具虚假检查报告、泄漏企业技术秘密等行为，一经查实确认，全额扣除中标单位为该被服务企业技术服务费用，并报有关部门作相应处理，相关考核细则在合同签订时提供。</w:t>
      </w:r>
    </w:p>
    <w:p>
      <w:pPr>
        <w:rPr>
          <w:rFonts w:hint="eastAsia" w:asciiTheme="minorEastAsia" w:hAnsiTheme="minorEastAsia" w:eastAsiaTheme="minorEastAsia" w:cs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考核</w:t>
      </w:r>
      <w:r>
        <w:rPr>
          <w:rFonts w:hint="eastAsia" w:ascii="黑体" w:hAnsi="黑体" w:eastAsia="黑体"/>
          <w:color w:val="000000" w:themeColor="text1"/>
          <w:sz w:val="36"/>
          <w:szCs w:val="36"/>
          <w:lang w:eastAsia="zh-CN"/>
          <w14:textFill>
            <w14:solidFill>
              <w14:schemeClr w14:val="tx1"/>
            </w14:solidFill>
          </w14:textFill>
        </w:rPr>
        <w:t>细则</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olor w:val="000000" w:themeColor="text1"/>
          <w:sz w:val="36"/>
          <w:szCs w:val="36"/>
          <w:lang w:eastAsia="zh-CN"/>
          <w14:textFill>
            <w14:solidFill>
              <w14:schemeClr w14:val="tx1"/>
            </w14:solidFill>
          </w14:textFill>
        </w:rPr>
      </w:pPr>
    </w:p>
    <w:p>
      <w:pPr>
        <w:numPr>
          <w:ilvl w:val="0"/>
          <w:numId w:val="10"/>
        </w:numPr>
        <w:spacing w:line="540" w:lineRule="exact"/>
        <w:ind w:firstLine="660"/>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中标单位在服务期间</w:t>
      </w:r>
      <w:r>
        <w:rPr>
          <w:rFonts w:hint="eastAsia" w:ascii="仿宋" w:hAnsi="仿宋" w:eastAsia="仿宋" w:cs="仿宋"/>
          <w:bCs/>
          <w:color w:val="000000" w:themeColor="text1"/>
          <w:sz w:val="32"/>
          <w:szCs w:val="32"/>
          <w:lang w:eastAsia="zh-CN"/>
          <w14:textFill>
            <w14:solidFill>
              <w14:schemeClr w14:val="tx1"/>
            </w14:solidFill>
          </w14:textFill>
        </w:rPr>
        <w:t>，被服务单位发生因中标单位未按要求履行工作职责而造成的安全生产（含消防安全）责任事故的，相应扣减中标单位合同价并追究相关责任，具体规定如下：</w:t>
      </w:r>
    </w:p>
    <w:p>
      <w:pPr>
        <w:numPr>
          <w:ilvl w:val="0"/>
          <w:numId w:val="0"/>
        </w:numPr>
        <w:spacing w:line="540" w:lineRule="exact"/>
        <w:ind w:left="840" w:leftChars="400" w:firstLine="0" w:firstLineChars="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Cs/>
          <w:color w:val="000000" w:themeColor="text1"/>
          <w:sz w:val="28"/>
          <w:szCs w:val="28"/>
          <w:lang w:eastAsia="zh-CN"/>
          <w14:textFill>
            <w14:solidFill>
              <w14:schemeClr w14:val="tx1"/>
            </w14:solidFill>
          </w14:textFill>
        </w:rPr>
        <w:t>①一般事故（是指造成3人以下死亡，或者10人以下重伤，或者1000万元以下直接经济损失的事故）扣除</w:t>
      </w:r>
      <w:r>
        <w:rPr>
          <w:rFonts w:hint="eastAsia" w:ascii="楷体" w:hAnsi="楷体" w:eastAsia="楷体" w:cs="楷体"/>
          <w:bCs/>
          <w:color w:val="000000" w:themeColor="text1"/>
          <w:sz w:val="28"/>
          <w:szCs w:val="28"/>
          <w:lang w:val="en-US" w:eastAsia="zh-CN"/>
          <w14:textFill>
            <w14:solidFill>
              <w14:schemeClr w14:val="tx1"/>
            </w14:solidFill>
          </w14:textFill>
        </w:rPr>
        <w:t>20000元；</w:t>
      </w:r>
    </w:p>
    <w:p>
      <w:pPr>
        <w:numPr>
          <w:ilvl w:val="0"/>
          <w:numId w:val="0"/>
        </w:numPr>
        <w:spacing w:line="540" w:lineRule="exact"/>
        <w:ind w:left="840" w:leftChars="400" w:firstLine="0" w:firstLineChars="0"/>
        <w:rPr>
          <w:rFonts w:hint="eastAsia" w:ascii="楷体" w:hAnsi="楷体" w:eastAsia="楷体" w:cs="楷体"/>
          <w:bCs/>
          <w:color w:val="000000" w:themeColor="text1"/>
          <w:sz w:val="28"/>
          <w:szCs w:val="28"/>
          <w:lang w:eastAsia="zh-CN"/>
          <w14:textFill>
            <w14:solidFill>
              <w14:schemeClr w14:val="tx1"/>
            </w14:solidFill>
          </w14:textFill>
        </w:rPr>
      </w:pPr>
      <w:r>
        <w:rPr>
          <w:rFonts w:hint="eastAsia" w:ascii="楷体" w:hAnsi="楷体" w:eastAsia="楷体" w:cs="楷体"/>
          <w:bCs/>
          <w:color w:val="000000" w:themeColor="text1"/>
          <w:sz w:val="28"/>
          <w:szCs w:val="28"/>
          <w:lang w:val="en-US" w:eastAsia="zh-CN"/>
          <w14:textFill>
            <w14:solidFill>
              <w14:schemeClr w14:val="tx1"/>
            </w14:solidFill>
          </w14:textFill>
        </w:rPr>
        <w:t>②较大事故（是指造成3人以上10人以下死亡，或者10人以上50人以下重伤，或者1000万元以上5000万元以下直接经济损失的事故）</w:t>
      </w:r>
      <w:r>
        <w:rPr>
          <w:rFonts w:hint="eastAsia" w:ascii="楷体" w:hAnsi="楷体" w:eastAsia="楷体" w:cs="楷体"/>
          <w:bCs/>
          <w:color w:val="000000" w:themeColor="text1"/>
          <w:sz w:val="28"/>
          <w:szCs w:val="28"/>
          <w14:textFill>
            <w14:solidFill>
              <w14:schemeClr w14:val="tx1"/>
            </w14:solidFill>
          </w14:textFill>
        </w:rPr>
        <w:t>扣除中标单位合同总价格的</w:t>
      </w:r>
      <w:r>
        <w:rPr>
          <w:rFonts w:hint="eastAsia" w:ascii="楷体" w:hAnsi="楷体" w:eastAsia="楷体" w:cs="楷体"/>
          <w:bCs/>
          <w:color w:val="000000" w:themeColor="text1"/>
          <w:sz w:val="28"/>
          <w:szCs w:val="28"/>
          <w:lang w:val="en-US" w:eastAsia="zh-CN"/>
          <w14:textFill>
            <w14:solidFill>
              <w14:schemeClr w14:val="tx1"/>
            </w14:solidFill>
          </w14:textFill>
        </w:rPr>
        <w:t>2</w:t>
      </w:r>
      <w:r>
        <w:rPr>
          <w:rFonts w:hint="eastAsia" w:ascii="楷体" w:hAnsi="楷体" w:eastAsia="楷体" w:cs="楷体"/>
          <w:bCs/>
          <w:color w:val="000000" w:themeColor="text1"/>
          <w:sz w:val="28"/>
          <w:szCs w:val="28"/>
          <w14:textFill>
            <w14:solidFill>
              <w14:schemeClr w14:val="tx1"/>
            </w14:solidFill>
          </w14:textFill>
        </w:rPr>
        <w:t>0%</w:t>
      </w:r>
      <w:r>
        <w:rPr>
          <w:rFonts w:hint="eastAsia" w:ascii="楷体" w:hAnsi="楷体" w:eastAsia="楷体" w:cs="楷体"/>
          <w:bCs/>
          <w:color w:val="000000" w:themeColor="text1"/>
          <w:sz w:val="28"/>
          <w:szCs w:val="28"/>
          <w:lang w:eastAsia="zh-CN"/>
          <w14:textFill>
            <w14:solidFill>
              <w14:schemeClr w14:val="tx1"/>
            </w14:solidFill>
          </w14:textFill>
        </w:rPr>
        <w:t>；</w:t>
      </w:r>
    </w:p>
    <w:p>
      <w:pPr>
        <w:numPr>
          <w:ilvl w:val="0"/>
          <w:numId w:val="0"/>
        </w:numPr>
        <w:spacing w:line="540" w:lineRule="exact"/>
        <w:ind w:left="840" w:leftChars="400" w:firstLine="0" w:firstLineChars="0"/>
        <w:rPr>
          <w:rFonts w:hint="eastAsia" w:ascii="楷体" w:hAnsi="楷体" w:eastAsia="楷体" w:cs="楷体"/>
          <w:bCs/>
          <w:color w:val="000000" w:themeColor="text1"/>
          <w:sz w:val="28"/>
          <w:szCs w:val="28"/>
          <w:lang w:eastAsia="zh-CN"/>
          <w14:textFill>
            <w14:solidFill>
              <w14:schemeClr w14:val="tx1"/>
            </w14:solidFill>
          </w14:textFill>
        </w:rPr>
      </w:pPr>
      <w:r>
        <w:rPr>
          <w:rFonts w:hint="eastAsia" w:ascii="楷体" w:hAnsi="楷体" w:eastAsia="楷体" w:cs="楷体"/>
          <w:bCs/>
          <w:color w:val="000000" w:themeColor="text1"/>
          <w:sz w:val="28"/>
          <w:szCs w:val="28"/>
          <w:lang w:eastAsia="zh-CN"/>
          <w14:textFill>
            <w14:solidFill>
              <w14:schemeClr w14:val="tx1"/>
            </w14:solidFill>
          </w14:textFill>
        </w:rPr>
        <w:t>③重大事故（是指造成10人以上30人以下死亡，或者50人以上100人以下重伤，或者5000万元以上1亿元以下直接经济损失的事故）扣除</w:t>
      </w:r>
      <w:r>
        <w:rPr>
          <w:rFonts w:hint="eastAsia" w:ascii="楷体" w:hAnsi="楷体" w:eastAsia="楷体" w:cs="楷体"/>
          <w:bCs/>
          <w:color w:val="000000" w:themeColor="text1"/>
          <w:sz w:val="28"/>
          <w:szCs w:val="28"/>
          <w14:textFill>
            <w14:solidFill>
              <w14:schemeClr w14:val="tx1"/>
            </w14:solidFill>
          </w14:textFill>
        </w:rPr>
        <w:t>中标单位合同总价格的</w:t>
      </w:r>
      <w:r>
        <w:rPr>
          <w:rFonts w:hint="eastAsia" w:ascii="楷体" w:hAnsi="楷体" w:eastAsia="楷体" w:cs="楷体"/>
          <w:bCs/>
          <w:color w:val="000000" w:themeColor="text1"/>
          <w:sz w:val="28"/>
          <w:szCs w:val="28"/>
          <w:lang w:val="en-US" w:eastAsia="zh-CN"/>
          <w14:textFill>
            <w14:solidFill>
              <w14:schemeClr w14:val="tx1"/>
            </w14:solidFill>
          </w14:textFill>
        </w:rPr>
        <w:t>5</w:t>
      </w:r>
      <w:r>
        <w:rPr>
          <w:rFonts w:hint="eastAsia" w:ascii="楷体" w:hAnsi="楷体" w:eastAsia="楷体" w:cs="楷体"/>
          <w:bCs/>
          <w:color w:val="000000" w:themeColor="text1"/>
          <w:sz w:val="28"/>
          <w:szCs w:val="28"/>
          <w14:textFill>
            <w14:solidFill>
              <w14:schemeClr w14:val="tx1"/>
            </w14:solidFill>
          </w14:textFill>
        </w:rPr>
        <w:t>0%</w:t>
      </w:r>
      <w:r>
        <w:rPr>
          <w:rFonts w:hint="eastAsia" w:ascii="楷体" w:hAnsi="楷体" w:eastAsia="楷体" w:cs="楷体"/>
          <w:bCs/>
          <w:color w:val="000000" w:themeColor="text1"/>
          <w:sz w:val="28"/>
          <w:szCs w:val="28"/>
          <w:lang w:eastAsia="zh-CN"/>
          <w14:textFill>
            <w14:solidFill>
              <w14:schemeClr w14:val="tx1"/>
            </w14:solidFill>
          </w14:textFill>
        </w:rPr>
        <w:t>；</w:t>
      </w:r>
    </w:p>
    <w:p>
      <w:pPr>
        <w:numPr>
          <w:ilvl w:val="0"/>
          <w:numId w:val="0"/>
        </w:numPr>
        <w:spacing w:line="540" w:lineRule="exact"/>
        <w:ind w:left="840" w:leftChars="400" w:firstLine="0" w:firstLineChars="0"/>
        <w:rPr>
          <w:rFonts w:hint="eastAsia" w:ascii="楷体" w:hAnsi="楷体" w:eastAsia="楷体" w:cs="楷体"/>
          <w:bCs/>
          <w:color w:val="000000" w:themeColor="text1"/>
          <w:sz w:val="28"/>
          <w:szCs w:val="28"/>
          <w:lang w:eastAsia="zh-CN"/>
          <w14:textFill>
            <w14:solidFill>
              <w14:schemeClr w14:val="tx1"/>
            </w14:solidFill>
          </w14:textFill>
        </w:rPr>
      </w:pPr>
      <w:r>
        <w:rPr>
          <w:rFonts w:hint="eastAsia" w:ascii="楷体" w:hAnsi="楷体" w:eastAsia="楷体" w:cs="楷体"/>
          <w:bCs/>
          <w:color w:val="000000" w:themeColor="text1"/>
          <w:sz w:val="28"/>
          <w:szCs w:val="28"/>
          <w:lang w:eastAsia="zh-CN"/>
          <w14:textFill>
            <w14:solidFill>
              <w14:schemeClr w14:val="tx1"/>
            </w14:solidFill>
          </w14:textFill>
        </w:rPr>
        <w:t>④特别重大事故（是指造成30人以上死亡，或者100人以上重伤，或者1亿元以上直接经济损失的事故）终止合同，扣除全部费用；</w:t>
      </w:r>
    </w:p>
    <w:p>
      <w:pPr>
        <w:numPr>
          <w:ilvl w:val="0"/>
          <w:numId w:val="10"/>
        </w:numPr>
        <w:spacing w:line="540" w:lineRule="exact"/>
        <w:ind w:firstLine="66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中标单位服务人员在开展隐患诊断服务过程中推销产品或其他服务项目的。发现中标单位有违反国家咨询服务相关规定，弄虚作假、出具虚假检查报告、泄漏企业技术秘密等行为，一经查实确认，全额扣除中标单位为该被服务企业技术服务费用，并报有关部门作相应处理。</w:t>
      </w:r>
    </w:p>
    <w:p>
      <w:pPr>
        <w:numPr>
          <w:ilvl w:val="0"/>
          <w:numId w:val="10"/>
        </w:numPr>
        <w:spacing w:line="540" w:lineRule="exact"/>
        <w:ind w:firstLine="6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采购人每季度对中标单位的工作进行评价</w:t>
      </w:r>
      <w:r>
        <w:rPr>
          <w:rFonts w:hint="eastAsia" w:ascii="仿宋" w:hAnsi="仿宋" w:eastAsia="仿宋"/>
          <w:color w:val="000000" w:themeColor="text1"/>
          <w:sz w:val="30"/>
          <w:szCs w:val="30"/>
          <w:lang w:eastAsia="zh-CN"/>
          <w14:textFill>
            <w14:solidFill>
              <w14:schemeClr w14:val="tx1"/>
            </w14:solidFill>
          </w14:textFill>
        </w:rPr>
        <w:t>（通过评价</w:t>
      </w:r>
      <w:r>
        <w:rPr>
          <w:rFonts w:hint="eastAsia" w:ascii="仿宋" w:hAnsi="仿宋" w:eastAsia="仿宋"/>
          <w:color w:val="000000" w:themeColor="text1"/>
          <w:sz w:val="30"/>
          <w:szCs w:val="30"/>
          <w14:textFill>
            <w14:solidFill>
              <w14:schemeClr w14:val="tx1"/>
            </w14:solidFill>
          </w14:textFill>
        </w:rPr>
        <w:t>中标单位的工作方式、态度</w:t>
      </w:r>
      <w:r>
        <w:rPr>
          <w:rFonts w:hint="eastAsia" w:ascii="仿宋" w:hAnsi="仿宋" w:eastAsia="仿宋"/>
          <w:color w:val="000000" w:themeColor="text1"/>
          <w:sz w:val="30"/>
          <w:szCs w:val="30"/>
          <w:lang w:eastAsia="zh-CN"/>
          <w14:textFill>
            <w14:solidFill>
              <w14:schemeClr w14:val="tx1"/>
            </w14:solidFill>
          </w14:textFill>
        </w:rPr>
        <w:t>和</w:t>
      </w:r>
      <w:r>
        <w:rPr>
          <w:rFonts w:hint="eastAsia" w:ascii="仿宋" w:hAnsi="仿宋" w:eastAsia="仿宋"/>
          <w:color w:val="000000" w:themeColor="text1"/>
          <w:sz w:val="30"/>
          <w:szCs w:val="30"/>
          <w14:textFill>
            <w14:solidFill>
              <w14:schemeClr w14:val="tx1"/>
            </w14:solidFill>
          </w14:textFill>
        </w:rPr>
        <w:t>效果</w:t>
      </w:r>
      <w:r>
        <w:rPr>
          <w:rFonts w:hint="eastAsia" w:ascii="仿宋" w:hAnsi="仿宋" w:eastAsia="仿宋"/>
          <w:color w:val="000000" w:themeColor="text1"/>
          <w:sz w:val="30"/>
          <w:szCs w:val="30"/>
          <w:lang w:eastAsia="zh-CN"/>
          <w14:textFill>
            <w14:solidFill>
              <w14:schemeClr w14:val="tx1"/>
            </w14:solidFill>
          </w14:textFill>
        </w:rPr>
        <w:t>，以及</w:t>
      </w:r>
      <w:r>
        <w:rPr>
          <w:rFonts w:hint="eastAsia" w:ascii="仿宋" w:hAnsi="仿宋" w:eastAsia="仿宋"/>
          <w:color w:val="000000" w:themeColor="text1"/>
          <w:sz w:val="30"/>
          <w:szCs w:val="30"/>
          <w14:textFill>
            <w14:solidFill>
              <w14:schemeClr w14:val="tx1"/>
            </w14:solidFill>
          </w14:textFill>
        </w:rPr>
        <w:t>对中标单位的现场服务</w:t>
      </w:r>
      <w:r>
        <w:rPr>
          <w:rFonts w:hint="eastAsia" w:ascii="仿宋" w:hAnsi="仿宋" w:eastAsia="仿宋"/>
          <w:color w:val="000000" w:themeColor="text1"/>
          <w:sz w:val="30"/>
          <w:szCs w:val="30"/>
          <w:lang w:eastAsia="zh-CN"/>
          <w14:textFill>
            <w14:solidFill>
              <w14:schemeClr w14:val="tx1"/>
            </w14:solidFill>
          </w14:textFill>
        </w:rPr>
        <w:t>进行</w:t>
      </w:r>
      <w:r>
        <w:rPr>
          <w:rFonts w:hint="eastAsia" w:ascii="仿宋" w:hAnsi="仿宋" w:eastAsia="仿宋"/>
          <w:color w:val="000000" w:themeColor="text1"/>
          <w:sz w:val="30"/>
          <w:szCs w:val="30"/>
          <w14:textFill>
            <w14:solidFill>
              <w14:schemeClr w14:val="tx1"/>
            </w14:solidFill>
          </w14:textFill>
        </w:rPr>
        <w:t>抽查等形式</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根据评价结果</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若存在中标单位服务履职不到位且情况属实的</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要求中标单位及时纠正，</w:t>
      </w:r>
      <w:r>
        <w:rPr>
          <w:rFonts w:hint="eastAsia" w:ascii="仿宋" w:hAnsi="仿宋" w:eastAsia="仿宋"/>
          <w:color w:val="000000" w:themeColor="text1"/>
          <w:sz w:val="30"/>
          <w:szCs w:val="30"/>
          <w:lang w:eastAsia="zh-CN"/>
          <w14:textFill>
            <w14:solidFill>
              <w14:schemeClr w14:val="tx1"/>
            </w14:solidFill>
          </w14:textFill>
        </w:rPr>
        <w:t>并</w:t>
      </w:r>
      <w:r>
        <w:rPr>
          <w:rFonts w:hint="eastAsia" w:ascii="仿宋" w:hAnsi="仿宋" w:eastAsia="仿宋"/>
          <w:color w:val="000000" w:themeColor="text1"/>
          <w:sz w:val="30"/>
          <w:szCs w:val="30"/>
          <w14:textFill>
            <w14:solidFill>
              <w14:schemeClr w14:val="tx1"/>
            </w14:solidFill>
          </w14:textFill>
        </w:rPr>
        <w:t>根据情节轻重，酌情扣</w:t>
      </w:r>
      <w:r>
        <w:rPr>
          <w:rFonts w:hint="eastAsia" w:ascii="仿宋" w:hAnsi="仿宋" w:eastAsia="仿宋"/>
          <w:color w:val="000000" w:themeColor="text1"/>
          <w:sz w:val="30"/>
          <w:szCs w:val="30"/>
          <w:lang w:eastAsia="zh-CN"/>
          <w14:textFill>
            <w14:solidFill>
              <w14:schemeClr w14:val="tx1"/>
            </w14:solidFill>
          </w14:textFill>
        </w:rPr>
        <w:t>减</w:t>
      </w:r>
      <w:r>
        <w:rPr>
          <w:rFonts w:hint="eastAsia" w:ascii="仿宋" w:hAnsi="仿宋" w:eastAsia="仿宋"/>
          <w:color w:val="000000" w:themeColor="text1"/>
          <w:sz w:val="30"/>
          <w:szCs w:val="30"/>
          <w14:textFill>
            <w14:solidFill>
              <w14:schemeClr w14:val="tx1"/>
            </w14:solidFill>
          </w14:textFill>
        </w:rPr>
        <w:t>该</w:t>
      </w:r>
      <w:r>
        <w:rPr>
          <w:rFonts w:hint="eastAsia" w:ascii="仿宋" w:hAnsi="仿宋" w:eastAsia="仿宋"/>
          <w:color w:val="000000" w:themeColor="text1"/>
          <w:sz w:val="30"/>
          <w:szCs w:val="30"/>
          <w:lang w:eastAsia="zh-CN"/>
          <w14:textFill>
            <w14:solidFill>
              <w14:schemeClr w14:val="tx1"/>
            </w14:solidFill>
          </w14:textFill>
        </w:rPr>
        <w:t>被</w:t>
      </w:r>
      <w:r>
        <w:rPr>
          <w:rFonts w:hint="eastAsia" w:ascii="仿宋" w:hAnsi="仿宋" w:eastAsia="仿宋"/>
          <w:color w:val="000000" w:themeColor="text1"/>
          <w:sz w:val="30"/>
          <w:szCs w:val="30"/>
          <w14:textFill>
            <w14:solidFill>
              <w14:schemeClr w14:val="tx1"/>
            </w14:solidFill>
          </w14:textFill>
        </w:rPr>
        <w:t>服务单位的服务费</w:t>
      </w:r>
      <w:r>
        <w:rPr>
          <w:rFonts w:hint="eastAsia" w:ascii="仿宋" w:hAnsi="仿宋" w:eastAsia="仿宋"/>
          <w:color w:val="000000" w:themeColor="text1"/>
          <w:sz w:val="30"/>
          <w:szCs w:val="30"/>
          <w:lang w:eastAsia="zh-CN"/>
          <w14:textFill>
            <w14:solidFill>
              <w14:schemeClr w14:val="tx1"/>
            </w14:solidFill>
          </w14:textFill>
        </w:rPr>
        <w:t>。</w:t>
      </w:r>
    </w:p>
    <w:p>
      <w:pPr>
        <w:numPr>
          <w:ilvl w:val="0"/>
          <w:numId w:val="10"/>
        </w:numPr>
        <w:spacing w:line="540" w:lineRule="exact"/>
        <w:ind w:firstLine="6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安全生产检查效果考核以第三方</w:t>
      </w:r>
      <w:r>
        <w:rPr>
          <w:rFonts w:hint="eastAsia" w:ascii="仿宋" w:hAnsi="仿宋" w:eastAsia="仿宋"/>
          <w:color w:val="000000" w:themeColor="text1"/>
          <w:sz w:val="30"/>
          <w:szCs w:val="30"/>
          <w:lang w:eastAsia="zh-CN"/>
          <w14:textFill>
            <w14:solidFill>
              <w14:schemeClr w14:val="tx1"/>
            </w14:solidFill>
          </w14:textFill>
        </w:rPr>
        <w:t>的</w:t>
      </w:r>
      <w:r>
        <w:rPr>
          <w:rFonts w:hint="eastAsia" w:ascii="仿宋" w:hAnsi="仿宋" w:eastAsia="仿宋"/>
          <w:color w:val="000000" w:themeColor="text1"/>
          <w:sz w:val="30"/>
          <w:szCs w:val="30"/>
          <w14:textFill>
            <w14:solidFill>
              <w14:schemeClr w14:val="tx1"/>
            </w14:solidFill>
          </w14:textFill>
        </w:rPr>
        <w:t>书面或电子台账为准。每少检查或检查不合格单位1家次扣减</w:t>
      </w:r>
      <w:r>
        <w:rPr>
          <w:rFonts w:hint="eastAsia" w:ascii="仿宋" w:hAnsi="仿宋" w:eastAsia="仿宋"/>
          <w:color w:val="000000" w:themeColor="text1"/>
          <w:sz w:val="30"/>
          <w:szCs w:val="30"/>
          <w:lang w:val="en-US" w:eastAsia="zh-CN"/>
          <w14:textFill>
            <w14:solidFill>
              <w14:schemeClr w14:val="tx1"/>
            </w14:solidFill>
          </w14:textFill>
        </w:rPr>
        <w:t>1000</w:t>
      </w:r>
      <w:r>
        <w:rPr>
          <w:rFonts w:hint="eastAsia" w:ascii="仿宋" w:hAnsi="仿宋" w:eastAsia="仿宋"/>
          <w:color w:val="000000" w:themeColor="text1"/>
          <w:sz w:val="30"/>
          <w:szCs w:val="30"/>
          <w14:textFill>
            <w14:solidFill>
              <w14:schemeClr w14:val="tx1"/>
            </w14:solidFill>
          </w14:textFill>
        </w:rPr>
        <w:t>元</w:t>
      </w:r>
      <w:r>
        <w:rPr>
          <w:rFonts w:hint="eastAsia" w:ascii="仿宋" w:hAnsi="仿宋" w:eastAsia="仿宋"/>
          <w:color w:val="000000" w:themeColor="text1"/>
          <w:sz w:val="30"/>
          <w:szCs w:val="30"/>
          <w:lang w:eastAsia="zh-CN"/>
          <w14:textFill>
            <w14:solidFill>
              <w14:schemeClr w14:val="tx1"/>
            </w14:solidFill>
          </w14:textFill>
        </w:rPr>
        <w:t>。</w:t>
      </w:r>
    </w:p>
    <w:p>
      <w:pPr>
        <w:numPr>
          <w:ilvl w:val="0"/>
          <w:numId w:val="10"/>
        </w:numPr>
        <w:spacing w:line="540" w:lineRule="exact"/>
        <w:ind w:firstLine="6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完成工业企业安全在线</w:t>
      </w:r>
      <w:r>
        <w:rPr>
          <w:rFonts w:hint="eastAsia" w:ascii="仿宋" w:hAnsi="仿宋" w:eastAsia="仿宋"/>
          <w:color w:val="000000" w:themeColor="text1"/>
          <w:sz w:val="30"/>
          <w:szCs w:val="30"/>
          <w:lang w:eastAsia="zh-CN"/>
          <w14:textFill>
            <w14:solidFill>
              <w14:schemeClr w14:val="tx1"/>
            </w14:solidFill>
          </w14:textFill>
        </w:rPr>
        <w:t>及采购方要求的其他系统</w:t>
      </w:r>
      <w:r>
        <w:rPr>
          <w:rFonts w:hint="eastAsia" w:ascii="仿宋" w:hAnsi="仿宋" w:eastAsia="仿宋"/>
          <w:color w:val="000000" w:themeColor="text1"/>
          <w:sz w:val="30"/>
          <w:szCs w:val="30"/>
          <w14:textFill>
            <w14:solidFill>
              <w14:schemeClr w14:val="tx1"/>
            </w14:solidFill>
          </w14:textFill>
        </w:rPr>
        <w:t>等数字化监管平台填报任务。督促</w:t>
      </w:r>
      <w:r>
        <w:rPr>
          <w:rFonts w:hint="eastAsia" w:ascii="仿宋" w:hAnsi="仿宋" w:eastAsia="仿宋"/>
          <w:color w:val="000000" w:themeColor="text1"/>
          <w:sz w:val="30"/>
          <w:szCs w:val="30"/>
          <w:lang w:eastAsia="zh-CN"/>
          <w14:textFill>
            <w14:solidFill>
              <w14:schemeClr w14:val="tx1"/>
            </w14:solidFill>
          </w14:textFill>
        </w:rPr>
        <w:t>协助</w:t>
      </w:r>
      <w:r>
        <w:rPr>
          <w:rFonts w:hint="eastAsia" w:ascii="仿宋" w:hAnsi="仿宋" w:eastAsia="仿宋"/>
          <w:color w:val="000000" w:themeColor="text1"/>
          <w:sz w:val="30"/>
          <w:szCs w:val="30"/>
          <w14:textFill>
            <w14:solidFill>
              <w14:schemeClr w14:val="tx1"/>
            </w14:solidFill>
          </w14:textFill>
        </w:rPr>
        <w:t>企业90天进行一次常普常新，每月进行一次隐患排查，</w:t>
      </w:r>
      <w:r>
        <w:rPr>
          <w:rFonts w:hint="eastAsia" w:ascii="仿宋" w:hAnsi="仿宋" w:eastAsia="仿宋"/>
          <w:color w:val="000000" w:themeColor="text1"/>
          <w:sz w:val="30"/>
          <w:szCs w:val="30"/>
          <w:lang w:eastAsia="zh-CN"/>
          <w14:textFill>
            <w14:solidFill>
              <w14:schemeClr w14:val="tx1"/>
            </w14:solidFill>
          </w14:textFill>
        </w:rPr>
        <w:t>按要求完成企业及重点单位对应的检查频次，</w:t>
      </w:r>
      <w:r>
        <w:rPr>
          <w:rFonts w:hint="eastAsia" w:ascii="仿宋" w:hAnsi="仿宋" w:eastAsia="仿宋"/>
          <w:color w:val="000000" w:themeColor="text1"/>
          <w:sz w:val="30"/>
          <w:szCs w:val="30"/>
          <w14:textFill>
            <w14:solidFill>
              <w14:schemeClr w14:val="tx1"/>
            </w14:solidFill>
          </w14:textFill>
        </w:rPr>
        <w:t>以上完成率都要求100%，不能出现超时未报情况。同时完成工业企业安全在线布置的各项专项检查及其他延伸的工作。工业企业安全在线相关工作超期被上级通报批评的每次扣</w:t>
      </w:r>
      <w:r>
        <w:rPr>
          <w:rFonts w:hint="eastAsia" w:ascii="仿宋" w:hAnsi="仿宋" w:eastAsia="仿宋"/>
          <w:color w:val="000000" w:themeColor="text1"/>
          <w:sz w:val="30"/>
          <w:szCs w:val="30"/>
          <w:lang w:val="en-US" w:eastAsia="zh-CN"/>
          <w14:textFill>
            <w14:solidFill>
              <w14:schemeClr w14:val="tx1"/>
            </w14:solidFill>
          </w14:textFill>
        </w:rPr>
        <w:t>5000</w:t>
      </w:r>
      <w:r>
        <w:rPr>
          <w:rFonts w:hint="eastAsia" w:ascii="仿宋" w:hAnsi="仿宋" w:eastAsia="仿宋"/>
          <w:color w:val="000000" w:themeColor="text1"/>
          <w:sz w:val="30"/>
          <w:szCs w:val="30"/>
          <w14:textFill>
            <w14:solidFill>
              <w14:schemeClr w14:val="tx1"/>
            </w14:solidFill>
          </w14:textFill>
        </w:rPr>
        <w:t>元。</w:t>
      </w:r>
    </w:p>
    <w:p>
      <w:pPr>
        <w:numPr>
          <w:ilvl w:val="0"/>
          <w:numId w:val="10"/>
        </w:numPr>
        <w:spacing w:line="540" w:lineRule="exact"/>
        <w:ind w:firstLine="6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协助镇政府开展节点性安全检查，做好隐患闭环整治。</w:t>
      </w:r>
    </w:p>
    <w:p>
      <w:pPr>
        <w:numPr>
          <w:ilvl w:val="0"/>
          <w:numId w:val="10"/>
        </w:numPr>
        <w:spacing w:line="540" w:lineRule="exact"/>
        <w:ind w:firstLine="6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按照省、市、区的考核目标，做好安全生产各项任务落实。</w:t>
      </w:r>
    </w:p>
    <w:p>
      <w:pPr>
        <w:numPr>
          <w:ilvl w:val="0"/>
          <w:numId w:val="10"/>
        </w:numPr>
        <w:spacing w:line="540" w:lineRule="exact"/>
        <w:ind w:firstLine="6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按照</w:t>
      </w:r>
      <w:r>
        <w:rPr>
          <w:rFonts w:hint="eastAsia" w:ascii="仿宋" w:hAnsi="仿宋" w:eastAsia="仿宋"/>
          <w:color w:val="000000" w:themeColor="text1"/>
          <w:sz w:val="30"/>
          <w:szCs w:val="30"/>
          <w:lang w:eastAsia="zh-CN"/>
          <w14:textFill>
            <w14:solidFill>
              <w14:schemeClr w14:val="tx1"/>
            </w14:solidFill>
          </w14:textFill>
        </w:rPr>
        <w:t>义桥</w:t>
      </w:r>
      <w:r>
        <w:rPr>
          <w:rFonts w:hint="eastAsia" w:ascii="仿宋" w:hAnsi="仿宋" w:eastAsia="仿宋"/>
          <w:color w:val="000000" w:themeColor="text1"/>
          <w:sz w:val="30"/>
          <w:szCs w:val="30"/>
          <w14:textFill>
            <w14:solidFill>
              <w14:schemeClr w14:val="tx1"/>
            </w14:solidFill>
          </w14:textFill>
        </w:rPr>
        <w:t>镇人民政府的工作要求开展各项安全生产相关工作（安全生产培训、数据调查、台账辅导等保姆式服务）</w:t>
      </w:r>
      <w:r>
        <w:rPr>
          <w:rFonts w:hint="eastAsia" w:ascii="仿宋" w:hAnsi="仿宋" w:eastAsia="仿宋"/>
          <w:color w:val="000000" w:themeColor="text1"/>
          <w:sz w:val="30"/>
          <w:szCs w:val="30"/>
          <w:lang w:eastAsia="zh-CN"/>
          <w14:textFill>
            <w14:solidFill>
              <w14:schemeClr w14:val="tx1"/>
            </w14:solidFill>
          </w14:textFill>
        </w:rPr>
        <w:t>。</w:t>
      </w:r>
    </w:p>
    <w:p>
      <w:pPr>
        <w:numPr>
          <w:ilvl w:val="0"/>
          <w:numId w:val="10"/>
        </w:numPr>
        <w:spacing w:line="540" w:lineRule="exact"/>
        <w:ind w:firstLine="6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因工作不到位造成上级考核扣分的酌情扣减</w:t>
      </w:r>
      <w:r>
        <w:rPr>
          <w:rFonts w:hint="eastAsia" w:ascii="仿宋" w:hAnsi="仿宋" w:eastAsia="仿宋"/>
          <w:color w:val="000000" w:themeColor="text1"/>
          <w:sz w:val="30"/>
          <w:szCs w:val="30"/>
          <w:lang w:eastAsia="zh-CN"/>
          <w14:textFill>
            <w14:solidFill>
              <w14:schemeClr w14:val="tx1"/>
            </w14:solidFill>
          </w14:textFill>
        </w:rPr>
        <w:t>合同款</w:t>
      </w:r>
      <w:r>
        <w:rPr>
          <w:rFonts w:hint="eastAsia" w:ascii="仿宋" w:hAnsi="仿宋" w:eastAsia="仿宋"/>
          <w:color w:val="000000" w:themeColor="text1"/>
          <w:sz w:val="30"/>
          <w:szCs w:val="30"/>
          <w14:textFill>
            <w14:solidFill>
              <w14:schemeClr w14:val="tx1"/>
            </w14:solidFill>
          </w14:textFill>
        </w:rPr>
        <w:t>。</w:t>
      </w:r>
    </w:p>
    <w:p>
      <w:pPr>
        <w:numPr>
          <w:ilvl w:val="0"/>
          <w:numId w:val="10"/>
        </w:numPr>
        <w:spacing w:line="540" w:lineRule="exact"/>
        <w:ind w:firstLine="66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中标方除常驻</w:t>
      </w:r>
      <w:r>
        <w:rPr>
          <w:rFonts w:hint="eastAsia" w:ascii="仿宋" w:hAnsi="仿宋" w:eastAsia="仿宋"/>
          <w:color w:val="000000" w:themeColor="text1"/>
          <w:sz w:val="30"/>
          <w:szCs w:val="30"/>
          <w:lang w:eastAsia="zh-CN"/>
          <w14:textFill>
            <w14:solidFill>
              <w14:schemeClr w14:val="tx1"/>
            </w14:solidFill>
          </w14:textFill>
        </w:rPr>
        <w:t>人员</w:t>
      </w:r>
      <w:r>
        <w:rPr>
          <w:rFonts w:hint="eastAsia" w:ascii="仿宋" w:hAnsi="仿宋" w:eastAsia="仿宋"/>
          <w:color w:val="000000" w:themeColor="text1"/>
          <w:sz w:val="30"/>
          <w:szCs w:val="30"/>
          <w:lang w:val="en-US" w:eastAsia="zh-CN"/>
          <w14:textFill>
            <w14:solidFill>
              <w14:schemeClr w14:val="tx1"/>
            </w14:solidFill>
          </w14:textFill>
        </w:rPr>
        <w:t>(不少于七人）</w:t>
      </w:r>
      <w:r>
        <w:rPr>
          <w:rFonts w:hint="eastAsia" w:ascii="仿宋" w:hAnsi="仿宋" w:eastAsia="仿宋"/>
          <w:color w:val="000000" w:themeColor="text1"/>
          <w:sz w:val="30"/>
          <w:szCs w:val="30"/>
          <w14:textFill>
            <w14:solidFill>
              <w14:schemeClr w14:val="tx1"/>
            </w14:solidFill>
          </w14:textFill>
        </w:rPr>
        <w:t>外，因工作任务重等原因可以根据实际调配单位其他同级别专家进行协助，确保保质保量完成</w:t>
      </w:r>
      <w:r>
        <w:rPr>
          <w:rFonts w:hint="eastAsia" w:ascii="仿宋" w:hAnsi="仿宋" w:eastAsia="仿宋"/>
          <w:color w:val="000000" w:themeColor="text1"/>
          <w:sz w:val="30"/>
          <w:szCs w:val="30"/>
          <w:lang w:eastAsia="zh-CN"/>
          <w14:textFill>
            <w14:solidFill>
              <w14:schemeClr w14:val="tx1"/>
            </w14:solidFill>
          </w14:textFill>
        </w:rPr>
        <w:t>义桥</w:t>
      </w:r>
      <w:r>
        <w:rPr>
          <w:rFonts w:hint="eastAsia" w:ascii="仿宋" w:hAnsi="仿宋" w:eastAsia="仿宋"/>
          <w:color w:val="000000" w:themeColor="text1"/>
          <w:sz w:val="30"/>
          <w:szCs w:val="30"/>
          <w14:textFill>
            <w14:solidFill>
              <w14:schemeClr w14:val="tx1"/>
            </w14:solidFill>
          </w14:textFill>
        </w:rPr>
        <w:t>镇的各项任务。</w:t>
      </w:r>
    </w:p>
    <w:p>
      <w:pPr>
        <w:pStyle w:val="5"/>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pStyle w:val="79"/>
        <w:rPr>
          <w:rFonts w:hint="eastAsia" w:asciiTheme="minorEastAsia" w:hAnsiTheme="minorEastAsia" w:eastAsiaTheme="minorEastAsia" w:cstheme="minorEastAsia"/>
          <w:color w:val="000000" w:themeColor="text1"/>
          <w14:textFill>
            <w14:solidFill>
              <w14:schemeClr w14:val="tx1"/>
            </w14:solidFill>
          </w14:textFill>
        </w:rPr>
      </w:pPr>
    </w:p>
    <w:p>
      <w:pPr>
        <w:pStyle w:val="80"/>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pStyle w:val="79"/>
        <w:rPr>
          <w:rFonts w:hint="eastAsia" w:asciiTheme="minorEastAsia" w:hAnsiTheme="minorEastAsia" w:eastAsiaTheme="minorEastAsia" w:cstheme="minorEastAsia"/>
          <w:color w:val="000000" w:themeColor="text1"/>
          <w14:textFill>
            <w14:solidFill>
              <w14:schemeClr w14:val="tx1"/>
            </w14:solidFill>
          </w14:textFill>
        </w:rPr>
      </w:pPr>
    </w:p>
    <w:p>
      <w:pPr>
        <w:pStyle w:val="80"/>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pStyle w:val="79"/>
        <w:rPr>
          <w:rFonts w:hint="eastAsia" w:asciiTheme="minorEastAsia" w:hAnsiTheme="minorEastAsia" w:eastAsiaTheme="minorEastAsia" w:cstheme="minorEastAsia"/>
          <w:color w:val="000000" w:themeColor="text1"/>
          <w14:textFill>
            <w14:solidFill>
              <w14:schemeClr w14:val="tx1"/>
            </w14:solidFill>
          </w14:textFill>
        </w:rPr>
      </w:pPr>
    </w:p>
    <w:p>
      <w:pPr>
        <w:pStyle w:val="80"/>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80"/>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pStyle w:val="79"/>
        <w:rPr>
          <w:rFonts w:hint="eastAsia" w:asciiTheme="minorEastAsia" w:hAnsiTheme="minorEastAsia" w:eastAsiaTheme="minorEastAsia" w:cstheme="minorEastAsia"/>
          <w:color w:val="000000" w:themeColor="text1"/>
          <w14:textFill>
            <w14:solidFill>
              <w14:schemeClr w14:val="tx1"/>
            </w14:solidFill>
          </w14:textFill>
        </w:rPr>
      </w:pPr>
    </w:p>
    <w:p>
      <w:pPr>
        <w:pStyle w:val="8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36"/>
          <w14:textFill>
            <w14:solidFill>
              <w14:schemeClr w14:val="tx1"/>
            </w14:solidFill>
          </w14:textFill>
        </w:rPr>
      </w:pPr>
      <w:r>
        <w:rPr>
          <w:rFonts w:hint="eastAsia" w:asciiTheme="minorEastAsia" w:hAnsiTheme="minorEastAsia" w:eastAsiaTheme="minorEastAsia" w:cstheme="minorEastAsia"/>
          <w:b/>
          <w:bCs/>
          <w:color w:val="000000" w:themeColor="text1"/>
          <w:sz w:val="28"/>
          <w:szCs w:val="36"/>
          <w14:textFill>
            <w14:solidFill>
              <w14:schemeClr w14:val="tx1"/>
            </w14:solidFill>
          </w14:textFill>
        </w:rPr>
        <w:t>2、商务需求：</w:t>
      </w:r>
    </w:p>
    <w:p>
      <w:pPr>
        <w:pStyle w:val="89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 合同的签订</w:t>
      </w:r>
    </w:p>
    <w:p>
      <w:pPr>
        <w:pStyle w:val="89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中标人按规定的日期、时间、地点，由法定代表人或授权委托人与采购人签订合同。</w:t>
      </w:r>
    </w:p>
    <w:p>
      <w:pPr>
        <w:pStyle w:val="89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服务时间：本次招标服务期限为</w:t>
      </w:r>
      <w:r>
        <w:rPr>
          <w:rFonts w:hint="eastAsia" w:ascii="仿宋" w:hAnsi="仿宋" w:eastAsia="仿宋"/>
          <w:color w:val="000000" w:themeColor="text1"/>
          <w:sz w:val="24"/>
          <w:lang w:val="en-US" w:eastAsia="zh-CN"/>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年（具体起始时间在合同中约定）</w:t>
      </w:r>
    </w:p>
    <w:p>
      <w:pPr>
        <w:pStyle w:val="89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付款方式</w:t>
      </w:r>
    </w:p>
    <w:p>
      <w:pPr>
        <w:spacing w:line="360" w:lineRule="auto"/>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本项目按年支付，</w:t>
      </w:r>
      <w:r>
        <w:rPr>
          <w:rFonts w:hint="eastAsia" w:ascii="仿宋" w:hAnsi="仿宋" w:eastAsia="仿宋" w:cs="仿宋"/>
          <w:color w:val="000000" w:themeColor="text1"/>
          <w:sz w:val="24"/>
          <w:lang w:val="en-US" w:eastAsia="zh-CN"/>
          <w14:textFill>
            <w14:solidFill>
              <w14:schemeClr w14:val="tx1"/>
            </w14:solidFill>
          </w14:textFill>
        </w:rPr>
        <w:t>乙方</w:t>
      </w:r>
      <w:r>
        <w:rPr>
          <w:rFonts w:hint="eastAsia" w:ascii="仿宋" w:hAnsi="仿宋" w:eastAsia="仿宋" w:cs="仿宋"/>
          <w:color w:val="000000" w:themeColor="text1"/>
          <w:sz w:val="24"/>
          <w14:textFill>
            <w14:solidFill>
              <w14:schemeClr w14:val="tx1"/>
            </w14:solidFill>
          </w14:textFill>
        </w:rPr>
        <w:t>合同签订后15个工作日内甲方支付乙方服务费的</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0%作为</w:t>
      </w:r>
      <w:r>
        <w:rPr>
          <w:rFonts w:hint="eastAsia" w:ascii="仿宋" w:hAnsi="仿宋" w:eastAsia="仿宋" w:cs="仿宋"/>
          <w:color w:val="000000" w:themeColor="text1"/>
          <w:sz w:val="24"/>
          <w:lang w:eastAsia="zh-CN"/>
          <w14:textFill>
            <w14:solidFill>
              <w14:schemeClr w14:val="tx1"/>
            </w14:solidFill>
          </w14:textFill>
        </w:rPr>
        <w:t>预付款</w:t>
      </w:r>
      <w:r>
        <w:rPr>
          <w:rFonts w:hint="eastAsia" w:ascii="仿宋" w:hAnsi="仿宋" w:eastAsia="仿宋" w:cs="仿宋"/>
          <w:color w:val="000000" w:themeColor="text1"/>
          <w:sz w:val="24"/>
          <w14:textFill>
            <w14:solidFill>
              <w14:schemeClr w14:val="tx1"/>
            </w14:solidFill>
          </w14:textFill>
        </w:rPr>
        <w:t>；</w:t>
      </w:r>
    </w:p>
    <w:p>
      <w:pPr>
        <w:spacing w:line="360" w:lineRule="auto"/>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）服务期届满后的15个工作日内甲方支付乙方整体服务费的余款（扣除相应处罚款项后的剩余服务费）。</w:t>
      </w:r>
    </w:p>
    <w:p>
      <w:pPr>
        <w:spacing w:line="360" w:lineRule="auto"/>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付款条件</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采购人凭中标人开具的发票和采购人认可的各项记录复印件向服务单位支付服务费。由于供应商上报或者开票不及时引起的延迟支付，责任由供应商自负。</w:t>
      </w:r>
    </w:p>
    <w:p>
      <w:pPr>
        <w:spacing w:line="360" w:lineRule="auto"/>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费用支付时需按财务制度提供发票。</w:t>
      </w:r>
    </w:p>
    <w:p>
      <w:pPr>
        <w:spacing w:line="360" w:lineRule="auto"/>
        <w:ind w:firstLine="240" w:firstLineChars="1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如出现因财政支付方面原因导致付款延迟的客观因素时，该等延迟付款不属于采购人违约，不得以此要求采购人承担违约责任。</w:t>
      </w:r>
    </w:p>
    <w:p>
      <w:pPr>
        <w:pStyle w:val="89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2.4报价要求</w:t>
      </w:r>
    </w:p>
    <w:p>
      <w:pPr>
        <w:spacing w:line="360" w:lineRule="auto"/>
        <w:ind w:firstLine="480" w:firstLineChars="200"/>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服务投标报价包括整个服务期内所需的一切人工费（含工资、加班、保险等全部费用）、策划费、管理费、工具、设备、保险、交通、利润、验收、税金（包含须由供应商承担的各项税费）、其他辅助工作等完成本项目的所有费用。请供应商充分考虑相关风险。</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w:t>
      </w:r>
    </w:p>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1、如有附图，仅作参考。</w:t>
      </w:r>
    </w:p>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2、打▲内容为实质性要求，不允许有负偏离，否则将以涉及无效投标条款作无效投标。</w:t>
      </w:r>
    </w:p>
    <w:p>
      <w:pPr>
        <w:spacing w:line="5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3、中标人所提供的货物、服务须与投标承诺一致，不得以次充好、偷工减料，若在项目验收中发现有上述情况，将向有关部门举报，根据相关规定进行处理。</w:t>
      </w:r>
    </w:p>
    <w:p>
      <w:pP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6" w:name="_Toc184312075"/>
      <w:bookmarkEnd w:id="26"/>
      <w:bookmarkStart w:id="27" w:name="_Toc184310336"/>
      <w:bookmarkEnd w:id="27"/>
      <w:bookmarkStart w:id="28" w:name="_Toc184308065"/>
      <w:bookmarkEnd w:id="28"/>
      <w:bookmarkStart w:id="29" w:name="_Toc184313251"/>
      <w:bookmarkEnd w:id="29"/>
      <w:bookmarkStart w:id="30" w:name="_Toc184314479"/>
      <w:bookmarkEnd w:id="30"/>
      <w:bookmarkStart w:id="31" w:name="_Toc184308062"/>
      <w:bookmarkEnd w:id="31"/>
      <w:bookmarkStart w:id="32" w:name="_Toc184308066"/>
      <w:bookmarkEnd w:id="32"/>
      <w:bookmarkStart w:id="33" w:name="_Toc184312073"/>
      <w:bookmarkEnd w:id="33"/>
      <w:bookmarkStart w:id="34" w:name="_Toc184312125"/>
      <w:bookmarkEnd w:id="34"/>
      <w:bookmarkStart w:id="35" w:name="_Toc184313271"/>
      <w:bookmarkEnd w:id="35"/>
      <w:bookmarkStart w:id="36" w:name="_Toc184312104"/>
      <w:bookmarkEnd w:id="36"/>
      <w:bookmarkStart w:id="37" w:name="_Toc184313246"/>
      <w:bookmarkEnd w:id="37"/>
      <w:bookmarkStart w:id="38" w:name="_Toc184308095"/>
      <w:bookmarkEnd w:id="38"/>
      <w:bookmarkStart w:id="39" w:name="_Toc184308079"/>
      <w:bookmarkEnd w:id="39"/>
      <w:bookmarkStart w:id="40" w:name="_Toc184313252"/>
      <w:bookmarkEnd w:id="40"/>
      <w:bookmarkStart w:id="41" w:name="_Toc184312121"/>
      <w:bookmarkEnd w:id="41"/>
      <w:bookmarkStart w:id="42" w:name="_Toc184312111"/>
      <w:bookmarkEnd w:id="42"/>
      <w:bookmarkStart w:id="43" w:name="_Toc184308069"/>
      <w:bookmarkEnd w:id="43"/>
      <w:bookmarkStart w:id="44" w:name="_Toc184310328"/>
      <w:bookmarkEnd w:id="44"/>
      <w:bookmarkStart w:id="45" w:name="_Toc184312093"/>
      <w:bookmarkEnd w:id="45"/>
      <w:bookmarkStart w:id="46" w:name="_Toc184314470"/>
      <w:bookmarkEnd w:id="46"/>
      <w:bookmarkStart w:id="47" w:name="_Toc184310302"/>
      <w:bookmarkEnd w:id="47"/>
      <w:bookmarkStart w:id="48" w:name="_Toc184314430"/>
      <w:bookmarkEnd w:id="48"/>
      <w:bookmarkStart w:id="49" w:name="_Toc184310313"/>
      <w:bookmarkEnd w:id="49"/>
      <w:bookmarkStart w:id="50" w:name="_Toc184308070"/>
      <w:bookmarkEnd w:id="50"/>
      <w:bookmarkStart w:id="51" w:name="_Toc184312135"/>
      <w:bookmarkEnd w:id="51"/>
      <w:bookmarkStart w:id="52" w:name="_Toc184308041"/>
      <w:bookmarkEnd w:id="52"/>
      <w:bookmarkStart w:id="53" w:name="_Toc184308099"/>
      <w:bookmarkEnd w:id="53"/>
      <w:bookmarkStart w:id="54" w:name="_Toc184314445"/>
      <w:bookmarkEnd w:id="54"/>
      <w:bookmarkStart w:id="55" w:name="_Toc184314469"/>
      <w:bookmarkEnd w:id="55"/>
      <w:bookmarkStart w:id="56" w:name="_Toc184312124"/>
      <w:bookmarkEnd w:id="56"/>
      <w:bookmarkStart w:id="57" w:name="_Toc184314474"/>
      <w:bookmarkEnd w:id="57"/>
      <w:bookmarkStart w:id="58" w:name="_Toc184313275"/>
      <w:bookmarkEnd w:id="58"/>
      <w:bookmarkStart w:id="59" w:name="_Toc184313257"/>
      <w:bookmarkEnd w:id="59"/>
      <w:bookmarkStart w:id="60" w:name="_Toc184314420"/>
      <w:bookmarkEnd w:id="60"/>
      <w:bookmarkStart w:id="61" w:name="_Toc184308046"/>
      <w:bookmarkEnd w:id="61"/>
      <w:bookmarkStart w:id="62" w:name="_Toc184312127"/>
      <w:bookmarkEnd w:id="62"/>
      <w:bookmarkStart w:id="63" w:name="_Toc184314447"/>
      <w:bookmarkEnd w:id="63"/>
      <w:bookmarkStart w:id="64" w:name="_Toc184312131"/>
      <w:bookmarkEnd w:id="64"/>
      <w:bookmarkStart w:id="65" w:name="_Toc184313254"/>
      <w:bookmarkEnd w:id="65"/>
      <w:bookmarkStart w:id="66" w:name="_Toc184310341"/>
      <w:bookmarkEnd w:id="66"/>
      <w:bookmarkStart w:id="67" w:name="_Toc184312097"/>
      <w:bookmarkEnd w:id="67"/>
      <w:bookmarkStart w:id="68" w:name="_Toc184312070"/>
      <w:bookmarkEnd w:id="68"/>
      <w:bookmarkStart w:id="69" w:name="_Toc184308040"/>
      <w:bookmarkEnd w:id="69"/>
      <w:bookmarkStart w:id="70" w:name="_Toc184312109"/>
      <w:bookmarkEnd w:id="70"/>
      <w:bookmarkStart w:id="71" w:name="_Toc184314413"/>
      <w:bookmarkEnd w:id="71"/>
      <w:bookmarkStart w:id="72" w:name="_Toc184314422"/>
      <w:bookmarkEnd w:id="72"/>
      <w:bookmarkStart w:id="73" w:name="_Toc184308058"/>
      <w:bookmarkEnd w:id="73"/>
      <w:bookmarkStart w:id="74" w:name="_Toc184312118"/>
      <w:bookmarkEnd w:id="74"/>
      <w:bookmarkStart w:id="75" w:name="_Toc184310275"/>
      <w:bookmarkEnd w:id="75"/>
      <w:bookmarkStart w:id="76" w:name="_Toc184314480"/>
      <w:bookmarkEnd w:id="76"/>
      <w:bookmarkStart w:id="77" w:name="_Toc184308048"/>
      <w:bookmarkEnd w:id="77"/>
      <w:bookmarkStart w:id="78" w:name="_Toc184312105"/>
      <w:bookmarkEnd w:id="78"/>
      <w:bookmarkStart w:id="79" w:name="_Toc184312107"/>
      <w:bookmarkEnd w:id="79"/>
      <w:bookmarkStart w:id="80" w:name="_Toc184314419"/>
      <w:bookmarkEnd w:id="80"/>
      <w:bookmarkStart w:id="81" w:name="_Toc184310284"/>
      <w:bookmarkEnd w:id="81"/>
      <w:bookmarkStart w:id="82" w:name="_Toc184312090"/>
      <w:bookmarkEnd w:id="82"/>
      <w:bookmarkStart w:id="83" w:name="_Toc184308078"/>
      <w:bookmarkEnd w:id="83"/>
      <w:bookmarkStart w:id="84" w:name="_Toc184313302"/>
      <w:bookmarkEnd w:id="84"/>
      <w:bookmarkStart w:id="85" w:name="_Toc184308054"/>
      <w:bookmarkEnd w:id="85"/>
      <w:bookmarkStart w:id="86" w:name="_Toc184314421"/>
      <w:bookmarkEnd w:id="86"/>
      <w:bookmarkStart w:id="87" w:name="_Toc184313291"/>
      <w:bookmarkEnd w:id="87"/>
      <w:bookmarkStart w:id="88" w:name="_Toc184310293"/>
      <w:bookmarkEnd w:id="88"/>
      <w:bookmarkStart w:id="89" w:name="_Toc184313278"/>
      <w:bookmarkEnd w:id="89"/>
      <w:bookmarkStart w:id="90" w:name="_Toc184314416"/>
      <w:bookmarkEnd w:id="90"/>
      <w:bookmarkStart w:id="91" w:name="_Toc184310309"/>
      <w:bookmarkEnd w:id="91"/>
      <w:bookmarkStart w:id="92" w:name="_Toc184312067"/>
      <w:bookmarkEnd w:id="92"/>
      <w:bookmarkStart w:id="93" w:name="_Toc184314443"/>
      <w:bookmarkEnd w:id="93"/>
      <w:bookmarkStart w:id="94" w:name="_Toc184308087"/>
      <w:bookmarkEnd w:id="94"/>
      <w:bookmarkStart w:id="95" w:name="_Toc184310320"/>
      <w:bookmarkEnd w:id="95"/>
      <w:bookmarkStart w:id="96" w:name="_Toc184310301"/>
      <w:bookmarkEnd w:id="96"/>
      <w:bookmarkStart w:id="97" w:name="_Toc184313248"/>
      <w:bookmarkEnd w:id="97"/>
      <w:bookmarkStart w:id="98" w:name="_Toc184313249"/>
      <w:bookmarkEnd w:id="98"/>
      <w:bookmarkStart w:id="99" w:name="_Toc184308067"/>
      <w:bookmarkEnd w:id="99"/>
      <w:bookmarkStart w:id="100" w:name="_Toc184312092"/>
      <w:bookmarkEnd w:id="100"/>
      <w:bookmarkStart w:id="101" w:name="_Toc184312095"/>
      <w:bookmarkEnd w:id="101"/>
      <w:bookmarkStart w:id="102" w:name="_Toc184314450"/>
      <w:bookmarkEnd w:id="102"/>
      <w:bookmarkStart w:id="103" w:name="_Toc184310294"/>
      <w:bookmarkEnd w:id="103"/>
      <w:bookmarkStart w:id="104" w:name="_Toc184313264"/>
      <w:bookmarkEnd w:id="104"/>
      <w:bookmarkStart w:id="105" w:name="_Toc184312085"/>
      <w:bookmarkEnd w:id="105"/>
      <w:bookmarkStart w:id="106" w:name="_Toc184314429"/>
      <w:bookmarkEnd w:id="106"/>
      <w:bookmarkStart w:id="107" w:name="_Toc184312128"/>
      <w:bookmarkEnd w:id="107"/>
      <w:bookmarkStart w:id="108" w:name="_Toc184313292"/>
      <w:bookmarkEnd w:id="108"/>
      <w:bookmarkStart w:id="109" w:name="_Toc184314440"/>
      <w:bookmarkEnd w:id="109"/>
      <w:bookmarkStart w:id="110" w:name="_Toc184314415"/>
      <w:bookmarkEnd w:id="110"/>
      <w:bookmarkStart w:id="111" w:name="_Toc184310311"/>
      <w:bookmarkEnd w:id="111"/>
      <w:bookmarkStart w:id="112" w:name="_Toc184314458"/>
      <w:bookmarkEnd w:id="112"/>
      <w:bookmarkStart w:id="113" w:name="_Toc184312117"/>
      <w:bookmarkEnd w:id="113"/>
      <w:bookmarkStart w:id="114" w:name="_Toc184310329"/>
      <w:bookmarkEnd w:id="114"/>
      <w:bookmarkStart w:id="115" w:name="_Toc184312137"/>
      <w:bookmarkEnd w:id="115"/>
      <w:bookmarkStart w:id="116" w:name="_Toc184310306"/>
      <w:bookmarkEnd w:id="116"/>
      <w:bookmarkStart w:id="117" w:name="_Toc184310289"/>
      <w:bookmarkEnd w:id="117"/>
      <w:bookmarkStart w:id="118" w:name="_Toc184312132"/>
      <w:bookmarkEnd w:id="118"/>
      <w:bookmarkStart w:id="119" w:name="_Toc184314418"/>
      <w:bookmarkEnd w:id="119"/>
      <w:bookmarkStart w:id="120" w:name="_Toc184310300"/>
      <w:bookmarkEnd w:id="120"/>
      <w:bookmarkStart w:id="121" w:name="_Toc184308085"/>
      <w:bookmarkEnd w:id="121"/>
      <w:bookmarkStart w:id="122" w:name="_Toc184310296"/>
      <w:bookmarkEnd w:id="122"/>
      <w:bookmarkStart w:id="123" w:name="_Toc184310280"/>
      <w:bookmarkEnd w:id="123"/>
      <w:bookmarkStart w:id="124" w:name="_Toc184308101"/>
      <w:bookmarkEnd w:id="124"/>
      <w:bookmarkStart w:id="125" w:name="_Toc184308056"/>
      <w:bookmarkEnd w:id="125"/>
      <w:bookmarkStart w:id="126" w:name="_Toc184308083"/>
      <w:bookmarkEnd w:id="126"/>
      <w:bookmarkStart w:id="127" w:name="_Toc184314464"/>
      <w:bookmarkEnd w:id="127"/>
      <w:bookmarkStart w:id="128" w:name="_Toc184308089"/>
      <w:bookmarkEnd w:id="128"/>
      <w:bookmarkStart w:id="129" w:name="_Toc184312133"/>
      <w:bookmarkEnd w:id="129"/>
      <w:bookmarkStart w:id="130" w:name="_Toc184314411"/>
      <w:bookmarkEnd w:id="130"/>
      <w:bookmarkStart w:id="131" w:name="_Toc184310333"/>
      <w:bookmarkEnd w:id="131"/>
      <w:bookmarkStart w:id="132" w:name="_Toc184308050"/>
      <w:bookmarkEnd w:id="132"/>
      <w:bookmarkStart w:id="133" w:name="_Toc184308060"/>
      <w:bookmarkEnd w:id="133"/>
      <w:bookmarkStart w:id="134" w:name="_Toc184310321"/>
      <w:bookmarkEnd w:id="134"/>
      <w:bookmarkStart w:id="135" w:name="_Toc184313268"/>
      <w:bookmarkEnd w:id="135"/>
      <w:bookmarkStart w:id="136" w:name="_Toc184313308"/>
      <w:bookmarkEnd w:id="136"/>
      <w:bookmarkStart w:id="137" w:name="_Toc184314482"/>
      <w:bookmarkEnd w:id="137"/>
      <w:bookmarkStart w:id="138" w:name="_Toc184308080"/>
      <w:bookmarkEnd w:id="138"/>
      <w:bookmarkStart w:id="139" w:name="_Toc184313260"/>
      <w:bookmarkEnd w:id="139"/>
      <w:bookmarkStart w:id="140" w:name="_Toc184308105"/>
      <w:bookmarkEnd w:id="140"/>
      <w:bookmarkStart w:id="141" w:name="_Toc184313276"/>
      <w:bookmarkEnd w:id="141"/>
      <w:bookmarkStart w:id="142" w:name="_Toc184314412"/>
      <w:bookmarkEnd w:id="142"/>
      <w:bookmarkStart w:id="143" w:name="_Toc184313267"/>
      <w:bookmarkEnd w:id="143"/>
      <w:bookmarkStart w:id="144" w:name="_Toc184314472"/>
      <w:bookmarkEnd w:id="144"/>
      <w:bookmarkStart w:id="145" w:name="_Toc184313239"/>
      <w:bookmarkEnd w:id="145"/>
      <w:bookmarkStart w:id="146" w:name="_Toc184313265"/>
      <w:bookmarkEnd w:id="146"/>
      <w:bookmarkStart w:id="147" w:name="_Toc184314453"/>
      <w:bookmarkEnd w:id="147"/>
      <w:bookmarkStart w:id="148" w:name="_Toc184308059"/>
      <w:bookmarkEnd w:id="148"/>
      <w:bookmarkStart w:id="149" w:name="_Toc184314439"/>
      <w:bookmarkEnd w:id="149"/>
      <w:bookmarkStart w:id="150" w:name="_Toc184310283"/>
      <w:bookmarkEnd w:id="150"/>
      <w:bookmarkStart w:id="151" w:name="_Toc184308084"/>
      <w:bookmarkEnd w:id="151"/>
      <w:bookmarkStart w:id="152" w:name="_Toc184313285"/>
      <w:bookmarkEnd w:id="152"/>
      <w:bookmarkStart w:id="153" w:name="_Toc184314475"/>
      <w:bookmarkEnd w:id="153"/>
      <w:bookmarkStart w:id="154" w:name="_Toc184313241"/>
      <w:bookmarkEnd w:id="154"/>
      <w:bookmarkStart w:id="155" w:name="_Toc184310287"/>
      <w:bookmarkEnd w:id="155"/>
      <w:bookmarkStart w:id="156" w:name="_Toc184312089"/>
      <w:bookmarkEnd w:id="156"/>
      <w:bookmarkStart w:id="157" w:name="_Toc184310317"/>
      <w:bookmarkEnd w:id="157"/>
      <w:bookmarkStart w:id="158" w:name="_Toc184308098"/>
      <w:bookmarkEnd w:id="158"/>
      <w:bookmarkStart w:id="159" w:name="_Toc184314463"/>
      <w:bookmarkEnd w:id="159"/>
      <w:bookmarkStart w:id="160" w:name="_Toc184308104"/>
      <w:bookmarkEnd w:id="160"/>
      <w:bookmarkStart w:id="161" w:name="_Toc184314435"/>
      <w:bookmarkEnd w:id="161"/>
      <w:bookmarkStart w:id="162" w:name="_Toc184312122"/>
      <w:bookmarkEnd w:id="162"/>
      <w:bookmarkStart w:id="163" w:name="_Toc184310305"/>
      <w:bookmarkEnd w:id="163"/>
      <w:bookmarkStart w:id="164" w:name="_Toc184310315"/>
      <w:bookmarkEnd w:id="164"/>
      <w:bookmarkStart w:id="165" w:name="_Toc184312103"/>
      <w:bookmarkEnd w:id="165"/>
      <w:bookmarkStart w:id="166" w:name="_Toc184314428"/>
      <w:bookmarkEnd w:id="166"/>
      <w:bookmarkStart w:id="167" w:name="_Toc184314438"/>
      <w:bookmarkEnd w:id="167"/>
      <w:bookmarkStart w:id="168" w:name="_Toc184308044"/>
      <w:bookmarkEnd w:id="168"/>
      <w:bookmarkStart w:id="169" w:name="_Toc184313293"/>
      <w:bookmarkEnd w:id="169"/>
      <w:bookmarkStart w:id="170" w:name="_Toc184310338"/>
      <w:bookmarkEnd w:id="170"/>
      <w:bookmarkStart w:id="171" w:name="_Toc184308039"/>
      <w:bookmarkEnd w:id="171"/>
      <w:bookmarkStart w:id="172" w:name="_Toc184308042"/>
      <w:bookmarkEnd w:id="172"/>
      <w:bookmarkStart w:id="173" w:name="_Toc184312084"/>
      <w:bookmarkEnd w:id="173"/>
      <w:bookmarkStart w:id="174" w:name="_Toc184313259"/>
      <w:bookmarkEnd w:id="174"/>
      <w:bookmarkStart w:id="175" w:name="_Toc184314437"/>
      <w:bookmarkEnd w:id="175"/>
      <w:bookmarkStart w:id="176" w:name="_Toc184313258"/>
      <w:bookmarkEnd w:id="176"/>
      <w:bookmarkStart w:id="177" w:name="_Toc184314461"/>
      <w:bookmarkEnd w:id="177"/>
      <w:bookmarkStart w:id="178" w:name="_Toc184310339"/>
      <w:bookmarkEnd w:id="178"/>
      <w:bookmarkStart w:id="179" w:name="_Toc184310318"/>
      <w:bookmarkEnd w:id="179"/>
      <w:bookmarkStart w:id="180" w:name="_Toc184313284"/>
      <w:bookmarkEnd w:id="180"/>
      <w:bookmarkStart w:id="181" w:name="_Toc184310298"/>
      <w:bookmarkEnd w:id="181"/>
      <w:bookmarkStart w:id="182" w:name="_Toc184313250"/>
      <w:bookmarkEnd w:id="182"/>
      <w:bookmarkStart w:id="183" w:name="_Toc184312115"/>
      <w:bookmarkEnd w:id="183"/>
      <w:bookmarkStart w:id="184" w:name="_Toc184313281"/>
      <w:bookmarkEnd w:id="184"/>
      <w:bookmarkStart w:id="185" w:name="_Toc184308077"/>
      <w:bookmarkEnd w:id="185"/>
      <w:bookmarkStart w:id="186" w:name="_Toc184308090"/>
      <w:bookmarkEnd w:id="186"/>
      <w:bookmarkStart w:id="187" w:name="_Toc184312071"/>
      <w:bookmarkEnd w:id="187"/>
      <w:bookmarkStart w:id="188" w:name="_Toc184310342"/>
      <w:bookmarkEnd w:id="188"/>
      <w:bookmarkStart w:id="189" w:name="_Toc184310299"/>
      <w:bookmarkEnd w:id="189"/>
      <w:bookmarkStart w:id="190" w:name="_Toc184312136"/>
      <w:bookmarkEnd w:id="190"/>
      <w:bookmarkStart w:id="191" w:name="_Toc184310292"/>
      <w:bookmarkEnd w:id="191"/>
      <w:bookmarkStart w:id="192" w:name="_Toc184310327"/>
      <w:bookmarkEnd w:id="192"/>
      <w:bookmarkStart w:id="193" w:name="_Toc184308086"/>
      <w:bookmarkEnd w:id="193"/>
      <w:bookmarkStart w:id="194" w:name="_Toc184310282"/>
      <w:bookmarkEnd w:id="194"/>
      <w:bookmarkStart w:id="195" w:name="_Toc184308064"/>
      <w:bookmarkEnd w:id="195"/>
      <w:bookmarkStart w:id="196" w:name="_Toc184313306"/>
      <w:bookmarkEnd w:id="196"/>
      <w:bookmarkStart w:id="197" w:name="_Toc184313280"/>
      <w:bookmarkEnd w:id="197"/>
      <w:bookmarkStart w:id="198" w:name="_Toc184312129"/>
      <w:bookmarkEnd w:id="198"/>
      <w:bookmarkStart w:id="199" w:name="_Toc184312079"/>
      <w:bookmarkEnd w:id="199"/>
      <w:bookmarkStart w:id="200" w:name="_Toc184313283"/>
      <w:bookmarkEnd w:id="200"/>
      <w:bookmarkStart w:id="201" w:name="_Toc184313279"/>
      <w:bookmarkEnd w:id="201"/>
      <w:bookmarkStart w:id="202" w:name="_Toc184313240"/>
      <w:bookmarkEnd w:id="202"/>
      <w:bookmarkStart w:id="203" w:name="_Toc184312119"/>
      <w:bookmarkEnd w:id="203"/>
      <w:bookmarkStart w:id="204" w:name="_Toc184313289"/>
      <w:bookmarkEnd w:id="204"/>
      <w:bookmarkStart w:id="205" w:name="_Toc184313247"/>
      <w:bookmarkEnd w:id="205"/>
      <w:bookmarkStart w:id="206" w:name="_Toc184314424"/>
      <w:bookmarkEnd w:id="206"/>
      <w:bookmarkStart w:id="207" w:name="_Toc184313309"/>
      <w:bookmarkEnd w:id="207"/>
      <w:bookmarkStart w:id="208" w:name="_Toc184310322"/>
      <w:bookmarkEnd w:id="208"/>
      <w:bookmarkStart w:id="209" w:name="_Toc184308038"/>
      <w:bookmarkEnd w:id="209"/>
      <w:bookmarkStart w:id="210" w:name="_Toc184308052"/>
      <w:bookmarkEnd w:id="210"/>
      <w:bookmarkStart w:id="211" w:name="_Toc184310273"/>
      <w:bookmarkEnd w:id="211"/>
      <w:bookmarkStart w:id="212" w:name="_Toc184310330"/>
      <w:bookmarkEnd w:id="212"/>
      <w:bookmarkStart w:id="213" w:name="_Toc184308047"/>
      <w:bookmarkEnd w:id="213"/>
      <w:bookmarkStart w:id="214" w:name="_Toc184312134"/>
      <w:bookmarkEnd w:id="214"/>
      <w:bookmarkStart w:id="215" w:name="_Toc184310297"/>
      <w:bookmarkEnd w:id="215"/>
      <w:bookmarkStart w:id="216" w:name="_Toc184310278"/>
      <w:bookmarkEnd w:id="216"/>
      <w:bookmarkStart w:id="217" w:name="_Toc184310308"/>
      <w:bookmarkEnd w:id="217"/>
      <w:bookmarkStart w:id="218" w:name="_Toc184314414"/>
      <w:bookmarkEnd w:id="218"/>
      <w:bookmarkStart w:id="219" w:name="_Toc184310285"/>
      <w:bookmarkEnd w:id="219"/>
      <w:bookmarkStart w:id="220" w:name="_Toc184312069"/>
      <w:bookmarkEnd w:id="220"/>
      <w:bookmarkStart w:id="221" w:name="_Toc184312068"/>
      <w:bookmarkEnd w:id="221"/>
      <w:bookmarkStart w:id="222" w:name="_Toc184310325"/>
      <w:bookmarkEnd w:id="222"/>
      <w:bookmarkStart w:id="223" w:name="_Toc184310274"/>
      <w:bookmarkEnd w:id="223"/>
      <w:bookmarkStart w:id="224" w:name="_Toc184310337"/>
      <w:bookmarkEnd w:id="224"/>
      <w:bookmarkStart w:id="225" w:name="_Toc184313303"/>
      <w:bookmarkEnd w:id="225"/>
      <w:bookmarkStart w:id="226" w:name="_Toc184314454"/>
      <w:bookmarkEnd w:id="226"/>
      <w:bookmarkStart w:id="227" w:name="_Toc184308057"/>
      <w:bookmarkEnd w:id="227"/>
      <w:bookmarkStart w:id="228" w:name="_Toc184312112"/>
      <w:bookmarkEnd w:id="228"/>
      <w:bookmarkStart w:id="229" w:name="_Toc184314423"/>
      <w:bookmarkEnd w:id="229"/>
      <w:bookmarkStart w:id="230" w:name="_Toc184313294"/>
      <w:bookmarkEnd w:id="230"/>
      <w:bookmarkStart w:id="231" w:name="_Toc184313286"/>
      <w:bookmarkEnd w:id="231"/>
      <w:bookmarkStart w:id="232" w:name="_Toc184308045"/>
      <w:bookmarkEnd w:id="232"/>
      <w:bookmarkStart w:id="233" w:name="_Toc184313274"/>
      <w:bookmarkEnd w:id="233"/>
      <w:bookmarkStart w:id="234" w:name="_Toc184308091"/>
      <w:bookmarkEnd w:id="234"/>
      <w:bookmarkStart w:id="235" w:name="_Toc184314456"/>
      <w:bookmarkEnd w:id="235"/>
      <w:bookmarkStart w:id="236" w:name="_Toc184312088"/>
      <w:bookmarkEnd w:id="236"/>
      <w:bookmarkStart w:id="237" w:name="_Toc184308068"/>
      <w:bookmarkEnd w:id="237"/>
      <w:bookmarkStart w:id="238" w:name="_Toc184313238"/>
      <w:bookmarkEnd w:id="238"/>
      <w:bookmarkStart w:id="239" w:name="_Toc184308082"/>
      <w:bookmarkEnd w:id="239"/>
      <w:bookmarkStart w:id="240" w:name="_Toc184313304"/>
      <w:bookmarkEnd w:id="240"/>
      <w:bookmarkStart w:id="241" w:name="_Toc184314477"/>
      <w:bookmarkEnd w:id="241"/>
      <w:bookmarkStart w:id="242" w:name="_Toc184312130"/>
      <w:bookmarkEnd w:id="242"/>
      <w:bookmarkStart w:id="243" w:name="_Toc184314467"/>
      <w:bookmarkEnd w:id="243"/>
      <w:bookmarkStart w:id="244" w:name="_Toc184310335"/>
      <w:bookmarkEnd w:id="244"/>
      <w:bookmarkStart w:id="245" w:name="_Toc184313273"/>
      <w:bookmarkEnd w:id="245"/>
      <w:bookmarkStart w:id="246" w:name="_Toc184314446"/>
      <w:bookmarkEnd w:id="246"/>
      <w:bookmarkStart w:id="247" w:name="_Toc184308061"/>
      <w:bookmarkEnd w:id="247"/>
      <w:bookmarkStart w:id="248" w:name="_Toc184313288"/>
      <w:bookmarkEnd w:id="248"/>
      <w:bookmarkStart w:id="249" w:name="_Toc184314449"/>
      <w:bookmarkEnd w:id="249"/>
      <w:bookmarkStart w:id="250" w:name="_Toc184308055"/>
      <w:bookmarkEnd w:id="250"/>
      <w:bookmarkStart w:id="251" w:name="_Toc184314481"/>
      <w:bookmarkEnd w:id="251"/>
      <w:bookmarkStart w:id="252" w:name="_Toc184312096"/>
      <w:bookmarkEnd w:id="252"/>
      <w:bookmarkStart w:id="253" w:name="_Toc184312110"/>
      <w:bookmarkEnd w:id="253"/>
      <w:bookmarkStart w:id="254" w:name="_Toc184310340"/>
      <w:bookmarkEnd w:id="254"/>
      <w:bookmarkStart w:id="255" w:name="_Toc184312082"/>
      <w:bookmarkEnd w:id="255"/>
      <w:bookmarkStart w:id="256" w:name="_Toc184313298"/>
      <w:bookmarkEnd w:id="256"/>
      <w:bookmarkStart w:id="257" w:name="_Toc184313253"/>
      <w:bookmarkEnd w:id="257"/>
      <w:bookmarkStart w:id="258" w:name="_Toc184312126"/>
      <w:bookmarkEnd w:id="258"/>
      <w:bookmarkStart w:id="259" w:name="_Toc184314466"/>
      <w:bookmarkEnd w:id="259"/>
      <w:bookmarkStart w:id="260" w:name="_Toc184312113"/>
      <w:bookmarkEnd w:id="260"/>
      <w:bookmarkStart w:id="261" w:name="_Toc184312083"/>
      <w:bookmarkEnd w:id="261"/>
      <w:bookmarkStart w:id="262" w:name="_Toc184308102"/>
      <w:bookmarkEnd w:id="262"/>
      <w:bookmarkStart w:id="263" w:name="_Toc184308094"/>
      <w:bookmarkEnd w:id="263"/>
      <w:bookmarkStart w:id="264" w:name="_Toc184314457"/>
      <w:bookmarkEnd w:id="264"/>
      <w:bookmarkStart w:id="265" w:name="_Toc184314478"/>
      <w:bookmarkEnd w:id="265"/>
      <w:bookmarkStart w:id="266" w:name="_Toc184312077"/>
      <w:bookmarkEnd w:id="266"/>
      <w:bookmarkStart w:id="267" w:name="_Toc184310314"/>
      <w:bookmarkEnd w:id="267"/>
      <w:bookmarkStart w:id="268" w:name="_Toc184314432"/>
      <w:bookmarkEnd w:id="268"/>
      <w:bookmarkStart w:id="269" w:name="_Toc184312076"/>
      <w:bookmarkEnd w:id="269"/>
      <w:bookmarkStart w:id="270" w:name="_Toc184310324"/>
      <w:bookmarkEnd w:id="270"/>
      <w:bookmarkStart w:id="271" w:name="_Toc184310334"/>
      <w:bookmarkEnd w:id="271"/>
      <w:bookmarkStart w:id="272" w:name="_Toc184308071"/>
      <w:bookmarkEnd w:id="272"/>
      <w:bookmarkStart w:id="273" w:name="_Toc184314431"/>
      <w:bookmarkEnd w:id="273"/>
      <w:bookmarkStart w:id="274" w:name="_Toc184314465"/>
      <w:bookmarkEnd w:id="274"/>
      <w:bookmarkStart w:id="275" w:name="_Toc184308103"/>
      <w:bookmarkEnd w:id="275"/>
      <w:bookmarkStart w:id="276" w:name="_Toc184312094"/>
      <w:bookmarkEnd w:id="276"/>
      <w:bookmarkStart w:id="277" w:name="_Toc184312100"/>
      <w:bookmarkEnd w:id="277"/>
      <w:bookmarkStart w:id="278" w:name="_Toc184314473"/>
      <w:bookmarkEnd w:id="278"/>
      <w:bookmarkStart w:id="279" w:name="_Toc184312098"/>
      <w:bookmarkEnd w:id="279"/>
      <w:bookmarkStart w:id="280" w:name="_Toc184314476"/>
      <w:bookmarkEnd w:id="280"/>
      <w:bookmarkStart w:id="281" w:name="_Toc184312072"/>
      <w:bookmarkEnd w:id="281"/>
      <w:bookmarkStart w:id="282" w:name="_Toc184310303"/>
      <w:bookmarkEnd w:id="282"/>
      <w:bookmarkStart w:id="283" w:name="_Toc184314436"/>
      <w:bookmarkEnd w:id="283"/>
      <w:bookmarkStart w:id="284" w:name="_Toc184314433"/>
      <w:bookmarkEnd w:id="284"/>
      <w:bookmarkStart w:id="285" w:name="_Toc184310323"/>
      <w:bookmarkEnd w:id="285"/>
      <w:bookmarkStart w:id="286" w:name="_Toc184313266"/>
      <w:bookmarkEnd w:id="286"/>
      <w:bookmarkStart w:id="287" w:name="_Toc184312138"/>
      <w:bookmarkEnd w:id="287"/>
      <w:bookmarkStart w:id="288" w:name="_Toc184313296"/>
      <w:bookmarkEnd w:id="288"/>
      <w:bookmarkStart w:id="289" w:name="_Toc184310277"/>
      <w:bookmarkEnd w:id="289"/>
      <w:bookmarkStart w:id="290" w:name="_Toc184310326"/>
      <w:bookmarkEnd w:id="290"/>
      <w:bookmarkStart w:id="291" w:name="_Toc184308108"/>
      <w:bookmarkEnd w:id="291"/>
      <w:bookmarkStart w:id="292" w:name="_Toc184313307"/>
      <w:bookmarkEnd w:id="292"/>
      <w:bookmarkStart w:id="293" w:name="_Toc184308043"/>
      <w:bookmarkEnd w:id="293"/>
      <w:bookmarkStart w:id="294" w:name="_Toc184310276"/>
      <w:bookmarkEnd w:id="294"/>
      <w:bookmarkStart w:id="295" w:name="_Toc184310312"/>
      <w:bookmarkEnd w:id="295"/>
      <w:bookmarkStart w:id="296" w:name="_Toc184314455"/>
      <w:bookmarkEnd w:id="296"/>
      <w:bookmarkStart w:id="297" w:name="_Toc184313299"/>
      <w:bookmarkEnd w:id="297"/>
      <w:bookmarkStart w:id="298" w:name="_Toc184312114"/>
      <w:bookmarkEnd w:id="298"/>
      <w:bookmarkStart w:id="299" w:name="_Toc184314451"/>
      <w:bookmarkEnd w:id="299"/>
      <w:bookmarkStart w:id="300" w:name="_Toc184310288"/>
      <w:bookmarkEnd w:id="300"/>
      <w:bookmarkStart w:id="301" w:name="_Toc184314442"/>
      <w:bookmarkEnd w:id="301"/>
      <w:bookmarkStart w:id="302" w:name="_Toc184314441"/>
      <w:bookmarkEnd w:id="302"/>
      <w:bookmarkStart w:id="303" w:name="_Toc184314417"/>
      <w:bookmarkEnd w:id="303"/>
      <w:bookmarkStart w:id="304" w:name="_Toc184312120"/>
      <w:bookmarkEnd w:id="304"/>
      <w:bookmarkStart w:id="305" w:name="_Toc184310272"/>
      <w:bookmarkEnd w:id="305"/>
      <w:bookmarkStart w:id="306" w:name="_Toc184310307"/>
      <w:bookmarkEnd w:id="306"/>
      <w:bookmarkStart w:id="307" w:name="_Toc184312078"/>
      <w:bookmarkEnd w:id="307"/>
      <w:bookmarkStart w:id="308" w:name="_Toc184308036"/>
      <w:bookmarkEnd w:id="308"/>
      <w:bookmarkStart w:id="309" w:name="_Toc184308081"/>
      <w:bookmarkEnd w:id="309"/>
      <w:bookmarkStart w:id="310" w:name="_Toc184312080"/>
      <w:bookmarkEnd w:id="310"/>
      <w:bookmarkStart w:id="311" w:name="_Toc184314427"/>
      <w:bookmarkEnd w:id="311"/>
      <w:bookmarkStart w:id="312" w:name="_Toc184312116"/>
      <w:bookmarkEnd w:id="312"/>
      <w:bookmarkStart w:id="313" w:name="_Toc184313277"/>
      <w:bookmarkEnd w:id="313"/>
      <w:bookmarkStart w:id="314" w:name="_Toc184308075"/>
      <w:bookmarkEnd w:id="314"/>
      <w:bookmarkStart w:id="315" w:name="_Toc184310281"/>
      <w:bookmarkEnd w:id="315"/>
      <w:bookmarkStart w:id="316" w:name="_Toc184312074"/>
      <w:bookmarkEnd w:id="316"/>
      <w:bookmarkStart w:id="317" w:name="_Toc184312086"/>
      <w:bookmarkEnd w:id="317"/>
      <w:bookmarkStart w:id="318" w:name="_Toc184310304"/>
      <w:bookmarkEnd w:id="318"/>
      <w:bookmarkStart w:id="319" w:name="_Toc184312099"/>
      <w:bookmarkEnd w:id="319"/>
      <w:bookmarkStart w:id="320" w:name="_Toc184310316"/>
      <w:bookmarkEnd w:id="320"/>
      <w:bookmarkStart w:id="321" w:name="_Toc184314426"/>
      <w:bookmarkEnd w:id="321"/>
      <w:bookmarkStart w:id="322" w:name="_Toc184312123"/>
      <w:bookmarkEnd w:id="322"/>
      <w:bookmarkStart w:id="323" w:name="_Toc184313270"/>
      <w:bookmarkEnd w:id="323"/>
      <w:bookmarkStart w:id="324" w:name="_Toc184308076"/>
      <w:bookmarkEnd w:id="324"/>
      <w:bookmarkStart w:id="325" w:name="_Toc184312101"/>
      <w:bookmarkEnd w:id="325"/>
      <w:bookmarkStart w:id="326" w:name="_Toc184308097"/>
      <w:bookmarkEnd w:id="326"/>
      <w:bookmarkStart w:id="327" w:name="_Toc184308053"/>
      <w:bookmarkEnd w:id="327"/>
      <w:bookmarkStart w:id="328" w:name="_Toc184310344"/>
      <w:bookmarkEnd w:id="328"/>
      <w:bookmarkStart w:id="329" w:name="_Toc184308063"/>
      <w:bookmarkEnd w:id="329"/>
      <w:bookmarkStart w:id="330" w:name="_Toc184308096"/>
      <w:bookmarkEnd w:id="330"/>
      <w:bookmarkStart w:id="331" w:name="_Toc184313310"/>
      <w:bookmarkEnd w:id="331"/>
      <w:bookmarkStart w:id="332" w:name="_Toc184313272"/>
      <w:bookmarkEnd w:id="332"/>
      <w:bookmarkStart w:id="333" w:name="_Toc184314434"/>
      <w:bookmarkEnd w:id="333"/>
      <w:bookmarkStart w:id="334" w:name="_Toc184308051"/>
      <w:bookmarkEnd w:id="334"/>
      <w:bookmarkStart w:id="335" w:name="_Toc184313297"/>
      <w:bookmarkEnd w:id="335"/>
      <w:bookmarkStart w:id="336" w:name="_Toc184310286"/>
      <w:bookmarkEnd w:id="336"/>
      <w:bookmarkStart w:id="337" w:name="_Toc184308074"/>
      <w:bookmarkEnd w:id="337"/>
      <w:bookmarkStart w:id="338" w:name="_Toc184313245"/>
      <w:bookmarkEnd w:id="338"/>
      <w:bookmarkStart w:id="339" w:name="_Toc184313282"/>
      <w:bookmarkEnd w:id="339"/>
      <w:bookmarkStart w:id="340" w:name="_Toc184314452"/>
      <w:bookmarkEnd w:id="340"/>
      <w:bookmarkStart w:id="341" w:name="_Toc184310290"/>
      <w:bookmarkEnd w:id="341"/>
      <w:bookmarkStart w:id="342" w:name="_Toc184308100"/>
      <w:bookmarkEnd w:id="342"/>
      <w:bookmarkStart w:id="343" w:name="_Toc184308049"/>
      <w:bookmarkEnd w:id="343"/>
      <w:bookmarkStart w:id="344" w:name="_Toc184313243"/>
      <w:bookmarkEnd w:id="344"/>
      <w:bookmarkStart w:id="345" w:name="_Toc184312091"/>
      <w:bookmarkEnd w:id="345"/>
      <w:bookmarkStart w:id="346" w:name="_Toc184314448"/>
      <w:bookmarkEnd w:id="346"/>
      <w:bookmarkStart w:id="347" w:name="_Toc184308072"/>
      <w:bookmarkEnd w:id="347"/>
      <w:bookmarkStart w:id="348" w:name="_Toc184313261"/>
      <w:bookmarkEnd w:id="348"/>
      <w:bookmarkStart w:id="349" w:name="_Toc184313300"/>
      <w:bookmarkEnd w:id="349"/>
      <w:bookmarkStart w:id="350" w:name="_Toc184313295"/>
      <w:bookmarkEnd w:id="350"/>
      <w:bookmarkStart w:id="351" w:name="_Toc184308107"/>
      <w:bookmarkEnd w:id="351"/>
      <w:bookmarkStart w:id="352" w:name="_Toc184313269"/>
      <w:bookmarkEnd w:id="352"/>
      <w:bookmarkStart w:id="353" w:name="_Toc184314468"/>
      <w:bookmarkEnd w:id="353"/>
      <w:bookmarkStart w:id="354" w:name="_Toc184308037"/>
      <w:bookmarkEnd w:id="354"/>
      <w:bookmarkStart w:id="355" w:name="_Toc184314425"/>
      <w:bookmarkEnd w:id="355"/>
      <w:bookmarkStart w:id="356" w:name="_Toc184310279"/>
      <w:bookmarkEnd w:id="356"/>
      <w:bookmarkStart w:id="357" w:name="_Toc184310295"/>
      <w:bookmarkEnd w:id="357"/>
      <w:bookmarkStart w:id="358" w:name="_Toc184313263"/>
      <w:bookmarkEnd w:id="358"/>
      <w:bookmarkStart w:id="359" w:name="_Toc184314444"/>
      <w:bookmarkEnd w:id="359"/>
      <w:bookmarkStart w:id="360" w:name="_Toc184313242"/>
      <w:bookmarkEnd w:id="360"/>
      <w:bookmarkStart w:id="361" w:name="_Toc184313305"/>
      <w:bookmarkEnd w:id="361"/>
      <w:bookmarkStart w:id="362" w:name="_Toc184314462"/>
      <w:bookmarkEnd w:id="362"/>
      <w:bookmarkStart w:id="363" w:name="_Toc184314459"/>
      <w:bookmarkEnd w:id="363"/>
      <w:bookmarkStart w:id="364" w:name="_Toc184312106"/>
      <w:bookmarkEnd w:id="364"/>
      <w:bookmarkStart w:id="365" w:name="_Toc184312139"/>
      <w:bookmarkEnd w:id="365"/>
      <w:bookmarkStart w:id="366" w:name="_Toc184313287"/>
      <w:bookmarkEnd w:id="366"/>
      <w:bookmarkStart w:id="367" w:name="_Toc184310343"/>
      <w:bookmarkEnd w:id="367"/>
      <w:bookmarkStart w:id="368" w:name="_Toc184312087"/>
      <w:bookmarkEnd w:id="368"/>
      <w:bookmarkStart w:id="369" w:name="_Toc184310310"/>
      <w:bookmarkEnd w:id="369"/>
      <w:bookmarkStart w:id="370" w:name="_Toc184313290"/>
      <w:bookmarkEnd w:id="370"/>
      <w:bookmarkStart w:id="371" w:name="_Toc184310291"/>
      <w:bookmarkEnd w:id="371"/>
      <w:bookmarkStart w:id="372" w:name="_Toc184308106"/>
      <w:bookmarkEnd w:id="372"/>
      <w:bookmarkStart w:id="373" w:name="_Toc184313256"/>
      <w:bookmarkEnd w:id="373"/>
      <w:bookmarkStart w:id="374" w:name="_Toc184310319"/>
      <w:bookmarkEnd w:id="374"/>
      <w:bookmarkStart w:id="375" w:name="_Toc184313301"/>
      <w:bookmarkEnd w:id="375"/>
      <w:bookmarkStart w:id="376" w:name="_Toc184312102"/>
      <w:bookmarkEnd w:id="376"/>
      <w:bookmarkStart w:id="377" w:name="_Toc184313262"/>
      <w:bookmarkEnd w:id="377"/>
      <w:bookmarkStart w:id="378" w:name="_Toc184313244"/>
      <w:bookmarkEnd w:id="378"/>
      <w:bookmarkStart w:id="379" w:name="_Toc184314471"/>
      <w:bookmarkEnd w:id="379"/>
      <w:bookmarkStart w:id="380" w:name="_Toc184314460"/>
      <w:bookmarkEnd w:id="380"/>
      <w:bookmarkStart w:id="381" w:name="_Toc184312081"/>
      <w:bookmarkEnd w:id="381"/>
      <w:bookmarkStart w:id="382" w:name="_Toc184310332"/>
      <w:bookmarkEnd w:id="382"/>
      <w:bookmarkStart w:id="383" w:name="_Toc184308092"/>
      <w:bookmarkEnd w:id="383"/>
      <w:bookmarkStart w:id="384" w:name="_Toc184308088"/>
      <w:bookmarkEnd w:id="384"/>
      <w:bookmarkStart w:id="385" w:name="_Toc184313255"/>
      <w:bookmarkEnd w:id="385"/>
      <w:bookmarkStart w:id="386" w:name="_Toc184314410"/>
      <w:bookmarkEnd w:id="386"/>
      <w:bookmarkStart w:id="387" w:name="_Toc184308073"/>
      <w:bookmarkEnd w:id="387"/>
      <w:bookmarkStart w:id="388" w:name="_Toc184312108"/>
      <w:bookmarkEnd w:id="388"/>
      <w:bookmarkStart w:id="389" w:name="_Toc184308093"/>
      <w:bookmarkEnd w:id="389"/>
      <w:bookmarkStart w:id="390" w:name="_Toc184310331"/>
      <w:bookmarkEnd w:id="390"/>
      <w:r>
        <w:rPr>
          <w:rFonts w:hint="eastAsia" w:ascii="宋体" w:hAnsi="宋体" w:cs="宋体"/>
          <w:b/>
          <w:color w:val="000000" w:themeColor="text1"/>
          <w:sz w:val="36"/>
          <w:szCs w:val="36"/>
          <w14:textFill>
            <w14:solidFill>
              <w14:schemeClr w14:val="tx1"/>
            </w14:solidFill>
          </w14:textFill>
        </w:rPr>
        <w:t>评标办法</w:t>
      </w:r>
    </w:p>
    <w:p>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bookmarkEnd w:id="25"/>
    <w:p>
      <w:pPr>
        <w:rPr>
          <w:rFonts w:ascii="宋体" w:hAnsi="宋体" w:cs="宋体"/>
          <w:color w:val="000000" w:themeColor="text1"/>
          <w14:textFill>
            <w14:solidFill>
              <w14:schemeClr w14:val="tx1"/>
            </w14:solidFill>
          </w14:textFill>
        </w:rPr>
      </w:pPr>
      <w:bookmarkStart w:id="391" w:name="第五部分"/>
      <w:bookmarkStart w:id="392" w:name="_Toc86217003"/>
      <w:r>
        <w:rPr>
          <w:rFonts w:hint="eastAsia" w:ascii="宋体" w:hAnsi="宋体" w:cs="宋体"/>
          <w:color w:val="000000" w:themeColor="text1"/>
          <w14:textFill>
            <w14:solidFill>
              <w14:schemeClr w14:val="tx1"/>
            </w14:solidFill>
          </w14:textFill>
        </w:rPr>
        <w:t>商务资信（</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分）</w:t>
      </w:r>
    </w:p>
    <w:tbl>
      <w:tblPr>
        <w:tblStyle w:val="62"/>
        <w:tblpPr w:leftFromText="180" w:rightFromText="180" w:vertAnchor="text" w:horzAnchor="page" w:tblpX="1200" w:tblpY="475"/>
        <w:tblOverlap w:val="never"/>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579"/>
        <w:gridCol w:w="6668"/>
        <w:gridCol w:w="816"/>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5" w:type="dxa"/>
            <w:vAlign w:val="center"/>
          </w:tcPr>
          <w:p>
            <w:pPr>
              <w:keepNext w:val="0"/>
              <w:keepLines w:val="0"/>
              <w:widowControl/>
              <w:suppressLineNumbers w:val="0"/>
              <w:spacing w:before="0" w:beforeAutospacing="0" w:afterAutospacing="0"/>
              <w:ind w:left="0" w:right="0"/>
              <w:jc w:val="center"/>
              <w:rPr>
                <w:rFonts w:hint="default"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序号</w:t>
            </w:r>
          </w:p>
        </w:tc>
        <w:tc>
          <w:tcPr>
            <w:tcW w:w="7247" w:type="dxa"/>
            <w:gridSpan w:val="2"/>
            <w:vAlign w:val="center"/>
          </w:tcPr>
          <w:p>
            <w:pPr>
              <w:keepNext w:val="0"/>
              <w:keepLines w:val="0"/>
              <w:widowControl/>
              <w:suppressLineNumbers w:val="0"/>
              <w:spacing w:before="0" w:beforeAutospacing="0" w:afterAutospacing="0"/>
              <w:ind w:left="0" w:right="0"/>
              <w:jc w:val="center"/>
              <w:rPr>
                <w:rFonts w:hint="default"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评分内容和标准</w:t>
            </w:r>
          </w:p>
        </w:tc>
        <w:tc>
          <w:tcPr>
            <w:tcW w:w="816" w:type="dxa"/>
            <w:vAlign w:val="center"/>
          </w:tcPr>
          <w:p>
            <w:pPr>
              <w:keepNext w:val="0"/>
              <w:keepLines w:val="0"/>
              <w:widowControl/>
              <w:suppressLineNumbers w:val="0"/>
              <w:spacing w:before="0" w:beforeAutospacing="0" w:afterAutospacing="0"/>
              <w:ind w:left="0" w:right="0"/>
              <w:jc w:val="center"/>
              <w:rPr>
                <w:rFonts w:hint="default"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分值区间</w:t>
            </w:r>
          </w:p>
        </w:tc>
        <w:tc>
          <w:tcPr>
            <w:tcW w:w="941" w:type="dxa"/>
            <w:vAlign w:val="center"/>
          </w:tcPr>
          <w:p>
            <w:pPr>
              <w:keepNext w:val="0"/>
              <w:keepLines w:val="0"/>
              <w:widowControl/>
              <w:suppressLineNumbers w:val="0"/>
              <w:spacing w:before="0" w:beforeAutospacing="0" w:afterAutospacing="0"/>
              <w:ind w:left="0" w:right="0"/>
              <w:jc w:val="center"/>
              <w:rPr>
                <w:rFonts w:hint="default"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5" w:type="dxa"/>
            <w:vMerge w:val="restart"/>
            <w:vAlign w:val="center"/>
          </w:tcPr>
          <w:p>
            <w:pPr>
              <w:keepNext w:val="0"/>
              <w:keepLines w:val="0"/>
              <w:widowControl/>
              <w:suppressLineNumbers w:val="0"/>
              <w:spacing w:before="0" w:beforeAutospacing="0" w:afterAutospacing="0"/>
              <w:ind w:left="0" w:right="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商务资信分（</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分）</w:t>
            </w:r>
          </w:p>
        </w:tc>
        <w:tc>
          <w:tcPr>
            <w:tcW w:w="579" w:type="dxa"/>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6668" w:type="dxa"/>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t>投标人至2021年11月1日（以合同时间为准）起具有同类项目业绩的每个得0.5分，最高得1分。（投标文件中提供合同复印件加盖公章）</w:t>
            </w:r>
          </w:p>
        </w:tc>
        <w:tc>
          <w:tcPr>
            <w:tcW w:w="816" w:type="dxa"/>
            <w:vAlign w:val="center"/>
          </w:tcPr>
          <w:p>
            <w:pPr>
              <w:keepNext w:val="0"/>
              <w:keepLines w:val="0"/>
              <w:widowControl/>
              <w:suppressLineNumbers w:val="0"/>
              <w:spacing w:before="0" w:beforeAutospacing="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941" w:type="dxa"/>
            <w:vAlign w:val="center"/>
          </w:tcPr>
          <w:p>
            <w:pPr>
              <w:keepNext w:val="0"/>
              <w:keepLines w:val="0"/>
              <w:widowControl/>
              <w:suppressLineNumbers w:val="0"/>
              <w:spacing w:before="0" w:beforeAutospacing="0" w:afterAutospacing="0" w:line="360" w:lineRule="auto"/>
              <w:ind w:left="0" w:right="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5"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000000" w:themeColor="text1"/>
                <w:sz w:val="24"/>
                <w:highlight w:val="none"/>
                <w14:textFill>
                  <w14:solidFill>
                    <w14:schemeClr w14:val="tx1"/>
                  </w14:solidFill>
                </w14:textFill>
              </w:rPr>
            </w:pPr>
          </w:p>
        </w:tc>
        <w:tc>
          <w:tcPr>
            <w:tcW w:w="579" w:type="dxa"/>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6668" w:type="dxa"/>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t>投标人具有质量体系认证证书、职业健康安全管理体系认证证书、环境管理体系认证证书，每一个得0.5分，最高得1.5分。没有提供或不能提供有效证明材料的不得分。（证明材料：提供有效的认证证书复印件。）</w:t>
            </w:r>
          </w:p>
        </w:tc>
        <w:tc>
          <w:tcPr>
            <w:tcW w:w="816" w:type="dxa"/>
            <w:shd w:val="clear" w:color="auto" w:fill="auto"/>
            <w:vAlign w:val="center"/>
          </w:tcPr>
          <w:p>
            <w:pPr>
              <w:keepNext w:val="0"/>
              <w:keepLines w:val="0"/>
              <w:widowControl/>
              <w:suppressLineNumbers w:val="0"/>
              <w:spacing w:before="0" w:beforeAutospacing="0" w:afterAutospacing="0" w:line="360" w:lineRule="auto"/>
              <w:ind w:left="0" w:right="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0-1.5</w:t>
            </w:r>
          </w:p>
        </w:tc>
        <w:tc>
          <w:tcPr>
            <w:tcW w:w="941" w:type="dxa"/>
            <w:shd w:val="clear" w:color="auto" w:fill="auto"/>
            <w:vAlign w:val="center"/>
          </w:tcPr>
          <w:p>
            <w:pPr>
              <w:keepNext w:val="0"/>
              <w:keepLines w:val="0"/>
              <w:widowControl/>
              <w:suppressLineNumbers w:val="0"/>
              <w:spacing w:before="0" w:beforeAutospacing="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715" w:type="dxa"/>
            <w:vMerge w:val="continue"/>
            <w:vAlign w:val="center"/>
          </w:tcPr>
          <w:p>
            <w:pPr>
              <w:keepNext w:val="0"/>
              <w:keepLines w:val="0"/>
              <w:widowControl/>
              <w:suppressLineNumbers w:val="0"/>
              <w:spacing w:before="0" w:beforeAutospacing="0" w:afterAutospacing="0"/>
              <w:ind w:left="0" w:right="0"/>
              <w:rPr>
                <w:rFonts w:hint="eastAsia" w:ascii="仿宋" w:hAnsi="仿宋" w:eastAsia="仿宋" w:cs="仿宋"/>
                <w:color w:val="000000" w:themeColor="text1"/>
                <w:sz w:val="24"/>
                <w:highlight w:val="none"/>
                <w14:textFill>
                  <w14:solidFill>
                    <w14:schemeClr w14:val="tx1"/>
                  </w14:solidFill>
                </w14:textFill>
              </w:rPr>
            </w:pPr>
          </w:p>
        </w:tc>
        <w:tc>
          <w:tcPr>
            <w:tcW w:w="579" w:type="dxa"/>
            <w:vAlign w:val="center"/>
          </w:tcPr>
          <w:p>
            <w:pPr>
              <w:keepNext w:val="0"/>
              <w:keepLines w:val="0"/>
              <w:widowControl/>
              <w:suppressLineNumbers w:val="0"/>
              <w:snapToGrid w:val="0"/>
              <w:spacing w:before="0" w:beforeAutospacing="0" w:after="0" w:afterAutospacing="0" w:line="360" w:lineRule="exact"/>
              <w:ind w:right="0"/>
              <w:jc w:val="center"/>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t>3</w:t>
            </w:r>
          </w:p>
        </w:tc>
        <w:tc>
          <w:tcPr>
            <w:tcW w:w="6668" w:type="dxa"/>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t>①投标人必须具有“工业企业安全在线”信用等级为C级及以上，满足得1.5分，不满足不得分。（投标文件中提供工业企业安全在线系统显示结果截图，不提供不得分。)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t>②投标人提供至少3人注册安全工程师，得1.5分；提供至少3人注册消防工程师，得1.5分。(投标文件中提供相应证书复印件及社保证明。并加盖投标人公章)</w:t>
            </w:r>
          </w:p>
        </w:tc>
        <w:tc>
          <w:tcPr>
            <w:tcW w:w="816" w:type="dxa"/>
            <w:vAlign w:val="center"/>
          </w:tcPr>
          <w:p>
            <w:pPr>
              <w:keepNext w:val="0"/>
              <w:keepLines w:val="0"/>
              <w:widowControl/>
              <w:suppressLineNumbers w:val="0"/>
              <w:spacing w:before="0" w:beforeAutospacing="0" w:afterAutospacing="0" w:line="360" w:lineRule="auto"/>
              <w:ind w:left="0" w:right="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lang w:val="en-US" w:eastAsia="zh-CN"/>
                <w14:textFill>
                  <w14:solidFill>
                    <w14:schemeClr w14:val="tx1"/>
                  </w14:solidFill>
                </w14:textFill>
              </w:rPr>
              <w:t>4.5</w:t>
            </w:r>
          </w:p>
        </w:tc>
        <w:tc>
          <w:tcPr>
            <w:tcW w:w="941" w:type="dxa"/>
            <w:vAlign w:val="center"/>
          </w:tcPr>
          <w:p>
            <w:pPr>
              <w:keepNext w:val="0"/>
              <w:keepLines w:val="0"/>
              <w:widowControl/>
              <w:suppressLineNumbers w:val="0"/>
              <w:spacing w:before="0" w:beforeAutospacing="0" w:afterAutospacing="0" w:line="360" w:lineRule="auto"/>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15" w:type="dxa"/>
            <w:vMerge w:val="continue"/>
            <w:vAlign w:val="center"/>
          </w:tcPr>
          <w:p>
            <w:pPr>
              <w:keepNext w:val="0"/>
              <w:keepLines w:val="0"/>
              <w:widowControl/>
              <w:suppressLineNumbers w:val="0"/>
              <w:spacing w:before="0" w:beforeAutospacing="0" w:afterAutospacing="0"/>
              <w:ind w:left="0" w:right="0"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579" w:type="dxa"/>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6668" w:type="dxa"/>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t>项目负责人要求：1）具有注册安全工程师证书；（2）具有安全评价证书；（3）具有中级及以上工程师职称（4）5年以上工作经历，且年龄在40周岁及以下。</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highlight w:val="none"/>
                <w:lang w:val="en-US" w:eastAsia="zh-CN" w:bidi="ar"/>
                <w14:textFill>
                  <w14:solidFill>
                    <w14:schemeClr w14:val="tx1"/>
                  </w14:solidFill>
                </w14:textFill>
              </w:rPr>
              <w:t>每符合1项得0.5分,最高得2分。（提供相关证明材料和该人员在投标单位社保证明材料，不提供不得分。)</w:t>
            </w:r>
          </w:p>
        </w:tc>
        <w:tc>
          <w:tcPr>
            <w:tcW w:w="816" w:type="dxa"/>
            <w:vAlign w:val="center"/>
          </w:tcPr>
          <w:p>
            <w:pPr>
              <w:keepNext w:val="0"/>
              <w:keepLines w:val="0"/>
              <w:widowControl/>
              <w:suppressLineNumbers w:val="0"/>
              <w:spacing w:before="0" w:beforeAutospacing="0" w:afterAutospacing="0" w:line="360" w:lineRule="auto"/>
              <w:ind w:left="0" w:right="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941" w:type="dxa"/>
            <w:vAlign w:val="center"/>
          </w:tcPr>
          <w:p>
            <w:pPr>
              <w:keepNext w:val="0"/>
              <w:keepLines w:val="0"/>
              <w:widowControl/>
              <w:suppressLineNumbers w:val="0"/>
              <w:spacing w:before="0" w:beforeAutospacing="0" w:afterAutospacing="0" w:line="360" w:lineRule="auto"/>
              <w:ind w:left="0" w:right="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r>
    </w:tbl>
    <w:p>
      <w:pPr>
        <w:rPr>
          <w:rFonts w:ascii="宋体" w:hAnsi="宋体" w:cs="宋体"/>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技术和服务方案（</w:t>
      </w:r>
      <w:r>
        <w:rPr>
          <w:rFonts w:hint="eastAsia" w:ascii="宋体" w:hAnsi="宋体" w:cs="宋体"/>
          <w:color w:val="000000" w:themeColor="text1"/>
          <w:lang w:val="en-US" w:eastAsia="zh-CN"/>
          <w14:textFill>
            <w14:solidFill>
              <w14:schemeClr w14:val="tx1"/>
            </w14:solidFill>
          </w14:textFill>
        </w:rPr>
        <w:t>81</w:t>
      </w:r>
      <w:r>
        <w:rPr>
          <w:rFonts w:hint="eastAsia" w:ascii="宋体" w:hAnsi="宋体" w:cs="宋体"/>
          <w:color w:val="000000" w:themeColor="text1"/>
          <w14:textFill>
            <w14:solidFill>
              <w14:schemeClr w14:val="tx1"/>
            </w14:solidFill>
          </w14:textFill>
        </w:rPr>
        <w:t>分）</w:t>
      </w:r>
    </w:p>
    <w:tbl>
      <w:tblPr>
        <w:tblStyle w:val="62"/>
        <w:tblW w:w="9700" w:type="dxa"/>
        <w:tblInd w:w="-199" w:type="dxa"/>
        <w:tblLayout w:type="fixed"/>
        <w:tblCellMar>
          <w:top w:w="0" w:type="dxa"/>
          <w:left w:w="108" w:type="dxa"/>
          <w:bottom w:w="0" w:type="dxa"/>
          <w:right w:w="108" w:type="dxa"/>
        </w:tblCellMar>
      </w:tblPr>
      <w:tblGrid>
        <w:gridCol w:w="684"/>
        <w:gridCol w:w="616"/>
        <w:gridCol w:w="6734"/>
        <w:gridCol w:w="716"/>
        <w:gridCol w:w="950"/>
      </w:tblGrid>
      <w:tr>
        <w:tblPrEx>
          <w:tblCellMar>
            <w:top w:w="0" w:type="dxa"/>
            <w:left w:w="108" w:type="dxa"/>
            <w:bottom w:w="0" w:type="dxa"/>
            <w:right w:w="108" w:type="dxa"/>
          </w:tblCellMar>
        </w:tblPrEx>
        <w:trPr>
          <w:trHeight w:val="1038" w:hRule="atLeast"/>
        </w:trPr>
        <w:tc>
          <w:tcPr>
            <w:tcW w:w="684" w:type="dxa"/>
            <w:vMerge w:val="restart"/>
            <w:tcBorders>
              <w:top w:val="single" w:color="auto" w:sz="4" w:space="0"/>
              <w:left w:val="single" w:color="auto" w:sz="4" w:space="0"/>
              <w:right w:val="single" w:color="auto" w:sz="4" w:space="0"/>
            </w:tcBorders>
            <w:vAlign w:val="center"/>
          </w:tcPr>
          <w:p>
            <w:pPr>
              <w:pStyle w:val="24"/>
              <w:keepNext w:val="0"/>
              <w:keepLines w:val="0"/>
              <w:widowControl/>
              <w:suppressLineNumbers w:val="0"/>
              <w:spacing w:before="0" w:beforeAutospacing="0" w:afterAutospacing="0" w:line="240" w:lineRule="auto"/>
              <w:ind w:left="0" w:right="0" w:firstLine="0" w:firstLineChars="0"/>
              <w:contextualSpacing/>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技术分</w:t>
            </w:r>
          </w:p>
          <w:p>
            <w:pPr>
              <w:pStyle w:val="24"/>
              <w:keepNext w:val="0"/>
              <w:keepLines w:val="0"/>
              <w:widowControl/>
              <w:suppressLineNumbers w:val="0"/>
              <w:spacing w:before="0" w:beforeAutospacing="0" w:afterAutospacing="0" w:line="240" w:lineRule="auto"/>
              <w:ind w:left="0" w:right="0" w:firstLine="0" w:firstLineChars="0"/>
              <w:contextualSpacing/>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81</w:t>
            </w:r>
            <w:r>
              <w:rPr>
                <w:rFonts w:hint="eastAsia" w:ascii="仿宋" w:hAnsi="仿宋" w:eastAsia="仿宋" w:cs="仿宋"/>
                <w:color w:val="000000" w:themeColor="text1"/>
                <w14:textFill>
                  <w14:solidFill>
                    <w14:schemeClr w14:val="tx1"/>
                  </w14:solidFill>
                </w14:textFill>
              </w:rPr>
              <w:t>分）</w:t>
            </w: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highlight w:val="yellow"/>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根据供应商提供的本项目总体服务方案的完整性、合理性进行打分。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(方案内容完整且与项目匹配度好的得</w:t>
            </w:r>
            <w:r>
              <w:rPr>
                <w:rFonts w:hint="eastAsia" w:cs="仿宋"/>
                <w:snapToGrid w:val="0"/>
                <w:color w:val="000000" w:themeColor="text1"/>
                <w:kern w:val="0"/>
                <w:sz w:val="24"/>
                <w:szCs w:val="24"/>
                <w:lang w:val="en-US" w:eastAsia="zh-CN" w:bidi="ar"/>
                <w14:textFill>
                  <w14:solidFill>
                    <w14:schemeClr w14:val="tx1"/>
                  </w14:solidFill>
                </w14:textFill>
              </w:rPr>
              <w:t>4-</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5分；方案基本完整且与项目匹配度较好的得</w:t>
            </w:r>
            <w:r>
              <w:rPr>
                <w:rFonts w:hint="eastAsia" w:cs="仿宋"/>
                <w:snapToGrid w:val="0"/>
                <w:color w:val="000000" w:themeColor="text1"/>
                <w:kern w:val="0"/>
                <w:sz w:val="24"/>
                <w:szCs w:val="24"/>
                <w:lang w:val="en-US" w:eastAsia="zh-CN" w:bidi="ar"/>
                <w14:textFill>
                  <w14:solidFill>
                    <w14:schemeClr w14:val="tx1"/>
                  </w14:solidFill>
                </w14:textFill>
              </w:rPr>
              <w:t>2-</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3分；方案内容存在欠缺或与项目匹配度一般的得1分；内容缺失严重或与项目不匹配的不得分);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安全隐患排查阶段</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方案的完整性、合理性进行打分。(方案内容完整且与项目匹配度好的得</w:t>
            </w:r>
            <w:r>
              <w:rPr>
                <w:rFonts w:hint="eastAsia" w:cs="仿宋"/>
                <w:snapToGrid w:val="0"/>
                <w:color w:val="000000" w:themeColor="text1"/>
                <w:kern w:val="0"/>
                <w:sz w:val="24"/>
                <w:szCs w:val="24"/>
                <w:lang w:val="en-US" w:eastAsia="zh-CN" w:bidi="ar"/>
                <w14:textFill>
                  <w14:solidFill>
                    <w14:schemeClr w14:val="tx1"/>
                  </w14:solidFill>
                </w14:textFill>
              </w:rPr>
              <w:t>4-</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5分；方案基本完整且与项目匹配度较好的得</w:t>
            </w:r>
            <w:r>
              <w:rPr>
                <w:rFonts w:hint="eastAsia" w:cs="仿宋"/>
                <w:snapToGrid w:val="0"/>
                <w:color w:val="000000" w:themeColor="text1"/>
                <w:kern w:val="0"/>
                <w:sz w:val="24"/>
                <w:szCs w:val="24"/>
                <w:lang w:val="en-US" w:eastAsia="zh-CN" w:bidi="ar"/>
                <w14:textFill>
                  <w14:solidFill>
                    <w14:schemeClr w14:val="tx1"/>
                  </w14:solidFill>
                </w14:textFill>
              </w:rPr>
              <w:t>2-</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3分；方案内容存在欠缺或与项目匹配度一般的得1分；内容缺失严重或与项目不匹配的不得分。);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整改提升阶段</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方案的完整性、合理性进行打分。(方案内容完整且与项目匹配度好的得</w:t>
            </w:r>
            <w:r>
              <w:rPr>
                <w:rFonts w:hint="eastAsia" w:cs="仿宋"/>
                <w:snapToGrid w:val="0"/>
                <w:color w:val="000000" w:themeColor="text1"/>
                <w:kern w:val="0"/>
                <w:sz w:val="24"/>
                <w:szCs w:val="24"/>
                <w:lang w:val="en-US" w:eastAsia="zh-CN" w:bidi="ar"/>
                <w14:textFill>
                  <w14:solidFill>
                    <w14:schemeClr w14:val="tx1"/>
                  </w14:solidFill>
                </w14:textFill>
              </w:rPr>
              <w:t>4-</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5分；方案基本完整且与项目匹配度较好的得</w:t>
            </w:r>
            <w:r>
              <w:rPr>
                <w:rFonts w:hint="eastAsia" w:cs="仿宋"/>
                <w:snapToGrid w:val="0"/>
                <w:color w:val="000000" w:themeColor="text1"/>
                <w:kern w:val="0"/>
                <w:sz w:val="24"/>
                <w:szCs w:val="24"/>
                <w:lang w:val="en-US" w:eastAsia="zh-CN" w:bidi="ar"/>
                <w14:textFill>
                  <w14:solidFill>
                    <w14:schemeClr w14:val="tx1"/>
                  </w14:solidFill>
                </w14:textFill>
              </w:rPr>
              <w:t>2-</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3分；方案内容存在欠缺或与项目匹配度一般的得1分；内容缺失严重或与项目不匹配的不得分);</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0-15</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主观分</w:t>
            </w:r>
          </w:p>
        </w:tc>
      </w:tr>
      <w:tr>
        <w:tblPrEx>
          <w:tblCellMar>
            <w:top w:w="0" w:type="dxa"/>
            <w:left w:w="108" w:type="dxa"/>
            <w:bottom w:w="0" w:type="dxa"/>
            <w:right w:w="108" w:type="dxa"/>
          </w:tblCellMar>
        </w:tblPrEx>
        <w:trPr>
          <w:trHeight w:val="481" w:hRule="atLeast"/>
        </w:trPr>
        <w:tc>
          <w:tcPr>
            <w:tcW w:w="684" w:type="dxa"/>
            <w:vMerge w:val="continue"/>
            <w:tcBorders>
              <w:left w:val="single" w:color="auto" w:sz="4" w:space="0"/>
              <w:right w:val="single" w:color="auto" w:sz="4" w:space="0"/>
            </w:tcBorders>
            <w:vAlign w:val="center"/>
          </w:tcPr>
          <w:p>
            <w:pPr>
              <w:pStyle w:val="24"/>
              <w:keepNext w:val="0"/>
              <w:keepLines w:val="0"/>
              <w:widowControl/>
              <w:suppressLineNumbers w:val="0"/>
              <w:spacing w:before="0" w:beforeAutospacing="0" w:afterAutospacing="0" w:line="240" w:lineRule="auto"/>
              <w:ind w:left="0" w:right="0" w:firstLine="0" w:firstLineChars="0"/>
              <w:contextualSpacing/>
              <w:jc w:val="center"/>
              <w:rPr>
                <w:rFonts w:hint="eastAsia" w:ascii="仿宋" w:hAnsi="仿宋" w:eastAsia="仿宋" w:cs="仿宋"/>
                <w:color w:val="000000" w:themeColor="text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项目方案中对制度建设、台账管理的合理性、可行性等酌情评分：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①项目方案中对制度和台账管理的描述能完全满足本项目需求的得</w:t>
            </w:r>
            <w:r>
              <w:rPr>
                <w:rFonts w:hint="eastAsia" w:cs="仿宋"/>
                <w:snapToGrid w:val="0"/>
                <w:color w:val="000000" w:themeColor="text1"/>
                <w:kern w:val="0"/>
                <w:sz w:val="24"/>
                <w:szCs w:val="24"/>
                <w:lang w:val="en-US" w:eastAsia="zh-CN" w:bidi="ar"/>
                <w14:textFill>
                  <w14:solidFill>
                    <w14:schemeClr w14:val="tx1"/>
                  </w14:solidFill>
                </w14:textFill>
              </w:rPr>
              <w:t>6-7</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②项目方案中对制度和台账管理的描述能较为满足本项目需求的得</w:t>
            </w:r>
            <w:r>
              <w:rPr>
                <w:rFonts w:hint="eastAsia" w:cs="仿宋"/>
                <w:snapToGrid w:val="0"/>
                <w:color w:val="000000" w:themeColor="text1"/>
                <w:kern w:val="0"/>
                <w:sz w:val="24"/>
                <w:szCs w:val="24"/>
                <w:lang w:val="en-US" w:eastAsia="zh-CN" w:bidi="ar"/>
                <w14:textFill>
                  <w14:solidFill>
                    <w14:schemeClr w14:val="tx1"/>
                  </w14:solidFill>
                </w14:textFill>
              </w:rPr>
              <w:t>4-5</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③项目方案中对制度和台账管理的描述能基本满足本项目需求的得</w:t>
            </w:r>
            <w:r>
              <w:rPr>
                <w:rFonts w:hint="eastAsia" w:cs="仿宋"/>
                <w:snapToGrid w:val="0"/>
                <w:color w:val="000000" w:themeColor="text1"/>
                <w:kern w:val="0"/>
                <w:sz w:val="24"/>
                <w:szCs w:val="24"/>
                <w:lang w:val="en-US" w:eastAsia="zh-CN" w:bidi="ar"/>
                <w14:textFill>
                  <w14:solidFill>
                    <w14:schemeClr w14:val="tx1"/>
                  </w14:solidFill>
                </w14:textFill>
              </w:rPr>
              <w:t>2-3</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无该项内容的不得分；</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w:t>
            </w:r>
            <w:r>
              <w:rPr>
                <w:rFonts w:hint="eastAsia" w:cs="仿宋"/>
                <w:color w:val="000000" w:themeColor="text1"/>
                <w:kern w:val="0"/>
                <w:sz w:val="24"/>
                <w:szCs w:val="24"/>
                <w:lang w:val="en-US" w:eastAsia="zh-CN"/>
                <w14:textFill>
                  <w14:solidFill>
                    <w14:schemeClr w14:val="tx1"/>
                  </w14:solidFill>
                </w14:textFill>
              </w:rPr>
              <w:t>7</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主观分</w:t>
            </w:r>
          </w:p>
        </w:tc>
      </w:tr>
      <w:tr>
        <w:tblPrEx>
          <w:tblCellMar>
            <w:top w:w="0" w:type="dxa"/>
            <w:left w:w="108" w:type="dxa"/>
            <w:bottom w:w="0" w:type="dxa"/>
            <w:right w:w="108" w:type="dxa"/>
          </w:tblCellMar>
        </w:tblPrEx>
        <w:trPr>
          <w:trHeight w:val="496" w:hRule="atLeast"/>
        </w:trPr>
        <w:tc>
          <w:tcPr>
            <w:tcW w:w="684" w:type="dxa"/>
            <w:vMerge w:val="continue"/>
            <w:tcBorders>
              <w:left w:val="single" w:color="auto" w:sz="4" w:space="0"/>
              <w:right w:val="single" w:color="auto" w:sz="4" w:space="0"/>
            </w:tcBorders>
            <w:vAlign w:val="center"/>
          </w:tcPr>
          <w:p>
            <w:pPr>
              <w:pStyle w:val="24"/>
              <w:keepNext w:val="0"/>
              <w:keepLines w:val="0"/>
              <w:widowControl/>
              <w:suppressLineNumbers w:val="0"/>
              <w:spacing w:before="0" w:beforeAutospacing="0" w:afterAutospacing="0" w:line="240" w:lineRule="auto"/>
              <w:ind w:left="0" w:right="0" w:firstLine="0" w:firstLineChars="0"/>
              <w:contextualSpacing/>
              <w:jc w:val="center"/>
              <w:rPr>
                <w:rFonts w:hint="eastAsia" w:ascii="仿宋" w:hAnsi="仿宋" w:eastAsia="仿宋" w:cs="仿宋"/>
                <w:color w:val="000000" w:themeColor="text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 xml:space="preserve">保证进度和项目完成的方案和措施等综合评定打分 </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①方案和措施能完全满足服务需求的，得</w:t>
            </w:r>
            <w:r>
              <w:rPr>
                <w:rFonts w:hint="eastAsia" w:cs="仿宋"/>
                <w:snapToGrid w:val="0"/>
                <w:color w:val="000000" w:themeColor="text1"/>
                <w:kern w:val="0"/>
                <w:sz w:val="24"/>
                <w:szCs w:val="24"/>
                <w:lang w:val="en-US" w:eastAsia="zh-CN" w:bidi="ar"/>
                <w14:textFill>
                  <w14:solidFill>
                    <w14:schemeClr w14:val="tx1"/>
                  </w14:solidFill>
                </w14:textFill>
              </w:rPr>
              <w:t>7-9分;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②方案和措施能较好满足服务需求的，得</w:t>
            </w:r>
            <w:r>
              <w:rPr>
                <w:rFonts w:hint="eastAsia" w:cs="仿宋"/>
                <w:snapToGrid w:val="0"/>
                <w:color w:val="000000" w:themeColor="text1"/>
                <w:kern w:val="0"/>
                <w:sz w:val="24"/>
                <w:szCs w:val="24"/>
                <w:lang w:val="en-US" w:eastAsia="zh-CN" w:bidi="ar"/>
                <w14:textFill>
                  <w14:solidFill>
                    <w14:schemeClr w14:val="tx1"/>
                  </w14:solidFill>
                </w14:textFill>
              </w:rPr>
              <w:t>4-6分;</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③方案和措施能基本满足服务需求的，得</w:t>
            </w:r>
            <w:r>
              <w:rPr>
                <w:rFonts w:hint="eastAsia" w:cs="仿宋"/>
                <w:snapToGrid w:val="0"/>
                <w:color w:val="000000" w:themeColor="text1"/>
                <w:kern w:val="0"/>
                <w:sz w:val="24"/>
                <w:szCs w:val="24"/>
                <w:lang w:val="en-US" w:eastAsia="zh-CN" w:bidi="ar"/>
                <w14:textFill>
                  <w14:solidFill>
                    <w14:schemeClr w14:val="tx1"/>
                  </w14:solidFill>
                </w14:textFill>
              </w:rPr>
              <w:t>1-3分</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无该项内容的不得分；</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主观分</w:t>
            </w:r>
          </w:p>
        </w:tc>
      </w:tr>
      <w:tr>
        <w:tblPrEx>
          <w:tblCellMar>
            <w:top w:w="0" w:type="dxa"/>
            <w:left w:w="108" w:type="dxa"/>
            <w:bottom w:w="0" w:type="dxa"/>
            <w:right w:w="108" w:type="dxa"/>
          </w:tblCellMar>
        </w:tblPrEx>
        <w:trPr>
          <w:trHeight w:val="348" w:hRule="atLeast"/>
        </w:trPr>
        <w:tc>
          <w:tcPr>
            <w:tcW w:w="68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Autospacing="0"/>
              <w:ind w:left="0" w:right="0"/>
              <w:contextualSpacing/>
              <w:jc w:val="left"/>
              <w:rPr>
                <w:rFonts w:hint="eastAsia" w:ascii="仿宋" w:hAnsi="仿宋" w:eastAsia="仿宋" w:cs="仿宋"/>
                <w:color w:val="000000" w:themeColor="text1"/>
                <w:sz w:val="24"/>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zh-CN" w:eastAsia="zh-CN" w:bidi="ar"/>
                <w14:textFill>
                  <w14:solidFill>
                    <w14:schemeClr w14:val="tx1"/>
                  </w14:solidFill>
                </w14:textFill>
              </w:rPr>
              <w:t>根据完成本认定工作内容的团队力量配备情况（人员投入、综合素质、专业力量等）</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（综合评定打分）。</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br w:type="textWrapping"/>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①方案描述中拟投入团队能完全满足服务需求的，得</w:t>
            </w:r>
            <w:r>
              <w:rPr>
                <w:rFonts w:hint="eastAsia" w:cs="仿宋"/>
                <w:snapToGrid w:val="0"/>
                <w:color w:val="000000" w:themeColor="text1"/>
                <w:kern w:val="0"/>
                <w:sz w:val="24"/>
                <w:szCs w:val="24"/>
                <w:lang w:val="en-US" w:eastAsia="zh-CN" w:bidi="ar"/>
                <w14:textFill>
                  <w14:solidFill>
                    <w14:schemeClr w14:val="tx1"/>
                  </w14:solidFill>
                </w14:textFill>
              </w:rPr>
              <w:t>7-9分;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②方案描述中拟投入团队能较好满足服务需求的，得</w:t>
            </w:r>
            <w:r>
              <w:rPr>
                <w:rFonts w:hint="eastAsia" w:cs="仿宋"/>
                <w:snapToGrid w:val="0"/>
                <w:color w:val="000000" w:themeColor="text1"/>
                <w:kern w:val="0"/>
                <w:sz w:val="24"/>
                <w:szCs w:val="24"/>
                <w:lang w:val="en-US" w:eastAsia="zh-CN" w:bidi="ar"/>
                <w14:textFill>
                  <w14:solidFill>
                    <w14:schemeClr w14:val="tx1"/>
                  </w14:solidFill>
                </w14:textFill>
              </w:rPr>
              <w:t>4-6分;</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③方案描述中拟投入团队能基本满足服务需求的，得</w:t>
            </w:r>
            <w:r>
              <w:rPr>
                <w:rFonts w:hint="eastAsia" w:cs="仿宋"/>
                <w:snapToGrid w:val="0"/>
                <w:color w:val="000000" w:themeColor="text1"/>
                <w:kern w:val="0"/>
                <w:sz w:val="24"/>
                <w:szCs w:val="24"/>
                <w:lang w:val="en-US" w:eastAsia="zh-CN" w:bidi="ar"/>
                <w14:textFill>
                  <w14:solidFill>
                    <w14:schemeClr w14:val="tx1"/>
                  </w14:solidFill>
                </w14:textFill>
              </w:rPr>
              <w:t>1-3分</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无该项内容的不得分；</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主观分</w:t>
            </w:r>
          </w:p>
        </w:tc>
      </w:tr>
      <w:tr>
        <w:tblPrEx>
          <w:tblCellMar>
            <w:top w:w="0" w:type="dxa"/>
            <w:left w:w="108" w:type="dxa"/>
            <w:bottom w:w="0" w:type="dxa"/>
            <w:right w:w="108" w:type="dxa"/>
          </w:tblCellMar>
        </w:tblPrEx>
        <w:trPr>
          <w:trHeight w:val="426" w:hRule="atLeast"/>
        </w:trPr>
        <w:tc>
          <w:tcPr>
            <w:tcW w:w="68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Autospacing="0"/>
              <w:ind w:left="0" w:right="0"/>
              <w:contextualSpacing/>
              <w:jc w:val="left"/>
              <w:rPr>
                <w:rFonts w:hint="eastAsia" w:ascii="仿宋" w:hAnsi="仿宋" w:eastAsia="仿宋" w:cs="仿宋"/>
                <w:color w:val="000000" w:themeColor="text1"/>
                <w:sz w:val="24"/>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对本项目的合理化建议（综合评定打分）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①方案建议能极大提升服务质量的，得</w:t>
            </w:r>
            <w:r>
              <w:rPr>
                <w:rFonts w:hint="eastAsia" w:cs="仿宋"/>
                <w:snapToGrid w:val="0"/>
                <w:color w:val="000000" w:themeColor="text1"/>
                <w:kern w:val="0"/>
                <w:sz w:val="24"/>
                <w:szCs w:val="24"/>
                <w:lang w:val="en-US" w:eastAsia="zh-CN" w:bidi="ar"/>
                <w14:textFill>
                  <w14:solidFill>
                    <w14:schemeClr w14:val="tx1"/>
                  </w14:solidFill>
                </w14:textFill>
              </w:rPr>
              <w:t>7-9分;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②方案建议能较好提升服务质量的，得</w:t>
            </w:r>
            <w:r>
              <w:rPr>
                <w:rFonts w:hint="eastAsia" w:cs="仿宋"/>
                <w:snapToGrid w:val="0"/>
                <w:color w:val="000000" w:themeColor="text1"/>
                <w:kern w:val="0"/>
                <w:sz w:val="24"/>
                <w:szCs w:val="24"/>
                <w:lang w:val="en-US" w:eastAsia="zh-CN" w:bidi="ar"/>
                <w14:textFill>
                  <w14:solidFill>
                    <w14:schemeClr w14:val="tx1"/>
                  </w14:solidFill>
                </w14:textFill>
              </w:rPr>
              <w:t>4-6分</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③方案建议能略微提升服务质量的，得</w:t>
            </w:r>
            <w:r>
              <w:rPr>
                <w:rFonts w:hint="eastAsia" w:cs="仿宋"/>
                <w:snapToGrid w:val="0"/>
                <w:color w:val="000000" w:themeColor="text1"/>
                <w:kern w:val="0"/>
                <w:sz w:val="24"/>
                <w:szCs w:val="24"/>
                <w:lang w:val="en-US" w:eastAsia="zh-CN" w:bidi="ar"/>
                <w14:textFill>
                  <w14:solidFill>
                    <w14:schemeClr w14:val="tx1"/>
                  </w14:solidFill>
                </w14:textFill>
              </w:rPr>
              <w:t>1-3分</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无该项内容的不得分；</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主观分</w:t>
            </w:r>
          </w:p>
        </w:tc>
      </w:tr>
      <w:tr>
        <w:tblPrEx>
          <w:tblCellMar>
            <w:top w:w="0" w:type="dxa"/>
            <w:left w:w="108" w:type="dxa"/>
            <w:bottom w:w="0" w:type="dxa"/>
            <w:right w:w="108" w:type="dxa"/>
          </w:tblCellMar>
        </w:tblPrEx>
        <w:trPr>
          <w:trHeight w:val="330" w:hRule="atLeast"/>
        </w:trPr>
        <w:tc>
          <w:tcPr>
            <w:tcW w:w="68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Autospacing="0"/>
              <w:ind w:left="0" w:right="0"/>
              <w:contextualSpacing/>
              <w:jc w:val="left"/>
              <w:rPr>
                <w:rFonts w:hint="eastAsia" w:ascii="仿宋" w:hAnsi="仿宋" w:eastAsia="仿宋" w:cs="仿宋"/>
                <w:color w:val="000000" w:themeColor="text1"/>
                <w:sz w:val="24"/>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6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服</w:t>
            </w:r>
            <w:r>
              <w:rPr>
                <w:rFonts w:hint="eastAsia" w:ascii="仿宋" w:hAnsi="仿宋" w:eastAsia="仿宋" w:cs="仿宋"/>
                <w:snapToGrid w:val="0"/>
                <w:color w:val="000000" w:themeColor="text1"/>
                <w:kern w:val="0"/>
                <w:sz w:val="28"/>
                <w:szCs w:val="28"/>
                <w:lang w:val="en-US" w:eastAsia="zh-CN" w:bidi="ar"/>
                <w14:textFill>
                  <w14:solidFill>
                    <w14:schemeClr w14:val="tx1"/>
                  </w14:solidFill>
                </w14:textFill>
              </w:rPr>
              <w:t>务质量保证情况（根据服务</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方案可实现程度、提供措施等情况综合评定打分）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①方案措施实现程度极好的得</w:t>
            </w:r>
            <w:r>
              <w:rPr>
                <w:rFonts w:hint="eastAsia" w:cs="仿宋"/>
                <w:snapToGrid w:val="0"/>
                <w:color w:val="000000" w:themeColor="text1"/>
                <w:kern w:val="0"/>
                <w:sz w:val="24"/>
                <w:szCs w:val="24"/>
                <w:lang w:val="en-US" w:eastAsia="zh-CN" w:bidi="ar"/>
                <w14:textFill>
                  <w14:solidFill>
                    <w14:schemeClr w14:val="tx1"/>
                  </w14:solidFill>
                </w14:textFill>
              </w:rPr>
              <w:t>7-9分;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②方案措施实现程度较好的得</w:t>
            </w:r>
            <w:r>
              <w:rPr>
                <w:rFonts w:hint="eastAsia" w:cs="仿宋"/>
                <w:snapToGrid w:val="0"/>
                <w:color w:val="000000" w:themeColor="text1"/>
                <w:kern w:val="0"/>
                <w:sz w:val="24"/>
                <w:szCs w:val="24"/>
                <w:lang w:val="en-US" w:eastAsia="zh-CN" w:bidi="ar"/>
                <w14:textFill>
                  <w14:solidFill>
                    <w14:schemeClr w14:val="tx1"/>
                  </w14:solidFill>
                </w14:textFill>
              </w:rPr>
              <w:t>4-6分</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③方案措施实现程度基本可行的得</w:t>
            </w:r>
            <w:r>
              <w:rPr>
                <w:rFonts w:hint="eastAsia" w:cs="仿宋"/>
                <w:snapToGrid w:val="0"/>
                <w:color w:val="000000" w:themeColor="text1"/>
                <w:kern w:val="0"/>
                <w:sz w:val="24"/>
                <w:szCs w:val="24"/>
                <w:lang w:val="en-US" w:eastAsia="zh-CN" w:bidi="ar"/>
                <w14:textFill>
                  <w14:solidFill>
                    <w14:schemeClr w14:val="tx1"/>
                  </w14:solidFill>
                </w14:textFill>
              </w:rPr>
              <w:t>1-3分</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无该项内容的不得分；</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主观分</w:t>
            </w:r>
          </w:p>
        </w:tc>
      </w:tr>
      <w:tr>
        <w:tblPrEx>
          <w:tblCellMar>
            <w:top w:w="0" w:type="dxa"/>
            <w:left w:w="108" w:type="dxa"/>
            <w:bottom w:w="0" w:type="dxa"/>
            <w:right w:w="108" w:type="dxa"/>
          </w:tblCellMar>
        </w:tblPrEx>
        <w:trPr>
          <w:trHeight w:val="707" w:hRule="atLeast"/>
        </w:trPr>
        <w:tc>
          <w:tcPr>
            <w:tcW w:w="68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Autospacing="0"/>
              <w:ind w:left="0" w:right="0"/>
              <w:contextualSpacing/>
              <w:jc w:val="left"/>
              <w:rPr>
                <w:rFonts w:hint="eastAsia" w:ascii="仿宋" w:hAnsi="仿宋" w:eastAsia="仿宋" w:cs="仿宋"/>
                <w:color w:val="000000" w:themeColor="text1"/>
                <w:sz w:val="24"/>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11</w:t>
            </w:r>
          </w:p>
        </w:tc>
        <w:tc>
          <w:tcPr>
            <w:tcW w:w="6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服务承诺（根据服务能力、售后服务方案、措施、响应等情况综合评定打分）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①方案描述措施能完全满足服务需求的，得</w:t>
            </w:r>
            <w:r>
              <w:rPr>
                <w:rFonts w:hint="eastAsia" w:cs="仿宋"/>
                <w:snapToGrid w:val="0"/>
                <w:color w:val="000000" w:themeColor="text1"/>
                <w:kern w:val="0"/>
                <w:sz w:val="24"/>
                <w:szCs w:val="24"/>
                <w:lang w:val="en-US" w:eastAsia="zh-CN" w:bidi="ar"/>
                <w14:textFill>
                  <w14:solidFill>
                    <w14:schemeClr w14:val="tx1"/>
                  </w14:solidFill>
                </w14:textFill>
              </w:rPr>
              <w:t>7</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-9分;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②方案描述措施能较好满足服务需求的，得</w:t>
            </w:r>
            <w:r>
              <w:rPr>
                <w:rFonts w:hint="eastAsia" w:cs="仿宋"/>
                <w:snapToGrid w:val="0"/>
                <w:color w:val="000000" w:themeColor="text1"/>
                <w:kern w:val="0"/>
                <w:sz w:val="24"/>
                <w:szCs w:val="24"/>
                <w:lang w:val="en-US" w:eastAsia="zh-CN" w:bidi="ar"/>
                <w14:textFill>
                  <w14:solidFill>
                    <w14:schemeClr w14:val="tx1"/>
                  </w14:solidFill>
                </w14:textFill>
              </w:rPr>
              <w:t>4</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-6分；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③方案描述措施能基本满足服务需求的，得</w:t>
            </w:r>
            <w:r>
              <w:rPr>
                <w:rFonts w:hint="eastAsia" w:cs="仿宋"/>
                <w:snapToGrid w:val="0"/>
                <w:color w:val="000000" w:themeColor="text1"/>
                <w:kern w:val="0"/>
                <w:sz w:val="24"/>
                <w:szCs w:val="24"/>
                <w:lang w:val="en-US" w:eastAsia="zh-CN" w:bidi="ar"/>
                <w14:textFill>
                  <w14:solidFill>
                    <w14:schemeClr w14:val="tx1"/>
                  </w14:solidFill>
                </w14:textFill>
              </w:rPr>
              <w:t>1</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-3分；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无该项内容的不得分；</w:t>
            </w:r>
          </w:p>
        </w:tc>
        <w:tc>
          <w:tcPr>
            <w:tcW w:w="7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950"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主观分</w:t>
            </w:r>
          </w:p>
        </w:tc>
      </w:tr>
      <w:tr>
        <w:tblPrEx>
          <w:tblCellMar>
            <w:top w:w="0" w:type="dxa"/>
            <w:left w:w="108" w:type="dxa"/>
            <w:bottom w:w="0" w:type="dxa"/>
            <w:right w:w="108" w:type="dxa"/>
          </w:tblCellMar>
        </w:tblPrEx>
        <w:trPr>
          <w:trHeight w:val="547" w:hRule="atLeast"/>
        </w:trPr>
        <w:tc>
          <w:tcPr>
            <w:tcW w:w="68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Autospacing="0"/>
              <w:ind w:left="0" w:right="0"/>
              <w:contextualSpacing/>
              <w:jc w:val="left"/>
              <w:rPr>
                <w:rFonts w:hint="eastAsia" w:ascii="仿宋" w:hAnsi="仿宋" w:eastAsia="仿宋" w:cs="仿宋"/>
                <w:color w:val="000000" w:themeColor="text1"/>
                <w:sz w:val="24"/>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12</w:t>
            </w:r>
          </w:p>
        </w:tc>
        <w:tc>
          <w:tcPr>
            <w:tcW w:w="6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zh-CN"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zh-CN" w:eastAsia="zh-CN" w:bidi="ar"/>
                <w14:textFill>
                  <w14:solidFill>
                    <w14:schemeClr w14:val="tx1"/>
                  </w14:solidFill>
                </w14:textFill>
              </w:rPr>
              <w:t>根据后勤保障、</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人员保障</w:t>
            </w:r>
            <w:r>
              <w:rPr>
                <w:rFonts w:hint="eastAsia" w:ascii="仿宋" w:hAnsi="仿宋" w:eastAsia="仿宋" w:cs="仿宋"/>
                <w:snapToGrid w:val="0"/>
                <w:color w:val="000000" w:themeColor="text1"/>
                <w:kern w:val="0"/>
                <w:sz w:val="24"/>
                <w:szCs w:val="24"/>
                <w:lang w:val="zh-CN" w:eastAsia="zh-CN" w:bidi="ar"/>
                <w14:textFill>
                  <w14:solidFill>
                    <w14:schemeClr w14:val="tx1"/>
                  </w14:solidFill>
                </w14:textFill>
              </w:rPr>
              <w:t>及应急预案情况综合打分。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①方案描述措施能完全满足服务需求的，得</w:t>
            </w:r>
            <w:r>
              <w:rPr>
                <w:rFonts w:hint="eastAsia" w:cs="仿宋"/>
                <w:snapToGrid w:val="0"/>
                <w:color w:val="000000" w:themeColor="text1"/>
                <w:kern w:val="0"/>
                <w:sz w:val="24"/>
                <w:szCs w:val="24"/>
                <w:lang w:val="en-US" w:eastAsia="zh-CN" w:bidi="ar"/>
                <w14:textFill>
                  <w14:solidFill>
                    <w14:schemeClr w14:val="tx1"/>
                  </w14:solidFill>
                </w14:textFill>
              </w:rPr>
              <w:t>7</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-9分;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②方案描述措施能较好满足服务需求的，得</w:t>
            </w:r>
            <w:r>
              <w:rPr>
                <w:rFonts w:hint="eastAsia" w:cs="仿宋"/>
                <w:snapToGrid w:val="0"/>
                <w:color w:val="000000" w:themeColor="text1"/>
                <w:kern w:val="0"/>
                <w:sz w:val="24"/>
                <w:szCs w:val="24"/>
                <w:lang w:val="en-US" w:eastAsia="zh-CN" w:bidi="ar"/>
                <w14:textFill>
                  <w14:solidFill>
                    <w14:schemeClr w14:val="tx1"/>
                  </w14:solidFill>
                </w14:textFill>
              </w:rPr>
              <w:t>4</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-6分；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③方案描述措施能基本满足服务需求的，得</w:t>
            </w:r>
            <w:r>
              <w:rPr>
                <w:rFonts w:hint="eastAsia" w:cs="仿宋"/>
                <w:snapToGrid w:val="0"/>
                <w:color w:val="000000" w:themeColor="text1"/>
                <w:kern w:val="0"/>
                <w:sz w:val="24"/>
                <w:szCs w:val="24"/>
                <w:lang w:val="en-US" w:eastAsia="zh-CN" w:bidi="ar"/>
                <w14:textFill>
                  <w14:solidFill>
                    <w14:schemeClr w14:val="tx1"/>
                  </w14:solidFill>
                </w14:textFill>
              </w:rPr>
              <w:t>1</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-3分；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无该项内容的不得分；</w:t>
            </w:r>
          </w:p>
        </w:tc>
        <w:tc>
          <w:tcPr>
            <w:tcW w:w="7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950"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主观分</w:t>
            </w:r>
          </w:p>
        </w:tc>
      </w:tr>
      <w:tr>
        <w:tblPrEx>
          <w:tblCellMar>
            <w:top w:w="0" w:type="dxa"/>
            <w:left w:w="108" w:type="dxa"/>
            <w:bottom w:w="0" w:type="dxa"/>
            <w:right w:w="108" w:type="dxa"/>
          </w:tblCellMar>
        </w:tblPrEx>
        <w:trPr>
          <w:trHeight w:val="807" w:hRule="atLeast"/>
        </w:trPr>
        <w:tc>
          <w:tcPr>
            <w:tcW w:w="68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contextualSpacing/>
              <w:jc w:val="left"/>
              <w:rPr>
                <w:rFonts w:hint="eastAsia" w:ascii="仿宋" w:hAnsi="仿宋" w:eastAsia="仿宋" w:cs="仿宋"/>
                <w:color w:val="000000" w:themeColor="text1"/>
                <w:sz w:val="24"/>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Autospacing="0"/>
              <w:ind w:left="0" w:right="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13</w:t>
            </w:r>
          </w:p>
        </w:tc>
        <w:tc>
          <w:tcPr>
            <w:tcW w:w="67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服务过程中的重点、难点分析及解决思路等综合评定</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①方案描述难点确实存在且提供可实现的极好解决方案的得4-5分;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②方案描述难点确实存在且提供可实现的较好解决方案的得2-</w:t>
            </w:r>
            <w:r>
              <w:rPr>
                <w:rFonts w:hint="eastAsia" w:cs="仿宋"/>
                <w:snapToGrid w:val="0"/>
                <w:color w:val="000000" w:themeColor="text1"/>
                <w:kern w:val="0"/>
                <w:sz w:val="24"/>
                <w:szCs w:val="24"/>
                <w:lang w:val="en-US" w:eastAsia="zh-CN" w:bidi="ar"/>
                <w14:textFill>
                  <w14:solidFill>
                    <w14:schemeClr w14:val="tx1"/>
                  </w14:solidFill>
                </w14:textFill>
              </w:rPr>
              <w:t>3</w:t>
            </w: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③方案描述难点确实存在且提供可实现的一般解决方案的得1分；</w:t>
            </w:r>
          </w:p>
          <w:p>
            <w:pPr>
              <w:keepNext w:val="0"/>
              <w:keepLines w:val="0"/>
              <w:widowControl/>
              <w:suppressLineNumbers w:val="0"/>
              <w:snapToGrid w:val="0"/>
              <w:spacing w:before="0" w:beforeAutospacing="0" w:after="0" w:afterAutospacing="0" w:line="360" w:lineRule="exact"/>
              <w:ind w:left="0" w:right="0"/>
              <w:jc w:val="left"/>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
                <w14:textFill>
                  <w14:solidFill>
                    <w14:schemeClr w14:val="tx1"/>
                  </w14:solidFill>
                </w14:textFill>
              </w:rPr>
              <w:t>无该项内容的不得分；</w:t>
            </w:r>
          </w:p>
        </w:tc>
        <w:tc>
          <w:tcPr>
            <w:tcW w:w="7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360" w:lineRule="auto"/>
              <w:ind w:left="0" w:right="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950"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Autospacing="0"/>
              <w:ind w:left="0" w:right="0"/>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主观分</w:t>
            </w:r>
          </w:p>
        </w:tc>
      </w:tr>
    </w:tbl>
    <w:p>
      <w:pPr>
        <w:pStyle w:val="964"/>
        <w:ind w:firstLine="560"/>
        <w:rPr>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价格分（</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0分）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价格权值</w:t>
            </w:r>
          </w:p>
        </w:tc>
        <w:tc>
          <w:tcPr>
            <w:tcW w:w="62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33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价格权值=0</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0</w:t>
            </w:r>
          </w:p>
        </w:tc>
        <w:tc>
          <w:tcPr>
            <w:tcW w:w="62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最低有效投标价格为评标基准价</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投标报价得分=(评标基准价／投标报价)×价格权值×100</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（计算得分保留小数点后2位）</w:t>
            </w:r>
          </w:p>
        </w:tc>
      </w:tr>
    </w:tbl>
    <w:p>
      <w:pPr>
        <w:spacing w:line="360" w:lineRule="auto"/>
        <w:rPr>
          <w:rFonts w:hint="eastAsia" w:ascii="宋体" w:hAnsi="宋体" w:cs="宋体"/>
          <w:color w:val="000000" w:themeColor="text1"/>
          <w:sz w:val="20"/>
          <w:szCs w:val="20"/>
          <w:shd w:val="clear" w:color="auto" w:fill="FFFFFF"/>
          <w14:textFill>
            <w14:solidFill>
              <w14:schemeClr w14:val="tx1"/>
            </w14:solidFill>
          </w14:textFill>
        </w:rPr>
      </w:pPr>
    </w:p>
    <w:p>
      <w:pPr>
        <w:spacing w:line="360" w:lineRule="auto"/>
        <w:rPr>
          <w:rFonts w:hint="eastAsia" w:ascii="宋体" w:hAnsi="宋体" w:cs="宋体"/>
          <w:color w:val="000000" w:themeColor="text1"/>
          <w:sz w:val="20"/>
          <w:szCs w:val="20"/>
          <w:shd w:val="clear" w:color="auto" w:fill="FFFFFF"/>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备注：1、投标人编制投标文件（商务技术文件部分）时，建议按此目录（序号和内容）提供评标标准相应的商务技术资料。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2、评分条款中涉及的业绩、荣誉、人员、社保等分公司均有效。涉及社保、劳动关系证明关系的，如人员为法人代表，则无需提供相关证明</w:t>
      </w:r>
      <w:r>
        <w:rPr>
          <w:rFonts w:ascii="宋体" w:hAnsi="宋体" w:cs="宋体"/>
          <w:color w:val="000000" w:themeColor="text1"/>
          <w:sz w:val="24"/>
          <w14:textFill>
            <w14:solidFill>
              <w14:schemeClr w14:val="tx1"/>
            </w14:solidFill>
          </w14:textFill>
        </w:rPr>
        <w:t>，提供营业执照及身份证</w:t>
      </w: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3、投标文件中如附有外文资料，必须逐一对应翻译成中文并加盖投标人公章后附在相关外文资料后面，否则外文资料不予认可。</w:t>
      </w:r>
    </w:p>
    <w:p>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pPr>
        <w:spacing w:line="360" w:lineRule="auto"/>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pPr>
        <w:pStyle w:val="130"/>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w:t>
      </w:r>
      <w:r>
        <w:rPr>
          <w:rFonts w:hint="eastAsia" w:ascii="宋体" w:hAnsi="宋体" w:cs="宋体"/>
          <w:bCs/>
          <w:color w:val="000000" w:themeColor="text1"/>
          <w:kern w:val="0"/>
          <w:sz w:val="24"/>
          <w14:textFill>
            <w14:solidFill>
              <w14:schemeClr w14:val="tx1"/>
            </w14:solidFill>
          </w14:textFill>
        </w:rPr>
        <w:t>6</w:t>
      </w:r>
      <w:r>
        <w:rPr>
          <w:rFonts w:hint="eastAsia" w:ascii="宋体" w:hAnsi="宋体" w:cs="宋体"/>
          <w:b/>
          <w:color w:val="000000" w:themeColor="text1"/>
          <w:kern w:val="0"/>
          <w:sz w:val="24"/>
          <w14:textFill>
            <w14:solidFill>
              <w14:schemeClr w14:val="tx1"/>
            </w14:solidFill>
          </w14:textFill>
        </w:rPr>
        <w:t>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pPr>
        <w:pStyle w:val="130"/>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4.2.13投标人未提供样品或提供的样品不满足采购需求实质性条件的，投标无效；</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 投标文件不满足招标文件的实质性要求的；</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4.2.15法律、法规、规章（适用本市的）及省级以上规范性文件（适用本市的）规定的其他无效情形。</w:t>
      </w:r>
    </w:p>
    <w:p>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pPr>
        <w:spacing w:line="360" w:lineRule="auto"/>
        <w:ind w:firstLine="420"/>
        <w:outlineLvl w:val="0"/>
        <w:rPr>
          <w:rFonts w:cs="宋体"/>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政府采购当事人有其他违反政府采购法或者政府采购法实施条例等法律法规规定的行为，经改正后仍然影响或者可能影响中标结果或者依法被认定为中标无效的，依照7.1-7.4规定处理。</w:t>
      </w:r>
    </w:p>
    <w:p>
      <w:pPr>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br w:type="page"/>
      </w:r>
    </w:p>
    <w:p>
      <w:pPr>
        <w:numPr>
          <w:ilvl w:val="0"/>
          <w:numId w:val="11"/>
        </w:numPr>
        <w:spacing w:line="360" w:lineRule="auto"/>
        <w:ind w:left="720" w:leftChars="343" w:firstLine="1084" w:firstLineChars="300"/>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拟签订的合同文本</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pPr>
        <w:pStyle w:val="4"/>
        <w:ind w:left="0" w:firstLine="0"/>
        <w:rPr>
          <w:color w:val="000000" w:themeColor="text1"/>
          <w14:textFill>
            <w14:solidFill>
              <w14:schemeClr w14:val="tx1"/>
            </w14:solidFill>
          </w14:textFill>
        </w:rPr>
      </w:pP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pPr>
        <w:pStyle w:val="700"/>
        <w:ind w:firstLine="2843" w:firstLineChars="118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pPr>
        <w:spacing w:before="120" w:line="22" w:lineRule="atLeast"/>
        <w:rPr>
          <w:rFonts w:ascii="宋体" w:hAnsi="宋体" w:cs="宋体"/>
          <w:color w:val="000000" w:themeColor="text1"/>
          <w:sz w:val="24"/>
          <w14:textFill>
            <w14:solidFill>
              <w14:schemeClr w14:val="tx1"/>
            </w14:solidFill>
          </w14:textFill>
        </w:rPr>
      </w:pPr>
    </w:p>
    <w:p>
      <w:pPr>
        <w:pStyle w:val="4"/>
        <w:rPr>
          <w:color w:val="000000" w:themeColor="text1"/>
          <w14:textFill>
            <w14:solidFill>
              <w14:schemeClr w14:val="tx1"/>
            </w14:solidFill>
          </w14:textFill>
        </w:rPr>
      </w:pPr>
    </w:p>
    <w:p>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pPr>
        <w:pStyle w:val="597"/>
        <w:spacing w:before="120" w:line="22" w:lineRule="atLeast"/>
        <w:rPr>
          <w:rFonts w:ascii="宋体" w:hAnsi="宋体" w:eastAsia="宋体" w:cs="宋体"/>
          <w:color w:val="000000" w:themeColor="text1"/>
          <w:szCs w:val="24"/>
          <w14:textFill>
            <w14:solidFill>
              <w14:schemeClr w14:val="tx1"/>
            </w14:solidFill>
          </w14:textFill>
        </w:rPr>
      </w:pPr>
    </w:p>
    <w:p>
      <w:pPr>
        <w:pStyle w:val="597"/>
        <w:spacing w:before="120" w:line="22" w:lineRule="atLeast"/>
        <w:rPr>
          <w:rFonts w:ascii="宋体" w:hAnsi="宋体" w:eastAsia="宋体" w:cs="宋体"/>
          <w:color w:val="000000" w:themeColor="text1"/>
          <w:szCs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pPr>
        <w:spacing w:before="120" w:line="22" w:lineRule="atLeast"/>
        <w:rPr>
          <w:rFonts w:ascii="宋体" w:hAnsi="宋体" w:cs="宋体"/>
          <w:color w:val="000000" w:themeColor="text1"/>
          <w:sz w:val="24"/>
          <w14:textFill>
            <w14:solidFill>
              <w14:schemeClr w14:val="tx1"/>
            </w14:solidFill>
          </w14:textFill>
        </w:rPr>
      </w:pPr>
    </w:p>
    <w:p>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14:textFill>
            <w14:solidFill>
              <w14:schemeClr w14:val="tx1"/>
            </w14:solidFill>
          </w14:textFill>
        </w:rPr>
      </w:pPr>
      <w:bookmarkStart w:id="393" w:name="_Toc15367"/>
      <w:bookmarkStart w:id="394" w:name="_Toc20421"/>
      <w:bookmarkStart w:id="395" w:name="_Toc28855"/>
      <w:bookmarkStart w:id="396" w:name="_Toc22967"/>
      <w:bookmarkStart w:id="397" w:name="_Toc19273"/>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393"/>
      <w:bookmarkEnd w:id="394"/>
      <w:bookmarkEnd w:id="395"/>
      <w:bookmarkEnd w:id="396"/>
      <w:bookmarkEnd w:id="397"/>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398" w:name="_Toc18585"/>
      <w:bookmarkStart w:id="399" w:name="_Toc6773"/>
      <w:bookmarkStart w:id="400" w:name="_Toc2918"/>
      <w:bookmarkStart w:id="401" w:name="_Toc6311"/>
      <w:bookmarkStart w:id="402" w:name="_Toc22185"/>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398"/>
      <w:bookmarkEnd w:id="399"/>
      <w:bookmarkEnd w:id="400"/>
      <w:bookmarkEnd w:id="401"/>
      <w:bookmarkEnd w:id="402"/>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pPr>
        <w:spacing w:line="5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pStyle w:val="958"/>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否）涉及货物。若涉及货物的的，则：</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bookmarkStart w:id="403" w:name="_Toc1386"/>
      <w:bookmarkStart w:id="404" w:name="_Toc4929"/>
      <w:bookmarkStart w:id="405" w:name="_Toc21124"/>
      <w:bookmarkStart w:id="406" w:name="_Toc13918"/>
      <w:bookmarkStart w:id="407" w:name="_Toc5635"/>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403"/>
      <w:bookmarkEnd w:id="404"/>
      <w:bookmarkEnd w:id="405"/>
      <w:bookmarkEnd w:id="406"/>
      <w:bookmarkEnd w:id="407"/>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pPr>
              <w:pStyle w:val="318"/>
              <w:spacing w:line="560" w:lineRule="exact"/>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c>
          <w:tcPr>
            <w:tcW w:w="340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c>
          <w:tcPr>
            <w:tcW w:w="255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pPr>
              <w:pStyle w:val="318"/>
              <w:spacing w:line="560" w:lineRule="exact"/>
              <w:ind w:firstLine="200"/>
              <w:jc w:val="center"/>
              <w:rPr>
                <w:rFonts w:hAnsi="宋体"/>
                <w:color w:val="000000" w:themeColor="text1"/>
                <w:sz w:val="24"/>
                <w:szCs w:val="24"/>
                <w14:textFill>
                  <w14:solidFill>
                    <w14:schemeClr w14:val="tx1"/>
                  </w14:solidFill>
                </w14:textFill>
              </w:rPr>
            </w:pPr>
          </w:p>
        </w:tc>
      </w:tr>
    </w:tbl>
    <w:p>
      <w:pPr>
        <w:spacing w:line="560" w:lineRule="exact"/>
        <w:ind w:firstLine="480" w:firstLineChars="200"/>
        <w:rPr>
          <w:rFonts w:ascii="宋体" w:hAnsi="宋体"/>
          <w:color w:val="000000" w:themeColor="text1"/>
          <w:sz w:val="24"/>
          <w14:textFill>
            <w14:solidFill>
              <w14:schemeClr w14:val="tx1"/>
            </w14:solidFill>
          </w14:textFill>
        </w:rPr>
      </w:pPr>
      <w:bookmarkStart w:id="408" w:name="_Toc30158"/>
      <w:bookmarkStart w:id="409" w:name="_Toc26916"/>
      <w:bookmarkStart w:id="410" w:name="_Toc14993"/>
      <w:bookmarkStart w:id="411" w:name="_Toc30506"/>
      <w:bookmarkStart w:id="412" w:name="_Toc3654"/>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pPr>
        <w:pStyle w:val="4"/>
        <w:rPr>
          <w:color w:val="000000" w:themeColor="text1"/>
          <w:lang w:val="en-US"/>
          <w14:textFill>
            <w14:solidFill>
              <w14:schemeClr w14:val="tx1"/>
            </w14:solidFill>
          </w14:textFill>
        </w:rPr>
      </w:pPr>
      <w:r>
        <w:rPr>
          <w:rFonts w:hint="eastAsia" w:ascii="宋体" w:hAnsi="宋体"/>
          <w:color w:val="000000" w:themeColor="text1"/>
          <w:sz w:val="24"/>
          <w:lang w:val="en-US"/>
          <w14:textFill>
            <w14:solidFill>
              <w14:schemeClr w14:val="tx1"/>
            </w14:solidFill>
          </w14:textFill>
        </w:rPr>
        <w:t xml:space="preserve">    </w:t>
      </w:r>
      <w:r>
        <w:rPr>
          <w:rFonts w:hint="eastAsia" w:ascii="宋体" w:hAnsi="宋体" w:eastAsia="宋体" w:cs="宋体"/>
          <w:b w:val="0"/>
          <w:bCs w:val="0"/>
          <w:color w:val="000000" w:themeColor="text1"/>
          <w:sz w:val="24"/>
          <w:lang w:val="en-US"/>
          <w14:textFill>
            <w14:solidFill>
              <w14:schemeClr w14:val="tx1"/>
            </w14:solidFill>
          </w14:textFill>
        </w:rPr>
        <w:t>1.3.3其他计价方式：</w:t>
      </w:r>
      <w:r>
        <w:rPr>
          <w:rFonts w:hint="eastAsia" w:ascii="宋体" w:hAnsi="宋体" w:eastAsia="宋体" w:cs="宋体"/>
          <w:b w:val="0"/>
          <w:bCs w:val="0"/>
          <w:color w:val="000000" w:themeColor="text1"/>
          <w:sz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w:t>
      </w:r>
    </w:p>
    <w:bookmarkEnd w:id="408"/>
    <w:bookmarkEnd w:id="409"/>
    <w:bookmarkEnd w:id="410"/>
    <w:bookmarkEnd w:id="411"/>
    <w:bookmarkEnd w:id="412"/>
    <w:p>
      <w:pPr>
        <w:pStyle w:val="958"/>
        <w:spacing w:before="0" w:beforeAutospacing="0" w:after="0" w:afterAutospacing="0" w:line="360" w:lineRule="auto"/>
        <w:ind w:firstLine="480"/>
        <w:rPr>
          <w:b/>
          <w:color w:val="000000" w:themeColor="text1"/>
          <w14:textFill>
            <w14:solidFill>
              <w14:schemeClr w14:val="tx1"/>
            </w14:solidFill>
          </w14:textFill>
        </w:rPr>
      </w:pPr>
      <w:bookmarkStart w:id="413" w:name="_Toc3625"/>
      <w:bookmarkStart w:id="414" w:name="_Toc8772"/>
      <w:bookmarkStart w:id="415" w:name="_Toc31421"/>
      <w:bookmarkStart w:id="416" w:name="_Toc4760"/>
      <w:bookmarkStart w:id="417" w:name="_Toc11108"/>
      <w:r>
        <w:rPr>
          <w:rFonts w:hint="eastAsia"/>
          <w:b/>
          <w:color w:val="000000" w:themeColor="text1"/>
          <w14:textFill>
            <w14:solidFill>
              <w14:schemeClr w14:val="tx1"/>
            </w14:solidFill>
          </w14:textFill>
        </w:rPr>
        <w:t>1.4履约保证金</w:t>
      </w:r>
    </w:p>
    <w:p>
      <w:pPr>
        <w:pStyle w:val="958"/>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4"/>
        <w:tabs>
          <w:tab w:val="left" w:pos="0"/>
        </w:tabs>
        <w:spacing w:line="560" w:lineRule="exact"/>
        <w:ind w:left="0" w:firstLine="480" w:firstLineChars="200"/>
        <w:rPr>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1.5预付款</w:t>
      </w:r>
    </w:p>
    <w:p>
      <w:pPr>
        <w:pStyle w:val="958"/>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pPr>
        <w:spacing w:line="5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pStyle w:val="958"/>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58"/>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pStyle w:val="958"/>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pPr>
        <w:pStyle w:val="958"/>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413"/>
      <w:bookmarkEnd w:id="414"/>
      <w:bookmarkEnd w:id="415"/>
      <w:bookmarkEnd w:id="416"/>
      <w:bookmarkEnd w:id="417"/>
    </w:p>
    <w:p>
      <w:pPr>
        <w:spacing w:line="560" w:lineRule="exact"/>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i/>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pPr>
        <w:spacing w:line="560" w:lineRule="exact"/>
        <w:ind w:firstLine="480" w:firstLineChars="200"/>
        <w:outlineLvl w:val="0"/>
        <w:rPr>
          <w:rFonts w:ascii="宋体" w:hAnsi="宋体"/>
          <w:bCs/>
          <w:color w:val="000000" w:themeColor="text1"/>
          <w:sz w:val="24"/>
          <w14:textFill>
            <w14:solidFill>
              <w14:schemeClr w14:val="tx1"/>
            </w14:solidFill>
          </w14:textFill>
        </w:rPr>
      </w:pPr>
      <w:bookmarkStart w:id="418" w:name="_Toc8586"/>
      <w:bookmarkStart w:id="419" w:name="_Toc5698"/>
      <w:bookmarkStart w:id="420" w:name="_Toc3079"/>
      <w:bookmarkStart w:id="421" w:name="_Toc24662"/>
      <w:bookmarkStart w:id="422" w:name="_Toc2375"/>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pPr>
        <w:spacing w:line="5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pPr>
        <w:spacing w:line="560" w:lineRule="exact"/>
        <w:ind w:firstLine="482" w:firstLineChars="200"/>
        <w:outlineLvl w:val="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418"/>
      <w:bookmarkEnd w:id="419"/>
      <w:bookmarkEnd w:id="420"/>
      <w:bookmarkEnd w:id="421"/>
      <w:bookmarkEnd w:id="422"/>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pPr>
        <w:pStyle w:val="4"/>
        <w:ind w:left="0" w:firstLine="480" w:firstLineChars="200"/>
        <w:rPr>
          <w:rFonts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s="宋体"/>
          <w:color w:val="000000" w:themeColor="text1"/>
          <w:sz w:val="24"/>
          <w14:textFill>
            <w14:solidFill>
              <w14:schemeClr w14:val="tx1"/>
            </w14:solidFill>
          </w14:textFill>
        </w:rPr>
      </w:pPr>
      <w:bookmarkStart w:id="423" w:name="_Toc30329"/>
      <w:bookmarkStart w:id="424" w:name="_Toc32454"/>
      <w:bookmarkStart w:id="425" w:name="_Toc9497"/>
      <w:bookmarkStart w:id="426" w:name="_Toc18683"/>
      <w:bookmarkStart w:id="427" w:name="_Toc26807"/>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23"/>
    <w:bookmarkEnd w:id="424"/>
    <w:bookmarkEnd w:id="425"/>
    <w:bookmarkEnd w:id="426"/>
    <w:bookmarkEnd w:id="427"/>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1.9合同争议的解决</w:t>
      </w:r>
    </w:p>
    <w:p>
      <w:pPr>
        <w:spacing w:line="560" w:lineRule="exact"/>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 合同生效</w:t>
      </w:r>
    </w:p>
    <w:p>
      <w:pPr>
        <w:spacing w:line="560" w:lineRule="exact"/>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b/>
          <w:color w:val="000000" w:themeColor="text1"/>
          <w:sz w:val="24"/>
          <w:lang w:val="zh-CN"/>
          <w14:textFill>
            <w14:solidFill>
              <w14:schemeClr w14:val="tx1"/>
            </w14:solidFill>
          </w14:textFill>
        </w:rPr>
        <w:t>甲方</w:t>
      </w:r>
      <w:r>
        <w:rPr>
          <w:rFonts w:hint="eastAsia" w:ascii="宋体" w:hAnsi="宋体"/>
          <w:color w:val="000000" w:themeColor="text1"/>
          <w:sz w:val="24"/>
          <w:lang w:val="zh-CN"/>
          <w14:textFill>
            <w14:solidFill>
              <w14:schemeClr w14:val="tx1"/>
            </w14:solidFill>
          </w14:textFill>
        </w:rPr>
        <w:t>：</w:t>
      </w:r>
      <w:r>
        <w:rPr>
          <w:rFonts w:ascii="宋体" w:hAnsi="宋体"/>
          <w:color w:val="000000" w:themeColor="text1"/>
          <w:sz w:val="24"/>
          <w:lang w:val="zh-CN"/>
          <w14:textFill>
            <w14:solidFill>
              <w14:schemeClr w14:val="tx1"/>
            </w14:solidFill>
          </w14:textFill>
        </w:rPr>
        <w:t xml:space="preserve">                             </w:t>
      </w:r>
      <w:r>
        <w:rPr>
          <w:rFonts w:ascii="宋体" w:hAnsi="宋体"/>
          <w:b/>
          <w:color w:val="000000" w:themeColor="text1"/>
          <w:sz w:val="24"/>
          <w:lang w:val="zh-CN"/>
          <w14:textFill>
            <w14:solidFill>
              <w14:schemeClr w14:val="tx1"/>
            </w14:solidFill>
          </w14:textFill>
        </w:rPr>
        <w:t xml:space="preserve">      乙方</w:t>
      </w:r>
      <w:r>
        <w:rPr>
          <w:rFonts w:hint="eastAsia" w:ascii="宋体" w:hAnsi="宋体"/>
          <w:color w:val="000000" w:themeColor="text1"/>
          <w:sz w:val="24"/>
          <w:lang w:val="zh-CN"/>
          <w14:textFill>
            <w14:solidFill>
              <w14:schemeClr w14:val="tx1"/>
            </w14:solidFill>
          </w14:textFill>
        </w:rPr>
        <w:t>：</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统一社会信用代码：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统一社会信用代码或身份证号码：</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住所：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住所：</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法定代表人或</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授权代表（签字）：</w:t>
      </w:r>
      <w:r>
        <w:rPr>
          <w:rFonts w:ascii="宋体" w:hAnsi="宋体"/>
          <w:color w:val="000000" w:themeColor="text1"/>
          <w:sz w:val="24"/>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联系人：</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联系人：</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约定送达地址：</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约定送达地址：</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邮政编码：</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邮政编码：</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电话</w:t>
      </w:r>
      <w:r>
        <w:rPr>
          <w:rFonts w:ascii="宋体" w:hAnsi="宋体"/>
          <w:color w:val="000000" w:themeColor="text1"/>
          <w:sz w:val="24"/>
          <w:lang w:val="zh-CN"/>
          <w14:textFill>
            <w14:solidFill>
              <w14:schemeClr w14:val="tx1"/>
            </w14:solidFill>
          </w14:textFill>
        </w:rPr>
        <w:t xml:space="preserve">:                                    电话: </w:t>
      </w:r>
    </w:p>
    <w:p>
      <w:pPr>
        <w:autoSpaceDE w:val="0"/>
        <w:autoSpaceDN w:val="0"/>
        <w:spacing w:line="560" w:lineRule="exact"/>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传真</w:t>
      </w:r>
      <w:r>
        <w:rPr>
          <w:rFonts w:ascii="宋体" w:hAnsi="宋体"/>
          <w:color w:val="000000" w:themeColor="text1"/>
          <w:sz w:val="24"/>
          <w:lang w:val="zh-CN"/>
          <w14:textFill>
            <w14:solidFill>
              <w14:schemeClr w14:val="tx1"/>
            </w14:solidFill>
          </w14:textFill>
        </w:rPr>
        <w:t>:</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电子邮箱：</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电子邮箱：</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开户银行： </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r>
        <w:rPr>
          <w:rFonts w:ascii="宋体" w:hAnsi="宋体"/>
          <w:color w:val="000000" w:themeColor="text1"/>
          <w:sz w:val="24"/>
          <w14:textFill>
            <w14:solidFill>
              <w14:schemeClr w14:val="tx1"/>
            </w14:solidFill>
          </w14:textFill>
        </w:rPr>
        <w:t xml:space="preserve">                               开户名称： </w:t>
      </w:r>
    </w:p>
    <w:p>
      <w:pPr>
        <w:autoSpaceDE w:val="0"/>
        <w:autoSpaceDN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开户账号：</w:t>
      </w:r>
      <w:r>
        <w:rPr>
          <w:rFonts w:ascii="宋体" w:hAnsi="宋体"/>
          <w:color w:val="000000" w:themeColor="text1"/>
          <w:sz w:val="24"/>
          <w:lang w:val="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开户账号：</w:t>
      </w:r>
    </w:p>
    <w:p>
      <w:pPr>
        <w:pStyle w:val="700"/>
        <w:spacing w:line="560" w:lineRule="exact"/>
        <w:ind w:firstLine="482"/>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第二部分</w:t>
      </w:r>
      <w:r>
        <w:rPr>
          <w:rFonts w:ascii="宋体" w:hAnsi="宋体"/>
          <w:b/>
          <w:color w:val="000000" w:themeColor="text1"/>
          <w:szCs w:val="24"/>
          <w14:textFill>
            <w14:solidFill>
              <w14:schemeClr w14:val="tx1"/>
            </w14:solidFill>
          </w14:textFill>
        </w:rPr>
        <w:t xml:space="preserve"> </w:t>
      </w:r>
      <w:r>
        <w:rPr>
          <w:rFonts w:hint="eastAsia" w:ascii="宋体" w:hAnsi="宋体"/>
          <w:b/>
          <w:color w:val="000000" w:themeColor="text1"/>
          <w:szCs w:val="24"/>
          <w14:textFill>
            <w14:solidFill>
              <w14:schemeClr w14:val="tx1"/>
            </w14:solidFill>
          </w14:textFill>
        </w:rPr>
        <w:t>合同一般条款</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28" w:name="_Toc5228"/>
      <w:bookmarkStart w:id="429" w:name="_Toc19680"/>
      <w:bookmarkStart w:id="430" w:name="_Toc31297"/>
      <w:bookmarkStart w:id="431" w:name="_Toc25079"/>
      <w:bookmarkStart w:id="432" w:name="_Toc14021"/>
      <w:r>
        <w:rPr>
          <w:rFonts w:ascii="宋体" w:hAnsi="宋体"/>
          <w:b/>
          <w:color w:val="000000" w:themeColor="text1"/>
          <w:sz w:val="24"/>
          <w14:textFill>
            <w14:solidFill>
              <w14:schemeClr w14:val="tx1"/>
            </w14:solidFill>
          </w14:textFill>
        </w:rPr>
        <w:t>2.1 定义</w:t>
      </w:r>
      <w:bookmarkEnd w:id="428"/>
      <w:bookmarkEnd w:id="429"/>
      <w:bookmarkEnd w:id="430"/>
      <w:bookmarkEnd w:id="431"/>
      <w:bookmarkEnd w:id="432"/>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33" w:name="_Toc16752"/>
      <w:bookmarkStart w:id="434" w:name="_Toc3769"/>
      <w:bookmarkStart w:id="435" w:name="_Toc31402"/>
      <w:bookmarkStart w:id="436" w:name="_Toc23289"/>
      <w:bookmarkStart w:id="437" w:name="_Toc19539"/>
      <w:r>
        <w:rPr>
          <w:rFonts w:ascii="宋体" w:hAnsi="宋体"/>
          <w:b/>
          <w:color w:val="000000" w:themeColor="text1"/>
          <w:sz w:val="24"/>
          <w14:textFill>
            <w14:solidFill>
              <w14:schemeClr w14:val="tx1"/>
            </w14:solidFill>
          </w14:textFill>
        </w:rPr>
        <w:t>2.2 技术规范</w:t>
      </w:r>
      <w:bookmarkEnd w:id="433"/>
      <w:bookmarkEnd w:id="434"/>
      <w:bookmarkEnd w:id="435"/>
      <w:bookmarkEnd w:id="436"/>
      <w:bookmarkEnd w:id="437"/>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38" w:name="_Toc13673"/>
      <w:bookmarkStart w:id="439" w:name="_Toc4133"/>
      <w:bookmarkStart w:id="440" w:name="_Toc12412"/>
      <w:bookmarkStart w:id="441" w:name="_Toc9161"/>
      <w:bookmarkStart w:id="442" w:name="_Toc27945"/>
      <w:r>
        <w:rPr>
          <w:rFonts w:ascii="宋体" w:hAnsi="宋体"/>
          <w:b/>
          <w:color w:val="000000" w:themeColor="text1"/>
          <w:sz w:val="24"/>
          <w14:textFill>
            <w14:solidFill>
              <w14:schemeClr w14:val="tx1"/>
            </w14:solidFill>
          </w14:textFill>
        </w:rPr>
        <w:t>2.3 知识产权</w:t>
      </w:r>
      <w:bookmarkEnd w:id="438"/>
      <w:bookmarkEnd w:id="439"/>
      <w:bookmarkEnd w:id="440"/>
      <w:bookmarkEnd w:id="441"/>
      <w:bookmarkEnd w:id="442"/>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3" w:name="_Toc31233"/>
      <w:bookmarkStart w:id="444" w:name="_Toc22011"/>
      <w:bookmarkStart w:id="445" w:name="_Toc32670"/>
      <w:bookmarkStart w:id="446" w:name="_Toc15447"/>
      <w:bookmarkStart w:id="447" w:name="_Toc26555"/>
      <w:r>
        <w:rPr>
          <w:rFonts w:ascii="宋体" w:hAnsi="宋体"/>
          <w:b/>
          <w:color w:val="000000" w:themeColor="text1"/>
          <w:sz w:val="24"/>
          <w14:textFill>
            <w14:solidFill>
              <w14:schemeClr w14:val="tx1"/>
            </w14:solidFill>
          </w14:textFill>
        </w:rPr>
        <w:t>2.5 结算方式和付款条件</w:t>
      </w:r>
      <w:bookmarkEnd w:id="443"/>
      <w:bookmarkEnd w:id="444"/>
      <w:bookmarkEnd w:id="445"/>
      <w:bookmarkEnd w:id="446"/>
      <w:bookmarkEnd w:id="447"/>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48" w:name="_Toc13154"/>
      <w:bookmarkStart w:id="449" w:name="_Toc30507"/>
      <w:bookmarkStart w:id="450" w:name="_Toc16163"/>
      <w:bookmarkStart w:id="451" w:name="_Toc18990"/>
      <w:bookmarkStart w:id="452" w:name="_Toc13467"/>
      <w:r>
        <w:rPr>
          <w:rFonts w:ascii="宋体" w:hAnsi="宋体"/>
          <w:b/>
          <w:color w:val="000000" w:themeColor="text1"/>
          <w:sz w:val="24"/>
          <w14:textFill>
            <w14:solidFill>
              <w14:schemeClr w14:val="tx1"/>
            </w14:solidFill>
          </w14:textFill>
        </w:rPr>
        <w:t>2.6 技术资料和保密义务</w:t>
      </w:r>
      <w:bookmarkEnd w:id="448"/>
      <w:bookmarkEnd w:id="449"/>
      <w:bookmarkEnd w:id="450"/>
      <w:bookmarkEnd w:id="451"/>
      <w:bookmarkEnd w:id="452"/>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3"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453"/>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4"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454"/>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5"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455"/>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56" w:name="_Toc21830"/>
      <w:bookmarkStart w:id="457" w:name="_Toc10663"/>
      <w:bookmarkStart w:id="458" w:name="_Toc26689"/>
      <w:bookmarkStart w:id="459" w:name="_Toc23368"/>
      <w:bookmarkStart w:id="460" w:name="_Toc42"/>
      <w:r>
        <w:rPr>
          <w:rFonts w:ascii="宋体" w:hAnsi="宋体"/>
          <w:b/>
          <w:color w:val="000000" w:themeColor="text1"/>
          <w:sz w:val="24"/>
          <w14:textFill>
            <w14:solidFill>
              <w14:schemeClr w14:val="tx1"/>
            </w14:solidFill>
          </w14:textFill>
        </w:rPr>
        <w:t>2.10 合同转让和分包</w:t>
      </w:r>
      <w:bookmarkEnd w:id="456"/>
      <w:bookmarkEnd w:id="457"/>
      <w:bookmarkEnd w:id="458"/>
      <w:bookmarkEnd w:id="459"/>
      <w:bookmarkEnd w:id="460"/>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1" w:name="_Toc32494"/>
      <w:bookmarkStart w:id="462" w:name="_Toc4720"/>
      <w:bookmarkStart w:id="463" w:name="_Toc26633"/>
      <w:bookmarkStart w:id="464" w:name="_Toc25571"/>
      <w:bookmarkStart w:id="465" w:name="_Toc14371"/>
      <w:r>
        <w:rPr>
          <w:rFonts w:ascii="宋体" w:hAnsi="宋体"/>
          <w:b/>
          <w:color w:val="000000" w:themeColor="text1"/>
          <w:sz w:val="24"/>
          <w14:textFill>
            <w14:solidFill>
              <w14:schemeClr w14:val="tx1"/>
            </w14:solidFill>
          </w14:textFill>
        </w:rPr>
        <w:t>2.11 不可抗力</w:t>
      </w:r>
      <w:bookmarkEnd w:id="461"/>
      <w:bookmarkEnd w:id="462"/>
      <w:bookmarkEnd w:id="463"/>
      <w:bookmarkEnd w:id="464"/>
      <w:bookmarkEnd w:id="465"/>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66" w:name="_Toc3638"/>
      <w:bookmarkStart w:id="467" w:name="_Toc23854"/>
      <w:bookmarkStart w:id="468" w:name="_Toc25783"/>
      <w:bookmarkStart w:id="469" w:name="_Toc24465"/>
      <w:bookmarkStart w:id="470" w:name="_Toc14115"/>
      <w:r>
        <w:rPr>
          <w:rFonts w:ascii="宋体" w:hAnsi="宋体"/>
          <w:b/>
          <w:color w:val="000000" w:themeColor="text1"/>
          <w:sz w:val="24"/>
          <w14:textFill>
            <w14:solidFill>
              <w14:schemeClr w14:val="tx1"/>
            </w14:solidFill>
          </w14:textFill>
        </w:rPr>
        <w:t>2.12 税费</w:t>
      </w:r>
      <w:bookmarkEnd w:id="466"/>
      <w:bookmarkEnd w:id="467"/>
      <w:bookmarkEnd w:id="468"/>
      <w:bookmarkEnd w:id="469"/>
      <w:bookmarkEnd w:id="470"/>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1" w:name="_Toc26883"/>
      <w:bookmarkStart w:id="472" w:name="_Toc30105"/>
      <w:bookmarkStart w:id="473" w:name="_Toc14814"/>
      <w:bookmarkStart w:id="474" w:name="_Toc7315"/>
      <w:bookmarkStart w:id="475" w:name="_Toc25525"/>
      <w:r>
        <w:rPr>
          <w:rFonts w:ascii="宋体" w:hAnsi="宋体"/>
          <w:b/>
          <w:color w:val="000000" w:themeColor="text1"/>
          <w:sz w:val="24"/>
          <w14:textFill>
            <w14:solidFill>
              <w14:schemeClr w14:val="tx1"/>
            </w14:solidFill>
          </w14:textFill>
        </w:rPr>
        <w:t>2.13 乙方破产</w:t>
      </w:r>
      <w:bookmarkEnd w:id="471"/>
      <w:bookmarkEnd w:id="472"/>
      <w:bookmarkEnd w:id="473"/>
      <w:bookmarkEnd w:id="474"/>
      <w:bookmarkEnd w:id="475"/>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6" w:name="_Toc2016"/>
      <w:bookmarkStart w:id="477" w:name="_Toc1123"/>
      <w:bookmarkStart w:id="478" w:name="_Toc23323"/>
      <w:r>
        <w:rPr>
          <w:rFonts w:ascii="宋体" w:hAnsi="宋体"/>
          <w:b/>
          <w:color w:val="000000" w:themeColor="text1"/>
          <w:sz w:val="24"/>
          <w14:textFill>
            <w14:solidFill>
              <w14:schemeClr w14:val="tx1"/>
            </w14:solidFill>
          </w14:textFill>
        </w:rPr>
        <w:t>2.14 合同中止、终止</w:t>
      </w:r>
      <w:bookmarkEnd w:id="476"/>
      <w:bookmarkEnd w:id="477"/>
      <w:bookmarkEnd w:id="478"/>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79" w:name="_Toc1969"/>
      <w:bookmarkStart w:id="480" w:name="_Toc17363"/>
      <w:bookmarkStart w:id="481" w:name="_Toc14525"/>
      <w:r>
        <w:rPr>
          <w:rFonts w:ascii="宋体" w:hAnsi="宋体"/>
          <w:b/>
          <w:color w:val="000000" w:themeColor="text1"/>
          <w:sz w:val="24"/>
          <w14:textFill>
            <w14:solidFill>
              <w14:schemeClr w14:val="tx1"/>
            </w14:solidFill>
          </w14:textFill>
        </w:rPr>
        <w:t>2.15 检验和验收</w:t>
      </w:r>
      <w:bookmarkEnd w:id="479"/>
      <w:bookmarkEnd w:id="480"/>
      <w:bookmarkEnd w:id="481"/>
    </w:p>
    <w:p>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i/>
          <w:color w:val="000000" w:themeColor="text1"/>
          <w:sz w:val="24"/>
          <w:u w:val="single"/>
          <w14:textFill>
            <w14:solidFill>
              <w14:schemeClr w14:val="tx1"/>
            </w14:solidFill>
          </w14:textFill>
        </w:rPr>
        <w:t>合同专用条款</w:t>
      </w:r>
      <w:r>
        <w:rPr>
          <w:rFonts w:hint="eastAsia" w:ascii="宋体" w:hAnsi="宋体"/>
          <w:i/>
          <w:color w:val="000000" w:themeColor="text1"/>
          <w:sz w:val="24"/>
          <w14:textFill>
            <w14:solidFill>
              <w14:schemeClr w14:val="tx1"/>
            </w14:solidFill>
          </w14:textFill>
        </w:rPr>
        <w:t>。</w:t>
      </w:r>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2" w:name="_Toc2308"/>
      <w:bookmarkStart w:id="483" w:name="_Toc31892"/>
      <w:bookmarkStart w:id="484" w:name="_Toc12666"/>
      <w:bookmarkStart w:id="485" w:name="_Toc9808"/>
      <w:bookmarkStart w:id="486" w:name="_Toc25198"/>
      <w:r>
        <w:rPr>
          <w:rFonts w:ascii="宋体" w:hAnsi="宋体"/>
          <w:b/>
          <w:color w:val="000000" w:themeColor="text1"/>
          <w:sz w:val="24"/>
          <w14:textFill>
            <w14:solidFill>
              <w14:schemeClr w14:val="tx1"/>
            </w14:solidFill>
          </w14:textFill>
        </w:rPr>
        <w:t>2.16 通知和送达</w:t>
      </w:r>
      <w:bookmarkEnd w:id="482"/>
      <w:bookmarkEnd w:id="483"/>
      <w:bookmarkEnd w:id="484"/>
      <w:bookmarkEnd w:id="485"/>
      <w:bookmarkEnd w:id="486"/>
    </w:p>
    <w:p>
      <w:pPr>
        <w:spacing w:line="560" w:lineRule="exact"/>
        <w:ind w:firstLine="480" w:firstLineChars="200"/>
        <w:rPr>
          <w:rFonts w:ascii="宋体" w:hAnsi="宋体"/>
          <w:color w:val="000000" w:themeColor="text1"/>
          <w:sz w:val="24"/>
          <w14:textFill>
            <w14:solidFill>
              <w14:schemeClr w14:val="tx1"/>
            </w14:solidFill>
          </w14:textFill>
        </w:rPr>
      </w:pPr>
      <w:bookmarkStart w:id="487" w:name="_Toc27674"/>
      <w:bookmarkStart w:id="488" w:name="_Toc18401"/>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487"/>
      <w:bookmarkEnd w:id="488"/>
    </w:p>
    <w:p>
      <w:pPr>
        <w:spacing w:line="560" w:lineRule="exact"/>
        <w:ind w:firstLine="482" w:firstLineChars="200"/>
        <w:outlineLvl w:val="0"/>
        <w:rPr>
          <w:rFonts w:ascii="宋体" w:hAnsi="宋体"/>
          <w:b/>
          <w:color w:val="000000" w:themeColor="text1"/>
          <w:sz w:val="24"/>
          <w14:textFill>
            <w14:solidFill>
              <w14:schemeClr w14:val="tx1"/>
            </w14:solidFill>
          </w14:textFill>
        </w:rPr>
      </w:pPr>
      <w:bookmarkStart w:id="489" w:name="_Toc27644"/>
      <w:bookmarkStart w:id="490" w:name="_Toc5063"/>
      <w:bookmarkStart w:id="491" w:name="_Toc28906"/>
      <w:bookmarkStart w:id="492" w:name="_Toc12254"/>
      <w:bookmarkStart w:id="493" w:name="_Toc20808"/>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489"/>
      <w:bookmarkEnd w:id="490"/>
      <w:bookmarkEnd w:id="491"/>
      <w:bookmarkEnd w:id="492"/>
      <w:bookmarkEnd w:id="493"/>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pPr>
        <w:spacing w:line="560" w:lineRule="exact"/>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2.18 计量单位</w:t>
      </w:r>
    </w:p>
    <w:p>
      <w:pPr>
        <w:spacing w:line="5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pPr>
        <w:spacing w:line="560" w:lineRule="exact"/>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i/>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pPr>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8149"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8149" w:type="dxa"/>
            <w:vAlign w:val="center"/>
          </w:tcPr>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8149" w:type="dxa"/>
            <w:vAlign w:val="center"/>
          </w:tcPr>
          <w:p>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8149" w:type="dxa"/>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8149"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8149" w:type="dxa"/>
          </w:tcPr>
          <w:p>
            <w:pPr>
              <w:spacing w:line="360" w:lineRule="auto"/>
              <w:rPr>
                <w:rFonts w:ascii="宋体" w:hAnsi="宋体" w:cs="宋体"/>
                <w:color w:val="000000" w:themeColor="text1"/>
                <w:sz w:val="24"/>
                <w14:textFill>
                  <w14:solidFill>
                    <w14:schemeClr w14:val="tx1"/>
                  </w14:solidFill>
                </w14:textFill>
              </w:rPr>
            </w:pPr>
          </w:p>
        </w:tc>
      </w:tr>
    </w:tbl>
    <w:p>
      <w:pP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pPr>
        <w:widowControl/>
        <w:adjustRightInd/>
        <w:jc w:val="cente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w:t>
      </w:r>
      <w:bookmarkEnd w:id="391"/>
      <w:r>
        <w:rPr>
          <w:rFonts w:hint="eastAsia" w:ascii="宋体" w:hAnsi="宋体" w:cs="宋体"/>
          <w:b/>
          <w:color w:val="000000" w:themeColor="text1"/>
          <w:sz w:val="36"/>
          <w:szCs w:val="20"/>
          <w14:textFill>
            <w14:solidFill>
              <w14:schemeClr w14:val="tx1"/>
            </w14:solidFill>
          </w14:textFill>
        </w:rPr>
        <w:t xml:space="preserve"> </w:t>
      </w:r>
      <w:bookmarkEnd w:id="392"/>
      <w:r>
        <w:rPr>
          <w:rFonts w:hint="eastAsia" w:ascii="宋体" w:hAnsi="宋体" w:cs="宋体"/>
          <w:b/>
          <w:color w:val="000000" w:themeColor="text1"/>
          <w:sz w:val="36"/>
          <w:szCs w:val="20"/>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pPr>
        <w:snapToGrid w:val="0"/>
        <w:spacing w:line="360" w:lineRule="auto"/>
        <w:ind w:right="480" w:firstLine="559" w:firstLineChars="233"/>
        <w:jc w:val="left"/>
        <w:rPr>
          <w:rFonts w:ascii="宋体" w:hAnsi="宋体" w:cs="宋体"/>
          <w:color w:val="000000" w:themeColor="text1"/>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注：根据《</w:t>
      </w:r>
      <w:r>
        <w:rPr>
          <w:rFonts w:cs="仿宋_GB2312" w:asciiTheme="minorEastAsia" w:hAnsiTheme="minorEastAsia" w:eastAsiaTheme="minorEastAsia"/>
          <w:color w:val="000000" w:themeColor="text1"/>
          <w:sz w:val="24"/>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14:textFill>
            <w14:solidFill>
              <w14:schemeClr w14:val="tx1"/>
            </w14:solidFill>
          </w14:textFill>
        </w:rPr>
        <w:t>》（</w:t>
      </w:r>
      <w:r>
        <w:rPr>
          <w:rFonts w:cs="仿宋_GB2312" w:asciiTheme="minorEastAsia" w:hAnsiTheme="minorEastAsia" w:eastAsiaTheme="minorEastAsia"/>
          <w:color w:val="000000" w:themeColor="text1"/>
          <w:sz w:val="24"/>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pP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pPr>
        <w:spacing w:line="360" w:lineRule="auto"/>
        <w:ind w:right="420"/>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494" w:name="_Hlk101257010"/>
      <w:r>
        <w:rPr>
          <w:rFonts w:hint="eastAsia" w:ascii="宋体" w:hAnsi="宋体" w:cs="宋体"/>
          <w:color w:val="000000" w:themeColor="text1"/>
          <w:sz w:val="24"/>
          <w14:textFill>
            <w14:solidFill>
              <w14:schemeClr w14:val="tx1"/>
            </w14:solidFill>
          </w14:textFill>
        </w:rPr>
        <w:t>（如果有)</w:t>
      </w:r>
      <w:bookmarkEnd w:id="494"/>
      <w:r>
        <w:rPr>
          <w:rFonts w:hint="eastAsia" w:ascii="宋体" w:hAnsi="宋体" w:cs="宋体"/>
          <w:snapToGrid w:val="0"/>
          <w:color w:val="000000" w:themeColor="text1"/>
          <w:kern w:val="28"/>
          <w:sz w:val="24"/>
          <w:szCs w:val="20"/>
          <w14:textFill>
            <w14:solidFill>
              <w14:schemeClr w14:val="tx1"/>
            </w14:solidFill>
          </w14:textFill>
        </w:rPr>
        <w:t>；</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pP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br w:type="page"/>
      </w:r>
    </w:p>
    <w:p>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rPr>
          <w:rFonts w:hint="eastAsia"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br w:type="page"/>
      </w:r>
    </w:p>
    <w:p>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pPr>
        <w:pStyle w:val="148"/>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pPr>
              <w:pStyle w:val="148"/>
              <w:adjustRightInd w:val="0"/>
              <w:spacing w:line="360" w:lineRule="auto"/>
              <w:rPr>
                <w:rFonts w:hAnsi="宋体" w:cs="宋体"/>
                <w:bCs/>
                <w:color w:val="000000" w:themeColor="text1"/>
                <w:sz w:val="24"/>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rPr>
          <w:rFonts w:hint="eastAsia"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color w:val="000000" w:themeColor="text1"/>
          <w:kern w:val="0"/>
          <w:sz w:val="24"/>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pP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p>
    <w:p>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pPr>
              <w:jc w:val="center"/>
              <w:rPr>
                <w:rFonts w:ascii="宋体" w:hAnsi="宋体" w:cs="宋体"/>
                <w:b/>
                <w:color w:val="000000" w:themeColor="text1"/>
                <w:kern w:val="0"/>
                <w:sz w:val="32"/>
                <w:szCs w:val="32"/>
                <w14:textFill>
                  <w14:solidFill>
                    <w14:schemeClr w14:val="tx1"/>
                  </w14:solidFill>
                </w14:textFill>
              </w:rPr>
            </w:pPr>
          </w:p>
        </w:tc>
        <w:tc>
          <w:tcPr>
            <w:tcW w:w="3546" w:type="dxa"/>
          </w:tcPr>
          <w:p>
            <w:pPr>
              <w:jc w:val="center"/>
              <w:rPr>
                <w:rFonts w:ascii="宋体" w:hAnsi="宋体" w:cs="宋体"/>
                <w:b/>
                <w:color w:val="000000" w:themeColor="text1"/>
                <w:kern w:val="0"/>
                <w:sz w:val="32"/>
                <w:szCs w:val="32"/>
                <w14:textFill>
                  <w14:solidFill>
                    <w14:schemeClr w14:val="tx1"/>
                  </w14:solidFill>
                </w14:textFill>
              </w:rPr>
            </w:pPr>
          </w:p>
        </w:tc>
        <w:tc>
          <w:tcPr>
            <w:tcW w:w="1276" w:type="dxa"/>
          </w:tcPr>
          <w:p>
            <w:pPr>
              <w:jc w:val="center"/>
              <w:rPr>
                <w:rFonts w:ascii="宋体" w:hAnsi="宋体" w:cs="宋体"/>
                <w:b/>
                <w:color w:val="000000" w:themeColor="text1"/>
                <w:kern w:val="0"/>
                <w:sz w:val="32"/>
                <w:szCs w:val="32"/>
                <w14:textFill>
                  <w14:solidFill>
                    <w14:schemeClr w14:val="tx1"/>
                  </w14:solidFill>
                </w14:textFill>
              </w:rPr>
            </w:pPr>
          </w:p>
        </w:tc>
      </w:tr>
    </w:tbl>
    <w:p>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宋体" w:hAnsi="宋体" w:cs="宋体"/>
          <w:b/>
          <w:color w:val="000000" w:themeColor="text1"/>
          <w:kern w:val="0"/>
          <w:sz w:val="32"/>
          <w:szCs w:val="32"/>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widowControl/>
        <w:adjustRightInd/>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14:textFill>
            <w14:solidFill>
              <w14:schemeClr w14:val="tx1"/>
            </w14:solidFill>
          </w14:textFill>
        </w:rPr>
      </w:pP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pPr>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pPr>
        <w:rPr>
          <w:rFonts w:hint="eastAsia" w:ascii="宋体" w:hAnsi="宋体" w:eastAsia="宋体" w:cs="宋体"/>
          <w:color w:val="000000" w:themeColor="text1"/>
          <w:kern w:val="2"/>
          <w:sz w:val="32"/>
          <w:szCs w:val="3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000000" w:themeColor="text1"/>
          <w:kern w:val="2"/>
          <w:sz w:val="32"/>
          <w:szCs w:val="32"/>
          <w14:textFill>
            <w14:solidFill>
              <w14:schemeClr w14:val="tx1"/>
            </w14:solidFill>
          </w14:textFill>
        </w:rPr>
        <w:br w:type="page"/>
      </w: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pPr>
              <w:spacing w:line="360" w:lineRule="auto"/>
              <w:jc w:val="cente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127" w:type="dxa"/>
          </w:tcPr>
          <w:p>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5、特别说明：▲供应商报价低于项目预算50%的，应当在报价文件中详细阐述不影响产品质量或者诚信履约的具体原因，未做阐述说明的，投标无效。</w:t>
      </w:r>
    </w:p>
    <w:p>
      <w:pPr>
        <w:rPr>
          <w:rFonts w:hint="eastAsia" w:ascii="宋体" w:hAnsi="宋体" w:eastAsia="宋体" w:cs="宋体"/>
          <w:color w:val="000000" w:themeColor="text1"/>
          <w:kern w:val="2"/>
          <w:sz w:val="32"/>
          <w:szCs w:val="32"/>
          <w14:textFill>
            <w14:solidFill>
              <w14:schemeClr w14:val="tx1"/>
            </w14:solidFill>
          </w14:textFill>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000000" w:themeColor="text1"/>
          <w:kern w:val="2"/>
          <w:sz w:val="32"/>
          <w:szCs w:val="32"/>
          <w14:textFill>
            <w14:solidFill>
              <w14:schemeClr w14:val="tx1"/>
            </w14:solidFill>
          </w14:textFill>
        </w:rPr>
        <w:br w:type="page"/>
      </w:r>
    </w:p>
    <w:p>
      <w:pPr>
        <w:pStyle w:val="691"/>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中小企业声明函（如果有）</w:t>
      </w:r>
    </w:p>
    <w:p>
      <w:pPr>
        <w:widowControl/>
        <w:spacing w:line="360" w:lineRule="auto"/>
        <w:ind w:firstLine="120" w:firstLineChars="5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pPr>
        <w:rPr>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p>
    <w:p>
      <w:pPr>
        <w:pStyle w:val="3"/>
        <w:keepNext w:val="0"/>
        <w:keepLines w:val="0"/>
        <w:pageBreakBefore/>
        <w:widowControl/>
        <w:spacing w:before="100" w:beforeAutospacing="1" w:after="100" w:afterAutospacing="1"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附件</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495" w:name="OLE_LINK14"/>
      <w:bookmarkStart w:id="496"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495"/>
    <w:bookmarkEnd w:id="496"/>
    <w:p>
      <w:pPr>
        <w:spacing w:line="360" w:lineRule="auto"/>
        <w:rPr>
          <w:rFonts w:ascii="宋体" w:hAnsi="宋体" w:cs="宋体"/>
          <w:b/>
          <w:color w:val="000000" w:themeColor="text1"/>
          <w:spacing w:val="6"/>
          <w:sz w:val="30"/>
          <w:szCs w:val="30"/>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  期：</w:t>
      </w:r>
    </w:p>
    <w:p>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14:textFill>
            <w14:solidFill>
              <w14:schemeClr w14:val="tx1"/>
            </w14:solidFill>
          </w14:textFill>
        </w:rPr>
      </w:pPr>
    </w:p>
    <w:p>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autoSpaceDE w:val="0"/>
        <w:autoSpaceDN w:val="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pPr>
        <w:spacing w:line="360" w:lineRule="auto"/>
        <w:rPr>
          <w:rFonts w:ascii="宋体" w:hAnsi="宋体" w:cs="宋体"/>
          <w:color w:val="000000" w:themeColor="text1"/>
          <w:sz w:val="24"/>
          <w:u w:val="single"/>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ind w:firstLine="494"/>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autoSpaceDE w:val="0"/>
        <w:autoSpaceDN w:val="0"/>
        <w:jc w:val="center"/>
        <w:rPr>
          <w:rFonts w:ascii="宋体" w:hAnsi="宋体" w:cs="宋体"/>
          <w:b/>
          <w:color w:val="000000" w:themeColor="text1"/>
          <w:spacing w:val="6"/>
          <w:sz w:val="32"/>
          <w:szCs w:val="32"/>
          <w14:textFill>
            <w14:solidFill>
              <w14:schemeClr w14:val="tx1"/>
            </w14:solidFill>
          </w14:textFill>
        </w:rPr>
      </w:pPr>
    </w:p>
    <w:p>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autoSpaceDE w:val="0"/>
        <w:autoSpaceDN w:val="0"/>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497"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497"/>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498"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498"/>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499"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499"/>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pPr>
        <w:pStyle w:val="4"/>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投标人名称(电子签名)：</w:t>
      </w:r>
    </w:p>
    <w:p>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pPr>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pPr>
        <w:spacing w:line="360" w:lineRule="auto"/>
        <w:jc w:val="left"/>
        <w:outlineLvl w:val="0"/>
        <w:rPr>
          <w:rFonts w:ascii="宋体" w:hAnsi="宋体" w:cs="宋体"/>
          <w:b/>
          <w:color w:val="000000" w:themeColor="text1"/>
          <w:sz w:val="32"/>
          <w:szCs w:val="18"/>
          <w14:textFill>
            <w14:solidFill>
              <w14:schemeClr w14:val="tx1"/>
            </w14:solidFill>
          </w14:textFill>
        </w:rPr>
      </w:pPr>
      <w:r>
        <w:rPr>
          <w:rFonts w:hint="eastAsia" w:ascii="宋体" w:hAnsi="宋体" w:cs="宋体"/>
          <w:b/>
          <w:color w:val="000000" w:themeColor="text1"/>
          <w:sz w:val="32"/>
          <w:szCs w:val="18"/>
          <w14:textFill>
            <w14:solidFill>
              <w14:schemeClr w14:val="tx1"/>
            </w14:solidFill>
          </w14:textFill>
        </w:rPr>
        <w:t>附件</w:t>
      </w:r>
      <w:r>
        <w:rPr>
          <w:rFonts w:ascii="宋体" w:hAnsi="宋体" w:cs="宋体"/>
          <w:b/>
          <w:color w:val="000000" w:themeColor="text1"/>
          <w:sz w:val="32"/>
          <w:szCs w:val="18"/>
          <w14:textFill>
            <w14:solidFill>
              <w14:schemeClr w14:val="tx1"/>
            </w14:solidFill>
          </w14:textFill>
        </w:rPr>
        <w:t>7</w:t>
      </w:r>
      <w:r>
        <w:rPr>
          <w:rFonts w:hint="eastAsia" w:ascii="宋体" w:hAnsi="宋体" w:cs="宋体"/>
          <w:b/>
          <w:color w:val="000000" w:themeColor="text1"/>
          <w:sz w:val="32"/>
          <w:szCs w:val="18"/>
          <w14:textFill>
            <w14:solidFill>
              <w14:schemeClr w14:val="tx1"/>
            </w14:solidFill>
          </w14:textFill>
        </w:rPr>
        <w:t>：中小企业声明函</w:t>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投标人名称（电子签名）：</w:t>
      </w:r>
    </w:p>
    <w:p>
      <w:pPr>
        <w:spacing w:line="360" w:lineRule="auto"/>
        <w:ind w:right="1120" w:firstLine="4680" w:firstLineChars="19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从业人员、营业收入、资产总额填报上一年度数据</w:t>
      </w:r>
      <w:r>
        <w:rPr>
          <w:rFonts w:hint="eastAsia" w:ascii="宋体" w:hAnsi="宋体" w:cs="宋体"/>
          <w:color w:val="000000" w:themeColor="text1"/>
          <w:sz w:val="18"/>
          <w:szCs w:val="18"/>
          <w:lang w:eastAsia="zh-CN"/>
          <w14:textFill>
            <w14:solidFill>
              <w14:schemeClr w14:val="tx1"/>
            </w14:solidFill>
          </w14:textFill>
        </w:rPr>
        <w:t>。</w:t>
      </w:r>
    </w:p>
    <w:p>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numPr>
          <w:ilvl w:val="0"/>
          <w:numId w:val="12"/>
        </w:numPr>
        <w:spacing w:line="360" w:lineRule="auto"/>
        <w:ind w:right="420" w:firstLine="480" w:firstLineChars="200"/>
        <w:rPr>
          <w:rFonts w:hint="eastAsia" w:ascii="宋体" w:hAnsi="宋体" w:cs="宋体"/>
          <w:b/>
          <w:bCs/>
          <w:color w:val="000000" w:themeColor="text1"/>
          <w:sz w:val="24"/>
          <w:shd w:val="clear" w:color="auto" w:fill="auto"/>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000000" w:themeColor="text1"/>
          <w:sz w:val="24"/>
          <w:lang w:eastAsia="zh-CN"/>
          <w14:textFill>
            <w14:solidFill>
              <w14:schemeClr w14:val="tx1"/>
            </w14:solidFill>
          </w14:textFill>
        </w:rPr>
        <w:t>。</w:t>
      </w:r>
    </w:p>
    <w:p>
      <w:pP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olor w:val="000000" w:themeColor="text1"/>
          <w14:textFill>
            <w14:solidFill>
              <w14:schemeClr w14:val="tx1"/>
            </w14:solidFill>
          </w14:textFill>
        </w:rPr>
        <w:br w:type="page"/>
      </w:r>
    </w:p>
    <w:p>
      <w:pPr>
        <w:pStyle w:val="4"/>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附件</w:t>
      </w:r>
      <w:r>
        <w:rPr>
          <w:rFonts w:hint="eastAsia" w:asciiTheme="minorEastAsia" w:hAnsiTheme="minorEastAsia" w:eastAsiaTheme="minorEastAsia" w:cstheme="minorEastAsia"/>
          <w:color w:val="000000" w:themeColor="text1"/>
          <w:lang w:val="en-US"/>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样品（演示）授权委托书</w:t>
      </w: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样品（演示）授权委托书</w:t>
      </w:r>
    </w:p>
    <w:p>
      <w:pPr>
        <w:jc w:val="center"/>
        <w:rPr>
          <w:color w:val="000000" w:themeColor="text1"/>
          <w:sz w:val="40"/>
          <w14:textFill>
            <w14:solidFill>
              <w14:schemeClr w14:val="tx1"/>
            </w14:solidFill>
          </w14:textFill>
        </w:rPr>
      </w:pPr>
    </w:p>
    <w:p>
      <w:pPr>
        <w:snapToGrid w:val="0"/>
        <w:spacing w:line="360" w:lineRule="auto"/>
        <w:rPr>
          <w:rFonts w:cs="仿宋"/>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XXX（单位名称或采购机构名称）</w:t>
      </w:r>
      <w:r>
        <w:rPr>
          <w:rFonts w:hint="eastAsia" w:cs="仿宋"/>
          <w:color w:val="000000" w:themeColor="text1"/>
          <w:lang w:val="zh-CN"/>
          <w14:textFill>
            <w14:solidFill>
              <w14:schemeClr w14:val="tx1"/>
            </w14:solidFill>
          </w14:textFill>
        </w:rPr>
        <w:t>：</w:t>
      </w:r>
    </w:p>
    <w:p>
      <w:pPr>
        <w:snapToGrid w:val="0"/>
        <w:spacing w:line="360" w:lineRule="auto"/>
        <w:ind w:left="254" w:leftChars="121" w:firstLine="420" w:firstLineChars="200"/>
        <w:rPr>
          <w:rFonts w:cs="仿宋"/>
          <w:color w:val="000000" w:themeColor="text1"/>
          <w:u w:val="single"/>
          <w:lang w:val="zh-CN"/>
          <w14:textFill>
            <w14:solidFill>
              <w14:schemeClr w14:val="tx1"/>
            </w14:solidFill>
          </w14:textFill>
        </w:rPr>
      </w:pPr>
      <w:r>
        <w:rPr>
          <w:rFonts w:hint="eastAsia" w:cs="仿宋"/>
          <w:color w:val="000000" w:themeColor="text1"/>
          <w:lang w:val="zh-CN"/>
          <w14:textFill>
            <w14:solidFill>
              <w14:schemeClr w14:val="tx1"/>
            </w14:solidFill>
          </w14:textFill>
        </w:rPr>
        <w:t>兹委派</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先生/女士，身份证号：</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p>
    <w:p>
      <w:pPr>
        <w:snapToGrid w:val="0"/>
        <w:spacing w:line="360" w:lineRule="auto"/>
        <w:ind w:left="254" w:leftChars="121" w:firstLine="420" w:firstLineChars="200"/>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手机：</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，代表我公司前来递交</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采购项目</w:t>
      </w:r>
      <w:r>
        <w:rPr>
          <w:rFonts w:hint="eastAsia" w:cs="仿宋"/>
          <w:color w:val="000000" w:themeColor="text1"/>
          <w:lang w:val="zh-CN"/>
          <w14:textFill>
            <w14:solidFill>
              <w14:schemeClr w14:val="tx1"/>
            </w14:solidFill>
          </w14:textFill>
        </w:rPr>
        <w:t>【项目编号：</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 xml:space="preserve">】（标项号： </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）投标样品或参加演示，并全权负责标后取回样品等其他处理事宜。</w:t>
      </w:r>
    </w:p>
    <w:p>
      <w:pPr>
        <w:snapToGrid w:val="0"/>
        <w:spacing w:line="360" w:lineRule="auto"/>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特此告知。</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投标人名称(公章)：</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pPr>
        <w:snapToGrid w:val="0"/>
        <w:spacing w:line="360" w:lineRule="auto"/>
        <w:ind w:right="240"/>
        <w:jc w:val="right"/>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签发日期：  年  月   日</w:t>
      </w:r>
    </w:p>
    <w:p>
      <w:pPr>
        <w:snapToGrid w:val="0"/>
        <w:spacing w:line="360" w:lineRule="auto"/>
        <w:ind w:right="240"/>
        <w:jc w:val="right"/>
        <w:rPr>
          <w:rFonts w:cs="仿宋"/>
          <w:color w:val="000000" w:themeColor="text1"/>
          <w:lang w:val="zh-CN"/>
          <w14:textFill>
            <w14:solidFill>
              <w14:schemeClr w14:val="tx1"/>
            </w14:solidFill>
          </w14:textFill>
        </w:rPr>
      </w:pPr>
    </w:p>
    <w:p>
      <w:pPr>
        <w:snapToGrid w:val="0"/>
        <w:spacing w:line="360" w:lineRule="auto"/>
        <w:ind w:right="1920"/>
        <w:rPr>
          <w:rFonts w:cs="仿宋"/>
          <w:color w:val="000000" w:themeColor="text1"/>
          <w:lang w:val="zh-CN"/>
          <w14:textFill>
            <w14:solidFill>
              <w14:schemeClr w14:val="tx1"/>
            </w14:solidFill>
          </w14:textFill>
        </w:rPr>
      </w:pPr>
    </w:p>
    <w:p>
      <w:pPr>
        <w:snapToGrid w:val="0"/>
        <w:spacing w:line="360" w:lineRule="auto"/>
        <w:ind w:right="240"/>
        <w:jc w:val="right"/>
        <w:rPr>
          <w:rFonts w:cs="仿宋"/>
          <w:color w:val="000000" w:themeColor="text1"/>
          <w:lang w:val="zh-CN"/>
          <w14:textFill>
            <w14:solidFill>
              <w14:schemeClr w14:val="tx1"/>
            </w14:solidFill>
          </w14:textFill>
        </w:rPr>
      </w:pPr>
    </w:p>
    <w:p>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14:textFill>
            <w14:solidFill>
              <w14:schemeClr w14:val="tx1"/>
            </w14:solidFill>
          </w14:textFill>
        </w:rPr>
        <w:t>受委托人</w:t>
      </w:r>
      <w:r>
        <w:rPr>
          <w:rFonts w:hint="eastAsia" w:cs="仿宋"/>
          <w:color w:val="000000" w:themeColor="text1"/>
          <w:lang w:val="zh-CN"/>
          <w14:textFill>
            <w14:solidFill>
              <w14:schemeClr w14:val="tx1"/>
            </w14:solidFill>
          </w14:textFill>
        </w:rPr>
        <w:t>身份证复印件：</w:t>
      </w:r>
    </w:p>
    <w:p>
      <w:pPr>
        <w:snapToGrid w:val="0"/>
        <w:spacing w:line="360" w:lineRule="auto"/>
        <w:ind w:right="240"/>
        <w:rPr>
          <w:rFonts w:cs="仿宋"/>
          <w:color w:val="000000" w:themeColor="text1"/>
          <w:lang w:val="zh-CN"/>
          <w14:textFill>
            <w14:solidFill>
              <w14:schemeClr w14:val="tx1"/>
            </w14:solidFill>
          </w14:textFill>
        </w:rPr>
      </w:pPr>
    </w:p>
    <w:p>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说明：本委托书在有样品或演示时由受委托人携带至指定地点。</w:t>
      </w:r>
    </w:p>
    <w:p>
      <w:pPr>
        <w:spacing w:line="360" w:lineRule="auto"/>
        <w:rPr>
          <w:rFonts w:ascii="宋体" w:hAnsi="宋体" w:cs="宋体"/>
          <w:bCs/>
          <w:color w:val="000000" w:themeColor="text1"/>
          <w:sz w:val="24"/>
          <w14:textFill>
            <w14:solidFill>
              <w14:schemeClr w14:val="tx1"/>
            </w14:solidFill>
          </w14:textFill>
        </w:rPr>
      </w:pPr>
      <w:r>
        <w:rPr>
          <w:rFonts w:cs="仿宋_GB2312"/>
          <w:b/>
          <w:color w:val="000000" w:themeColor="text1"/>
          <w14:textFill>
            <w14:solidFill>
              <w14:schemeClr w14:val="tx1"/>
            </w14:solidFill>
          </w14:textFill>
        </w:rPr>
        <w:t>同时有样品和演示的</w:t>
      </w:r>
      <w:r>
        <w:rPr>
          <w:rFonts w:hint="eastAsia" w:cs="仿宋_GB2312"/>
          <w:b/>
          <w:color w:val="000000" w:themeColor="text1"/>
          <w14:textFill>
            <w14:solidFill>
              <w14:schemeClr w14:val="tx1"/>
            </w14:solidFill>
          </w14:textFill>
        </w:rPr>
        <w:t>，</w:t>
      </w:r>
      <w:r>
        <w:rPr>
          <w:rFonts w:cs="仿宋_GB2312"/>
          <w:b/>
          <w:color w:val="000000" w:themeColor="text1"/>
          <w14:textFill>
            <w14:solidFill>
              <w14:schemeClr w14:val="tx1"/>
            </w14:solidFill>
          </w14:textFill>
        </w:rPr>
        <w:t>可委托不同人员</w:t>
      </w:r>
      <w:r>
        <w:rPr>
          <w:rFonts w:hint="eastAsia" w:cs="仿宋_GB2312"/>
          <w:b/>
          <w:color w:val="000000" w:themeColor="text1"/>
          <w14:textFill>
            <w14:solidFill>
              <w14:schemeClr w14:val="tx1"/>
            </w14:solidFill>
          </w14:textFill>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RomanS"/>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Roman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MS Sans Serif">
    <w:altName w:val="MV Boli"/>
    <w:panose1 w:val="020B0500000000000000"/>
    <w:charset w:val="00"/>
    <w:family w:val="swiss"/>
    <w:pitch w:val="default"/>
    <w:sig w:usb0="00000000"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287" w:usb1="00000000" w:usb2="00000000" w:usb3="00000000" w:csb0="2000019F" w:csb1="00000000"/>
  </w:font>
  <w:font w:name="ˎ̥">
    <w:altName w:val="仿宋_GB2312"/>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仿宋_GB2312"/>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swiss"/>
    <w:pitch w:val="default"/>
    <w:sig w:usb0="00000000" w:usb1="00000000" w:usb2="00000000" w:usb3="00000000" w:csb0="000001FB" w:csb1="00000000"/>
  </w:font>
  <w:font w:name="Segoe UI">
    <w:altName w:val="AcadEref"/>
    <w:panose1 w:val="020B0502040204020203"/>
    <w:charset w:val="00"/>
    <w:family w:val="swiss"/>
    <w:pitch w:val="default"/>
    <w:sig w:usb0="00000000" w:usb1="00000000" w:usb2="00000009" w:usb3="00000000" w:csb0="200001FF" w:csb1="00000000"/>
  </w:font>
  <w:font w:name="Latha">
    <w:altName w:val="Microsoft Sans Serif"/>
    <w:panose1 w:val="020B0604020202020204"/>
    <w:charset w:val="01"/>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0000003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RomanS"/>
    <w:panose1 w:val="00000000000000000000"/>
    <w:charset w:val="00"/>
    <w:family w:val="roman"/>
    <w:pitch w:val="default"/>
    <w:sig w:usb0="00000000" w:usb1="00000000" w:usb2="00000000" w:usb3="00000000" w:csb0="00000011" w:csb1="00000000"/>
  </w:font>
  <w:font w:name=".PingFang SC">
    <w:altName w:val="仿宋_GB2312"/>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A00002BF" w:usb1="68C7FCFB" w:usb2="00000010" w:usb3="00000000" w:csb0="4002009F" w:csb1="DFD70000"/>
  </w:font>
  <w:font w:name="RomanS">
    <w:panose1 w:val="02000400000000000000"/>
    <w:charset w:val="00"/>
    <w:family w:val="auto"/>
    <w:pitch w:val="default"/>
    <w:sig w:usb0="00000207" w:usb1="00000000" w:usb2="00000000" w:usb3="00000000" w:csb0="000001FF" w:csb1="00000000"/>
  </w:font>
  <w:font w:name="MV Boli">
    <w:panose1 w:val="02000500030200090000"/>
    <w:charset w:val="00"/>
    <w:family w:val="auto"/>
    <w:pitch w:val="default"/>
    <w:sig w:usb0="00000000" w:usb1="00000000" w:usb2="00000100" w:usb3="00000000" w:csb0="00000000" w:csb1="00000000"/>
  </w:font>
  <w:font w:name="AcadEref">
    <w:panose1 w:val="02000500000000020003"/>
    <w:charset w:val="00"/>
    <w:family w:val="auto"/>
    <w:pitch w:val="default"/>
    <w:sig w:usb0="00000003" w:usb1="00000000" w:usb2="00000000" w:usb3="00000000" w:csb0="00000001" w:csb1="00000000"/>
  </w:font>
  <w:font w:name="Microsoft Sans Serif">
    <w:panose1 w:val="020B0604020202020204"/>
    <w:charset w:val="00"/>
    <w:family w:val="auto"/>
    <w:pitch w:val="default"/>
    <w:sig w:usb0="61007BDF" w:usb1="80000000" w:usb2="00000008" w:usb3="00000000" w:csb0="200101FF" w:csb1="2028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31845147"/>
    <w:bookmarkStart w:id="501" w:name="_Toc36110187"/>
    <w:bookmarkStart w:id="502" w:name="_Toc91899912"/>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04D894CF"/>
    <w:multiLevelType w:val="singleLevel"/>
    <w:tmpl w:val="04D894CF"/>
    <w:lvl w:ilvl="0" w:tentative="0">
      <w:start w:val="1"/>
      <w:numFmt w:val="decimal"/>
      <w:suff w:val="nothing"/>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CB708F"/>
    <w:multiLevelType w:val="singleLevel"/>
    <w:tmpl w:val="3FCB708F"/>
    <w:lvl w:ilvl="0" w:tentative="0">
      <w:start w:val="1"/>
      <w:numFmt w:val="decimal"/>
      <w:lvlText w:val="%1."/>
      <w:lvlJc w:val="left"/>
      <w:pPr>
        <w:tabs>
          <w:tab w:val="left" w:pos="312"/>
        </w:tabs>
      </w:pPr>
    </w:lvl>
  </w:abstractNum>
  <w:abstractNum w:abstractNumId="10">
    <w:nsid w:val="57FF7EC6"/>
    <w:multiLevelType w:val="singleLevel"/>
    <w:tmpl w:val="57FF7EC6"/>
    <w:lvl w:ilvl="0" w:tentative="0">
      <w:start w:val="15"/>
      <w:numFmt w:val="decimal"/>
      <w:suff w:val="space"/>
      <w:lvlText w:val="%1."/>
      <w:lvlJc w:val="left"/>
    </w:lvl>
  </w:abstractNum>
  <w:abstractNum w:abstractNumId="11">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10"/>
  </w:num>
  <w:num w:numId="5">
    <w:abstractNumId w:val="4"/>
  </w:num>
  <w:num w:numId="6">
    <w:abstractNumId w:val="1"/>
  </w:num>
  <w:num w:numId="7">
    <w:abstractNumId w:val="0"/>
  </w:num>
  <w:num w:numId="8">
    <w:abstractNumId w:val="8"/>
  </w:num>
  <w:num w:numId="9">
    <w:abstractNumId w:val="7"/>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521D0E"/>
    <w:rsid w:val="036634D2"/>
    <w:rsid w:val="03DD35E4"/>
    <w:rsid w:val="04076900"/>
    <w:rsid w:val="041A5A3B"/>
    <w:rsid w:val="042311BA"/>
    <w:rsid w:val="042A28FC"/>
    <w:rsid w:val="042B157A"/>
    <w:rsid w:val="0446251D"/>
    <w:rsid w:val="048F763B"/>
    <w:rsid w:val="049F330E"/>
    <w:rsid w:val="04AA775C"/>
    <w:rsid w:val="04AF1889"/>
    <w:rsid w:val="04F66F48"/>
    <w:rsid w:val="05043453"/>
    <w:rsid w:val="0522622A"/>
    <w:rsid w:val="05251E14"/>
    <w:rsid w:val="05A16594"/>
    <w:rsid w:val="05A7762D"/>
    <w:rsid w:val="060E5941"/>
    <w:rsid w:val="06110FAF"/>
    <w:rsid w:val="06493CA7"/>
    <w:rsid w:val="065A6178"/>
    <w:rsid w:val="066F1CF3"/>
    <w:rsid w:val="06930BB8"/>
    <w:rsid w:val="07245D42"/>
    <w:rsid w:val="07264C62"/>
    <w:rsid w:val="07462BF9"/>
    <w:rsid w:val="0764344E"/>
    <w:rsid w:val="0779354C"/>
    <w:rsid w:val="07EF28B9"/>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D0FFC"/>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4008F7"/>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371058"/>
    <w:rsid w:val="16A32AAB"/>
    <w:rsid w:val="16A8729C"/>
    <w:rsid w:val="16B33777"/>
    <w:rsid w:val="16BC70A7"/>
    <w:rsid w:val="16C6339E"/>
    <w:rsid w:val="172F2D79"/>
    <w:rsid w:val="17557BEF"/>
    <w:rsid w:val="17D349C1"/>
    <w:rsid w:val="1830729E"/>
    <w:rsid w:val="1870062C"/>
    <w:rsid w:val="18817102"/>
    <w:rsid w:val="18830A15"/>
    <w:rsid w:val="18852B28"/>
    <w:rsid w:val="188B5321"/>
    <w:rsid w:val="189E35C3"/>
    <w:rsid w:val="18CF34B1"/>
    <w:rsid w:val="19932372"/>
    <w:rsid w:val="19A20DD5"/>
    <w:rsid w:val="19AE03F1"/>
    <w:rsid w:val="1A071A03"/>
    <w:rsid w:val="1A1F16AE"/>
    <w:rsid w:val="1A3B5C77"/>
    <w:rsid w:val="1A984BAD"/>
    <w:rsid w:val="1AB8220E"/>
    <w:rsid w:val="1AE4166C"/>
    <w:rsid w:val="1AF06CFB"/>
    <w:rsid w:val="1AF11B8D"/>
    <w:rsid w:val="1B11359C"/>
    <w:rsid w:val="1B2A271F"/>
    <w:rsid w:val="1B2A511F"/>
    <w:rsid w:val="1B530544"/>
    <w:rsid w:val="1B713184"/>
    <w:rsid w:val="1B7F6BBA"/>
    <w:rsid w:val="1BA209CF"/>
    <w:rsid w:val="1BB4777D"/>
    <w:rsid w:val="1BD75AB8"/>
    <w:rsid w:val="1C0459C2"/>
    <w:rsid w:val="1C1B3B4A"/>
    <w:rsid w:val="1C88086E"/>
    <w:rsid w:val="1D266CE1"/>
    <w:rsid w:val="1D3963AF"/>
    <w:rsid w:val="1D633FCF"/>
    <w:rsid w:val="1D6A673C"/>
    <w:rsid w:val="1D7E2045"/>
    <w:rsid w:val="1D9247AE"/>
    <w:rsid w:val="1DB567EC"/>
    <w:rsid w:val="1DF51A98"/>
    <w:rsid w:val="1DFF3EF7"/>
    <w:rsid w:val="1E116DA5"/>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07029"/>
    <w:rsid w:val="245375B0"/>
    <w:rsid w:val="24642C0A"/>
    <w:rsid w:val="24B22173"/>
    <w:rsid w:val="24B95AD9"/>
    <w:rsid w:val="24BE24DA"/>
    <w:rsid w:val="24CF5825"/>
    <w:rsid w:val="24D663E6"/>
    <w:rsid w:val="24D67C4A"/>
    <w:rsid w:val="24D77F2B"/>
    <w:rsid w:val="258B00E2"/>
    <w:rsid w:val="25A917A6"/>
    <w:rsid w:val="25BE27CC"/>
    <w:rsid w:val="25C075D8"/>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70C30"/>
    <w:rsid w:val="298B3C4C"/>
    <w:rsid w:val="29F26D24"/>
    <w:rsid w:val="2A15033F"/>
    <w:rsid w:val="2A1662C1"/>
    <w:rsid w:val="2A1C7367"/>
    <w:rsid w:val="2A2815FA"/>
    <w:rsid w:val="2A690D32"/>
    <w:rsid w:val="2A6D6092"/>
    <w:rsid w:val="2A7D76B4"/>
    <w:rsid w:val="2B437463"/>
    <w:rsid w:val="2B5D2C79"/>
    <w:rsid w:val="2B7807EE"/>
    <w:rsid w:val="2BA50BF7"/>
    <w:rsid w:val="2BAF6168"/>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0626C"/>
    <w:rsid w:val="32BE5C2C"/>
    <w:rsid w:val="32FB6478"/>
    <w:rsid w:val="33263B3F"/>
    <w:rsid w:val="336963EB"/>
    <w:rsid w:val="33816EEB"/>
    <w:rsid w:val="33843E88"/>
    <w:rsid w:val="33EB55CD"/>
    <w:rsid w:val="33EC4C02"/>
    <w:rsid w:val="33ED2311"/>
    <w:rsid w:val="33F12F68"/>
    <w:rsid w:val="340D2360"/>
    <w:rsid w:val="3410665D"/>
    <w:rsid w:val="34211214"/>
    <w:rsid w:val="342E63AB"/>
    <w:rsid w:val="345D4997"/>
    <w:rsid w:val="34950E68"/>
    <w:rsid w:val="34986E94"/>
    <w:rsid w:val="34AF62C9"/>
    <w:rsid w:val="34CB4388"/>
    <w:rsid w:val="34FA6E12"/>
    <w:rsid w:val="35057B01"/>
    <w:rsid w:val="354D7158"/>
    <w:rsid w:val="358D5588"/>
    <w:rsid w:val="35F97AD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831BF6"/>
    <w:rsid w:val="38BC0149"/>
    <w:rsid w:val="38D87D1C"/>
    <w:rsid w:val="38E560E2"/>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1D5BE1"/>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397C7D"/>
    <w:rsid w:val="40592157"/>
    <w:rsid w:val="406E1CAE"/>
    <w:rsid w:val="40A0133A"/>
    <w:rsid w:val="40C31A53"/>
    <w:rsid w:val="40FF545D"/>
    <w:rsid w:val="410067C8"/>
    <w:rsid w:val="414D0744"/>
    <w:rsid w:val="418F0D2A"/>
    <w:rsid w:val="41D01505"/>
    <w:rsid w:val="42474939"/>
    <w:rsid w:val="424C3C57"/>
    <w:rsid w:val="42613FF3"/>
    <w:rsid w:val="42660D96"/>
    <w:rsid w:val="427C3A9D"/>
    <w:rsid w:val="428667D2"/>
    <w:rsid w:val="42CD1CE0"/>
    <w:rsid w:val="42E1381E"/>
    <w:rsid w:val="42ED6459"/>
    <w:rsid w:val="42FE58DD"/>
    <w:rsid w:val="43174B3D"/>
    <w:rsid w:val="434B790E"/>
    <w:rsid w:val="4360274F"/>
    <w:rsid w:val="43977AB6"/>
    <w:rsid w:val="43A3342B"/>
    <w:rsid w:val="43BE7A02"/>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CB1744"/>
    <w:rsid w:val="48E37AAB"/>
    <w:rsid w:val="48FD4B4C"/>
    <w:rsid w:val="490A68E0"/>
    <w:rsid w:val="491055FE"/>
    <w:rsid w:val="492412B5"/>
    <w:rsid w:val="495F5B3E"/>
    <w:rsid w:val="496F77D7"/>
    <w:rsid w:val="497654FD"/>
    <w:rsid w:val="49B64211"/>
    <w:rsid w:val="49E56AF9"/>
    <w:rsid w:val="49F6167F"/>
    <w:rsid w:val="4A064FA0"/>
    <w:rsid w:val="4A16615C"/>
    <w:rsid w:val="4A4424D7"/>
    <w:rsid w:val="4AB82D0F"/>
    <w:rsid w:val="4AC266F3"/>
    <w:rsid w:val="4AEB7664"/>
    <w:rsid w:val="4AFD7C19"/>
    <w:rsid w:val="4B0567D1"/>
    <w:rsid w:val="4B236AAE"/>
    <w:rsid w:val="4B363761"/>
    <w:rsid w:val="4B386DCB"/>
    <w:rsid w:val="4B707271"/>
    <w:rsid w:val="4B9739F7"/>
    <w:rsid w:val="4BEE2503"/>
    <w:rsid w:val="4C245A30"/>
    <w:rsid w:val="4CB6685F"/>
    <w:rsid w:val="4CC367FE"/>
    <w:rsid w:val="4CD51732"/>
    <w:rsid w:val="4D077F3C"/>
    <w:rsid w:val="4D123355"/>
    <w:rsid w:val="4D2A3B31"/>
    <w:rsid w:val="4D312C52"/>
    <w:rsid w:val="4D905305"/>
    <w:rsid w:val="4D964A72"/>
    <w:rsid w:val="4D9C1254"/>
    <w:rsid w:val="4E793892"/>
    <w:rsid w:val="4E800872"/>
    <w:rsid w:val="4EC569ED"/>
    <w:rsid w:val="4ED50EA1"/>
    <w:rsid w:val="4EEC050C"/>
    <w:rsid w:val="4F06043F"/>
    <w:rsid w:val="4F104EC3"/>
    <w:rsid w:val="4F47354A"/>
    <w:rsid w:val="4F757306"/>
    <w:rsid w:val="4F911C54"/>
    <w:rsid w:val="4FE625E0"/>
    <w:rsid w:val="5021480F"/>
    <w:rsid w:val="50962ECB"/>
    <w:rsid w:val="50A42E38"/>
    <w:rsid w:val="50A4577F"/>
    <w:rsid w:val="50B73D1F"/>
    <w:rsid w:val="50BD5BC9"/>
    <w:rsid w:val="50C11EEE"/>
    <w:rsid w:val="50E97CFC"/>
    <w:rsid w:val="50F54E62"/>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5011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B2DFB"/>
    <w:rsid w:val="57CD20C2"/>
    <w:rsid w:val="57D675AB"/>
    <w:rsid w:val="57D95FDD"/>
    <w:rsid w:val="58024673"/>
    <w:rsid w:val="58826D54"/>
    <w:rsid w:val="58917D2F"/>
    <w:rsid w:val="5894085C"/>
    <w:rsid w:val="58AE4F0C"/>
    <w:rsid w:val="58B85899"/>
    <w:rsid w:val="58E363A9"/>
    <w:rsid w:val="595E1678"/>
    <w:rsid w:val="596D5BD4"/>
    <w:rsid w:val="597E3DD8"/>
    <w:rsid w:val="59D92186"/>
    <w:rsid w:val="59F442F9"/>
    <w:rsid w:val="59F80043"/>
    <w:rsid w:val="5A09252F"/>
    <w:rsid w:val="5A0B2778"/>
    <w:rsid w:val="5A2A7C7B"/>
    <w:rsid w:val="5A3E2560"/>
    <w:rsid w:val="5A5D3B6E"/>
    <w:rsid w:val="5A637A76"/>
    <w:rsid w:val="5A6D33BA"/>
    <w:rsid w:val="5A792B1F"/>
    <w:rsid w:val="5A874767"/>
    <w:rsid w:val="5AA85BE2"/>
    <w:rsid w:val="5AAD6F28"/>
    <w:rsid w:val="5AD63A24"/>
    <w:rsid w:val="5ADE5852"/>
    <w:rsid w:val="5B2E1A1D"/>
    <w:rsid w:val="5B843A1C"/>
    <w:rsid w:val="5B873E3F"/>
    <w:rsid w:val="5C02690E"/>
    <w:rsid w:val="5C196DA7"/>
    <w:rsid w:val="5C2A048C"/>
    <w:rsid w:val="5C80234E"/>
    <w:rsid w:val="5C8A680C"/>
    <w:rsid w:val="5C94512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C61F7"/>
    <w:rsid w:val="5E7A0F3F"/>
    <w:rsid w:val="5EFC7377"/>
    <w:rsid w:val="5F06174D"/>
    <w:rsid w:val="5F3A3602"/>
    <w:rsid w:val="5F45733B"/>
    <w:rsid w:val="5F6277C6"/>
    <w:rsid w:val="5F6D0B1D"/>
    <w:rsid w:val="5F6F5DF4"/>
    <w:rsid w:val="5F8D0B82"/>
    <w:rsid w:val="5FB428E4"/>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47183"/>
    <w:rsid w:val="6ADE0BD1"/>
    <w:rsid w:val="6AE96859"/>
    <w:rsid w:val="6B147746"/>
    <w:rsid w:val="6B24787C"/>
    <w:rsid w:val="6B573233"/>
    <w:rsid w:val="6B5B6274"/>
    <w:rsid w:val="6B935D53"/>
    <w:rsid w:val="6BDBAC02"/>
    <w:rsid w:val="6BFB7BD7"/>
    <w:rsid w:val="6C196F71"/>
    <w:rsid w:val="6C226FCB"/>
    <w:rsid w:val="6C31226F"/>
    <w:rsid w:val="6C552F0B"/>
    <w:rsid w:val="6C682D1D"/>
    <w:rsid w:val="6C7F73FB"/>
    <w:rsid w:val="6C8C67B7"/>
    <w:rsid w:val="6C9D744C"/>
    <w:rsid w:val="6CB14F0D"/>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61F01"/>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6204CF"/>
    <w:rsid w:val="74706664"/>
    <w:rsid w:val="747F3682"/>
    <w:rsid w:val="749C4185"/>
    <w:rsid w:val="75067759"/>
    <w:rsid w:val="752E6DCD"/>
    <w:rsid w:val="7551380D"/>
    <w:rsid w:val="75600BE5"/>
    <w:rsid w:val="7564475C"/>
    <w:rsid w:val="7583797F"/>
    <w:rsid w:val="75D20F1D"/>
    <w:rsid w:val="75DA2C18"/>
    <w:rsid w:val="75E94B68"/>
    <w:rsid w:val="75F54412"/>
    <w:rsid w:val="760F1D33"/>
    <w:rsid w:val="761D08E0"/>
    <w:rsid w:val="765D347C"/>
    <w:rsid w:val="76826699"/>
    <w:rsid w:val="76C87133"/>
    <w:rsid w:val="76CD08D5"/>
    <w:rsid w:val="76DB4B92"/>
    <w:rsid w:val="77002BF0"/>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336C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
    <w:link w:val="319"/>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_Style 2"/>
    <w:basedOn w:val="1"/>
    <w:qFormat/>
    <w:uiPriority w:val="0"/>
    <w:pPr>
      <w:ind w:firstLine="20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18429</Words>
  <Characters>19734</Characters>
  <Lines>295</Lines>
  <Paragraphs>83</Paragraphs>
  <TotalTime>35</TotalTime>
  <ScaleCrop>false</ScaleCrop>
  <LinksUpToDate>false</LinksUpToDate>
  <CharactersWithSpaces>20094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Administrator</cp:lastModifiedBy>
  <cp:lastPrinted>2024-10-21T09:29:00Z</cp:lastPrinted>
  <dcterms:modified xsi:type="dcterms:W3CDTF">2024-12-17T03:20:22Z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8D445972CF2946D19FE001213250F381_13</vt:lpwstr>
  </property>
</Properties>
</file>