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hint="eastAsia" w:ascii="宋体" w:hAnsi="宋体" w:eastAsia="宋体" w:cs="宋体"/>
          <w:b/>
          <w:bCs/>
          <w:sz w:val="56"/>
          <w:szCs w:val="56"/>
        </w:rPr>
      </w:pPr>
      <w:r>
        <w:rPr>
          <w:rFonts w:hint="eastAsia" w:ascii="宋体" w:hAnsi="宋体" w:eastAsia="宋体" w:cs="宋体"/>
          <w:b/>
          <w:bCs/>
          <w:sz w:val="56"/>
          <w:szCs w:val="56"/>
        </w:rPr>
        <w:t>杭州市萧山区第二人民医院</w:t>
      </w:r>
    </w:p>
    <w:p>
      <w:pPr>
        <w:adjustRightInd/>
        <w:spacing w:line="360" w:lineRule="auto"/>
        <w:jc w:val="center"/>
        <w:rPr>
          <w:rFonts w:hint="eastAsia" w:ascii="宋体" w:hAnsi="宋体" w:eastAsia="宋体" w:cs="宋体"/>
          <w:b/>
          <w:bCs/>
          <w:sz w:val="56"/>
          <w:szCs w:val="56"/>
        </w:rPr>
      </w:pPr>
      <w:r>
        <w:rPr>
          <w:rFonts w:hint="eastAsia" w:ascii="宋体" w:hAnsi="宋体" w:cs="宋体"/>
          <w:b/>
          <w:bCs/>
          <w:sz w:val="56"/>
          <w:szCs w:val="56"/>
          <w:lang w:val="en-US" w:eastAsia="zh-CN"/>
        </w:rPr>
        <w:t>移动式C型臂X射线机</w:t>
      </w:r>
      <w:r>
        <w:rPr>
          <w:rFonts w:hint="eastAsia" w:ascii="宋体" w:hAnsi="宋体" w:eastAsia="宋体" w:cs="宋体"/>
          <w:b/>
          <w:bCs/>
          <w:sz w:val="56"/>
          <w:szCs w:val="56"/>
        </w:rPr>
        <w:t>政府采购项目</w:t>
      </w: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color w:val="FF0000"/>
          <w:sz w:val="30"/>
          <w:szCs w:val="30"/>
          <w:lang w:eastAsia="zh-CN"/>
        </w:rPr>
      </w:pPr>
      <w:r>
        <w:rPr>
          <w:rFonts w:hint="eastAsia" w:ascii="宋体" w:hAnsi="宋体" w:cs="宋体"/>
          <w:sz w:val="30"/>
          <w:szCs w:val="30"/>
        </w:rPr>
        <w:t>编号:</w:t>
      </w:r>
      <w:r>
        <w:rPr>
          <w:rFonts w:hint="eastAsia" w:ascii="宋体" w:hAnsi="宋体" w:cs="宋体"/>
          <w:sz w:val="30"/>
          <w:szCs w:val="30"/>
          <w:lang w:val="en-US" w:eastAsia="zh-CN"/>
        </w:rPr>
        <w:t>XSEY-GYGK-</w:t>
      </w:r>
      <w:r>
        <w:rPr>
          <w:rFonts w:hint="eastAsia" w:ascii="宋体" w:hAnsi="宋体" w:cs="宋体"/>
          <w:sz w:val="30"/>
          <w:szCs w:val="30"/>
        </w:rPr>
        <w:t>2024685</w:t>
      </w:r>
      <w:r>
        <w:rPr>
          <w:rFonts w:hint="eastAsia" w:ascii="宋体" w:hAnsi="宋体" w:cs="宋体"/>
          <w:sz w:val="30"/>
          <w:szCs w:val="30"/>
          <w:lang w:val="en-US" w:eastAsia="zh-CN"/>
        </w:rPr>
        <w:t xml:space="preserve">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720" w:firstLineChars="200"/>
        <w:jc w:val="center"/>
        <w:rPr>
          <w:rFonts w:ascii="宋体" w:hAnsi="宋体" w:cs="宋体"/>
          <w:bCs/>
          <w:sz w:val="36"/>
          <w:szCs w:val="36"/>
        </w:rPr>
      </w:pPr>
    </w:p>
    <w:p>
      <w:pPr>
        <w:spacing w:line="360" w:lineRule="auto"/>
        <w:ind w:firstLine="720" w:firstLineChars="200"/>
        <w:jc w:val="center"/>
        <w:rPr>
          <w:rFonts w:ascii="宋体" w:hAnsi="宋体" w:cs="宋体"/>
          <w:bCs/>
          <w:sz w:val="36"/>
          <w:szCs w:val="36"/>
        </w:rPr>
      </w:pPr>
      <w:r>
        <w:rPr>
          <w:rFonts w:hint="eastAsia" w:ascii="宋体" w:hAnsi="宋体" w:cs="宋体"/>
          <w:bCs/>
          <w:sz w:val="36"/>
          <w:szCs w:val="36"/>
        </w:rPr>
        <w:t>杭州市萧山区第二人民医院</w:t>
      </w:r>
    </w:p>
    <w:p>
      <w:pPr>
        <w:spacing w:line="360" w:lineRule="auto"/>
        <w:ind w:firstLine="720" w:firstLineChars="200"/>
        <w:jc w:val="center"/>
        <w:rPr>
          <w:rFonts w:hint="eastAsia" w:ascii="宋体" w:hAnsi="宋体" w:eastAsia="宋体" w:cs="宋体"/>
          <w:bCs/>
          <w:sz w:val="36"/>
          <w:szCs w:val="36"/>
          <w:lang w:eastAsia="zh-CN"/>
        </w:rPr>
      </w:pPr>
      <w:r>
        <w:rPr>
          <w:rFonts w:hint="eastAsia" w:ascii="宋体" w:hAnsi="宋体" w:cs="宋体"/>
          <w:bCs/>
          <w:sz w:val="36"/>
          <w:szCs w:val="36"/>
          <w:lang w:eastAsia="zh-CN"/>
        </w:rPr>
        <w:t>浙江华域高宇项目管理有限公司</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2024年</w:t>
      </w:r>
      <w:r>
        <w:rPr>
          <w:rFonts w:hint="eastAsia" w:ascii="宋体" w:hAnsi="宋体" w:cs="宋体"/>
          <w:bCs/>
          <w:color w:val="000000" w:themeColor="text1"/>
          <w:sz w:val="32"/>
          <w:szCs w:val="32"/>
          <w:lang w:val="en-US" w:eastAsia="zh-CN"/>
          <w14:textFill>
            <w14:solidFill>
              <w14:schemeClr w14:val="tx1"/>
            </w14:solidFill>
          </w14:textFill>
        </w:rPr>
        <w:t>07</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23</w:t>
      </w:r>
      <w:r>
        <w:rPr>
          <w:rFonts w:hint="eastAsia" w:ascii="宋体" w:hAnsi="宋体" w:cs="宋体"/>
          <w:bCs/>
          <w:color w:val="000000" w:themeColor="text1"/>
          <w:sz w:val="32"/>
          <w:szCs w:val="32"/>
          <w14:textFill>
            <w14:solidFill>
              <w14:schemeClr w14:val="tx1"/>
            </w14:solidFill>
          </w14:textFill>
        </w:rPr>
        <w:t>日</w:t>
      </w:r>
    </w:p>
    <w:p>
      <w:pPr>
        <w:jc w:val="center"/>
        <w:rPr>
          <w:rFonts w:hint="eastAsia" w:eastAsia="宋体"/>
          <w:lang w:eastAsia="zh-CN"/>
        </w:rPr>
      </w:pPr>
      <w:r>
        <w:rPr>
          <w:rFonts w:hint="eastAsia"/>
          <w:lang w:val="en-US" w:eastAsia="zh-CN"/>
        </w:rPr>
        <w:t xml:space="preserve"> </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u w:val="single"/>
        </w:rPr>
        <w:t>杭州市萧山区第二人民医院</w:t>
      </w:r>
      <w:r>
        <w:rPr>
          <w:rFonts w:hint="eastAsia" w:ascii="宋体" w:hAnsi="宋体" w:cs="宋体" w:eastAsiaTheme="minorEastAsia"/>
          <w:sz w:val="24"/>
          <w:u w:val="single"/>
          <w:lang w:eastAsia="zh-CN"/>
        </w:rPr>
        <w:t>移动式C型臂X射线机</w:t>
      </w:r>
      <w:r>
        <w:rPr>
          <w:rFonts w:hint="eastAsia" w:ascii="宋体" w:hAnsi="宋体" w:cs="宋体" w:eastAsiaTheme="minorEastAsia"/>
          <w:sz w:val="24"/>
          <w:u w:val="single"/>
        </w:rPr>
        <w:t>政府采购项目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"https://www.zcygov.cn/）获取（下载）招标文件，并于2024%20年%202月29日14点00分00秒"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 xml:space="preserve">2024 </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8</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12</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14</w:t>
      </w:r>
      <w:r>
        <w:rPr>
          <w:rStyle w:val="77"/>
          <w:rFonts w:hint="eastAsia" w:cs="Times New Roman" w:asciiTheme="minorEastAsia" w:hAnsiTheme="minorEastAsia" w:eastAsiaTheme="minorEastAsia"/>
          <w:snapToGrid/>
          <w:kern w:val="2"/>
          <w:sz w:val="24"/>
          <w:szCs w:val="24"/>
        </w:rPr>
        <w:t>点00分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项目编号：XSEY-GYGK-2024685</w:t>
      </w:r>
      <w:r>
        <w:rPr>
          <w:rFonts w:hint="eastAsia" w:ascii="宋体" w:hAnsi="宋体" w:cs="宋体"/>
          <w:bCs/>
          <w:sz w:val="24"/>
          <w:lang w:val="en-US" w:eastAsia="zh-CN"/>
        </w:rPr>
        <w:t xml:space="preserve">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杭州市萧山区第二人民医院</w:t>
      </w:r>
      <w:r>
        <w:rPr>
          <w:rFonts w:hint="eastAsia" w:ascii="宋体" w:hAnsi="宋体" w:cs="宋体"/>
          <w:sz w:val="24"/>
          <w:lang w:eastAsia="zh-CN"/>
        </w:rPr>
        <w:t>移动式C型臂X射线机</w:t>
      </w:r>
      <w:r>
        <w:rPr>
          <w:rFonts w:hint="eastAsia" w:ascii="宋体" w:hAnsi="宋体" w:cs="宋体"/>
          <w:sz w:val="24"/>
        </w:rPr>
        <w:t>政府采购项目</w:t>
      </w:r>
    </w:p>
    <w:p>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rPr>
        <w:t xml:space="preserve"> </w:t>
      </w:r>
      <w:r>
        <w:rPr>
          <w:rFonts w:hint="eastAsia" w:ascii="宋体" w:hAnsi="宋体" w:cs="宋体"/>
          <w:sz w:val="24"/>
          <w:lang w:val="en-US" w:eastAsia="zh-CN"/>
        </w:rPr>
        <w:t>135</w:t>
      </w:r>
      <w:r>
        <w:rPr>
          <w:rFonts w:hint="eastAsia" w:ascii="宋体" w:hAnsi="宋体" w:cs="宋体"/>
          <w:sz w:val="24"/>
        </w:rPr>
        <w:t>0000</w:t>
      </w:r>
      <w:r>
        <w:rPr>
          <w:rFonts w:hint="eastAsia" w:ascii="宋体" w:hAnsi="宋体" w:cs="宋体"/>
          <w:sz w:val="24"/>
          <w:lang w:val="en-US" w:eastAsia="zh-CN"/>
        </w:rPr>
        <w:t>.00</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bCs/>
          <w:sz w:val="24"/>
        </w:rPr>
        <w:t xml:space="preserve"> </w:t>
      </w:r>
      <w:r>
        <w:rPr>
          <w:rFonts w:hint="eastAsia" w:ascii="宋体" w:hAnsi="宋体" w:cs="宋体"/>
          <w:sz w:val="24"/>
          <w:lang w:val="en-US" w:eastAsia="zh-CN"/>
        </w:rPr>
        <w:t>135</w:t>
      </w:r>
      <w:r>
        <w:rPr>
          <w:rFonts w:hint="eastAsia" w:ascii="宋体" w:hAnsi="宋体" w:cs="宋体"/>
          <w:bCs/>
          <w:sz w:val="24"/>
        </w:rPr>
        <w:t>0000</w:t>
      </w:r>
      <w:r>
        <w:rPr>
          <w:rFonts w:hint="eastAsia" w:ascii="宋体" w:hAnsi="宋体" w:cs="宋体"/>
          <w:sz w:val="24"/>
          <w:lang w:val="en-US" w:eastAsia="zh-CN"/>
        </w:rPr>
        <w:t>.00</w:t>
      </w:r>
    </w:p>
    <w:p>
      <w:pPr>
        <w:spacing w:line="360" w:lineRule="auto"/>
        <w:ind w:firstLine="482" w:firstLineChars="200"/>
        <w:rPr>
          <w:rFonts w:hAnsi="宋体" w:cs="宋体"/>
          <w:bCs/>
          <w:sz w:val="24"/>
        </w:rPr>
      </w:pPr>
      <w:r>
        <w:rPr>
          <w:rFonts w:hint="eastAsia" w:hAnsi="宋体" w:cs="宋体"/>
          <w:b/>
          <w:sz w:val="24"/>
        </w:rPr>
        <w:t>采购需求：</w:t>
      </w:r>
      <w:r>
        <w:rPr>
          <w:rFonts w:hint="eastAsia" w:hAnsi="宋体" w:cs="宋体"/>
          <w:bCs/>
          <w:color w:val="000000" w:themeColor="text1"/>
          <w:spacing w:val="-6"/>
          <w:sz w:val="24"/>
          <w14:textFill>
            <w14:solidFill>
              <w14:schemeClr w14:val="tx1"/>
            </w14:solidFill>
          </w14:textFill>
        </w:rPr>
        <w:t>杭州市萧山区第二人民医院</w:t>
      </w:r>
      <w:r>
        <w:rPr>
          <w:rFonts w:hint="eastAsia" w:hAnsi="宋体" w:cs="宋体"/>
          <w:bCs/>
          <w:color w:val="000000" w:themeColor="text1"/>
          <w:spacing w:val="-6"/>
          <w:sz w:val="24"/>
          <w:lang w:eastAsia="zh-CN"/>
          <w14:textFill>
            <w14:solidFill>
              <w14:schemeClr w14:val="tx1"/>
            </w14:solidFill>
          </w14:textFill>
        </w:rPr>
        <w:t>移动式C型臂X射线机</w:t>
      </w:r>
      <w:r>
        <w:rPr>
          <w:rFonts w:hint="eastAsia" w:hAnsi="宋体" w:cs="宋体"/>
          <w:bCs/>
          <w:color w:val="000000" w:themeColor="text1"/>
          <w:spacing w:val="-6"/>
          <w:sz w:val="24"/>
          <w14:textFill>
            <w14:solidFill>
              <w14:schemeClr w14:val="tx1"/>
            </w14:solidFill>
          </w14:textFill>
        </w:rPr>
        <w:t>政府采购项目</w:t>
      </w:r>
      <w:r>
        <w:rPr>
          <w:rFonts w:hint="eastAsia" w:ascii="宋体" w:hAnsi="宋体" w:cs="宋体"/>
          <w:color w:val="000000" w:themeColor="text1"/>
          <w:spacing w:val="-6"/>
          <w:sz w:val="24"/>
          <w14:textFill>
            <w14:solidFill>
              <w14:schemeClr w14:val="tx1"/>
            </w14:solidFill>
          </w14:textFill>
        </w:rPr>
        <w:t>，</w:t>
      </w:r>
      <w:r>
        <w:rPr>
          <w:rFonts w:hint="eastAsia" w:hAnsi="宋体" w:cs="宋体"/>
          <w:bCs/>
          <w:color w:val="000000" w:themeColor="text1"/>
          <w:spacing w:val="-6"/>
          <w:sz w:val="24"/>
          <w14:textFill>
            <w14:solidFill>
              <w14:schemeClr w14:val="tx1"/>
            </w14:solidFill>
          </w14:textFill>
        </w:rPr>
        <w:t>主要内容：</w:t>
      </w:r>
      <w:r>
        <w:rPr>
          <w:rFonts w:hint="eastAsia" w:asciiTheme="minorEastAsia" w:hAnsiTheme="minorEastAsia" w:eastAsiaTheme="minorEastAsia"/>
          <w:color w:val="000000" w:themeColor="text1"/>
          <w:spacing w:val="-6"/>
          <w:sz w:val="24"/>
          <w14:textFill>
            <w14:solidFill>
              <w14:schemeClr w14:val="tx1"/>
            </w14:solidFill>
          </w14:textFill>
        </w:rPr>
        <w:t>具体以招标文件第三部分采购需求为准，供应商可点击本公告下方“浏览采购文件”查看采购需求。</w:t>
      </w:r>
    </w:p>
    <w:p>
      <w:pPr>
        <w:pStyle w:val="129"/>
        <w:ind w:firstLine="482"/>
        <w:outlineLvl w:val="2"/>
        <w:rPr>
          <w:rFonts w:ascii="宋体" w:hAnsi="宋体" w:cs="宋体"/>
        </w:rPr>
      </w:pPr>
      <w:r>
        <w:rPr>
          <w:rFonts w:hint="eastAsia" w:ascii="宋体" w:hAnsi="宋体" w:cs="宋体"/>
          <w:b/>
        </w:rPr>
        <w:t>合同履约期限：</w:t>
      </w:r>
      <w:r>
        <w:rPr>
          <w:rFonts w:hint="eastAsia" w:ascii="宋体" w:hAnsi="宋体" w:cs="宋体"/>
        </w:rPr>
        <w:t xml:space="preserve">按招标文件要求 </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465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6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46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46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46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46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u w:val="single"/>
        </w:rPr>
        <w:t xml:space="preserve">  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 xml:space="preserve"> 点</w:t>
      </w:r>
      <w:r>
        <w:rPr>
          <w:rFonts w:hint="eastAsia" w:ascii="宋体" w:hAnsi="宋体" w:cs="宋体"/>
          <w:sz w:val="24"/>
          <w:u w:val="single"/>
          <w:lang w:val="en-US" w:eastAsia="zh-CN"/>
        </w:rPr>
        <w:t>0</w:t>
      </w:r>
      <w:r>
        <w:rPr>
          <w:rFonts w:ascii="宋体" w:hAnsi="宋体" w:cs="宋体"/>
          <w:sz w:val="24"/>
          <w:u w:val="single"/>
        </w:rPr>
        <w:t>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12</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bookmarkStart w:id="566" w:name="_GoBack"/>
      <w:bookmarkEnd w:id="566"/>
      <w:r>
        <w:rPr>
          <w:rFonts w:ascii="宋体" w:hAnsi="宋体" w:cs="宋体"/>
          <w:sz w:val="24"/>
          <w:u w:val="single"/>
        </w:rPr>
        <w:t>0</w:t>
      </w:r>
      <w:r>
        <w:rPr>
          <w:rFonts w:hint="eastAsia" w:ascii="宋体" w:hAnsi="宋体" w:cs="宋体"/>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称：杭州市萧山区第二人民医院 </w:t>
      </w:r>
    </w:p>
    <w:p>
      <w:pPr>
        <w:spacing w:line="360" w:lineRule="auto"/>
        <w:rPr>
          <w:rFonts w:ascii="宋体" w:hAnsi="宋体" w:cs="宋体"/>
          <w:sz w:val="24"/>
        </w:rPr>
      </w:pPr>
      <w:r>
        <w:rPr>
          <w:rFonts w:hint="eastAsia" w:ascii="宋体" w:hAnsi="宋体" w:cs="宋体"/>
          <w:sz w:val="24"/>
        </w:rPr>
        <w:t xml:space="preserve">    地    址：杭州市萧山区瓜沥镇东灵路47号       </w:t>
      </w:r>
    </w:p>
    <w:p>
      <w:pPr>
        <w:spacing w:line="360" w:lineRule="auto"/>
        <w:ind w:firstLine="480" w:firstLineChars="200"/>
        <w:rPr>
          <w:rFonts w:ascii="宋体" w:hAnsi="宋体" w:cs="宋体"/>
          <w:sz w:val="24"/>
        </w:rPr>
      </w:pPr>
      <w:r>
        <w:rPr>
          <w:rFonts w:hint="eastAsia" w:ascii="宋体" w:hAnsi="宋体" w:cs="宋体"/>
          <w:sz w:val="24"/>
        </w:rPr>
        <w:t>传    真： /</w:t>
      </w:r>
    </w:p>
    <w:p>
      <w:pPr>
        <w:spacing w:line="360" w:lineRule="auto"/>
        <w:ind w:firstLine="480" w:firstLineChars="200"/>
        <w:rPr>
          <w:rFonts w:ascii="宋体" w:hAnsi="宋体" w:cs="宋体"/>
          <w:sz w:val="24"/>
        </w:rPr>
      </w:pPr>
      <w:r>
        <w:rPr>
          <w:rFonts w:hint="eastAsia" w:ascii="宋体" w:hAnsi="宋体" w:cs="宋体"/>
          <w:sz w:val="24"/>
        </w:rPr>
        <w:t>项目联系人（询问）：俞国水</w:t>
      </w:r>
    </w:p>
    <w:p>
      <w:pPr>
        <w:spacing w:line="360" w:lineRule="auto"/>
        <w:ind w:firstLine="480" w:firstLineChars="200"/>
        <w:rPr>
          <w:rFonts w:ascii="宋体" w:hAnsi="宋体" w:cs="宋体"/>
          <w:sz w:val="24"/>
        </w:rPr>
      </w:pPr>
      <w:r>
        <w:rPr>
          <w:rFonts w:hint="eastAsia" w:ascii="宋体" w:hAnsi="宋体" w:cs="宋体"/>
          <w:sz w:val="24"/>
        </w:rPr>
        <w:t>项目联系方式（询问）：0571-82577256</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杨月汉</w:t>
      </w:r>
    </w:p>
    <w:p>
      <w:pPr>
        <w:spacing w:line="360" w:lineRule="auto"/>
        <w:ind w:firstLine="480" w:firstLineChars="200"/>
        <w:rPr>
          <w:rFonts w:ascii="宋体" w:hAnsi="宋体" w:cs="宋体"/>
          <w:sz w:val="24"/>
        </w:rPr>
      </w:pPr>
      <w:r>
        <w:rPr>
          <w:rFonts w:hint="eastAsia" w:ascii="宋体" w:hAnsi="宋体" w:cs="宋体"/>
          <w:sz w:val="24"/>
        </w:rPr>
        <w:t>质疑联系方式：0571-8257</w:t>
      </w:r>
      <w:r>
        <w:rPr>
          <w:rFonts w:hint="eastAsia" w:ascii="宋体" w:hAnsi="宋体" w:cs="宋体"/>
          <w:sz w:val="24"/>
          <w:lang w:val="en-US" w:eastAsia="zh-CN"/>
        </w:rPr>
        <w:t>7207</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宋体" w:hAnsi="宋体" w:cs="宋体"/>
          <w:sz w:val="24"/>
        </w:rPr>
      </w:pPr>
      <w:r>
        <w:rPr>
          <w:rFonts w:hint="eastAsia" w:ascii="宋体" w:hAnsi="宋体" w:cs="宋体"/>
          <w:sz w:val="24"/>
        </w:rPr>
        <w:t>名 称：浙江华域高宇项目管理有限公司</w:t>
      </w:r>
    </w:p>
    <w:p>
      <w:pPr>
        <w:spacing w:line="360" w:lineRule="auto"/>
        <w:ind w:firstLine="480" w:firstLineChars="200"/>
        <w:rPr>
          <w:rFonts w:ascii="宋体" w:hAnsi="宋体" w:cs="宋体"/>
          <w:sz w:val="24"/>
        </w:rPr>
      </w:pPr>
      <w:r>
        <w:rPr>
          <w:rFonts w:hint="eastAsia" w:ascii="宋体" w:hAnsi="宋体" w:cs="宋体"/>
          <w:sz w:val="24"/>
        </w:rPr>
        <w:t>地址：萧山区北干街道金城路560号心意广场2幢1101室</w:t>
      </w:r>
    </w:p>
    <w:p>
      <w:pPr>
        <w:spacing w:line="360" w:lineRule="auto"/>
        <w:ind w:firstLine="480" w:firstLineChars="200"/>
        <w:rPr>
          <w:rFonts w:ascii="宋体" w:hAnsi="宋体" w:cs="宋体"/>
          <w:sz w:val="24"/>
        </w:rPr>
      </w:pPr>
      <w:r>
        <w:rPr>
          <w:rFonts w:hint="eastAsia" w:ascii="宋体" w:hAnsi="宋体" w:cs="宋体"/>
          <w:sz w:val="24"/>
        </w:rPr>
        <w:t>传真：0571-22866657</w:t>
      </w:r>
    </w:p>
    <w:p>
      <w:pPr>
        <w:spacing w:line="360" w:lineRule="auto"/>
        <w:ind w:firstLine="480" w:firstLineChars="200"/>
        <w:rPr>
          <w:rFonts w:ascii="宋体" w:hAnsi="宋体" w:cs="宋体"/>
          <w:sz w:val="24"/>
        </w:rPr>
      </w:pPr>
      <w:r>
        <w:rPr>
          <w:rFonts w:hint="eastAsia" w:ascii="宋体" w:hAnsi="宋体" w:cs="宋体"/>
          <w:sz w:val="24"/>
        </w:rPr>
        <w:t>项目联系人（询问）：陈超</w:t>
      </w:r>
    </w:p>
    <w:p>
      <w:pPr>
        <w:spacing w:line="360" w:lineRule="auto"/>
        <w:ind w:firstLine="480" w:firstLineChars="200"/>
        <w:rPr>
          <w:rFonts w:ascii="宋体" w:hAnsi="宋体" w:cs="宋体"/>
          <w:sz w:val="24"/>
        </w:rPr>
      </w:pPr>
      <w:r>
        <w:rPr>
          <w:rFonts w:hint="eastAsia" w:ascii="宋体" w:hAnsi="宋体" w:cs="宋体"/>
          <w:sz w:val="24"/>
        </w:rPr>
        <w:t>项目联系方式（询问）：0571-22816663/13738195695</w:t>
      </w:r>
    </w:p>
    <w:p>
      <w:pPr>
        <w:spacing w:line="360" w:lineRule="auto"/>
        <w:ind w:firstLine="480" w:firstLineChars="200"/>
        <w:rPr>
          <w:rFonts w:ascii="宋体" w:hAnsi="宋体" w:cs="宋体"/>
          <w:sz w:val="24"/>
        </w:rPr>
      </w:pPr>
      <w:r>
        <w:rPr>
          <w:rFonts w:hint="eastAsia" w:ascii="宋体" w:hAnsi="宋体" w:cs="宋体"/>
          <w:sz w:val="24"/>
        </w:rPr>
        <w:t>质疑联系人：付钰航</w:t>
      </w:r>
    </w:p>
    <w:p>
      <w:pPr>
        <w:spacing w:line="360" w:lineRule="auto"/>
        <w:ind w:firstLine="480" w:firstLineChars="200"/>
        <w:rPr>
          <w:rFonts w:ascii="宋体" w:hAnsi="宋体" w:cs="宋体"/>
          <w:sz w:val="24"/>
        </w:rPr>
      </w:pPr>
      <w:r>
        <w:rPr>
          <w:rFonts w:hint="eastAsia" w:ascii="宋体" w:hAnsi="宋体" w:cs="宋体"/>
          <w:sz w:val="24"/>
        </w:rPr>
        <w:t>质疑联系方式：0571-22816663</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ascii="宋体" w:hAnsi="宋体" w:cs="宋体"/>
          <w:sz w:val="24"/>
        </w:rPr>
      </w:pPr>
      <w:r>
        <w:rPr>
          <w:rFonts w:hint="eastAsia" w:ascii="宋体" w:hAnsi="宋体" w:cs="宋体"/>
          <w:sz w:val="24"/>
        </w:rPr>
        <w:t xml:space="preserve">   名    称：萧山区财政局、浙江省政府采购行政裁决服务中心（杭州）</w:t>
      </w:r>
    </w:p>
    <w:p>
      <w:pPr>
        <w:spacing w:line="360" w:lineRule="auto"/>
        <w:ind w:left="237" w:leftChars="113" w:firstLine="180" w:firstLineChars="75"/>
        <w:rPr>
          <w:rFonts w:ascii="宋体" w:hAnsi="宋体" w:cs="宋体"/>
          <w:sz w:val="24"/>
        </w:rPr>
      </w:pPr>
      <w:r>
        <w:rPr>
          <w:rFonts w:hint="eastAsia" w:ascii="宋体" w:hAnsi="宋体" w:cs="宋体"/>
          <w:sz w:val="24"/>
        </w:rPr>
        <w:t>地    址：杭州市上城区四季青街道新业路市民之家G03办公室（快递仅限ems或顺丰）</w:t>
      </w:r>
    </w:p>
    <w:p>
      <w:pPr>
        <w:spacing w:line="360" w:lineRule="auto"/>
        <w:ind w:left="237" w:leftChars="113" w:firstLine="180" w:firstLineChars="75"/>
        <w:rPr>
          <w:rFonts w:ascii="宋体" w:hAnsi="宋体" w:cs="宋体"/>
          <w:sz w:val="24"/>
        </w:rPr>
      </w:pPr>
      <w:r>
        <w:rPr>
          <w:rFonts w:hint="eastAsia" w:ascii="宋体" w:hAnsi="宋体" w:cs="宋体"/>
          <w:sz w:val="24"/>
        </w:rPr>
        <w:t>传   真：/</w:t>
      </w:r>
    </w:p>
    <w:p>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监督投诉电话：0571-85252453 </w:t>
      </w:r>
    </w:p>
    <w:p>
      <w:pPr>
        <w:spacing w:line="360" w:lineRule="auto"/>
        <w:ind w:firstLine="420"/>
        <w:rPr>
          <w:rFonts w:ascii="宋体" w:hAnsi="宋体" w:cs="宋体"/>
          <w:sz w:val="24"/>
        </w:rPr>
      </w:pPr>
      <w:r>
        <w:rPr>
          <w:rFonts w:hint="eastAsia" w:ascii="宋体" w:hAnsi="宋体" w:cs="宋体"/>
          <w:sz w:val="24"/>
        </w:rPr>
        <w:t>政策咨询电话：0571-82756122  （汤先生）</w:t>
      </w:r>
    </w:p>
    <w:p>
      <w:pPr>
        <w:spacing w:line="360" w:lineRule="auto"/>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jc w:val="left"/>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360" w:lineRule="auto"/>
              <w:rPr>
                <w:sz w:val="24"/>
              </w:rPr>
            </w:pPr>
            <w:r>
              <w:rPr>
                <w:rFonts w:hint="eastAsia" w:ascii="宋体" w:hAnsi="宋体" w:cs="宋体"/>
                <w:sz w:val="24"/>
              </w:rPr>
              <w:t>标的：</w:t>
            </w:r>
            <w:r>
              <w:rPr>
                <w:rFonts w:hint="eastAsia"/>
                <w:sz w:val="24"/>
              </w:rPr>
              <w:t>杭州市萧山区第二人民医院</w:t>
            </w:r>
            <w:r>
              <w:rPr>
                <w:rFonts w:hint="eastAsia"/>
                <w:sz w:val="24"/>
                <w:lang w:eastAsia="zh-CN"/>
              </w:rPr>
              <w:t>移动式C型臂X射线机</w:t>
            </w:r>
            <w:r>
              <w:rPr>
                <w:rFonts w:hint="eastAsia"/>
                <w:sz w:val="24"/>
              </w:rPr>
              <w:t>政府采购项目，属于</w:t>
            </w:r>
            <w:r>
              <w:rPr>
                <w:rFonts w:hint="eastAsia" w:ascii="宋体" w:hAnsi="宋体" w:cs="宋体"/>
                <w:color w:val="333333"/>
                <w:sz w:val="24"/>
                <w:shd w:val="clear" w:color="auto" w:fill="FFFFFF"/>
              </w:rPr>
              <w:t>工业</w:t>
            </w:r>
            <w:r>
              <w:rPr>
                <w:rFonts w:hint="eastAsia"/>
                <w:sz w:val="24"/>
              </w:rPr>
              <w:t>：</w:t>
            </w:r>
          </w:p>
          <w:p>
            <w:pPr>
              <w:pStyle w:val="3"/>
            </w:pPr>
            <w:r>
              <w:rPr>
                <w:rFonts w:hint="eastAsia" w:ascii="仿宋" w:eastAsia="仿宋" w:cs="仿宋"/>
                <w:sz w:val="24"/>
                <w:szCs w:val="24"/>
                <w:lang w:val="en-US"/>
              </w:rPr>
              <w:t>……</w:t>
            </w:r>
          </w:p>
          <w:p>
            <w:r>
              <w:rPr>
                <w:rFonts w:hint="eastAsia" w:ascii="宋体" w:hAnsi="宋体" w:cs="宋体"/>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sdt>
              <w:sdtPr>
                <w:rPr>
                  <w:rFonts w:hint="eastAsia"/>
                </w:rPr>
                <w:id w:val="4658"/>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本项目不允许采购进口产品。</w:t>
            </w:r>
          </w:p>
          <w:p>
            <w:sdt>
              <w:sdtPr>
                <w:rPr>
                  <w:rFonts w:hint="eastAsia"/>
                </w:rPr>
                <w:id w:val="465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可以就    采购进口产品。</w:t>
            </w:r>
            <w:r>
              <w:rPr>
                <w:rFonts w:hint="eastAsia" w:ascii="宋体" w:hAnsi="宋体" w:cs="宋体"/>
                <w:kern w:val="0"/>
                <w:sz w:val="24"/>
              </w:rPr>
              <w:t>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466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46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6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4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4664"/>
                <w14:checkbox>
                  <w14:checked w14:val="1"/>
                  <w14:checkedState w14:val="00FE" w14:font="Wingdings"/>
                  <w14:uncheckedState w14:val="2610" w14:font="MS Gothic"/>
                </w14:checkbox>
              </w:sdtPr>
              <w:sdtEndPr>
                <w:rPr>
                  <w:rFonts w:hint="eastAsia"/>
                </w:rPr>
              </w:sdtEndPr>
              <w:sdtContent>
                <w:r>
                  <w:rPr>
                    <w:rFonts w:hint="eastAsia" w:ascii="Wingdings" w:hAnsi="Wingdings"/>
                  </w:rPr>
                  <w:t>þ</w:t>
                </w:r>
              </w:sdtContent>
            </w:sdt>
            <w:r>
              <w:rPr>
                <w:rFonts w:hint="eastAsia"/>
              </w:rPr>
              <w:t>A</w:t>
            </w:r>
            <w:r>
              <w:rPr>
                <w:rFonts w:hint="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67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20" w:firstLineChars="200"/>
            </w:pPr>
            <w:r>
              <w:rPr>
                <w:rFonts w:hint="eastAsi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pPr>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77"/>
                <w:rFonts w:ascii="仿宋" w:hAnsi="仿宋" w:eastAsia="仿宋" w:cstheme="majorBidi"/>
                <w:snapToGrid/>
                <w:sz w:val="22"/>
                <w:szCs w:val="24"/>
              </w:rPr>
              <w:t>http://www.xiaoshan.gov.cn/art/2018/12/20/art_1229293109_1559514.html</w:t>
            </w:r>
            <w:r>
              <w:rPr>
                <w:rStyle w:val="77"/>
                <w:rFonts w:ascii="仿宋" w:hAnsi="仿宋" w:eastAsia="仿宋" w:cstheme="majorBidi"/>
                <w:snapToGrid/>
                <w:sz w:val="22"/>
                <w:szCs w:val="24"/>
              </w:rPr>
              <w:fldChar w:fldCharType="end"/>
            </w: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szCs w:val="24"/>
              </w:rPr>
            </w:pPr>
            <w:r>
              <w:rPr>
                <w:rFonts w:hint="eastAsia" w:hAnsi="宋体" w:cs="宋体"/>
                <w:kern w:val="28"/>
                <w:sz w:val="24"/>
                <w:szCs w:val="24"/>
              </w:rPr>
              <w:t>本项目备份文件是否收取：可提交备份</w:t>
            </w:r>
          </w:p>
          <w:p>
            <w:pPr>
              <w:pStyle w:val="33"/>
              <w:spacing w:line="360" w:lineRule="auto"/>
              <w:rPr>
                <w:rFonts w:hAnsi="宋体" w:cs="宋体"/>
                <w:sz w:val="24"/>
                <w:szCs w:val="24"/>
              </w:rPr>
            </w:pPr>
            <w:r>
              <w:rPr>
                <w:rFonts w:hint="eastAsia" w:hAnsi="宋体" w:cs="宋体"/>
                <w:kern w:val="28"/>
                <w:sz w:val="24"/>
                <w:szCs w:val="24"/>
              </w:rPr>
              <w:t>备份投标文件送达地点：</w:t>
            </w:r>
            <w:r>
              <w:rPr>
                <w:rFonts w:hint="eastAsia" w:hAnsi="宋体" w:cs="宋体"/>
                <w:kern w:val="28"/>
                <w:sz w:val="24"/>
                <w:szCs w:val="24"/>
                <w:u w:val="single"/>
              </w:rPr>
              <w:t>萧山区北干街道金城路560号心意广场2幢11楼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0571-82858325</w:t>
            </w:r>
            <w:r>
              <w:rPr>
                <w:rFonts w:hint="eastAsia" w:hAnsi="宋体" w:cs="宋体"/>
                <w:sz w:val="24"/>
                <w:szCs w:val="24"/>
              </w:rPr>
              <w:t>。</w:t>
            </w:r>
          </w:p>
          <w:p>
            <w:pPr>
              <w:pStyle w:val="33"/>
              <w:spacing w:line="360" w:lineRule="auto"/>
              <w:rPr>
                <w:rFonts w:hAnsi="宋体" w:cs="宋体"/>
                <w:b/>
                <w:sz w:val="24"/>
                <w:szCs w:val="24"/>
              </w:rPr>
            </w:pPr>
            <w:r>
              <w:rPr>
                <w:rFonts w:hint="eastAsia" w:hAnsi="宋体" w:cs="宋体"/>
                <w:b/>
                <w:sz w:val="24"/>
                <w:szCs w:val="24"/>
              </w:rPr>
              <w:t>采购人、采购代理机构不强制或变相强制投标人提交备份投标文件。</w:t>
            </w:r>
          </w:p>
          <w:p>
            <w:pPr>
              <w:pStyle w:val="33"/>
              <w:spacing w:line="360" w:lineRule="auto"/>
              <w:rPr>
                <w:rFonts w:hAnsi="宋体" w:cs="宋体"/>
                <w:b/>
                <w:sz w:val="24"/>
                <w:szCs w:val="24"/>
              </w:rPr>
            </w:pPr>
            <w:r>
              <w:rPr>
                <w:rFonts w:hint="eastAsia" w:hAnsi="宋体" w:cs="宋体"/>
                <w:b/>
                <w:sz w:val="24"/>
                <w:szCs w:val="24"/>
              </w:rPr>
              <w:t>本项目中标单位在领取中标通知书的同时提供纸质的投标文件一正三副。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13</w:t>
            </w:r>
          </w:p>
        </w:tc>
        <w:tc>
          <w:tcPr>
            <w:tcW w:w="1843" w:type="dxa"/>
            <w:tcBorders>
              <w:top w:val="single" w:color="000000" w:sz="8" w:space="0"/>
              <w:left w:val="single" w:color="000000" w:sz="2" w:space="0"/>
              <w:bottom w:val="single" w:color="000000" w:sz="8" w:space="0"/>
              <w:right w:val="single" w:color="000000" w:sz="8" w:space="0"/>
            </w:tcBorders>
            <w:vAlign w:val="center"/>
          </w:tcPr>
          <w:p>
            <w:r>
              <w:rPr>
                <w:rFonts w:hint="eastAsia"/>
                <w:b/>
                <w:sz w:val="22"/>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r>
              <w:rPr>
                <w:rFonts w:hint="eastAsia" w:ascii="宋体" w:hAnsi="宋体" w:cs="宋体"/>
                <w:sz w:val="24"/>
                <w:lang w:val="zh-CN"/>
              </w:rPr>
              <w:t>本项目的招标代理服务费由中标人支付。招标代理服务费计费标准：以中标（成交）金额为计费基准，按计价格[2002]1980号文货物类收费标准下浮</w:t>
            </w:r>
            <w:r>
              <w:rPr>
                <w:rFonts w:hint="eastAsia" w:ascii="宋体" w:hAnsi="宋体" w:cs="宋体"/>
                <w:sz w:val="24"/>
              </w:rPr>
              <w:t>40%</w:t>
            </w:r>
            <w:r>
              <w:rPr>
                <w:rFonts w:hint="eastAsia" w:ascii="宋体" w:hAnsi="宋体" w:cs="宋体"/>
                <w:sz w:val="24"/>
                <w:lang w:val="zh-CN"/>
              </w:rPr>
              <w:t>计取。不足</w:t>
            </w:r>
            <w:r>
              <w:rPr>
                <w:rFonts w:hint="eastAsia" w:ascii="宋体" w:hAnsi="宋体" w:cs="宋体"/>
                <w:sz w:val="24"/>
              </w:rPr>
              <w:t>5000元按5000元计。结算方式及时间为：中标人在领取中标通知书前向采购代理机构支付招标代理服务费。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14</w:t>
            </w:r>
          </w:p>
        </w:tc>
        <w:tc>
          <w:tcPr>
            <w:tcW w:w="1843" w:type="dxa"/>
            <w:tcBorders>
              <w:top w:val="single" w:color="000000" w:sz="8" w:space="0"/>
              <w:left w:val="single" w:color="000000" w:sz="2" w:space="0"/>
              <w:bottom w:val="single" w:color="000000" w:sz="8" w:space="0"/>
              <w:right w:val="single" w:color="000000" w:sz="8" w:space="0"/>
            </w:tcBorders>
            <w:vAlign w:val="center"/>
          </w:tcPr>
          <w:p>
            <w:r>
              <w:rPr>
                <w:rFonts w:hint="eastAsia"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r>
              <w:rPr>
                <w:rFonts w:hint="eastAsia" w:cs="仿宋_GB2312"/>
                <w:sz w:val="22"/>
              </w:rPr>
              <w:t>本项目</w:t>
            </w:r>
            <w:r>
              <w:rPr>
                <w:rFonts w:cs="仿宋_GB2312"/>
                <w:sz w:val="22"/>
              </w:rPr>
              <w:t>由采购人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sz w:val="22"/>
              </w:rPr>
            </w:pPr>
            <w:r>
              <w:rPr>
                <w:rFonts w:hint="eastAsia"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pPr>
              <w:snapToGrid w:val="0"/>
              <w:spacing w:line="360" w:lineRule="auto"/>
              <w:rPr>
                <w:b/>
                <w:color w:val="000000"/>
                <w:sz w:val="22"/>
              </w:rPr>
            </w:pPr>
            <w:r>
              <w:rPr>
                <w:rFonts w:hint="eastAsia"/>
                <w:b/>
                <w:color w:val="000000"/>
                <w:sz w:val="22"/>
              </w:rPr>
              <w:t>线上提交质疑方式：政采云线上质疑路径：项目采购-询问质疑投诉-质疑列表。请使用ca签章在每一页质疑文件中加盖电子公章，上传完整附件。</w:t>
            </w:r>
          </w:p>
          <w:p>
            <w:pPr>
              <w:snapToGrid w:val="0"/>
              <w:spacing w:line="360" w:lineRule="auto"/>
              <w:rPr>
                <w:sz w:val="22"/>
              </w:rPr>
            </w:pPr>
            <w:r>
              <w:rPr>
                <w:rFonts w:hint="eastAsia"/>
                <w:color w:val="000000"/>
                <w:sz w:val="22"/>
              </w:rPr>
              <w:t>本项目涉及</w:t>
            </w:r>
            <w:r>
              <w:rPr>
                <w:rFonts w:hint="eastAsia"/>
                <w:sz w:val="22"/>
              </w:rPr>
              <w:t>资格条件、采购需求、评分办法及采购过程中有关现场考察或开标前答疑会等事项由</w:t>
            </w:r>
            <w:r>
              <w:rPr>
                <w:sz w:val="22"/>
              </w:rPr>
              <w:t>采购人进行答复。</w:t>
            </w:r>
          </w:p>
          <w:p>
            <w:pPr>
              <w:rPr>
                <w:rFonts w:cs="仿宋_GB2312"/>
                <w:sz w:val="22"/>
              </w:rPr>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sz w:val="22"/>
              </w:rPr>
            </w:pPr>
            <w:r>
              <w:rPr>
                <w:rFonts w:hint="eastAsia" w:cs="仿宋"/>
                <w:b/>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rPr>
              <w:t>后</w:t>
            </w:r>
            <w:r>
              <w:t>已有新文件</w:t>
            </w:r>
            <w:r>
              <w:rPr>
                <w:rFonts w:hint="eastAsia"/>
              </w:rPr>
              <w:t>规定</w:t>
            </w:r>
            <w:r>
              <w:t>，按照最新文件执行）。存在隐蔽工程的项目，采购单位及供应商应在货物到货并将实施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pPr>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4672"/>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联合体投标的，联合体各方均需按招标文件第四部分评标标准要求提供资信证明文件，否则视为不符合相关要求。</w:t>
            </w:r>
          </w:p>
          <w:p>
            <w:pPr>
              <w:spacing w:line="360" w:lineRule="auto"/>
            </w:pPr>
            <w:sdt>
              <w:sdtPr>
                <w:rPr>
                  <w:rFonts w:hint="eastAsia"/>
                </w:rPr>
                <w:id w:val="1052570136"/>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联合体投标的，联合体中有一方或者联合体成员根据分工按招标文件第四部分评标标准要求提供资信证明文件的，视为符合了相关要求。</w:t>
            </w:r>
            <w:r>
              <w:rPr>
                <w:rFonts w:hint="eastAsia"/>
              </w:rPr>
              <w:br w:type="textWrapping"/>
            </w:r>
            <w:r>
              <w:rPr>
                <w:rFonts w:hint="eastAsia" w:cs="Arial" w:asciiTheme="minorEastAsia" w:hAnsiTheme="minorEastAsia" w:eastAsiaTheme="minorEastAsia"/>
                <w:kern w:val="0"/>
                <w:sz w:val="22"/>
                <w:szCs w:val="22"/>
              </w:rPr>
              <w:t>评审因素对应的要求视为采购需求的一部分。</w:t>
            </w:r>
          </w:p>
          <w:p>
            <w:pPr>
              <w:spacing w:line="360" w:lineRule="auto"/>
              <w:rPr>
                <w:b/>
                <w:bCs/>
              </w:rPr>
            </w:pPr>
            <w:r>
              <w:rPr>
                <w:rFonts w:hint="eastAsia"/>
                <w:b/>
                <w:bCs/>
              </w:rPr>
              <w:t>严格执行预算限价，项目如涉及办公用房装修、通用办公设备家具的不得超限额标准。（萧财国资【2019】389号）</w:t>
            </w:r>
          </w:p>
          <w:p>
            <w:pPr>
              <w:spacing w:line="360" w:lineRule="auto"/>
            </w:pPr>
            <w:r>
              <w:rPr>
                <w:rFonts w:hint="eastAsia"/>
                <w:b/>
                <w:bCs/>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rPr>
            </w:pPr>
            <w:r>
              <w:rPr>
                <w:rFonts w:hint="eastAsia"/>
                <w:b/>
                <w:bCs/>
              </w:rPr>
              <w:t>本项目每个标项推荐中标候选人数量：1</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b/>
          <w:sz w:val="32"/>
        </w:rPr>
      </w:pPr>
      <w:r>
        <w:rPr>
          <w:rFonts w:hint="eastAsia" w:ascii="宋体" w:hAnsi="宋体" w:cs="宋体"/>
        </w:rPr>
        <w:t>17.4在投标截止时间起至投标有效期届满，供应商投标文件不可撤销。</w:t>
      </w: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011"/>
      <w:bookmarkEnd w:id="20"/>
      <w:bookmarkStart w:id="21" w:name="_Hlt68057669"/>
      <w:bookmarkEnd w:id="21"/>
      <w:bookmarkStart w:id="22" w:name="_Hlt74714665"/>
      <w:bookmarkEnd w:id="22"/>
      <w:bookmarkStart w:id="23" w:name="_Hlt68403820"/>
      <w:bookmarkEnd w:id="23"/>
      <w:bookmarkStart w:id="24" w:name="_Hlt74729768"/>
      <w:bookmarkEnd w:id="24"/>
      <w:bookmarkStart w:id="25" w:name="_Hlt68072990"/>
      <w:bookmarkEnd w:id="25"/>
      <w:bookmarkStart w:id="26" w:name="_Hlt75236101"/>
      <w:bookmarkEnd w:id="26"/>
      <w:bookmarkStart w:id="27" w:name="_Hlt74707468"/>
      <w:bookmarkEnd w:id="27"/>
      <w:bookmarkStart w:id="28" w:name="_Hlt75236290"/>
      <w:bookmarkEnd w:id="28"/>
      <w:bookmarkStart w:id="29" w:name="_Hlt74730295"/>
      <w:bookmarkEnd w:id="29"/>
      <w:bookmarkStart w:id="30" w:name="_Hlt68073093"/>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napToGrid w:val="0"/>
        <w:rPr>
          <w:rStyle w:val="963"/>
        </w:rPr>
      </w:pPr>
      <w:r>
        <w:rPr>
          <w:rStyle w:val="963"/>
          <w:rFonts w:hint="eastAsia"/>
        </w:rPr>
        <w:t>属于实质性要求条款的，请用符号“▲”标明，否则属于非实质性要求。</w:t>
      </w:r>
    </w:p>
    <w:p>
      <w:pPr>
        <w:snapToGrid w:val="0"/>
        <w:rPr>
          <w:rStyle w:val="963"/>
        </w:rPr>
      </w:pPr>
      <w:r>
        <w:rPr>
          <w:rStyle w:val="963"/>
          <w:rFonts w:hint="eastAsia"/>
        </w:rPr>
        <w:t>“★”系产品采购项目中单一产品或核心产品。</w:t>
      </w:r>
    </w:p>
    <w:p>
      <w:pPr>
        <w:pStyle w:val="3"/>
      </w:pPr>
    </w:p>
    <w:p>
      <w:pPr>
        <w:pStyle w:val="3"/>
        <w:numPr>
          <w:ilvl w:val="0"/>
          <w:numId w:val="2"/>
        </w:numPr>
        <w:jc w:val="center"/>
        <w:rPr>
          <w:rFonts w:ascii="宋体" w:hAnsi="宋体" w:eastAsia="宋体" w:cs="宋体"/>
        </w:rPr>
      </w:pPr>
      <w:r>
        <w:rPr>
          <w:rFonts w:hint="eastAsia" w:ascii="宋体" w:hAnsi="宋体" w:eastAsia="宋体" w:cs="宋体"/>
        </w:rPr>
        <w:t>招标一览表</w:t>
      </w:r>
    </w:p>
    <w:p>
      <w:pPr>
        <w:pStyle w:val="5"/>
        <w:rPr>
          <w:rFonts w:ascii="宋体" w:hAnsi="宋体" w:eastAsia="宋体" w:cs="宋体"/>
        </w:rPr>
      </w:pPr>
      <w:r>
        <w:rPr>
          <w:rFonts w:hint="eastAsia" w:ascii="宋体" w:hAnsi="宋体" w:eastAsia="宋体" w:cs="宋体"/>
        </w:rPr>
        <w:t>标项一：</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480" w:firstLineChars="200"/>
              <w:jc w:val="center"/>
              <w:rPr>
                <w:rFonts w:ascii="宋体" w:hAnsi="宋体" w:cs="宋体"/>
                <w:sz w:val="24"/>
              </w:rPr>
            </w:pPr>
            <w:r>
              <w:rPr>
                <w:rFonts w:hint="eastAsia" w:ascii="宋体" w:hAnsi="宋体" w:cs="宋体"/>
                <w:sz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杭州市萧山区第二人民医院</w:t>
            </w:r>
            <w:r>
              <w:rPr>
                <w:rFonts w:hint="eastAsia" w:ascii="宋体" w:hAnsi="宋体" w:cs="宋体"/>
                <w:sz w:val="24"/>
                <w:lang w:eastAsia="zh-CN"/>
              </w:rPr>
              <w:t>移动式C型臂X射线机</w:t>
            </w:r>
            <w:r>
              <w:rPr>
                <w:rFonts w:hint="eastAsia" w:ascii="宋体" w:hAnsi="宋体" w:cs="宋体"/>
                <w:sz w:val="24"/>
              </w:rPr>
              <w:t>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sz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240" w:firstLineChars="100"/>
              <w:rPr>
                <w:rFonts w:ascii="宋体" w:hAnsi="宋体" w:cs="宋体"/>
                <w:sz w:val="24"/>
              </w:rPr>
            </w:pPr>
            <w:r>
              <w:rPr>
                <w:rFonts w:hint="eastAsia" w:ascii="宋体" w:hAnsi="宋体" w:cs="宋体"/>
                <w:sz w:val="24"/>
              </w:rPr>
              <w:t>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240" w:firstLineChars="100"/>
              <w:rPr>
                <w:rFonts w:ascii="宋体" w:hAnsi="宋体" w:cs="宋体"/>
                <w:sz w:val="24"/>
              </w:rPr>
            </w:pPr>
            <w:r>
              <w:rPr>
                <w:rFonts w:hint="eastAsia" w:ascii="宋体" w:hAnsi="宋体" w:cs="宋体"/>
                <w:sz w:val="24"/>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sz w:val="24"/>
              </w:rPr>
            </w:pPr>
          </w:p>
        </w:tc>
      </w:tr>
    </w:tbl>
    <w:p>
      <w:pPr>
        <w:pStyle w:val="3"/>
        <w:ind w:left="0" w:firstLine="0"/>
        <w:rPr>
          <w:rFonts w:ascii="宋体" w:hAnsi="宋体" w:eastAsia="宋体" w:cs="宋体"/>
          <w:sz w:val="22"/>
          <w:szCs w:val="22"/>
        </w:rPr>
      </w:pPr>
      <w:r>
        <w:rPr>
          <w:rFonts w:hint="eastAsia" w:ascii="宋体" w:hAnsi="宋体" w:eastAsia="宋体" w:cs="宋体"/>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ascii="仿宋" w:hAnsi="仿宋" w:eastAsia="仿宋" w:cs="仿宋"/>
          <w:b/>
          <w:sz w:val="22"/>
          <w:szCs w:val="22"/>
        </w:rPr>
      </w:pPr>
    </w:p>
    <w:p>
      <w:pPr>
        <w:pStyle w:val="3"/>
        <w:numPr>
          <w:ilvl w:val="0"/>
          <w:numId w:val="2"/>
        </w:numPr>
        <w:jc w:val="center"/>
        <w:rPr>
          <w:rFonts w:ascii="仿宋" w:eastAsia="仿宋" w:cs="仿宋"/>
        </w:rPr>
      </w:pPr>
      <w:r>
        <w:rPr>
          <w:rFonts w:hint="eastAsia" w:ascii="仿宋" w:eastAsia="仿宋" w:cs="仿宋"/>
        </w:rPr>
        <w:t>采购需求</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hAnsi="宋体" w:cs="宋体"/>
          <w:b w:val="0"/>
          <w:bCs w:val="0"/>
          <w:color w:val="000000"/>
          <w:sz w:val="24"/>
          <w:szCs w:val="24"/>
          <w:lang w:eastAsia="zh-CN"/>
        </w:rPr>
        <w:t>（一）</w:t>
      </w:r>
      <w:r>
        <w:rPr>
          <w:rFonts w:hint="eastAsia" w:ascii="宋体" w:hAnsi="宋体" w:eastAsia="宋体" w:cs="宋体"/>
          <w:b w:val="0"/>
          <w:bCs w:val="0"/>
          <w:color w:val="000000"/>
          <w:sz w:val="24"/>
          <w:szCs w:val="24"/>
        </w:rPr>
        <w:t>、</w:t>
      </w:r>
      <w:r>
        <w:rPr>
          <w:rFonts w:hint="eastAsia" w:hAnsi="宋体" w:cs="宋体"/>
          <w:b w:val="0"/>
          <w:bCs w:val="0"/>
          <w:color w:val="000000"/>
          <w:sz w:val="24"/>
          <w:szCs w:val="24"/>
          <w:lang w:eastAsia="zh-CN"/>
        </w:rPr>
        <w:t>技术需求</w:t>
      </w:r>
      <w:r>
        <w:rPr>
          <w:rFonts w:hint="eastAsia" w:ascii="宋体" w:hAnsi="宋体" w:eastAsia="宋体" w:cs="宋体"/>
          <w:b w:val="0"/>
          <w:bCs w:val="0"/>
          <w:color w:val="000000"/>
          <w:sz w:val="24"/>
          <w:szCs w:val="24"/>
        </w:rPr>
        <w:t>:</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 总体要求</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产品适用于骨科，疼痛科，普外科等手术中的透视成像。</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产品获得CFDA证书。</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 高压发生器</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最大输出功率≥2.3kW</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发生器频率≥20kHz</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连续透视最大KV值≥110kV</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连续透视最小KV值≥40kV</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▲2.5连续透视最大mA值≥8mA</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脉冲透视最大mA值≥20mA</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2.7</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数字点片最大mA值≥15mA</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 球管系统</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双焦点设计</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焦点大小：0.6mm/1.4mm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阳极热容量≥46KHU</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阳极散热率≥37KHU/min</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4平板探测器</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平板探测器材质晶体硅</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晶体硅探测器尺寸≥21cm x 21cm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图像采集最大像素矩阵≥230万</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图像灰阶≥32bit</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4.5图像最大空间分辨率（显示器端）≥3.4lp/mm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可变三视野：21/15/11cm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▲4.7</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像素尺寸 ≤136um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限束器和滤线栅</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具备双叶限束器</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具备虹膜限束器</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具备可拆卸滤线栅</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滤线栅密度74lp/cm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原装显示器</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医用超高清平板显示器≥27英寸</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显示器最高分辨率≥1280x1024</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显示器对比度≥1000：1</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显示器摆动臂横向移动范围 ≥210°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6.5</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显示器俯仰角调节度≥+5°/-25°</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显示器水平垂直观察角度≥178°</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6.7</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显示器摆动角度≥180°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 系统控制</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Linux或者windows工业用软件操作系统</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中文系统控制界面</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手闸，脚闸曝光控制</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控制界面电容触控屏设计</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7.5</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电容触控屏支持多点触控</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触控屏尺寸≥10.1英寸</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7.7</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触控屏最高分辨率≥1280×800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7.8</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触控屏旋转摆动角度≥270°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7.9</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具备不插电待机转场功能≥5分钟</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C形臂</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SID≥100cm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C臂开口≥78cm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C臂弧深≥66cm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▲8.4垂直升降≥44cm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8.5</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水平运动≥20cm</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左右摆角≥±12.5°</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8.7</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C臂轴向旋转角度≥±190°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8.8</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C臂轨道内运动角度≥140°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8.9</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C臂轨道内过伸角度≥55°</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▲8.11C臂和工作站一体化设计</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图像处理</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自动亮度对比度调整</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9.2</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自动去除噪点和伪影功能</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9.3</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自动金属修正功能</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9.4</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自动窗口设定功能</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9.5</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实时图像边缘增强技术</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9.6</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负片功能</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9.7</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图像左右反转，上下翻转</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9.8</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图像测量和标注功能</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9.9</w:t>
      </w:r>
      <w:r>
        <w:rPr>
          <w:rFonts w:hint="eastAsia" w:ascii="宋体" w:hAnsi="宋体" w:eastAsia="宋体" w:cs="宋体"/>
          <w:b w:val="0"/>
          <w:bCs w:val="0"/>
          <w:color w:val="000000"/>
          <w:sz w:val="24"/>
          <w:szCs w:val="24"/>
        </w:rPr>
        <w:tab/>
      </w:r>
      <w:r>
        <w:rPr>
          <w:rFonts w:hint="eastAsia" w:ascii="宋体" w:hAnsi="宋体" w:eastAsia="宋体" w:cs="宋体"/>
          <w:b w:val="0"/>
          <w:bCs w:val="0"/>
          <w:color w:val="000000"/>
          <w:sz w:val="24"/>
          <w:szCs w:val="24"/>
        </w:rPr>
        <w:t>图像同屏显示≥16幅</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9.10图像放大倍数≥400%</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9.11透视图像实时放大功能</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9.12图像存储≥15万幅</w:t>
      </w:r>
    </w:p>
    <w:p>
      <w:pPr>
        <w:pStyle w:val="33"/>
        <w:adjustRightInd/>
        <w:spacing w:before="120" w:after="120"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9.13基本Dicom功能</w:t>
      </w: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、商务需求：</w:t>
      </w:r>
    </w:p>
    <w:p>
      <w:pPr>
        <w:spacing w:line="480" w:lineRule="exact"/>
        <w:rPr>
          <w:rFonts w:ascii="宋体" w:hAnsi="宋体" w:cs="宋体"/>
          <w:sz w:val="24"/>
        </w:rPr>
      </w:pPr>
      <w:r>
        <w:rPr>
          <w:rFonts w:hint="eastAsia" w:ascii="宋体" w:hAnsi="宋体" w:cs="宋体"/>
          <w:sz w:val="24"/>
        </w:rPr>
        <w:t>1.1交货（服务）时间及地点</w:t>
      </w:r>
    </w:p>
    <w:p>
      <w:pPr>
        <w:spacing w:line="480" w:lineRule="exact"/>
        <w:rPr>
          <w:rFonts w:ascii="宋体" w:hAnsi="宋体" w:cs="宋体"/>
          <w:sz w:val="24"/>
        </w:rPr>
      </w:pPr>
      <w:r>
        <w:rPr>
          <w:rFonts w:hint="eastAsia" w:ascii="宋体" w:hAnsi="宋体" w:cs="宋体"/>
          <w:sz w:val="24"/>
        </w:rPr>
        <w:t>▲(1)合同签订后60天内完成供货、安装调试，并验收合格。</w:t>
      </w:r>
    </w:p>
    <w:p>
      <w:pPr>
        <w:spacing w:line="480" w:lineRule="exact"/>
        <w:rPr>
          <w:rFonts w:ascii="宋体" w:hAnsi="宋体" w:cs="宋体"/>
          <w:sz w:val="24"/>
        </w:rPr>
      </w:pPr>
      <w:r>
        <w:rPr>
          <w:rFonts w:hint="eastAsia" w:ascii="宋体" w:hAnsi="宋体" w:cs="宋体"/>
          <w:sz w:val="24"/>
        </w:rPr>
        <w:t>(2)交货（服务）地点：采购人指定地点内。</w:t>
      </w:r>
    </w:p>
    <w:p>
      <w:pPr>
        <w:spacing w:line="480" w:lineRule="exact"/>
        <w:rPr>
          <w:rFonts w:ascii="宋体" w:hAnsi="宋体" w:cs="宋体"/>
          <w:sz w:val="24"/>
        </w:rPr>
      </w:pPr>
      <w:r>
        <w:rPr>
          <w:rFonts w:hint="eastAsia" w:ascii="宋体" w:hAnsi="宋体" w:cs="宋体"/>
          <w:sz w:val="24"/>
        </w:rPr>
        <w:t>1.2质保期及售后技术服务要求</w:t>
      </w:r>
    </w:p>
    <w:p>
      <w:pPr>
        <w:spacing w:line="480" w:lineRule="exact"/>
        <w:rPr>
          <w:rFonts w:ascii="宋体" w:hAnsi="宋体" w:cs="宋体"/>
          <w:sz w:val="24"/>
        </w:rPr>
      </w:pPr>
      <w:r>
        <w:rPr>
          <w:rFonts w:hint="eastAsia" w:ascii="宋体" w:hAnsi="宋体" w:cs="宋体"/>
          <w:sz w:val="24"/>
        </w:rPr>
        <w:t>▲(1)质保期为1年，自货物最终验收合格之日起计。</w:t>
      </w:r>
    </w:p>
    <w:p>
      <w:pPr>
        <w:spacing w:line="480" w:lineRule="exact"/>
        <w:rPr>
          <w:rFonts w:ascii="宋体" w:hAnsi="宋体" w:cs="宋体"/>
          <w:sz w:val="24"/>
        </w:rPr>
      </w:pPr>
      <w:r>
        <w:rPr>
          <w:rFonts w:hint="eastAsia" w:ascii="宋体" w:hAnsi="宋体" w:cs="宋体"/>
          <w:sz w:val="24"/>
        </w:rPr>
        <w:t xml:space="preserve">  (2)售后服务：在接到维修请求后应立即作出回应，并在1小时内到达用户现场实施维修。在质保期内要求1小时内处理硬件故障，对无法修复的硬件要求在24小时内进行更换。</w:t>
      </w:r>
    </w:p>
    <w:p>
      <w:pPr>
        <w:spacing w:line="480" w:lineRule="exact"/>
        <w:ind w:firstLine="240" w:firstLineChars="100"/>
        <w:rPr>
          <w:rFonts w:ascii="宋体" w:hAnsi="宋体" w:cs="宋体"/>
          <w:sz w:val="24"/>
        </w:rPr>
      </w:pPr>
      <w:r>
        <w:rPr>
          <w:rFonts w:hint="eastAsia" w:ascii="宋体" w:hAnsi="宋体" w:cs="宋体"/>
          <w:sz w:val="24"/>
        </w:rPr>
        <w:t>(3)投标人应提供技术支持方案，内容由投标人根据实际选择以下要点：人员状况、联系方式、相关案例等。</w:t>
      </w:r>
    </w:p>
    <w:p>
      <w:pPr>
        <w:spacing w:line="480" w:lineRule="exact"/>
        <w:ind w:firstLine="240" w:firstLineChars="100"/>
        <w:rPr>
          <w:rFonts w:ascii="宋体" w:hAnsi="宋体" w:cs="宋体"/>
          <w:sz w:val="24"/>
        </w:rPr>
      </w:pPr>
      <w:r>
        <w:rPr>
          <w:rFonts w:hint="eastAsia" w:ascii="宋体" w:hAnsi="宋体" w:cs="宋体"/>
          <w:sz w:val="24"/>
        </w:rPr>
        <w:t>(4)明示服务承诺可能涉及的前提设定和费用，否则将被认为是无条件和免费的。</w:t>
      </w:r>
    </w:p>
    <w:p>
      <w:pPr>
        <w:spacing w:line="480" w:lineRule="exact"/>
        <w:rPr>
          <w:rFonts w:ascii="宋体" w:hAnsi="宋体" w:cs="宋体"/>
          <w:sz w:val="24"/>
        </w:rPr>
      </w:pPr>
      <w:r>
        <w:rPr>
          <w:rFonts w:hint="eastAsia" w:ascii="宋体" w:hAnsi="宋体" w:cs="宋体"/>
          <w:sz w:val="24"/>
        </w:rPr>
        <w:t>2.项目实施计划</w:t>
      </w:r>
    </w:p>
    <w:p>
      <w:pPr>
        <w:spacing w:line="480" w:lineRule="exact"/>
        <w:ind w:firstLine="240" w:firstLineChars="100"/>
        <w:rPr>
          <w:rFonts w:ascii="宋体" w:hAnsi="宋体" w:cs="宋体"/>
          <w:sz w:val="24"/>
        </w:rPr>
      </w:pPr>
      <w:r>
        <w:rPr>
          <w:rFonts w:hint="eastAsia" w:ascii="宋体" w:hAnsi="宋体" w:cs="宋体"/>
          <w:sz w:val="24"/>
        </w:rPr>
        <w:t>项目实施的组织工作方案：工作时间进度表、工作程序或步骤、管理和协调方法、送货方案等。</w:t>
      </w:r>
    </w:p>
    <w:p>
      <w:pPr>
        <w:spacing w:line="480" w:lineRule="exact"/>
        <w:rPr>
          <w:rFonts w:ascii="宋体" w:hAnsi="宋体" w:cs="宋体"/>
          <w:sz w:val="24"/>
        </w:rPr>
      </w:pPr>
      <w:r>
        <w:rPr>
          <w:rFonts w:hint="eastAsia" w:ascii="宋体" w:hAnsi="宋体" w:cs="宋体"/>
          <w:sz w:val="24"/>
        </w:rPr>
        <w:t>▲3.付款方式</w:t>
      </w:r>
    </w:p>
    <w:p>
      <w:pPr>
        <w:spacing w:line="480" w:lineRule="exact"/>
        <w:ind w:firstLine="480" w:firstLineChars="200"/>
        <w:rPr>
          <w:rFonts w:ascii="宋体" w:hAnsi="宋体" w:cs="宋体"/>
          <w:sz w:val="24"/>
        </w:rPr>
      </w:pPr>
      <w:r>
        <w:rPr>
          <w:rFonts w:hint="eastAsia" w:ascii="宋体" w:hAnsi="宋体" w:cs="宋体"/>
          <w:sz w:val="24"/>
        </w:rPr>
        <w:t>合同签订中标人支付合同总价的1%作为履约保证金（接受保函）后5个工作日内支付合同价的40%。供货完成，安装调试最终验收合格一个月后，采购人向中标人支付至合同款的100%，合同签订后履约保证金无息退还。具体条款在合同中明确。</w:t>
      </w:r>
    </w:p>
    <w:p>
      <w:pPr>
        <w:rPr>
          <w:rFonts w:ascii="宋体" w:hAnsi="宋体" w:cs="宋体"/>
          <w:sz w:val="24"/>
        </w:rPr>
      </w:pPr>
      <w:r>
        <w:rPr>
          <w:rFonts w:hint="eastAsia" w:ascii="宋体" w:hAnsi="宋体" w:cs="宋体"/>
          <w:sz w:val="24"/>
        </w:rPr>
        <w:t>注：</w:t>
      </w:r>
    </w:p>
    <w:p>
      <w:pPr>
        <w:rPr>
          <w:rFonts w:ascii="宋体" w:hAnsi="宋体" w:cs="宋体"/>
          <w:sz w:val="24"/>
        </w:rPr>
      </w:pPr>
      <w:r>
        <w:rPr>
          <w:rFonts w:hint="eastAsia" w:ascii="宋体" w:hAnsi="宋体" w:cs="宋体"/>
          <w:sz w:val="24"/>
        </w:rPr>
        <w:t>1、如有附图，仅作参考。</w:t>
      </w:r>
    </w:p>
    <w:p>
      <w:pPr>
        <w:rPr>
          <w:rFonts w:ascii="宋体" w:hAnsi="宋体" w:cs="宋体"/>
          <w:sz w:val="24"/>
        </w:rPr>
      </w:pPr>
      <w:r>
        <w:rPr>
          <w:rFonts w:hint="eastAsia" w:ascii="宋体" w:hAnsi="宋体" w:cs="宋体"/>
          <w:sz w:val="24"/>
        </w:rPr>
        <w:t>2、打▲内容为实质性要求，不允许有负偏离，否则将以涉及无效投标条款作无效投标。</w:t>
      </w:r>
    </w:p>
    <w:p>
      <w:pPr>
        <w:rPr>
          <w:rFonts w:ascii="宋体" w:hAnsi="宋体" w:cs="宋体"/>
          <w:sz w:val="24"/>
        </w:rPr>
      </w:pPr>
      <w:r>
        <w:rPr>
          <w:rFonts w:hint="eastAsia" w:ascii="宋体" w:hAnsi="宋体" w:cs="宋体"/>
          <w:sz w:val="24"/>
        </w:rPr>
        <w:t>3、中标人所提供的货物、服务须与投标承诺一致，不得以次充好、偷工减料，若在项目验收中发现有上述情况，将向有关部门举报，根据相关规定进行处理。</w:t>
      </w: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0273"/>
      <w:bookmarkEnd w:id="32"/>
      <w:bookmarkStart w:id="33" w:name="_Toc184312069"/>
      <w:bookmarkEnd w:id="33"/>
      <w:bookmarkStart w:id="34" w:name="_Toc184310334"/>
      <w:bookmarkEnd w:id="34"/>
      <w:bookmarkStart w:id="35" w:name="_Toc184314428"/>
      <w:bookmarkEnd w:id="35"/>
      <w:bookmarkStart w:id="36" w:name="_Toc184308037"/>
      <w:bookmarkEnd w:id="36"/>
      <w:bookmarkStart w:id="37" w:name="_Toc184314475"/>
      <w:bookmarkEnd w:id="37"/>
      <w:bookmarkStart w:id="38" w:name="_Toc184314465"/>
      <w:bookmarkEnd w:id="38"/>
      <w:bookmarkStart w:id="39" w:name="_Toc184313285"/>
      <w:bookmarkEnd w:id="39"/>
      <w:bookmarkStart w:id="40" w:name="_Toc184312125"/>
      <w:bookmarkEnd w:id="40"/>
      <w:bookmarkStart w:id="41" w:name="_Toc184310276"/>
      <w:bookmarkEnd w:id="41"/>
      <w:bookmarkStart w:id="42" w:name="_Toc184312068"/>
      <w:bookmarkEnd w:id="42"/>
      <w:bookmarkStart w:id="43" w:name="_Toc184314456"/>
      <w:bookmarkEnd w:id="43"/>
      <w:bookmarkStart w:id="44" w:name="_Toc184308038"/>
      <w:bookmarkEnd w:id="44"/>
      <w:bookmarkStart w:id="45" w:name="_Toc184310316"/>
      <w:bookmarkEnd w:id="45"/>
      <w:bookmarkStart w:id="46" w:name="_Toc184313238"/>
      <w:bookmarkEnd w:id="46"/>
      <w:bookmarkStart w:id="47" w:name="_Toc184308051"/>
      <w:bookmarkEnd w:id="47"/>
      <w:bookmarkStart w:id="48" w:name="_Toc184310314"/>
      <w:bookmarkEnd w:id="48"/>
      <w:bookmarkStart w:id="49" w:name="_Toc184310289"/>
      <w:bookmarkEnd w:id="49"/>
      <w:bookmarkStart w:id="50" w:name="_Toc184312127"/>
      <w:bookmarkEnd w:id="50"/>
      <w:bookmarkStart w:id="51" w:name="_Toc184313259"/>
      <w:bookmarkEnd w:id="51"/>
      <w:bookmarkStart w:id="52" w:name="_Toc184313257"/>
      <w:bookmarkEnd w:id="52"/>
      <w:bookmarkStart w:id="53" w:name="_Toc184308043"/>
      <w:bookmarkEnd w:id="53"/>
      <w:bookmarkStart w:id="54" w:name="_Toc184308066"/>
      <w:bookmarkEnd w:id="54"/>
      <w:bookmarkStart w:id="55" w:name="_Toc184313241"/>
      <w:bookmarkEnd w:id="55"/>
      <w:bookmarkStart w:id="56" w:name="_Toc184310332"/>
      <w:bookmarkEnd w:id="56"/>
      <w:bookmarkStart w:id="57" w:name="_Toc184314442"/>
      <w:bookmarkEnd w:id="57"/>
      <w:bookmarkStart w:id="58" w:name="_Toc184312129"/>
      <w:bookmarkEnd w:id="58"/>
      <w:bookmarkStart w:id="59" w:name="_Toc184314446"/>
      <w:bookmarkEnd w:id="59"/>
      <w:bookmarkStart w:id="60" w:name="_Toc184313286"/>
      <w:bookmarkEnd w:id="60"/>
      <w:bookmarkStart w:id="61" w:name="_Toc184314453"/>
      <w:bookmarkEnd w:id="61"/>
      <w:bookmarkStart w:id="62" w:name="_Toc184308092"/>
      <w:bookmarkEnd w:id="62"/>
      <w:bookmarkStart w:id="63" w:name="_Toc184310309"/>
      <w:bookmarkEnd w:id="63"/>
      <w:bookmarkStart w:id="64" w:name="_Toc184308080"/>
      <w:bookmarkEnd w:id="64"/>
      <w:bookmarkStart w:id="65" w:name="_Toc184314421"/>
      <w:bookmarkEnd w:id="65"/>
      <w:bookmarkStart w:id="66" w:name="_Toc184312116"/>
      <w:bookmarkEnd w:id="66"/>
      <w:bookmarkStart w:id="67" w:name="_Toc184313291"/>
      <w:bookmarkEnd w:id="67"/>
      <w:bookmarkStart w:id="68" w:name="_Toc184312095"/>
      <w:bookmarkEnd w:id="68"/>
      <w:bookmarkStart w:id="69" w:name="_Toc184308060"/>
      <w:bookmarkEnd w:id="69"/>
      <w:bookmarkStart w:id="70" w:name="_Toc184314455"/>
      <w:bookmarkEnd w:id="70"/>
      <w:bookmarkStart w:id="71" w:name="_Toc184313251"/>
      <w:bookmarkEnd w:id="71"/>
      <w:bookmarkStart w:id="72" w:name="_Toc184314448"/>
      <w:bookmarkEnd w:id="72"/>
      <w:bookmarkStart w:id="73" w:name="_Toc184308062"/>
      <w:bookmarkEnd w:id="73"/>
      <w:bookmarkStart w:id="74" w:name="_Toc184310339"/>
      <w:bookmarkEnd w:id="74"/>
      <w:bookmarkStart w:id="75" w:name="_Toc184310278"/>
      <w:bookmarkEnd w:id="75"/>
      <w:bookmarkStart w:id="76" w:name="_Toc184308098"/>
      <w:bookmarkEnd w:id="76"/>
      <w:bookmarkStart w:id="77" w:name="_Toc184310331"/>
      <w:bookmarkEnd w:id="77"/>
      <w:bookmarkStart w:id="78" w:name="_Toc184312109"/>
      <w:bookmarkEnd w:id="78"/>
      <w:bookmarkStart w:id="79" w:name="_Toc184312098"/>
      <w:bookmarkEnd w:id="79"/>
      <w:bookmarkStart w:id="80" w:name="_Toc184308094"/>
      <w:bookmarkEnd w:id="80"/>
      <w:bookmarkStart w:id="81" w:name="_Toc184308072"/>
      <w:bookmarkEnd w:id="81"/>
      <w:bookmarkStart w:id="82" w:name="_Toc184308063"/>
      <w:bookmarkEnd w:id="82"/>
      <w:bookmarkStart w:id="83" w:name="_Toc184314452"/>
      <w:bookmarkEnd w:id="83"/>
      <w:bookmarkStart w:id="84" w:name="_Toc184313265"/>
      <w:bookmarkEnd w:id="84"/>
      <w:bookmarkStart w:id="85" w:name="_Toc184312133"/>
      <w:bookmarkEnd w:id="85"/>
      <w:bookmarkStart w:id="86" w:name="_Toc184310337"/>
      <w:bookmarkEnd w:id="86"/>
      <w:bookmarkStart w:id="87" w:name="_Toc184310285"/>
      <w:bookmarkEnd w:id="87"/>
      <w:bookmarkStart w:id="88" w:name="_Toc184310280"/>
      <w:bookmarkEnd w:id="88"/>
      <w:bookmarkStart w:id="89" w:name="_Toc184314435"/>
      <w:bookmarkEnd w:id="89"/>
      <w:bookmarkStart w:id="90" w:name="_Toc184313240"/>
      <w:bookmarkEnd w:id="90"/>
      <w:bookmarkStart w:id="91" w:name="_Toc184313304"/>
      <w:bookmarkEnd w:id="91"/>
      <w:bookmarkStart w:id="92" w:name="_Toc184312124"/>
      <w:bookmarkEnd w:id="92"/>
      <w:bookmarkStart w:id="93" w:name="_Toc184308082"/>
      <w:bookmarkEnd w:id="93"/>
      <w:bookmarkStart w:id="94" w:name="_Toc184312071"/>
      <w:bookmarkEnd w:id="94"/>
      <w:bookmarkStart w:id="95" w:name="_Toc184310281"/>
      <w:bookmarkEnd w:id="95"/>
      <w:bookmarkStart w:id="96" w:name="_Toc184313267"/>
      <w:bookmarkEnd w:id="96"/>
      <w:bookmarkStart w:id="97" w:name="_Toc184308052"/>
      <w:bookmarkEnd w:id="97"/>
      <w:bookmarkStart w:id="98" w:name="_Toc184310333"/>
      <w:bookmarkEnd w:id="98"/>
      <w:bookmarkStart w:id="99" w:name="_Toc184313276"/>
      <w:bookmarkEnd w:id="99"/>
      <w:bookmarkStart w:id="100" w:name="_Toc184313261"/>
      <w:bookmarkEnd w:id="100"/>
      <w:bookmarkStart w:id="101" w:name="_Toc184312101"/>
      <w:bookmarkEnd w:id="101"/>
      <w:bookmarkStart w:id="102" w:name="_Toc184312090"/>
      <w:bookmarkEnd w:id="102"/>
      <w:bookmarkStart w:id="103" w:name="_Toc184314471"/>
      <w:bookmarkEnd w:id="103"/>
      <w:bookmarkStart w:id="104" w:name="_Toc184308071"/>
      <w:bookmarkEnd w:id="104"/>
      <w:bookmarkStart w:id="105" w:name="_Toc184312120"/>
      <w:bookmarkEnd w:id="105"/>
      <w:bookmarkStart w:id="106" w:name="_Toc184313275"/>
      <w:bookmarkEnd w:id="106"/>
      <w:bookmarkStart w:id="107" w:name="_Toc184310291"/>
      <w:bookmarkEnd w:id="107"/>
      <w:bookmarkStart w:id="108" w:name="_Toc184308047"/>
      <w:bookmarkEnd w:id="108"/>
      <w:bookmarkStart w:id="109" w:name="_Toc184308068"/>
      <w:bookmarkEnd w:id="109"/>
      <w:bookmarkStart w:id="110" w:name="_Toc184313305"/>
      <w:bookmarkEnd w:id="110"/>
      <w:bookmarkStart w:id="111" w:name="_Toc184312105"/>
      <w:bookmarkEnd w:id="111"/>
      <w:bookmarkStart w:id="112" w:name="_Toc184308093"/>
      <w:bookmarkEnd w:id="112"/>
      <w:bookmarkStart w:id="113" w:name="_Toc184312132"/>
      <w:bookmarkEnd w:id="113"/>
      <w:bookmarkStart w:id="114" w:name="_Toc184314470"/>
      <w:bookmarkEnd w:id="114"/>
      <w:bookmarkStart w:id="115" w:name="_Toc184310272"/>
      <w:bookmarkEnd w:id="115"/>
      <w:bookmarkStart w:id="116" w:name="_Toc184308102"/>
      <w:bookmarkEnd w:id="116"/>
      <w:bookmarkStart w:id="117" w:name="_Toc184310293"/>
      <w:bookmarkEnd w:id="117"/>
      <w:bookmarkStart w:id="118" w:name="_Toc184310323"/>
      <w:bookmarkEnd w:id="118"/>
      <w:bookmarkStart w:id="119" w:name="_Toc184308073"/>
      <w:bookmarkEnd w:id="119"/>
      <w:bookmarkStart w:id="120" w:name="_Toc184308074"/>
      <w:bookmarkEnd w:id="120"/>
      <w:bookmarkStart w:id="121" w:name="_Toc184314472"/>
      <w:bookmarkEnd w:id="121"/>
      <w:bookmarkStart w:id="122" w:name="_Toc184308056"/>
      <w:bookmarkEnd w:id="122"/>
      <w:bookmarkStart w:id="123" w:name="_Toc184308049"/>
      <w:bookmarkEnd w:id="123"/>
      <w:bookmarkStart w:id="124" w:name="_Toc184313303"/>
      <w:bookmarkEnd w:id="124"/>
      <w:bookmarkStart w:id="125" w:name="_Toc184312076"/>
      <w:bookmarkEnd w:id="125"/>
      <w:bookmarkStart w:id="126" w:name="_Toc184314460"/>
      <w:bookmarkEnd w:id="126"/>
      <w:bookmarkStart w:id="127" w:name="_Toc184313289"/>
      <w:bookmarkEnd w:id="127"/>
      <w:bookmarkStart w:id="128" w:name="_Toc184314418"/>
      <w:bookmarkEnd w:id="128"/>
      <w:bookmarkStart w:id="129" w:name="_Toc184313293"/>
      <w:bookmarkEnd w:id="129"/>
      <w:bookmarkStart w:id="130" w:name="_Toc184313280"/>
      <w:bookmarkEnd w:id="130"/>
      <w:bookmarkStart w:id="131" w:name="_Toc184308108"/>
      <w:bookmarkEnd w:id="131"/>
      <w:bookmarkStart w:id="132" w:name="_Toc184313245"/>
      <w:bookmarkEnd w:id="132"/>
      <w:bookmarkStart w:id="133" w:name="_Toc184313242"/>
      <w:bookmarkEnd w:id="133"/>
      <w:bookmarkStart w:id="134" w:name="_Toc184313294"/>
      <w:bookmarkEnd w:id="134"/>
      <w:bookmarkStart w:id="135" w:name="_Toc184312094"/>
      <w:bookmarkEnd w:id="135"/>
      <w:bookmarkStart w:id="136" w:name="_Toc184308075"/>
      <w:bookmarkEnd w:id="136"/>
      <w:bookmarkStart w:id="137" w:name="_Toc184313243"/>
      <w:bookmarkEnd w:id="137"/>
      <w:bookmarkStart w:id="138" w:name="_Toc184310274"/>
      <w:bookmarkEnd w:id="138"/>
      <w:bookmarkStart w:id="139" w:name="_Toc184312126"/>
      <w:bookmarkEnd w:id="139"/>
      <w:bookmarkStart w:id="140" w:name="_Toc184312110"/>
      <w:bookmarkEnd w:id="140"/>
      <w:bookmarkStart w:id="141" w:name="_Toc184313301"/>
      <w:bookmarkEnd w:id="141"/>
      <w:bookmarkStart w:id="142" w:name="_Toc184310279"/>
      <w:bookmarkEnd w:id="142"/>
      <w:bookmarkStart w:id="143" w:name="_Toc184308041"/>
      <w:bookmarkEnd w:id="143"/>
      <w:bookmarkStart w:id="144" w:name="_Toc184308103"/>
      <w:bookmarkEnd w:id="144"/>
      <w:bookmarkStart w:id="145" w:name="_Toc184312087"/>
      <w:bookmarkEnd w:id="145"/>
      <w:bookmarkStart w:id="146" w:name="_Toc184308042"/>
      <w:bookmarkEnd w:id="146"/>
      <w:bookmarkStart w:id="147" w:name="_Toc184313292"/>
      <w:bookmarkEnd w:id="147"/>
      <w:bookmarkStart w:id="148" w:name="_Toc184308070"/>
      <w:bookmarkEnd w:id="148"/>
      <w:bookmarkStart w:id="149" w:name="_Toc184310315"/>
      <w:bookmarkEnd w:id="149"/>
      <w:bookmarkStart w:id="150" w:name="_Toc184314410"/>
      <w:bookmarkEnd w:id="150"/>
      <w:bookmarkStart w:id="151" w:name="_Toc184308050"/>
      <w:bookmarkEnd w:id="151"/>
      <w:bookmarkStart w:id="152" w:name="_Toc184312091"/>
      <w:bookmarkEnd w:id="152"/>
      <w:bookmarkStart w:id="153" w:name="_Toc184310317"/>
      <w:bookmarkEnd w:id="153"/>
      <w:bookmarkStart w:id="154" w:name="_Toc184308087"/>
      <w:bookmarkEnd w:id="154"/>
      <w:bookmarkStart w:id="155" w:name="_Toc184310298"/>
      <w:bookmarkEnd w:id="155"/>
      <w:bookmarkStart w:id="156" w:name="_Toc184314413"/>
      <w:bookmarkEnd w:id="156"/>
      <w:bookmarkStart w:id="157" w:name="_Toc184308061"/>
      <w:bookmarkEnd w:id="157"/>
      <w:bookmarkStart w:id="158" w:name="_Toc184314476"/>
      <w:bookmarkEnd w:id="158"/>
      <w:bookmarkStart w:id="159" w:name="_Toc184313279"/>
      <w:bookmarkEnd w:id="159"/>
      <w:bookmarkStart w:id="160" w:name="_Toc184312084"/>
      <w:bookmarkEnd w:id="160"/>
      <w:bookmarkStart w:id="161" w:name="_Toc184314467"/>
      <w:bookmarkEnd w:id="161"/>
      <w:bookmarkStart w:id="162" w:name="_Toc184313239"/>
      <w:bookmarkEnd w:id="162"/>
      <w:bookmarkStart w:id="163" w:name="_Toc184314481"/>
      <w:bookmarkEnd w:id="163"/>
      <w:bookmarkStart w:id="164" w:name="_Toc184313255"/>
      <w:bookmarkEnd w:id="164"/>
      <w:bookmarkStart w:id="165" w:name="_Toc184313296"/>
      <w:bookmarkEnd w:id="165"/>
      <w:bookmarkStart w:id="166" w:name="_Toc184314426"/>
      <w:bookmarkEnd w:id="166"/>
      <w:bookmarkStart w:id="167" w:name="_Toc184313273"/>
      <w:bookmarkEnd w:id="167"/>
      <w:bookmarkStart w:id="168" w:name="_Toc184312131"/>
      <w:bookmarkEnd w:id="168"/>
      <w:bookmarkStart w:id="169" w:name="_Toc184313271"/>
      <w:bookmarkEnd w:id="169"/>
      <w:bookmarkStart w:id="170" w:name="_Toc184313253"/>
      <w:bookmarkEnd w:id="170"/>
      <w:bookmarkStart w:id="171" w:name="_Toc184308084"/>
      <w:bookmarkEnd w:id="171"/>
      <w:bookmarkStart w:id="172" w:name="_Toc184312115"/>
      <w:bookmarkEnd w:id="172"/>
      <w:bookmarkStart w:id="173" w:name="_Toc184313295"/>
      <w:bookmarkEnd w:id="173"/>
      <w:bookmarkStart w:id="174" w:name="_Toc184312107"/>
      <w:bookmarkEnd w:id="174"/>
      <w:bookmarkStart w:id="175" w:name="_Toc184310318"/>
      <w:bookmarkEnd w:id="175"/>
      <w:bookmarkStart w:id="176" w:name="_Toc184314469"/>
      <w:bookmarkEnd w:id="176"/>
      <w:bookmarkStart w:id="177" w:name="_Toc184312070"/>
      <w:bookmarkEnd w:id="177"/>
      <w:bookmarkStart w:id="178" w:name="_Toc184314473"/>
      <w:bookmarkEnd w:id="178"/>
      <w:bookmarkStart w:id="179" w:name="_Toc184313298"/>
      <w:bookmarkEnd w:id="179"/>
      <w:bookmarkStart w:id="180" w:name="_Toc184312078"/>
      <w:bookmarkEnd w:id="180"/>
      <w:bookmarkStart w:id="181" w:name="_Toc184313266"/>
      <w:bookmarkEnd w:id="181"/>
      <w:bookmarkStart w:id="182" w:name="_Toc184314422"/>
      <w:bookmarkEnd w:id="182"/>
      <w:bookmarkStart w:id="183" w:name="_Toc184313247"/>
      <w:bookmarkEnd w:id="183"/>
      <w:bookmarkStart w:id="184" w:name="_Toc184313278"/>
      <w:bookmarkEnd w:id="184"/>
      <w:bookmarkStart w:id="185" w:name="_Toc184308053"/>
      <w:bookmarkEnd w:id="185"/>
      <w:bookmarkStart w:id="186" w:name="_Toc184308107"/>
      <w:bookmarkEnd w:id="186"/>
      <w:bookmarkStart w:id="187" w:name="_Toc184312077"/>
      <w:bookmarkEnd w:id="187"/>
      <w:bookmarkStart w:id="188" w:name="_Toc184312112"/>
      <w:bookmarkEnd w:id="188"/>
      <w:bookmarkStart w:id="189" w:name="_Toc184312096"/>
      <w:bookmarkEnd w:id="189"/>
      <w:bookmarkStart w:id="190" w:name="_Toc184308088"/>
      <w:bookmarkEnd w:id="190"/>
      <w:bookmarkStart w:id="191" w:name="_Toc184314439"/>
      <w:bookmarkEnd w:id="191"/>
      <w:bookmarkStart w:id="192" w:name="_Toc184312099"/>
      <w:bookmarkEnd w:id="192"/>
      <w:bookmarkStart w:id="193" w:name="_Toc184310325"/>
      <w:bookmarkEnd w:id="193"/>
      <w:bookmarkStart w:id="194" w:name="_Toc184308039"/>
      <w:bookmarkEnd w:id="194"/>
      <w:bookmarkStart w:id="195" w:name="_Toc184314468"/>
      <w:bookmarkEnd w:id="195"/>
      <w:bookmarkStart w:id="196" w:name="_Toc184314461"/>
      <w:bookmarkEnd w:id="196"/>
      <w:bookmarkStart w:id="197" w:name="_Toc184312102"/>
      <w:bookmarkEnd w:id="197"/>
      <w:bookmarkStart w:id="198" w:name="_Toc184310330"/>
      <w:bookmarkEnd w:id="198"/>
      <w:bookmarkStart w:id="199" w:name="_Toc184314449"/>
      <w:bookmarkEnd w:id="199"/>
      <w:bookmarkStart w:id="200" w:name="_Toc184312083"/>
      <w:bookmarkEnd w:id="200"/>
      <w:bookmarkStart w:id="201" w:name="_Toc184310329"/>
      <w:bookmarkEnd w:id="201"/>
      <w:bookmarkStart w:id="202" w:name="_Toc184312122"/>
      <w:bookmarkEnd w:id="202"/>
      <w:bookmarkStart w:id="203" w:name="_Toc184312080"/>
      <w:bookmarkEnd w:id="203"/>
      <w:bookmarkStart w:id="204" w:name="_Toc184308079"/>
      <w:bookmarkEnd w:id="204"/>
      <w:bookmarkStart w:id="205" w:name="_Toc184310313"/>
      <w:bookmarkEnd w:id="205"/>
      <w:bookmarkStart w:id="206" w:name="_Toc184308105"/>
      <w:bookmarkEnd w:id="206"/>
      <w:bookmarkStart w:id="207" w:name="_Toc184310340"/>
      <w:bookmarkEnd w:id="207"/>
      <w:bookmarkStart w:id="208" w:name="_Toc184314414"/>
      <w:bookmarkEnd w:id="208"/>
      <w:bookmarkStart w:id="209" w:name="_Toc184314417"/>
      <w:bookmarkEnd w:id="209"/>
      <w:bookmarkStart w:id="210" w:name="_Toc184314427"/>
      <w:bookmarkEnd w:id="210"/>
      <w:bookmarkStart w:id="211" w:name="_Toc184313287"/>
      <w:bookmarkEnd w:id="211"/>
      <w:bookmarkStart w:id="212" w:name="_Toc184314429"/>
      <w:bookmarkEnd w:id="212"/>
      <w:bookmarkStart w:id="213" w:name="_Toc184313249"/>
      <w:bookmarkEnd w:id="213"/>
      <w:bookmarkStart w:id="214" w:name="_Toc184313297"/>
      <w:bookmarkEnd w:id="214"/>
      <w:bookmarkStart w:id="215" w:name="_Toc184308101"/>
      <w:bookmarkEnd w:id="215"/>
      <w:bookmarkStart w:id="216" w:name="_Toc184312106"/>
      <w:bookmarkEnd w:id="216"/>
      <w:bookmarkStart w:id="217" w:name="_Toc184308059"/>
      <w:bookmarkEnd w:id="217"/>
      <w:bookmarkStart w:id="218" w:name="_Toc184310303"/>
      <w:bookmarkEnd w:id="218"/>
      <w:bookmarkStart w:id="219" w:name="_Toc184308065"/>
      <w:bookmarkEnd w:id="219"/>
      <w:bookmarkStart w:id="220" w:name="_Toc184312108"/>
      <w:bookmarkEnd w:id="220"/>
      <w:bookmarkStart w:id="221" w:name="_Toc184310306"/>
      <w:bookmarkEnd w:id="221"/>
      <w:bookmarkStart w:id="222" w:name="_Toc184312097"/>
      <w:bookmarkEnd w:id="222"/>
      <w:bookmarkStart w:id="223" w:name="_Toc184308077"/>
      <w:bookmarkEnd w:id="223"/>
      <w:bookmarkStart w:id="224" w:name="_Toc184310328"/>
      <w:bookmarkEnd w:id="224"/>
      <w:bookmarkStart w:id="225" w:name="_Toc184312092"/>
      <w:bookmarkEnd w:id="225"/>
      <w:bookmarkStart w:id="226" w:name="_Toc184314436"/>
      <w:bookmarkEnd w:id="226"/>
      <w:bookmarkStart w:id="227" w:name="_Toc184308058"/>
      <w:bookmarkEnd w:id="227"/>
      <w:bookmarkStart w:id="228" w:name="_Toc184312100"/>
      <w:bookmarkEnd w:id="228"/>
      <w:bookmarkStart w:id="229" w:name="_Toc184310286"/>
      <w:bookmarkEnd w:id="229"/>
      <w:bookmarkStart w:id="230" w:name="_Toc184308064"/>
      <w:bookmarkEnd w:id="230"/>
      <w:bookmarkStart w:id="231" w:name="_Toc184312079"/>
      <w:bookmarkEnd w:id="231"/>
      <w:bookmarkStart w:id="232" w:name="_Toc184312075"/>
      <w:bookmarkEnd w:id="232"/>
      <w:bookmarkStart w:id="233" w:name="_Toc184313282"/>
      <w:bookmarkEnd w:id="233"/>
      <w:bookmarkStart w:id="234" w:name="_Toc184313268"/>
      <w:bookmarkEnd w:id="234"/>
      <w:bookmarkStart w:id="235" w:name="_Toc184308090"/>
      <w:bookmarkEnd w:id="235"/>
      <w:bookmarkStart w:id="236" w:name="_Toc184308040"/>
      <w:bookmarkEnd w:id="236"/>
      <w:bookmarkStart w:id="237" w:name="_Toc184312111"/>
      <w:bookmarkEnd w:id="237"/>
      <w:bookmarkStart w:id="238" w:name="_Toc184310292"/>
      <w:bookmarkEnd w:id="238"/>
      <w:bookmarkStart w:id="239" w:name="_Toc184312123"/>
      <w:bookmarkEnd w:id="239"/>
      <w:bookmarkStart w:id="240" w:name="_Toc184313308"/>
      <w:bookmarkEnd w:id="240"/>
      <w:bookmarkStart w:id="241" w:name="_Toc184310287"/>
      <w:bookmarkEnd w:id="241"/>
      <w:bookmarkStart w:id="242" w:name="_Toc184313244"/>
      <w:bookmarkEnd w:id="242"/>
      <w:bookmarkStart w:id="243" w:name="_Toc184310295"/>
      <w:bookmarkEnd w:id="243"/>
      <w:bookmarkStart w:id="244" w:name="_Toc184310294"/>
      <w:bookmarkEnd w:id="244"/>
      <w:bookmarkStart w:id="245" w:name="_Toc184314458"/>
      <w:bookmarkEnd w:id="245"/>
      <w:bookmarkStart w:id="246" w:name="_Toc184308096"/>
      <w:bookmarkEnd w:id="246"/>
      <w:bookmarkStart w:id="247" w:name="_Toc184314412"/>
      <w:bookmarkEnd w:id="247"/>
      <w:bookmarkStart w:id="248" w:name="_Toc184310327"/>
      <w:bookmarkEnd w:id="248"/>
      <w:bookmarkStart w:id="249" w:name="_Toc184308095"/>
      <w:bookmarkEnd w:id="249"/>
      <w:bookmarkStart w:id="250" w:name="_Toc184313246"/>
      <w:bookmarkEnd w:id="250"/>
      <w:bookmarkStart w:id="251" w:name="_Toc184314482"/>
      <w:bookmarkEnd w:id="251"/>
      <w:bookmarkStart w:id="252" w:name="_Toc184314419"/>
      <w:bookmarkEnd w:id="252"/>
      <w:bookmarkStart w:id="253" w:name="_Toc184314451"/>
      <w:bookmarkEnd w:id="253"/>
      <w:bookmarkStart w:id="254" w:name="_Toc184312081"/>
      <w:bookmarkEnd w:id="254"/>
      <w:bookmarkStart w:id="255" w:name="_Toc184312088"/>
      <w:bookmarkEnd w:id="255"/>
      <w:bookmarkStart w:id="256" w:name="_Toc184312086"/>
      <w:bookmarkEnd w:id="256"/>
      <w:bookmarkStart w:id="257" w:name="_Toc184310311"/>
      <w:bookmarkEnd w:id="257"/>
      <w:bookmarkStart w:id="258" w:name="_Toc184314415"/>
      <w:bookmarkEnd w:id="258"/>
      <w:bookmarkStart w:id="259" w:name="_Toc184308057"/>
      <w:bookmarkEnd w:id="259"/>
      <w:bookmarkStart w:id="260" w:name="_Toc184310304"/>
      <w:bookmarkEnd w:id="260"/>
      <w:bookmarkStart w:id="261" w:name="_Toc184314464"/>
      <w:bookmarkEnd w:id="261"/>
      <w:bookmarkStart w:id="262" w:name="_Toc184310341"/>
      <w:bookmarkEnd w:id="262"/>
      <w:bookmarkStart w:id="263" w:name="_Toc184312103"/>
      <w:bookmarkEnd w:id="263"/>
      <w:bookmarkStart w:id="264" w:name="_Toc184312082"/>
      <w:bookmarkEnd w:id="264"/>
      <w:bookmarkStart w:id="265" w:name="_Toc184314457"/>
      <w:bookmarkEnd w:id="265"/>
      <w:bookmarkStart w:id="266" w:name="_Toc184310307"/>
      <w:bookmarkEnd w:id="266"/>
      <w:bookmarkStart w:id="267" w:name="_Toc184308076"/>
      <w:bookmarkEnd w:id="267"/>
      <w:bookmarkStart w:id="268" w:name="_Toc184312072"/>
      <w:bookmarkEnd w:id="268"/>
      <w:bookmarkStart w:id="269" w:name="_Toc184314445"/>
      <w:bookmarkEnd w:id="269"/>
      <w:bookmarkStart w:id="270" w:name="_Toc184313281"/>
      <w:bookmarkEnd w:id="270"/>
      <w:bookmarkStart w:id="271" w:name="_Toc184312135"/>
      <w:bookmarkEnd w:id="271"/>
      <w:bookmarkStart w:id="272" w:name="_Toc184314480"/>
      <w:bookmarkEnd w:id="272"/>
      <w:bookmarkStart w:id="273" w:name="_Toc184308067"/>
      <w:bookmarkEnd w:id="273"/>
      <w:bookmarkStart w:id="274" w:name="_Toc184308045"/>
      <w:bookmarkEnd w:id="274"/>
      <w:bookmarkStart w:id="275" w:name="_Toc184308083"/>
      <w:bookmarkEnd w:id="275"/>
      <w:bookmarkStart w:id="276" w:name="_Toc184310277"/>
      <w:bookmarkEnd w:id="276"/>
      <w:bookmarkStart w:id="277" w:name="_Toc184313299"/>
      <w:bookmarkEnd w:id="277"/>
      <w:bookmarkStart w:id="278" w:name="_Toc184312114"/>
      <w:bookmarkEnd w:id="278"/>
      <w:bookmarkStart w:id="279" w:name="_Toc184313284"/>
      <w:bookmarkEnd w:id="279"/>
      <w:bookmarkStart w:id="280" w:name="_Toc184314438"/>
      <w:bookmarkEnd w:id="280"/>
      <w:bookmarkStart w:id="281" w:name="_Toc184313269"/>
      <w:bookmarkEnd w:id="281"/>
      <w:bookmarkStart w:id="282" w:name="_Toc184310310"/>
      <w:bookmarkEnd w:id="282"/>
      <w:bookmarkStart w:id="283" w:name="_Toc184314434"/>
      <w:bookmarkEnd w:id="283"/>
      <w:bookmarkStart w:id="284" w:name="_Toc184313250"/>
      <w:bookmarkEnd w:id="284"/>
      <w:bookmarkStart w:id="285" w:name="_Toc184310300"/>
      <w:bookmarkEnd w:id="285"/>
      <w:bookmarkStart w:id="286" w:name="_Toc184313254"/>
      <w:bookmarkEnd w:id="286"/>
      <w:bookmarkStart w:id="287" w:name="_Toc184310302"/>
      <w:bookmarkEnd w:id="287"/>
      <w:bookmarkStart w:id="288" w:name="_Toc184312073"/>
      <w:bookmarkEnd w:id="288"/>
      <w:bookmarkStart w:id="289" w:name="_Toc184310338"/>
      <w:bookmarkEnd w:id="289"/>
      <w:bookmarkStart w:id="290" w:name="_Toc184312067"/>
      <w:bookmarkEnd w:id="290"/>
      <w:bookmarkStart w:id="291" w:name="_Toc184308078"/>
      <w:bookmarkEnd w:id="291"/>
      <w:bookmarkStart w:id="292" w:name="_Toc184310336"/>
      <w:bookmarkEnd w:id="292"/>
      <w:bookmarkStart w:id="293" w:name="_Toc184314444"/>
      <w:bookmarkEnd w:id="293"/>
      <w:bookmarkStart w:id="294" w:name="_Toc184314431"/>
      <w:bookmarkEnd w:id="294"/>
      <w:bookmarkStart w:id="295" w:name="_Toc184314441"/>
      <w:bookmarkEnd w:id="295"/>
      <w:bookmarkStart w:id="296" w:name="_Toc184312104"/>
      <w:bookmarkEnd w:id="296"/>
      <w:bookmarkStart w:id="297" w:name="_Toc184308048"/>
      <w:bookmarkEnd w:id="297"/>
      <w:bookmarkStart w:id="298" w:name="_Toc184314437"/>
      <w:bookmarkEnd w:id="298"/>
      <w:bookmarkStart w:id="299" w:name="_Toc184310312"/>
      <w:bookmarkEnd w:id="299"/>
      <w:bookmarkStart w:id="300" w:name="_Toc184314477"/>
      <w:bookmarkEnd w:id="300"/>
      <w:bookmarkStart w:id="301" w:name="_Toc184310297"/>
      <w:bookmarkEnd w:id="301"/>
      <w:bookmarkStart w:id="302" w:name="_Toc184308091"/>
      <w:bookmarkEnd w:id="302"/>
      <w:bookmarkStart w:id="303" w:name="_Toc184313283"/>
      <w:bookmarkEnd w:id="303"/>
      <w:bookmarkStart w:id="304" w:name="_Toc184313264"/>
      <w:bookmarkEnd w:id="304"/>
      <w:bookmarkStart w:id="305" w:name="_Toc184310322"/>
      <w:bookmarkEnd w:id="305"/>
      <w:bookmarkStart w:id="306" w:name="_Toc184314447"/>
      <w:bookmarkEnd w:id="306"/>
      <w:bookmarkStart w:id="307" w:name="_Toc184314425"/>
      <w:bookmarkEnd w:id="307"/>
      <w:bookmarkStart w:id="308" w:name="_Toc184310282"/>
      <w:bookmarkEnd w:id="308"/>
      <w:bookmarkStart w:id="309" w:name="_Toc184310288"/>
      <w:bookmarkEnd w:id="309"/>
      <w:bookmarkStart w:id="310" w:name="_Toc184310319"/>
      <w:bookmarkEnd w:id="310"/>
      <w:bookmarkStart w:id="311" w:name="_Toc184313300"/>
      <w:bookmarkEnd w:id="311"/>
      <w:bookmarkStart w:id="312" w:name="_Toc184313288"/>
      <w:bookmarkEnd w:id="312"/>
      <w:bookmarkStart w:id="313" w:name="_Toc184310284"/>
      <w:bookmarkEnd w:id="313"/>
      <w:bookmarkStart w:id="314" w:name="_Toc184308100"/>
      <w:bookmarkEnd w:id="314"/>
      <w:bookmarkStart w:id="315" w:name="_Toc184308099"/>
      <w:bookmarkEnd w:id="315"/>
      <w:bookmarkStart w:id="316" w:name="_Toc184313270"/>
      <w:bookmarkEnd w:id="316"/>
      <w:bookmarkStart w:id="317" w:name="_Toc184313252"/>
      <w:bookmarkEnd w:id="317"/>
      <w:bookmarkStart w:id="318" w:name="_Toc184312085"/>
      <w:bookmarkEnd w:id="318"/>
      <w:bookmarkStart w:id="319" w:name="_Toc184314424"/>
      <w:bookmarkEnd w:id="319"/>
      <w:bookmarkStart w:id="320" w:name="_Toc184314479"/>
      <w:bookmarkEnd w:id="320"/>
      <w:bookmarkStart w:id="321" w:name="_Toc184312121"/>
      <w:bookmarkEnd w:id="321"/>
      <w:bookmarkStart w:id="322" w:name="_Toc184310301"/>
      <w:bookmarkEnd w:id="322"/>
      <w:bookmarkStart w:id="323" w:name="_Toc184313260"/>
      <w:bookmarkEnd w:id="323"/>
      <w:bookmarkStart w:id="324" w:name="_Toc184310326"/>
      <w:bookmarkEnd w:id="324"/>
      <w:bookmarkStart w:id="325" w:name="_Toc184313262"/>
      <w:bookmarkEnd w:id="325"/>
      <w:bookmarkStart w:id="326" w:name="_Toc184308106"/>
      <w:bookmarkEnd w:id="326"/>
      <w:bookmarkStart w:id="327" w:name="_Toc184313248"/>
      <w:bookmarkEnd w:id="327"/>
      <w:bookmarkStart w:id="328" w:name="_Toc184314462"/>
      <w:bookmarkEnd w:id="328"/>
      <w:bookmarkStart w:id="329" w:name="_Toc184308086"/>
      <w:bookmarkEnd w:id="329"/>
      <w:bookmarkStart w:id="330" w:name="_Toc184310283"/>
      <w:bookmarkEnd w:id="330"/>
      <w:bookmarkStart w:id="331" w:name="_Toc184314416"/>
      <w:bookmarkEnd w:id="331"/>
      <w:bookmarkStart w:id="332" w:name="_Toc184313263"/>
      <w:bookmarkEnd w:id="332"/>
      <w:bookmarkStart w:id="333" w:name="_Toc184313290"/>
      <w:bookmarkEnd w:id="333"/>
      <w:bookmarkStart w:id="334" w:name="_Toc184313309"/>
      <w:bookmarkEnd w:id="334"/>
      <w:bookmarkStart w:id="335" w:name="_Toc184308036"/>
      <w:bookmarkEnd w:id="335"/>
      <w:bookmarkStart w:id="336" w:name="_Toc184312134"/>
      <w:bookmarkEnd w:id="336"/>
      <w:bookmarkStart w:id="337" w:name="_Toc184313277"/>
      <w:bookmarkEnd w:id="337"/>
      <w:bookmarkStart w:id="338" w:name="_Toc184314443"/>
      <w:bookmarkEnd w:id="338"/>
      <w:bookmarkStart w:id="339" w:name="_Toc184312119"/>
      <w:bookmarkEnd w:id="339"/>
      <w:bookmarkStart w:id="340" w:name="_Toc184313256"/>
      <w:bookmarkEnd w:id="340"/>
      <w:bookmarkStart w:id="341" w:name="_Toc184312136"/>
      <w:bookmarkEnd w:id="341"/>
      <w:bookmarkStart w:id="342" w:name="_Toc184314466"/>
      <w:bookmarkEnd w:id="342"/>
      <w:bookmarkStart w:id="343" w:name="_Toc184310305"/>
      <w:bookmarkEnd w:id="343"/>
      <w:bookmarkStart w:id="344" w:name="_Toc184314433"/>
      <w:bookmarkEnd w:id="344"/>
      <w:bookmarkStart w:id="345" w:name="_Toc184314474"/>
      <w:bookmarkEnd w:id="345"/>
      <w:bookmarkStart w:id="346" w:name="_Toc184308097"/>
      <w:bookmarkEnd w:id="346"/>
      <w:bookmarkStart w:id="347" w:name="_Toc184312138"/>
      <w:bookmarkEnd w:id="347"/>
      <w:bookmarkStart w:id="348" w:name="_Toc184312128"/>
      <w:bookmarkEnd w:id="348"/>
      <w:bookmarkStart w:id="349" w:name="_Toc184314440"/>
      <w:bookmarkEnd w:id="349"/>
      <w:bookmarkStart w:id="350" w:name="_Toc184308055"/>
      <w:bookmarkEnd w:id="350"/>
      <w:bookmarkStart w:id="351" w:name="_Toc184308044"/>
      <w:bookmarkEnd w:id="351"/>
      <w:bookmarkStart w:id="352" w:name="_Toc184314420"/>
      <w:bookmarkEnd w:id="352"/>
      <w:bookmarkStart w:id="353" w:name="_Toc184310344"/>
      <w:bookmarkEnd w:id="353"/>
      <w:bookmarkStart w:id="354" w:name="_Toc184308054"/>
      <w:bookmarkEnd w:id="354"/>
      <w:bookmarkStart w:id="355" w:name="_Toc184310299"/>
      <w:bookmarkEnd w:id="355"/>
      <w:bookmarkStart w:id="356" w:name="_Toc184312139"/>
      <w:bookmarkEnd w:id="356"/>
      <w:bookmarkStart w:id="357" w:name="_Toc184312093"/>
      <w:bookmarkEnd w:id="357"/>
      <w:bookmarkStart w:id="358" w:name="_Toc184312117"/>
      <w:bookmarkEnd w:id="358"/>
      <w:bookmarkStart w:id="359" w:name="_Toc184312130"/>
      <w:bookmarkEnd w:id="359"/>
      <w:bookmarkStart w:id="360" w:name="_Toc184314459"/>
      <w:bookmarkEnd w:id="360"/>
      <w:bookmarkStart w:id="361" w:name="_Toc184308081"/>
      <w:bookmarkEnd w:id="361"/>
      <w:bookmarkStart w:id="362" w:name="_Toc184313258"/>
      <w:bookmarkEnd w:id="362"/>
      <w:bookmarkStart w:id="363" w:name="_Toc184312137"/>
      <w:bookmarkEnd w:id="363"/>
      <w:bookmarkStart w:id="364" w:name="_Toc184310324"/>
      <w:bookmarkEnd w:id="364"/>
      <w:bookmarkStart w:id="365" w:name="_Toc184310290"/>
      <w:bookmarkEnd w:id="365"/>
      <w:bookmarkStart w:id="366" w:name="_Toc184314423"/>
      <w:bookmarkEnd w:id="366"/>
      <w:bookmarkStart w:id="367" w:name="_Toc184310321"/>
      <w:bookmarkEnd w:id="367"/>
      <w:bookmarkStart w:id="368" w:name="_Toc184310343"/>
      <w:bookmarkEnd w:id="368"/>
      <w:bookmarkStart w:id="369" w:name="_Toc184310275"/>
      <w:bookmarkEnd w:id="369"/>
      <w:bookmarkStart w:id="370" w:name="_Toc184313302"/>
      <w:bookmarkEnd w:id="370"/>
      <w:bookmarkStart w:id="371" w:name="_Toc184314450"/>
      <w:bookmarkEnd w:id="371"/>
      <w:bookmarkStart w:id="372" w:name="_Toc184312089"/>
      <w:bookmarkEnd w:id="372"/>
      <w:bookmarkStart w:id="373" w:name="_Toc184313274"/>
      <w:bookmarkEnd w:id="373"/>
      <w:bookmarkStart w:id="374" w:name="_Toc184308085"/>
      <w:bookmarkEnd w:id="374"/>
      <w:bookmarkStart w:id="375" w:name="_Toc184308069"/>
      <w:bookmarkEnd w:id="375"/>
      <w:bookmarkStart w:id="376" w:name="_Toc184310342"/>
      <w:bookmarkEnd w:id="376"/>
      <w:bookmarkStart w:id="377" w:name="_Toc184314454"/>
      <w:bookmarkEnd w:id="377"/>
      <w:bookmarkStart w:id="378" w:name="_Toc184310296"/>
      <w:bookmarkEnd w:id="378"/>
      <w:bookmarkStart w:id="379" w:name="_Toc184312118"/>
      <w:bookmarkEnd w:id="379"/>
      <w:bookmarkStart w:id="380" w:name="_Toc184308104"/>
      <w:bookmarkEnd w:id="380"/>
      <w:bookmarkStart w:id="381" w:name="_Toc184314432"/>
      <w:bookmarkEnd w:id="381"/>
      <w:bookmarkStart w:id="382" w:name="_Toc184313310"/>
      <w:bookmarkEnd w:id="382"/>
      <w:bookmarkStart w:id="383" w:name="_Toc184310308"/>
      <w:bookmarkEnd w:id="383"/>
      <w:bookmarkStart w:id="384" w:name="_Toc184314430"/>
      <w:bookmarkEnd w:id="384"/>
      <w:bookmarkStart w:id="385" w:name="_Toc184312074"/>
      <w:bookmarkEnd w:id="385"/>
      <w:bookmarkStart w:id="386" w:name="_Toc184313272"/>
      <w:bookmarkEnd w:id="386"/>
      <w:bookmarkStart w:id="387" w:name="_Toc184308089"/>
      <w:bookmarkEnd w:id="387"/>
      <w:bookmarkStart w:id="388" w:name="_Toc184308046"/>
      <w:bookmarkEnd w:id="388"/>
      <w:bookmarkStart w:id="389" w:name="_Toc184314478"/>
      <w:bookmarkEnd w:id="389"/>
      <w:bookmarkStart w:id="390" w:name="_Toc184314411"/>
      <w:bookmarkEnd w:id="390"/>
      <w:bookmarkStart w:id="391" w:name="_Toc184310335"/>
      <w:bookmarkEnd w:id="391"/>
      <w:bookmarkStart w:id="392" w:name="_Toc184313306"/>
      <w:bookmarkEnd w:id="392"/>
      <w:bookmarkStart w:id="393" w:name="_Toc184314463"/>
      <w:bookmarkEnd w:id="393"/>
      <w:bookmarkStart w:id="394" w:name="_Toc184313307"/>
      <w:bookmarkEnd w:id="394"/>
      <w:bookmarkStart w:id="395" w:name="_Toc184312113"/>
      <w:bookmarkEnd w:id="395"/>
      <w:bookmarkStart w:id="396" w:name="_Toc184310320"/>
      <w:bookmarkEnd w:id="396"/>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pacing w:line="360" w:lineRule="auto"/>
        <w:rPr>
          <w:rFonts w:ascii="宋体" w:hAnsi="宋体" w:cs="宋体"/>
          <w:sz w:val="20"/>
          <w:szCs w:val="20"/>
          <w:shd w:val="clear" w:color="auto" w:fill="FFFFFF"/>
        </w:rPr>
      </w:pPr>
    </w:p>
    <w:p>
      <w:pPr>
        <w:widowControl/>
        <w:spacing w:line="360" w:lineRule="auto"/>
        <w:rPr>
          <w:rFonts w:ascii="宋体" w:hAnsi="宋体" w:cs="宋体"/>
          <w:sz w:val="24"/>
        </w:rPr>
      </w:pPr>
      <w:r>
        <w:rPr>
          <w:rFonts w:hint="eastAsia" w:ascii="宋体" w:hAnsi="宋体" w:cs="宋体"/>
          <w:sz w:val="24"/>
        </w:rPr>
        <w:t>1、资信与商务部分（4分）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序号</w:t>
            </w:r>
          </w:p>
        </w:tc>
        <w:tc>
          <w:tcPr>
            <w:tcW w:w="6933" w:type="dxa"/>
            <w:gridSpan w:val="2"/>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评分内容和标准</w:t>
            </w:r>
          </w:p>
        </w:tc>
        <w:tc>
          <w:tcPr>
            <w:tcW w:w="732"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权重</w:t>
            </w:r>
          </w:p>
        </w:tc>
        <w:tc>
          <w:tcPr>
            <w:tcW w:w="1009"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主客</w:t>
            </w:r>
          </w:p>
          <w:p>
            <w:pPr>
              <w:widowControl/>
              <w:spacing w:line="360" w:lineRule="auto"/>
              <w:jc w:val="center"/>
              <w:rPr>
                <w:rFonts w:ascii="宋体" w:hAnsi="宋体" w:cs="宋体"/>
                <w:sz w:val="24"/>
              </w:rPr>
            </w:pPr>
            <w:r>
              <w:rPr>
                <w:rFonts w:hint="eastAsia" w:ascii="宋体" w:hAnsi="宋体" w:cs="宋体"/>
                <w:sz w:val="24"/>
              </w:rPr>
              <w:t>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restart"/>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商</w:t>
            </w:r>
          </w:p>
          <w:p>
            <w:pPr>
              <w:widowControl/>
              <w:spacing w:line="360" w:lineRule="auto"/>
              <w:jc w:val="center"/>
              <w:rPr>
                <w:rFonts w:ascii="宋体" w:hAnsi="宋体" w:cs="宋体"/>
                <w:sz w:val="24"/>
              </w:rPr>
            </w:pPr>
            <w:r>
              <w:rPr>
                <w:rFonts w:hint="eastAsia" w:ascii="宋体" w:hAnsi="宋体" w:cs="宋体"/>
                <w:sz w:val="24"/>
              </w:rPr>
              <w:t>务</w:t>
            </w:r>
          </w:p>
          <w:p>
            <w:pPr>
              <w:widowControl/>
              <w:spacing w:line="360" w:lineRule="auto"/>
              <w:jc w:val="center"/>
              <w:rPr>
                <w:rFonts w:ascii="宋体" w:hAnsi="宋体" w:cs="宋体"/>
                <w:sz w:val="24"/>
              </w:rPr>
            </w:pPr>
            <w:r>
              <w:rPr>
                <w:rFonts w:hint="eastAsia" w:ascii="宋体" w:hAnsi="宋体" w:cs="宋体"/>
                <w:sz w:val="24"/>
              </w:rPr>
              <w:t>资</w:t>
            </w:r>
          </w:p>
          <w:p>
            <w:pPr>
              <w:widowControl/>
              <w:spacing w:line="360" w:lineRule="auto"/>
              <w:jc w:val="center"/>
              <w:rPr>
                <w:rFonts w:ascii="宋体" w:hAnsi="宋体" w:cs="宋体"/>
                <w:sz w:val="24"/>
              </w:rPr>
            </w:pPr>
            <w:r>
              <w:rPr>
                <w:rFonts w:hint="eastAsia" w:ascii="宋体" w:hAnsi="宋体" w:cs="宋体"/>
                <w:sz w:val="24"/>
              </w:rPr>
              <w:t>信</w:t>
            </w:r>
          </w:p>
        </w:tc>
        <w:tc>
          <w:tcPr>
            <w:tcW w:w="72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6213" w:type="dxa"/>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pPr>
              <w:widowControl/>
              <w:spacing w:line="360" w:lineRule="auto"/>
              <w:rPr>
                <w:rFonts w:ascii="宋体" w:hAnsi="宋体" w:cs="宋体"/>
                <w:sz w:val="24"/>
              </w:rPr>
            </w:pPr>
            <w:r>
              <w:rPr>
                <w:rFonts w:hint="eastAsia" w:ascii="宋体" w:hAnsi="宋体" w:cs="宋体"/>
                <w:sz w:val="24"/>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1009"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vMerge w:val="continue"/>
            <w:shd w:val="clear" w:color="auto" w:fill="auto"/>
            <w:vAlign w:val="center"/>
          </w:tcPr>
          <w:p>
            <w:pPr>
              <w:widowControl/>
              <w:spacing w:line="360" w:lineRule="auto"/>
              <w:jc w:val="center"/>
              <w:rPr>
                <w:rFonts w:ascii="宋体" w:hAnsi="宋体" w:cs="宋体"/>
                <w:sz w:val="24"/>
              </w:rPr>
            </w:pPr>
          </w:p>
        </w:tc>
        <w:tc>
          <w:tcPr>
            <w:tcW w:w="72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6213" w:type="dxa"/>
            <w:tcBorders>
              <w:tl2br w:val="nil"/>
              <w:tr2bl w:val="nil"/>
            </w:tcBorders>
            <w:shd w:val="clear" w:color="auto" w:fill="auto"/>
            <w:vAlign w:val="center"/>
          </w:tcPr>
          <w:p>
            <w:pPr>
              <w:widowControl/>
              <w:spacing w:line="360" w:lineRule="auto"/>
              <w:rPr>
                <w:rFonts w:ascii="宋体" w:hAnsi="宋体" w:cs="宋体"/>
              </w:rPr>
            </w:pPr>
            <w:r>
              <w:rPr>
                <w:rFonts w:hint="eastAsia" w:ascii="宋体" w:hAnsi="宋体" w:cs="宋体"/>
                <w:sz w:val="24"/>
              </w:rPr>
              <w:t>投标产品销售业绩：评委对本次投标同型号投标产品自2021年1月1日起（以合同签定时间为准）与不同的最终用户签订的销售合同评分，每提供一个合同复印件得1分，最高3分。</w:t>
            </w:r>
          </w:p>
        </w:tc>
        <w:tc>
          <w:tcPr>
            <w:tcW w:w="732"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1009"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客观分</w:t>
            </w:r>
          </w:p>
        </w:tc>
      </w:tr>
    </w:tbl>
    <w:p>
      <w:pPr>
        <w:widowControl/>
        <w:adjustRightInd/>
        <w:spacing w:line="360" w:lineRule="auto"/>
        <w:jc w:val="left"/>
        <w:rPr>
          <w:rFonts w:ascii="宋体" w:hAnsi="宋体" w:cs="宋体"/>
          <w:sz w:val="24"/>
        </w:rPr>
      </w:pPr>
    </w:p>
    <w:p>
      <w:pPr>
        <w:widowControl/>
        <w:adjustRightInd/>
        <w:jc w:val="left"/>
        <w:rPr>
          <w:rFonts w:ascii="宋体" w:hAnsi="宋体" w:cs="宋体"/>
          <w:sz w:val="24"/>
        </w:rPr>
      </w:pPr>
      <w:r>
        <w:rPr>
          <w:rFonts w:hint="eastAsia" w:ascii="宋体" w:hAnsi="宋体" w:cs="宋体"/>
          <w:sz w:val="24"/>
        </w:rPr>
        <w:t>2、技术和服务方案（66分）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技</w:t>
            </w:r>
          </w:p>
          <w:p>
            <w:pPr>
              <w:widowControl/>
              <w:spacing w:line="360" w:lineRule="auto"/>
              <w:jc w:val="center"/>
              <w:rPr>
                <w:rFonts w:ascii="宋体" w:hAnsi="宋体" w:cs="宋体"/>
                <w:sz w:val="24"/>
              </w:rPr>
            </w:pPr>
            <w:r>
              <w:rPr>
                <w:rFonts w:hint="eastAsia" w:ascii="宋体" w:hAnsi="宋体" w:cs="宋体"/>
                <w:sz w:val="24"/>
              </w:rPr>
              <w:t>术</w:t>
            </w:r>
          </w:p>
          <w:p>
            <w:pPr>
              <w:widowControl/>
              <w:spacing w:line="360" w:lineRule="auto"/>
              <w:jc w:val="center"/>
              <w:rPr>
                <w:rFonts w:ascii="宋体" w:hAnsi="宋体" w:cs="宋体"/>
                <w:sz w:val="24"/>
              </w:rPr>
            </w:pPr>
            <w:r>
              <w:rPr>
                <w:rFonts w:hint="eastAsia" w:ascii="宋体" w:hAnsi="宋体" w:cs="宋体"/>
                <w:sz w:val="24"/>
              </w:rPr>
              <w:t>和</w:t>
            </w:r>
          </w:p>
          <w:p>
            <w:pPr>
              <w:widowControl/>
              <w:spacing w:line="360" w:lineRule="auto"/>
              <w:jc w:val="center"/>
              <w:rPr>
                <w:rFonts w:ascii="宋体" w:hAnsi="宋体" w:cs="宋体"/>
                <w:sz w:val="24"/>
              </w:rPr>
            </w:pPr>
            <w:r>
              <w:rPr>
                <w:rFonts w:hint="eastAsia" w:ascii="宋体" w:hAnsi="宋体" w:cs="宋体"/>
                <w:sz w:val="24"/>
              </w:rPr>
              <w:t>服</w:t>
            </w:r>
          </w:p>
          <w:p>
            <w:pPr>
              <w:widowControl/>
              <w:spacing w:line="360" w:lineRule="auto"/>
              <w:jc w:val="center"/>
              <w:rPr>
                <w:rFonts w:ascii="宋体" w:hAnsi="宋体" w:cs="宋体"/>
                <w:sz w:val="24"/>
              </w:rPr>
            </w:pPr>
            <w:r>
              <w:rPr>
                <w:rFonts w:hint="eastAsia" w:ascii="宋体" w:hAnsi="宋体" w:cs="宋体"/>
                <w:sz w:val="24"/>
              </w:rPr>
              <w:t>务</w:t>
            </w:r>
          </w:p>
          <w:p>
            <w:pPr>
              <w:widowControl/>
              <w:spacing w:line="360" w:lineRule="auto"/>
              <w:jc w:val="center"/>
              <w:rPr>
                <w:rFonts w:ascii="宋体" w:hAnsi="宋体" w:cs="宋体"/>
                <w:sz w:val="24"/>
              </w:rPr>
            </w:pPr>
            <w:r>
              <w:rPr>
                <w:rFonts w:hint="eastAsia" w:ascii="宋体" w:hAnsi="宋体" w:cs="宋体"/>
                <w:sz w:val="24"/>
              </w:rPr>
              <w:t>方</w:t>
            </w:r>
          </w:p>
          <w:p>
            <w:pPr>
              <w:widowControl/>
              <w:spacing w:line="360" w:lineRule="auto"/>
              <w:jc w:val="center"/>
              <w:rPr>
                <w:rFonts w:ascii="宋体" w:hAnsi="宋体" w:cs="宋体"/>
                <w:sz w:val="24"/>
              </w:rPr>
            </w:pPr>
            <w:r>
              <w:rPr>
                <w:rFonts w:hint="eastAsia" w:ascii="宋体" w:hAnsi="宋体" w:cs="宋体"/>
                <w:sz w:val="24"/>
              </w:rPr>
              <w:t>案</w:t>
            </w:r>
          </w:p>
        </w:tc>
        <w:tc>
          <w:tcPr>
            <w:tcW w:w="745"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序号</w:t>
            </w:r>
          </w:p>
        </w:tc>
        <w:tc>
          <w:tcPr>
            <w:tcW w:w="5825" w:type="dxa"/>
            <w:gridSpan w:val="2"/>
            <w:tcBorders>
              <w:tl2br w:val="nil"/>
              <w:tr2bl w:val="nil"/>
            </w:tcBorders>
            <w:shd w:val="clear" w:color="auto" w:fill="auto"/>
            <w:vAlign w:val="center"/>
          </w:tcPr>
          <w:p>
            <w:pPr>
              <w:widowControl/>
              <w:spacing w:line="360" w:lineRule="auto"/>
              <w:ind w:right="134" w:rightChars="64" w:firstLine="480" w:firstLineChars="200"/>
              <w:jc w:val="center"/>
              <w:rPr>
                <w:rFonts w:ascii="宋体" w:hAnsi="宋体" w:cs="宋体"/>
                <w:sz w:val="24"/>
              </w:rPr>
            </w:pPr>
            <w:r>
              <w:rPr>
                <w:rFonts w:hint="eastAsia" w:ascii="宋体" w:hAnsi="宋体" w:cs="宋体"/>
                <w:sz w:val="24"/>
              </w:rPr>
              <w:t>评分内容和标准具体描述</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权重</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pPr>
              <w:widowControl/>
              <w:spacing w:line="360" w:lineRule="auto"/>
              <w:jc w:val="center"/>
              <w:rPr>
                <w:rFonts w:ascii="宋体" w:hAnsi="宋体" w:cs="宋体"/>
                <w:b/>
                <w:bCs/>
                <w:sz w:val="24"/>
              </w:rPr>
            </w:pPr>
          </w:p>
        </w:tc>
        <w:tc>
          <w:tcPr>
            <w:tcW w:w="745"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5825" w:type="dxa"/>
            <w:gridSpan w:val="2"/>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技术功能符合度：对应于采购文件第二章“采购需求”中“技术规格及要求”。指标条款，每一条不满足扣</w:t>
            </w:r>
            <w:r>
              <w:rPr>
                <w:rFonts w:hint="eastAsia" w:ascii="宋体" w:hAnsi="宋体" w:cs="宋体"/>
                <w:sz w:val="24"/>
                <w:lang w:val="en-US" w:eastAsia="zh-CN"/>
              </w:rPr>
              <w:t>2</w:t>
            </w:r>
            <w:r>
              <w:rPr>
                <w:rFonts w:hint="eastAsia" w:ascii="宋体" w:hAnsi="宋体" w:cs="宋体"/>
                <w:sz w:val="24"/>
              </w:rPr>
              <w:t>分，扣完为止。本项最高得40分。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40</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pPr>
              <w:widowControl/>
              <w:spacing w:line="360" w:lineRule="auto"/>
              <w:jc w:val="center"/>
              <w:rPr>
                <w:rFonts w:ascii="宋体" w:hAnsi="宋体" w:cs="宋体"/>
                <w:b/>
                <w:bCs/>
                <w:sz w:val="24"/>
              </w:rPr>
            </w:pPr>
          </w:p>
        </w:tc>
        <w:tc>
          <w:tcPr>
            <w:tcW w:w="745"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5825" w:type="dxa"/>
            <w:gridSpan w:val="2"/>
            <w:tcBorders>
              <w:tl2br w:val="nil"/>
              <w:tr2bl w:val="nil"/>
            </w:tcBorders>
            <w:shd w:val="clear" w:color="auto" w:fill="auto"/>
            <w:vAlign w:val="center"/>
          </w:tcPr>
          <w:p>
            <w:pPr>
              <w:snapToGrid w:val="0"/>
              <w:rPr>
                <w:rFonts w:hint="eastAsia" w:ascii="宋体" w:hAnsi="宋体" w:cs="宋体"/>
                <w:sz w:val="24"/>
              </w:rPr>
            </w:pPr>
            <w:r>
              <w:rPr>
                <w:rFonts w:hint="eastAsia" w:ascii="宋体" w:hAnsi="宋体" w:cs="宋体"/>
                <w:sz w:val="24"/>
              </w:rPr>
              <w:t>投标人需提供项目技术方案，技术原理及技术特点，根据项目方案的科学性、合理性和规范性等进行综合评审</w:t>
            </w:r>
          </w:p>
          <w:p>
            <w:pPr>
              <w:snapToGrid w:val="0"/>
              <w:rPr>
                <w:rFonts w:hint="eastAsia" w:ascii="宋体" w:hAnsi="宋体" w:cs="宋体"/>
                <w:sz w:val="24"/>
              </w:rPr>
            </w:pPr>
            <w:r>
              <w:rPr>
                <w:rFonts w:hint="eastAsia" w:ascii="宋体" w:hAnsi="宋体" w:cs="宋体"/>
                <w:sz w:val="24"/>
              </w:rPr>
              <w:t>对项目技术内容和需求理解准确，技术及难点分析</w:t>
            </w:r>
            <w:r>
              <w:rPr>
                <w:rFonts w:hint="eastAsia" w:ascii="宋体" w:hAnsi="宋体" w:cs="宋体"/>
                <w:sz w:val="24"/>
                <w:lang w:eastAsia="zh-CN"/>
              </w:rPr>
              <w:t>详实</w:t>
            </w:r>
            <w:r>
              <w:rPr>
                <w:rFonts w:hint="eastAsia" w:ascii="宋体" w:hAnsi="宋体" w:cs="宋体"/>
                <w:sz w:val="24"/>
              </w:rPr>
              <w:t>精准得</w:t>
            </w:r>
            <w:r>
              <w:rPr>
                <w:rFonts w:hint="eastAsia" w:ascii="宋体" w:hAnsi="宋体" w:cs="宋体"/>
                <w:sz w:val="24"/>
                <w:lang w:val="en-US" w:eastAsia="zh-CN"/>
              </w:rPr>
              <w:t>4</w:t>
            </w:r>
            <w:r>
              <w:rPr>
                <w:rFonts w:hint="eastAsia" w:ascii="宋体" w:hAnsi="宋体" w:cs="宋体"/>
                <w:sz w:val="24"/>
              </w:rPr>
              <w:t>分；</w:t>
            </w:r>
          </w:p>
          <w:p>
            <w:pPr>
              <w:snapToGrid w:val="0"/>
              <w:rPr>
                <w:rFonts w:hint="eastAsia" w:ascii="宋体" w:hAnsi="宋体" w:cs="宋体"/>
                <w:sz w:val="24"/>
              </w:rPr>
            </w:pPr>
            <w:r>
              <w:rPr>
                <w:rFonts w:hint="eastAsia" w:ascii="宋体" w:hAnsi="宋体" w:cs="宋体"/>
                <w:sz w:val="24"/>
              </w:rPr>
              <w:t>对项目技术内容和需求基本准确，技术及难点分析充分合理得</w:t>
            </w:r>
            <w:r>
              <w:rPr>
                <w:rFonts w:hint="eastAsia" w:ascii="宋体" w:hAnsi="宋体" w:cs="宋体"/>
                <w:sz w:val="24"/>
                <w:lang w:val="en-US" w:eastAsia="zh-CN"/>
              </w:rPr>
              <w:t>3</w:t>
            </w:r>
            <w:r>
              <w:rPr>
                <w:rFonts w:hint="eastAsia" w:ascii="宋体" w:hAnsi="宋体" w:cs="宋体"/>
                <w:sz w:val="24"/>
              </w:rPr>
              <w:t>分；</w:t>
            </w:r>
          </w:p>
          <w:p>
            <w:pPr>
              <w:snapToGrid w:val="0"/>
              <w:rPr>
                <w:rFonts w:hint="eastAsia" w:ascii="宋体" w:hAnsi="宋体" w:cs="宋体"/>
                <w:sz w:val="24"/>
              </w:rPr>
            </w:pPr>
            <w:r>
              <w:rPr>
                <w:rFonts w:hint="eastAsia" w:ascii="宋体" w:hAnsi="宋体" w:cs="宋体"/>
                <w:sz w:val="24"/>
              </w:rPr>
              <w:t>对项目服务内容和需求理解有部分偏差，技术及难点分析简略、欠准确得2分；</w:t>
            </w:r>
          </w:p>
          <w:p>
            <w:pPr>
              <w:spacing w:line="360" w:lineRule="auto"/>
              <w:rPr>
                <w:rFonts w:ascii="宋体" w:hAnsi="宋体" w:cs="宋体"/>
              </w:rPr>
            </w:pPr>
            <w:r>
              <w:rPr>
                <w:rFonts w:hint="eastAsia" w:ascii="宋体" w:hAnsi="宋体" w:cs="宋体"/>
                <w:sz w:val="24"/>
              </w:rPr>
              <w:t>对项目技术内容和需求理解有较大偏差，技术及难点分析简略、欠准确得1分；未提供或不合理0分。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pPr>
              <w:widowControl/>
              <w:spacing w:line="360" w:lineRule="auto"/>
              <w:jc w:val="center"/>
              <w:rPr>
                <w:rFonts w:ascii="宋体" w:hAnsi="宋体" w:cs="宋体"/>
                <w:sz w:val="24"/>
              </w:rPr>
            </w:pPr>
          </w:p>
        </w:tc>
        <w:tc>
          <w:tcPr>
            <w:tcW w:w="745"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5</w:t>
            </w:r>
          </w:p>
        </w:tc>
        <w:tc>
          <w:tcPr>
            <w:tcW w:w="5825" w:type="dxa"/>
            <w:gridSpan w:val="2"/>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维修成本：包括保修价格、设备配件价格，维修服务费等维修价格。</w:t>
            </w:r>
          </w:p>
          <w:p>
            <w:pPr>
              <w:spacing w:line="360" w:lineRule="auto"/>
              <w:rPr>
                <w:rFonts w:ascii="宋体" w:hAnsi="宋体" w:cs="宋体"/>
              </w:rPr>
            </w:pPr>
            <w:r>
              <w:rPr>
                <w:rFonts w:hint="eastAsia" w:ascii="宋体" w:hAnsi="宋体" w:cs="宋体"/>
                <w:sz w:val="24"/>
              </w:rPr>
              <w:t>报价合理维修成本低得4分；报价和维修成本较合理得3分，报价和维修成本一般得2分，维修成本报价不合理得1分，无维修报价得0分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pPr>
              <w:widowControl/>
              <w:spacing w:line="360" w:lineRule="auto"/>
              <w:jc w:val="center"/>
              <w:rPr>
                <w:rFonts w:ascii="宋体" w:hAnsi="宋体" w:cs="宋体"/>
                <w:sz w:val="24"/>
              </w:rPr>
            </w:pPr>
          </w:p>
        </w:tc>
        <w:tc>
          <w:tcPr>
            <w:tcW w:w="745"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6</w:t>
            </w:r>
          </w:p>
        </w:tc>
        <w:tc>
          <w:tcPr>
            <w:tcW w:w="808" w:type="dxa"/>
            <w:vMerge w:val="restart"/>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售后服务方案</w:t>
            </w:r>
          </w:p>
          <w:p>
            <w:pPr>
              <w:widowControl/>
              <w:spacing w:line="360" w:lineRule="auto"/>
              <w:jc w:val="center"/>
              <w:rPr>
                <w:rFonts w:ascii="宋体" w:hAnsi="宋体" w:cs="宋体"/>
                <w:sz w:val="24"/>
              </w:rPr>
            </w:pPr>
          </w:p>
        </w:tc>
        <w:tc>
          <w:tcPr>
            <w:tcW w:w="5017" w:type="dxa"/>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pPr>
              <w:widowControl/>
              <w:spacing w:line="360" w:lineRule="auto"/>
              <w:jc w:val="center"/>
              <w:rPr>
                <w:rFonts w:ascii="宋体" w:hAnsi="宋体" w:cs="宋体"/>
                <w:sz w:val="24"/>
              </w:rPr>
            </w:pPr>
          </w:p>
        </w:tc>
        <w:tc>
          <w:tcPr>
            <w:tcW w:w="745"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7</w:t>
            </w:r>
          </w:p>
        </w:tc>
        <w:tc>
          <w:tcPr>
            <w:tcW w:w="808" w:type="dxa"/>
            <w:vMerge w:val="continue"/>
            <w:tcBorders>
              <w:tl2br w:val="nil"/>
              <w:tr2bl w:val="nil"/>
            </w:tcBorders>
            <w:shd w:val="clear" w:color="auto" w:fill="auto"/>
            <w:vAlign w:val="center"/>
          </w:tcPr>
          <w:p>
            <w:pPr>
              <w:widowControl/>
              <w:spacing w:line="360" w:lineRule="auto"/>
              <w:jc w:val="center"/>
              <w:rPr>
                <w:rFonts w:ascii="宋体" w:hAnsi="宋体" w:cs="宋体"/>
                <w:sz w:val="24"/>
              </w:rPr>
            </w:pPr>
          </w:p>
        </w:tc>
        <w:tc>
          <w:tcPr>
            <w:tcW w:w="5017" w:type="dxa"/>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售后服务巡检方案情况，巡检方案能充分满足售后服务要求得4分，巡检方案基本能满足售后服务要求得3分，巡检方案的完整性、可行性、项目售后服务匹配性一般得2分，巡检方案与项目售后服务匹配性有所欠缺得1分，项目售后服务匹配性差或不提及的不得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pPr>
              <w:widowControl/>
              <w:spacing w:line="360" w:lineRule="auto"/>
              <w:jc w:val="center"/>
              <w:rPr>
                <w:rFonts w:ascii="宋体" w:hAnsi="宋体" w:cs="宋体"/>
                <w:sz w:val="24"/>
              </w:rPr>
            </w:pPr>
          </w:p>
        </w:tc>
        <w:tc>
          <w:tcPr>
            <w:tcW w:w="745"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8</w:t>
            </w:r>
          </w:p>
        </w:tc>
        <w:tc>
          <w:tcPr>
            <w:tcW w:w="808" w:type="dxa"/>
            <w:vMerge w:val="continue"/>
            <w:tcBorders>
              <w:tl2br w:val="nil"/>
              <w:tr2bl w:val="nil"/>
            </w:tcBorders>
            <w:shd w:val="clear" w:color="auto" w:fill="auto"/>
            <w:vAlign w:val="center"/>
          </w:tcPr>
          <w:p>
            <w:pPr>
              <w:widowControl/>
              <w:spacing w:line="360" w:lineRule="auto"/>
              <w:jc w:val="center"/>
              <w:rPr>
                <w:rFonts w:ascii="宋体" w:hAnsi="宋体" w:cs="宋体"/>
                <w:sz w:val="24"/>
              </w:rPr>
            </w:pPr>
          </w:p>
        </w:tc>
        <w:tc>
          <w:tcPr>
            <w:tcW w:w="5017"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售后服务机构技术服务人员情况，提供姓名、工作经验、资质证书情况，人员配备充足售后服务经验丰富得3分，人员配备和售后服务一般得2分，人员配备不足售后服务经验差1分，无人员配备得0分。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pPr>
              <w:widowControl/>
              <w:spacing w:line="360" w:lineRule="auto"/>
              <w:ind w:firstLine="480" w:firstLineChars="200"/>
              <w:jc w:val="center"/>
              <w:rPr>
                <w:rFonts w:ascii="宋体" w:hAnsi="宋体" w:cs="宋体"/>
                <w:sz w:val="24"/>
              </w:rPr>
            </w:pPr>
          </w:p>
        </w:tc>
        <w:tc>
          <w:tcPr>
            <w:tcW w:w="745"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9</w:t>
            </w:r>
          </w:p>
        </w:tc>
        <w:tc>
          <w:tcPr>
            <w:tcW w:w="5825" w:type="dxa"/>
            <w:gridSpan w:val="2"/>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培训方案，包括但不限于培训对象、课时安排、师资力量安排等，方案考虑充分安排有效得2分，方案合理安排一般得1分，方案安排欠完整得0.5分，无方案得0分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745" w:type="dxa"/>
            <w:vMerge w:val="continue"/>
            <w:tcBorders>
              <w:tl2br w:val="nil"/>
              <w:tr2bl w:val="nil"/>
            </w:tcBorders>
            <w:vAlign w:val="center"/>
          </w:tcPr>
          <w:p>
            <w:pPr>
              <w:widowControl/>
              <w:spacing w:line="360" w:lineRule="auto"/>
              <w:ind w:firstLine="480" w:firstLineChars="200"/>
              <w:jc w:val="center"/>
              <w:rPr>
                <w:rFonts w:ascii="宋体" w:hAnsi="宋体" w:cs="宋体"/>
                <w:sz w:val="24"/>
              </w:rPr>
            </w:pPr>
          </w:p>
        </w:tc>
        <w:tc>
          <w:tcPr>
            <w:tcW w:w="745"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10</w:t>
            </w:r>
          </w:p>
        </w:tc>
        <w:tc>
          <w:tcPr>
            <w:tcW w:w="5825" w:type="dxa"/>
            <w:gridSpan w:val="2"/>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3" w:hRule="atLeast"/>
        </w:trPr>
        <w:tc>
          <w:tcPr>
            <w:tcW w:w="745" w:type="dxa"/>
            <w:vMerge w:val="continue"/>
            <w:tcBorders>
              <w:tl2br w:val="nil"/>
              <w:tr2bl w:val="nil"/>
            </w:tcBorders>
            <w:vAlign w:val="center"/>
          </w:tcPr>
          <w:p>
            <w:pPr>
              <w:widowControl/>
              <w:spacing w:line="360" w:lineRule="auto"/>
              <w:ind w:firstLine="480" w:firstLineChars="200"/>
              <w:jc w:val="center"/>
              <w:rPr>
                <w:rFonts w:ascii="宋体" w:hAnsi="宋体" w:cs="宋体"/>
                <w:sz w:val="24"/>
              </w:rPr>
            </w:pPr>
          </w:p>
        </w:tc>
        <w:tc>
          <w:tcPr>
            <w:tcW w:w="745"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11</w:t>
            </w:r>
          </w:p>
        </w:tc>
        <w:tc>
          <w:tcPr>
            <w:tcW w:w="5825" w:type="dxa"/>
            <w:gridSpan w:val="2"/>
            <w:tcBorders>
              <w:tl2br w:val="nil"/>
              <w:tr2bl w:val="nil"/>
            </w:tcBorders>
            <w:shd w:val="clear" w:color="auto" w:fill="auto"/>
            <w:vAlign w:val="center"/>
          </w:tcPr>
          <w:p>
            <w:pPr>
              <w:widowControl/>
              <w:spacing w:line="360" w:lineRule="auto"/>
              <w:jc w:val="left"/>
              <w:rPr>
                <w:rFonts w:ascii="宋体" w:hAnsi="宋体" w:cs="宋体"/>
                <w:sz w:val="24"/>
              </w:rPr>
            </w:pPr>
            <w:r>
              <w:rPr>
                <w:rFonts w:hint="eastAsia" w:ascii="宋体" w:hAnsi="宋体" w:cs="宋体"/>
                <w:sz w:val="24"/>
              </w:rPr>
              <w:t>质保期承诺：质保期在满足采购文件的基础上，每增加提供1年原厂质保的加1分，最多加2分。</w:t>
            </w:r>
          </w:p>
        </w:tc>
        <w:tc>
          <w:tcPr>
            <w:tcW w:w="987"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1200" w:type="dxa"/>
            <w:tcBorders>
              <w:tl2br w:val="nil"/>
              <w:tr2bl w:val="nil"/>
            </w:tcBorders>
            <w:shd w:val="clear" w:color="auto" w:fill="auto"/>
            <w:vAlign w:val="center"/>
          </w:tcPr>
          <w:p>
            <w:pPr>
              <w:widowControl/>
              <w:spacing w:line="360" w:lineRule="auto"/>
              <w:jc w:val="center"/>
              <w:rPr>
                <w:rFonts w:ascii="宋体" w:hAnsi="宋体" w:cs="宋体"/>
                <w:sz w:val="24"/>
              </w:rPr>
            </w:pPr>
            <w:r>
              <w:rPr>
                <w:rFonts w:hint="eastAsia" w:ascii="宋体" w:hAnsi="宋体" w:cs="宋体"/>
                <w:sz w:val="24"/>
              </w:rPr>
              <w:t>客观分</w:t>
            </w:r>
          </w:p>
        </w:tc>
      </w:tr>
    </w:tbl>
    <w:p>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2、评分条款中涉及的业绩、荣誉、人员、社保等分公司均有效。涉及社保、劳动关系证明关系的，如人员为法人代表，则无需提供相关证明，提供营业执照及身份证。</w:t>
      </w:r>
    </w:p>
    <w:p>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pPr>
        <w:spacing w:line="360" w:lineRule="auto"/>
        <w:ind w:firstLine="480" w:firstLineChars="200"/>
        <w:rPr>
          <w:rFonts w:ascii="宋体" w:hAnsi="宋体" w:cs="宋体"/>
          <w:sz w:val="24"/>
        </w:rPr>
      </w:pPr>
      <w:r>
        <w:rPr>
          <w:rFonts w:hint="eastAsia" w:ascii="宋体" w:hAnsi="宋体" w:cs="宋体"/>
          <w:sz w:val="24"/>
        </w:rPr>
        <w:t>价格分（30分）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宋体" w:hAnsi="宋体" w:cs="宋体"/>
                <w:sz w:val="24"/>
              </w:rPr>
            </w:pPr>
            <w:r>
              <w:rPr>
                <w:rFonts w:hint="eastAsia" w:ascii="宋体" w:hAnsi="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40" w:firstLineChars="100"/>
              <w:rPr>
                <w:rFonts w:ascii="宋体" w:hAnsi="宋体" w:cs="宋体"/>
                <w:sz w:val="24"/>
              </w:rPr>
            </w:pPr>
            <w:r>
              <w:rPr>
                <w:rFonts w:hint="eastAsia" w:ascii="宋体" w:hAnsi="宋体" w:cs="宋体"/>
                <w:sz w:val="24"/>
              </w:rPr>
              <w:t>价格权值=0.3</w:t>
            </w:r>
          </w:p>
        </w:tc>
        <w:tc>
          <w:tcPr>
            <w:tcW w:w="659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最低有效投标价格为评标基准价</w:t>
            </w:r>
          </w:p>
          <w:p>
            <w:pPr>
              <w:spacing w:line="360" w:lineRule="auto"/>
              <w:rPr>
                <w:rFonts w:ascii="宋体" w:hAnsi="宋体" w:cs="宋体"/>
                <w:sz w:val="24"/>
              </w:rPr>
            </w:pPr>
            <w:r>
              <w:rPr>
                <w:rFonts w:hint="eastAsia" w:ascii="宋体" w:hAnsi="宋体" w:cs="宋体"/>
                <w:sz w:val="24"/>
              </w:rPr>
              <w:t xml:space="preserve">投标报价得分=(评标基准价／投标报价)×价格权值×100 </w:t>
            </w:r>
          </w:p>
          <w:p>
            <w:pPr>
              <w:spacing w:line="360" w:lineRule="auto"/>
              <w:rPr>
                <w:rFonts w:ascii="宋体" w:hAnsi="宋体" w:cs="宋体"/>
                <w:sz w:val="24"/>
              </w:rPr>
            </w:pPr>
            <w:r>
              <w:rPr>
                <w:rFonts w:hint="eastAsia" w:ascii="宋体" w:hAnsi="宋体" w:cs="宋体"/>
                <w:sz w:val="24"/>
              </w:rPr>
              <w:t>（计算得分保留小数点后2位）</w:t>
            </w:r>
          </w:p>
        </w:tc>
      </w:tr>
    </w:tbl>
    <w:p>
      <w:pPr>
        <w:spacing w:line="360" w:lineRule="auto"/>
        <w:rPr>
          <w:rFonts w:ascii="宋体" w:hAnsi="宋体" w:cs="宋体"/>
          <w:sz w:val="24"/>
        </w:rPr>
      </w:pPr>
    </w:p>
    <w:p>
      <w:pPr>
        <w:spacing w:line="360" w:lineRule="auto"/>
        <w:rPr>
          <w:rFonts w:cs="仿宋_GB2312"/>
          <w:color w:val="000000"/>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spacing w:line="360" w:lineRule="auto"/>
        <w:ind w:firstLine="480" w:firstLineChars="200"/>
      </w:pPr>
      <w:r>
        <w:rPr>
          <w:rFonts w:hint="eastAsia" w:ascii="宋体" w:hAnsi="宋体" w:cs="宋体"/>
          <w:kern w:val="0"/>
          <w:sz w:val="24"/>
        </w:rPr>
        <w:t>4.2.14 投标文件不满足招标文件的实质性要求的；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废标后，采购代理机构应当将废标理由通知所有投标人。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0"/>
        <w:jc w:val="center"/>
        <w:rPr>
          <w:rFonts w:ascii="宋体" w:hAnsi="宋体" w:cs="宋体"/>
          <w:szCs w:val="24"/>
        </w:rPr>
      </w:pPr>
    </w:p>
    <w:p>
      <w:pPr>
        <w:pStyle w:val="3"/>
        <w:jc w:val="center"/>
        <w:rPr>
          <w:rFonts w:ascii="宋体" w:hAnsi="宋体" w:eastAsia="宋体" w:cs="宋体"/>
        </w:rPr>
      </w:pPr>
      <w:r>
        <w:rPr>
          <w:rFonts w:hint="eastAsia" w:ascii="宋体" w:hAnsi="宋体" w:eastAsia="宋体" w:cs="宋体"/>
        </w:rPr>
        <w:t>第一部分 合同书</w:t>
      </w:r>
    </w:p>
    <w:p>
      <w:pPr>
        <w:pStyle w:val="700"/>
        <w:rPr>
          <w:rFonts w:ascii="宋体" w:hAnsi="宋体" w:cs="宋体"/>
          <w:szCs w:val="24"/>
        </w:rPr>
      </w:pPr>
    </w:p>
    <w:p>
      <w:pPr>
        <w:spacing w:before="120" w:line="22" w:lineRule="atLeast"/>
        <w:rPr>
          <w:rFonts w:ascii="宋体" w:hAnsi="宋体" w:cs="宋体"/>
        </w:rPr>
      </w:pPr>
    </w:p>
    <w:p>
      <w:pPr>
        <w:spacing w:before="120" w:line="22" w:lineRule="atLeast"/>
        <w:ind w:left="96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rPr>
      </w:pPr>
    </w:p>
    <w:p>
      <w:pPr>
        <w:spacing w:before="120" w:line="22" w:lineRule="atLeast"/>
        <w:ind w:left="960"/>
        <w:rPr>
          <w:rFonts w:ascii="宋体" w:hAnsi="宋体" w:cs="宋体"/>
          <w:u w:val="single"/>
        </w:rPr>
      </w:pPr>
      <w:r>
        <w:rPr>
          <w:rFonts w:hint="eastAsia" w:ascii="宋体" w:hAnsi="宋体" w:cs="宋体"/>
        </w:rPr>
        <w:t>甲方：</w:t>
      </w:r>
      <w:r>
        <w:rPr>
          <w:rFonts w:hint="eastAsia" w:ascii="宋体" w:hAnsi="宋体" w:cs="宋体"/>
          <w:u w:val="single"/>
        </w:rPr>
        <w:t xml:space="preserve">                                       </w:t>
      </w:r>
    </w:p>
    <w:p>
      <w:pPr>
        <w:spacing w:before="120" w:line="22" w:lineRule="atLeast"/>
        <w:rPr>
          <w:rFonts w:ascii="宋体" w:hAnsi="宋体" w:cs="宋体"/>
        </w:rPr>
      </w:pPr>
    </w:p>
    <w:p>
      <w:pPr>
        <w:spacing w:before="120" w:line="22" w:lineRule="atLeast"/>
        <w:ind w:left="960"/>
        <w:rPr>
          <w:rFonts w:ascii="宋体" w:hAnsi="宋体" w:cs="宋体"/>
          <w:u w:val="single"/>
        </w:rPr>
      </w:pPr>
      <w:r>
        <w:rPr>
          <w:rFonts w:hint="eastAsia" w:ascii="宋体" w:hAnsi="宋体" w:cs="宋体"/>
        </w:rPr>
        <w:t>乙方：</w:t>
      </w:r>
      <w:r>
        <w:rPr>
          <w:rFonts w:hint="eastAsia" w:ascii="宋体" w:hAnsi="宋体" w:cs="宋体"/>
          <w:u w:val="single"/>
        </w:rPr>
        <w:t xml:space="preserve">                                       </w:t>
      </w:r>
    </w:p>
    <w:p>
      <w:pPr>
        <w:spacing w:before="120" w:line="22" w:lineRule="atLeast"/>
        <w:rPr>
          <w:rFonts w:ascii="宋体" w:hAnsi="宋体" w:cs="宋体"/>
        </w:rPr>
      </w:pPr>
    </w:p>
    <w:p>
      <w:pPr>
        <w:spacing w:before="120" w:line="22" w:lineRule="atLeast"/>
        <w:ind w:firstLine="840" w:firstLineChars="400"/>
        <w:rPr>
          <w:rFonts w:ascii="宋体" w:hAnsi="宋体" w:cs="宋体"/>
          <w:u w:val="single"/>
        </w:rPr>
      </w:pPr>
      <w:r>
        <w:rPr>
          <w:rFonts w:hint="eastAsia" w:ascii="宋体" w:hAnsi="宋体" w:cs="宋体"/>
        </w:rPr>
        <w:t>签订地：</w:t>
      </w:r>
      <w:r>
        <w:rPr>
          <w:rFonts w:hint="eastAsia" w:ascii="宋体" w:hAnsi="宋体" w:cs="宋体"/>
          <w:u w:val="single"/>
        </w:rPr>
        <w:t xml:space="preserve">                                     </w:t>
      </w:r>
    </w:p>
    <w:p>
      <w:pPr>
        <w:spacing w:before="120" w:line="22" w:lineRule="atLeast"/>
        <w:rPr>
          <w:rFonts w:ascii="宋体" w:hAnsi="宋体" w:cs="宋体"/>
        </w:rPr>
      </w:pPr>
    </w:p>
    <w:p>
      <w:pPr>
        <w:spacing w:before="120" w:line="22" w:lineRule="atLeast"/>
        <w:ind w:firstLine="840" w:firstLineChars="400"/>
        <w:rPr>
          <w:rFonts w:ascii="宋体" w:hAnsi="宋体" w:cs="宋体"/>
          <w:u w:val="single"/>
        </w:rPr>
      </w:pPr>
      <w:r>
        <w:rPr>
          <w:rFonts w:hint="eastAsia" w:ascii="宋体" w:hAnsi="宋体" w:cs="宋体"/>
        </w:rPr>
        <w:t>签订日期：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rPr>
          <w:rFonts w:ascii="宋体" w:hAnsi="宋体" w:cs="宋体"/>
        </w:rPr>
        <w:sectPr>
          <w:headerReference r:id="rId8" w:type="default"/>
          <w:footerReference r:id="rId9" w:type="default"/>
          <w:pgSz w:w="11907" w:h="16840"/>
          <w:pgMar w:top="1474" w:right="1814" w:bottom="1474" w:left="1814" w:header="851" w:footer="851" w:gutter="0"/>
          <w:cols w:space="720" w:num="1"/>
        </w:sectPr>
      </w:pPr>
    </w:p>
    <w:p>
      <w:pPr>
        <w:spacing w:line="360" w:lineRule="auto"/>
        <w:ind w:firstLine="420" w:firstLineChars="200"/>
        <w:rPr>
          <w:rFonts w:ascii="宋体" w:hAnsi="宋体" w:cs="宋体"/>
        </w:rPr>
      </w:pPr>
      <w:r>
        <w:rPr>
          <w:rFonts w:hint="eastAsia" w:ascii="宋体" w:hAnsi="宋体" w:cs="宋体"/>
          <w:u w:val="single"/>
          <w:lang w:val="zh-CN"/>
        </w:rPr>
        <w:t xml:space="preserve">        </w:t>
      </w:r>
      <w:r>
        <w:rPr>
          <w:rFonts w:hint="eastAsia" w:ascii="宋体" w:hAnsi="宋体" w:cs="宋体"/>
          <w:lang w:val="zh-CN"/>
        </w:rPr>
        <w:t>年</w:t>
      </w:r>
      <w:r>
        <w:rPr>
          <w:rFonts w:hint="eastAsia" w:ascii="宋体" w:hAnsi="宋体" w:cs="宋体"/>
          <w:u w:val="single"/>
          <w:lang w:val="zh-CN"/>
        </w:rPr>
        <w:t xml:space="preserve">    </w:t>
      </w:r>
      <w:r>
        <w:rPr>
          <w:rFonts w:hint="eastAsia" w:ascii="宋体" w:hAnsi="宋体" w:cs="宋体"/>
          <w:lang w:val="zh-CN"/>
        </w:rPr>
        <w:t>月</w:t>
      </w:r>
      <w:r>
        <w:rPr>
          <w:rFonts w:hint="eastAsia" w:ascii="宋体" w:hAnsi="宋体" w:cs="宋体"/>
          <w:u w:val="single"/>
          <w:lang w:val="zh-CN"/>
        </w:rPr>
        <w:t xml:space="preserve">    </w:t>
      </w:r>
      <w:r>
        <w:rPr>
          <w:rFonts w:hint="eastAsia" w:ascii="宋体" w:hAnsi="宋体" w:cs="宋体"/>
          <w:lang w:val="zh-CN"/>
        </w:rPr>
        <w:t>日</w:t>
      </w:r>
      <w:r>
        <w:rPr>
          <w:rFonts w:hint="eastAsia" w:ascii="宋体" w:hAnsi="宋体" w:cs="宋体"/>
        </w:rPr>
        <w:t>，</w:t>
      </w:r>
      <w:r>
        <w:rPr>
          <w:rFonts w:hint="eastAsia" w:ascii="宋体" w:hAnsi="宋体" w:cs="宋体"/>
          <w:u w:val="single"/>
        </w:rPr>
        <w:t xml:space="preserve">   （采购人）   </w:t>
      </w:r>
      <w:r>
        <w:rPr>
          <w:rFonts w:hint="eastAsia" w:ascii="宋体" w:hAnsi="宋体" w:cs="宋体"/>
        </w:rPr>
        <w:t>以</w:t>
      </w:r>
      <w:r>
        <w:rPr>
          <w:rFonts w:hint="eastAsia" w:ascii="宋体" w:hAnsi="宋体" w:cs="宋体"/>
          <w:u w:val="single"/>
        </w:rPr>
        <w:t xml:space="preserve">   （政府采购方式）  </w:t>
      </w:r>
      <w:r>
        <w:rPr>
          <w:rFonts w:hint="eastAsia" w:ascii="宋体" w:hAnsi="宋体" w:cs="宋体"/>
        </w:rPr>
        <w:t>对</w:t>
      </w:r>
      <w:r>
        <w:rPr>
          <w:rFonts w:hint="eastAsia" w:ascii="宋体" w:hAnsi="宋体" w:cs="宋体"/>
          <w:u w:val="single"/>
        </w:rPr>
        <w:t xml:space="preserve">   （同前页项目名称）   </w:t>
      </w:r>
      <w:r>
        <w:rPr>
          <w:rFonts w:hint="eastAsia" w:ascii="宋体" w:hAnsi="宋体" w:cs="宋体"/>
        </w:rPr>
        <w:t>项目进行了采购。经</w:t>
      </w:r>
      <w:r>
        <w:rPr>
          <w:rFonts w:hint="eastAsia" w:ascii="宋体" w:hAnsi="宋体" w:cs="宋体"/>
          <w:u w:val="single"/>
        </w:rPr>
        <w:t xml:space="preserve">   （相关评定主体名称）   </w:t>
      </w:r>
      <w:r>
        <w:rPr>
          <w:rFonts w:hint="eastAsia" w:ascii="宋体" w:hAnsi="宋体" w:cs="宋体"/>
        </w:rPr>
        <w:t>评定，</w:t>
      </w:r>
      <w:r>
        <w:rPr>
          <w:rFonts w:hint="eastAsia" w:ascii="宋体" w:hAnsi="宋体" w:cs="宋体"/>
          <w:u w:val="single"/>
        </w:rPr>
        <w:t xml:space="preserve">   （中标供应商名称）</w:t>
      </w:r>
      <w:r>
        <w:rPr>
          <w:rFonts w:hint="eastAsia" w:ascii="宋体" w:hAnsi="宋体" w:cs="宋体"/>
        </w:rPr>
        <w:t>为该项目中标供应商。现于中标通知书发出之日起三十日内，按照采购文件确定的事项签订本合同。</w:t>
      </w:r>
    </w:p>
    <w:p>
      <w:pPr>
        <w:spacing w:line="360" w:lineRule="auto"/>
        <w:ind w:firstLine="420" w:firstLineChars="200"/>
        <w:rPr>
          <w:rFonts w:ascii="宋体" w:hAnsi="宋体" w:cs="宋体"/>
        </w:rPr>
      </w:pPr>
      <w:r>
        <w:rPr>
          <w:rFonts w:hint="eastAsia" w:ascii="宋体" w:hAnsi="宋体" w:cs="宋体"/>
          <w:lang w:val="zh-CN"/>
        </w:rPr>
        <w:t>根据《中华人民共和国民法典》、《中华人民共和国政府采购法》等相关法律法规之规定，按照平等、自愿、公平、诚实信用和绿色的原则，经</w:t>
      </w:r>
      <w:r>
        <w:rPr>
          <w:rFonts w:hint="eastAsia" w:ascii="宋体" w:hAnsi="宋体" w:cs="宋体"/>
          <w:u w:val="single"/>
        </w:rPr>
        <w:t xml:space="preserve">   （采购人）   </w:t>
      </w:r>
      <w:r>
        <w:rPr>
          <w:rFonts w:hint="eastAsia" w:ascii="宋体" w:hAnsi="宋体" w:cs="宋体"/>
          <w:lang w:val="zh-CN"/>
        </w:rPr>
        <w:t>(以下简称：甲方)和</w:t>
      </w:r>
      <w:r>
        <w:rPr>
          <w:rFonts w:hint="eastAsia" w:ascii="宋体" w:hAnsi="宋体" w:cs="宋体"/>
          <w:u w:val="single"/>
        </w:rPr>
        <w:t xml:space="preserve">   （中标供应商名称）   </w:t>
      </w:r>
      <w:r>
        <w:rPr>
          <w:rFonts w:hint="eastAsia" w:ascii="宋体" w:hAnsi="宋体" w:cs="宋体"/>
          <w:lang w:val="zh-CN"/>
        </w:rPr>
        <w:t>(以下简称：乙方)协商一致，约定以下合同</w:t>
      </w:r>
      <w:r>
        <w:rPr>
          <w:rFonts w:hint="eastAsia" w:ascii="宋体" w:hAnsi="宋体" w:cs="宋体"/>
        </w:rPr>
        <w:t>条款，以兹共同遵守、全面履行。</w:t>
      </w:r>
    </w:p>
    <w:p>
      <w:pPr>
        <w:pStyle w:val="4"/>
        <w:numPr>
          <w:ilvl w:val="1"/>
          <w:numId w:val="3"/>
        </w:numPr>
        <w:spacing w:line="360" w:lineRule="auto"/>
        <w:rPr>
          <w:rFonts w:ascii="宋体" w:hAnsi="宋体" w:cs="宋体"/>
          <w:sz w:val="24"/>
          <w:szCs w:val="24"/>
        </w:rPr>
      </w:pPr>
      <w:bookmarkStart w:id="399" w:name="_Toc24059"/>
      <w:bookmarkStart w:id="400" w:name="_Toc3029"/>
      <w:bookmarkStart w:id="401" w:name="_Toc2232"/>
      <w:r>
        <w:rPr>
          <w:rFonts w:hint="eastAsia" w:ascii="宋体" w:hAnsi="宋体" w:cs="宋体"/>
          <w:sz w:val="24"/>
          <w:szCs w:val="24"/>
        </w:rPr>
        <w:t>合同组成部分</w:t>
      </w:r>
      <w:bookmarkEnd w:id="399"/>
      <w:bookmarkEnd w:id="400"/>
      <w:bookmarkEnd w:id="401"/>
    </w:p>
    <w:p>
      <w:pPr>
        <w:spacing w:line="360" w:lineRule="auto"/>
        <w:ind w:firstLine="420" w:firstLineChars="200"/>
        <w:rPr>
          <w:rFonts w:ascii="宋体" w:hAnsi="宋体" w:cs="宋体"/>
        </w:rPr>
      </w:pPr>
      <w:r>
        <w:rPr>
          <w:rFonts w:hint="eastAsia" w:ascii="宋体" w:hAnsi="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0" w:firstLineChars="200"/>
        <w:rPr>
          <w:rFonts w:ascii="宋体" w:hAnsi="宋体" w:cs="宋体"/>
        </w:rPr>
      </w:pPr>
      <w:r>
        <w:rPr>
          <w:rFonts w:hint="eastAsia" w:ascii="宋体" w:hAnsi="宋体" w:cs="宋体"/>
        </w:rPr>
        <w:t>1.1.1 本合同及其补充合同、变更协议；</w:t>
      </w:r>
    </w:p>
    <w:p>
      <w:pPr>
        <w:spacing w:line="360" w:lineRule="auto"/>
        <w:ind w:firstLine="420" w:firstLineChars="200"/>
        <w:rPr>
          <w:rFonts w:ascii="宋体" w:hAnsi="宋体" w:cs="宋体"/>
        </w:rPr>
      </w:pPr>
      <w:r>
        <w:rPr>
          <w:rFonts w:hint="eastAsia" w:ascii="宋体" w:hAnsi="宋体" w:cs="宋体"/>
        </w:rPr>
        <w:t>1.1.2 中标通知书；</w:t>
      </w:r>
    </w:p>
    <w:p>
      <w:pPr>
        <w:spacing w:line="360" w:lineRule="auto"/>
        <w:ind w:firstLine="420" w:firstLineChars="200"/>
        <w:rPr>
          <w:rFonts w:ascii="宋体" w:hAnsi="宋体" w:cs="宋体"/>
        </w:rPr>
      </w:pPr>
      <w:r>
        <w:rPr>
          <w:rFonts w:hint="eastAsia" w:ascii="宋体" w:hAnsi="宋体" w:cs="宋体"/>
        </w:rPr>
        <w:t>1.1.3 投标文件（含澄清或者说明文件）；</w:t>
      </w:r>
    </w:p>
    <w:p>
      <w:pPr>
        <w:spacing w:line="360" w:lineRule="auto"/>
        <w:ind w:firstLine="420" w:firstLineChars="200"/>
        <w:rPr>
          <w:rFonts w:ascii="宋体" w:hAnsi="宋体" w:cs="宋体"/>
        </w:rPr>
      </w:pPr>
      <w:r>
        <w:rPr>
          <w:rFonts w:hint="eastAsia" w:ascii="宋体" w:hAnsi="宋体" w:cs="宋体"/>
        </w:rPr>
        <w:t>1.1.4 招标文件（含澄清或者修改文件）；</w:t>
      </w:r>
    </w:p>
    <w:p>
      <w:pPr>
        <w:spacing w:line="360" w:lineRule="auto"/>
        <w:ind w:firstLine="420" w:firstLineChars="200"/>
        <w:rPr>
          <w:rFonts w:ascii="宋体" w:hAnsi="宋体" w:cs="宋体"/>
        </w:rPr>
      </w:pPr>
      <w:r>
        <w:rPr>
          <w:rFonts w:hint="eastAsia" w:ascii="宋体" w:hAnsi="宋体" w:cs="宋体"/>
        </w:rPr>
        <w:t>1.1.5 其他相关采购文件。</w:t>
      </w:r>
    </w:p>
    <w:p>
      <w:pPr>
        <w:pStyle w:val="4"/>
        <w:spacing w:line="360" w:lineRule="auto"/>
        <w:rPr>
          <w:rFonts w:ascii="宋体" w:hAnsi="宋体" w:cs="宋体"/>
          <w:sz w:val="24"/>
          <w:szCs w:val="24"/>
        </w:rPr>
      </w:pPr>
      <w:bookmarkStart w:id="402" w:name="_Toc21295"/>
      <w:bookmarkStart w:id="403" w:name="_Toc24300"/>
      <w:bookmarkStart w:id="404" w:name="_Toc27126"/>
      <w:r>
        <w:rPr>
          <w:rFonts w:hint="eastAsia" w:ascii="宋体" w:hAnsi="宋体" w:cs="宋体"/>
          <w:sz w:val="24"/>
          <w:szCs w:val="24"/>
        </w:rPr>
        <w:t>1.2 货物</w:t>
      </w:r>
      <w:bookmarkEnd w:id="402"/>
      <w:bookmarkEnd w:id="403"/>
      <w:bookmarkEnd w:id="404"/>
    </w:p>
    <w:p>
      <w:pPr>
        <w:spacing w:line="360" w:lineRule="auto"/>
        <w:ind w:firstLine="420" w:firstLineChars="200"/>
        <w:rPr>
          <w:rFonts w:ascii="宋体" w:hAnsi="宋体" w:cs="宋体"/>
          <w:u w:val="single"/>
        </w:rPr>
      </w:pPr>
      <w:r>
        <w:rPr>
          <w:rFonts w:hint="eastAsia" w:ascii="宋体" w:hAnsi="宋体" w:cs="宋体"/>
        </w:rPr>
        <w:t>1.2.1 货物名称：</w:t>
      </w:r>
      <w:r>
        <w:rPr>
          <w:rFonts w:hint="eastAsia" w:ascii="宋体" w:hAnsi="宋体" w:cs="宋体"/>
          <w:u w:val="single"/>
        </w:rPr>
        <w:t xml:space="preserve">                                                </w:t>
      </w:r>
      <w:r>
        <w:rPr>
          <w:rFonts w:hint="eastAsia" w:ascii="宋体" w:hAnsi="宋体" w:cs="宋体"/>
        </w:rPr>
        <w:t>；</w:t>
      </w:r>
    </w:p>
    <w:p>
      <w:pPr>
        <w:spacing w:line="360" w:lineRule="auto"/>
        <w:ind w:firstLine="420" w:firstLineChars="200"/>
        <w:rPr>
          <w:rFonts w:ascii="宋体" w:hAnsi="宋体" w:cs="宋体"/>
          <w:u w:val="single"/>
        </w:rPr>
      </w:pPr>
      <w:r>
        <w:rPr>
          <w:rFonts w:hint="eastAsia" w:ascii="宋体" w:hAnsi="宋体" w:cs="宋体"/>
        </w:rPr>
        <w:t>1.2.2 货物数量：</w:t>
      </w:r>
      <w:r>
        <w:rPr>
          <w:rFonts w:hint="eastAsia" w:ascii="宋体" w:hAnsi="宋体" w:cs="宋体"/>
          <w:u w:val="single"/>
        </w:rPr>
        <w:t xml:space="preserve">                                                </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1.2.3 货物质量：</w:t>
      </w:r>
      <w:r>
        <w:rPr>
          <w:rFonts w:hint="eastAsia" w:ascii="宋体" w:hAnsi="宋体" w:cs="宋体"/>
          <w:u w:val="single"/>
        </w:rPr>
        <w:t xml:space="preserve">　　　　　　　　　                      　      </w:t>
      </w:r>
      <w:r>
        <w:rPr>
          <w:rFonts w:hint="eastAsia" w:ascii="宋体" w:hAnsi="宋体" w:cs="宋体"/>
        </w:rPr>
        <w:t>。</w:t>
      </w:r>
    </w:p>
    <w:p>
      <w:pPr>
        <w:pStyle w:val="4"/>
        <w:spacing w:line="360" w:lineRule="auto"/>
        <w:rPr>
          <w:rFonts w:ascii="宋体" w:hAnsi="宋体" w:cs="宋体"/>
          <w:sz w:val="24"/>
          <w:szCs w:val="24"/>
        </w:rPr>
      </w:pPr>
      <w:bookmarkStart w:id="405" w:name="_Toc21551"/>
      <w:bookmarkStart w:id="406" w:name="_Toc23292"/>
      <w:bookmarkStart w:id="407" w:name="_Toc21631"/>
      <w:r>
        <w:rPr>
          <w:rFonts w:hint="eastAsia" w:ascii="宋体" w:hAnsi="宋体" w:cs="宋体"/>
          <w:sz w:val="24"/>
          <w:szCs w:val="24"/>
        </w:rPr>
        <w:t>1.3 价款</w:t>
      </w:r>
      <w:bookmarkEnd w:id="405"/>
      <w:bookmarkEnd w:id="406"/>
      <w:bookmarkEnd w:id="407"/>
    </w:p>
    <w:p>
      <w:pPr>
        <w:spacing w:line="360" w:lineRule="auto"/>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元人民币）。</w:t>
      </w:r>
    </w:p>
    <w:p>
      <w:pPr>
        <w:spacing w:line="360" w:lineRule="auto"/>
        <w:ind w:firstLine="420" w:firstLineChars="200"/>
        <w:rPr>
          <w:rFonts w:ascii="宋体" w:hAnsi="宋体" w:cs="宋体"/>
          <w:u w:val="single"/>
        </w:rPr>
      </w:pPr>
      <w:r>
        <w:rPr>
          <w:rFonts w:hint="eastAsia" w:ascii="宋体" w:hAnsi="宋体" w:cs="宋体"/>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jc w:val="center"/>
              <w:rPr>
                <w:rFonts w:hAnsi="宋体" w:cs="宋体"/>
                <w:sz w:val="24"/>
                <w:szCs w:val="24"/>
              </w:rPr>
            </w:pPr>
            <w:r>
              <w:rPr>
                <w:rFonts w:hint="eastAsia" w:hAnsi="宋体" w:cs="宋体"/>
                <w:sz w:val="24"/>
                <w:szCs w:val="24"/>
              </w:rPr>
              <w:t>序号</w:t>
            </w:r>
          </w:p>
        </w:tc>
        <w:tc>
          <w:tcPr>
            <w:tcW w:w="3402" w:type="dxa"/>
            <w:vAlign w:val="center"/>
          </w:tcPr>
          <w:p>
            <w:pPr>
              <w:pStyle w:val="318"/>
              <w:spacing w:line="360" w:lineRule="auto"/>
              <w:ind w:firstLine="200"/>
              <w:jc w:val="center"/>
              <w:rPr>
                <w:rFonts w:hAnsi="宋体" w:cs="宋体"/>
                <w:sz w:val="24"/>
                <w:szCs w:val="24"/>
              </w:rPr>
            </w:pPr>
            <w:r>
              <w:rPr>
                <w:rFonts w:hint="eastAsia" w:hAnsi="宋体" w:cs="宋体"/>
                <w:sz w:val="24"/>
                <w:szCs w:val="24"/>
              </w:rPr>
              <w:t>分项名称</w:t>
            </w:r>
          </w:p>
        </w:tc>
        <w:tc>
          <w:tcPr>
            <w:tcW w:w="2552" w:type="dxa"/>
            <w:vAlign w:val="center"/>
          </w:tcPr>
          <w:p>
            <w:pPr>
              <w:pStyle w:val="318"/>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360" w:lineRule="auto"/>
              <w:ind w:firstLine="200"/>
              <w:jc w:val="center"/>
              <w:rPr>
                <w:rFonts w:hAnsi="宋体" w:cs="宋体"/>
                <w:sz w:val="24"/>
                <w:szCs w:val="24"/>
              </w:rPr>
            </w:pPr>
          </w:p>
        </w:tc>
        <w:tc>
          <w:tcPr>
            <w:tcW w:w="3402" w:type="dxa"/>
            <w:vAlign w:val="center"/>
          </w:tcPr>
          <w:p>
            <w:pPr>
              <w:pStyle w:val="318"/>
              <w:spacing w:line="360" w:lineRule="auto"/>
              <w:ind w:firstLine="200"/>
              <w:jc w:val="center"/>
              <w:rPr>
                <w:rFonts w:hAnsi="宋体" w:cs="宋体"/>
                <w:sz w:val="24"/>
                <w:szCs w:val="24"/>
              </w:rPr>
            </w:pPr>
          </w:p>
        </w:tc>
        <w:tc>
          <w:tcPr>
            <w:tcW w:w="2552" w:type="dxa"/>
            <w:vAlign w:val="center"/>
          </w:tcPr>
          <w:p>
            <w:pPr>
              <w:pStyle w:val="31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360" w:lineRule="auto"/>
              <w:ind w:firstLine="200"/>
              <w:jc w:val="center"/>
              <w:rPr>
                <w:rFonts w:hAnsi="宋体" w:cs="宋体"/>
                <w:sz w:val="24"/>
                <w:szCs w:val="24"/>
              </w:rPr>
            </w:pPr>
            <w:r>
              <w:rPr>
                <w:rFonts w:hint="eastAsia" w:hAnsi="宋体" w:cs="宋体"/>
                <w:sz w:val="24"/>
                <w:szCs w:val="24"/>
              </w:rPr>
              <w:t>总价</w:t>
            </w:r>
          </w:p>
        </w:tc>
        <w:tc>
          <w:tcPr>
            <w:tcW w:w="2552" w:type="dxa"/>
            <w:vAlign w:val="center"/>
          </w:tcPr>
          <w:p>
            <w:pPr>
              <w:pStyle w:val="318"/>
              <w:spacing w:line="360" w:lineRule="auto"/>
              <w:ind w:firstLine="200"/>
              <w:jc w:val="center"/>
              <w:rPr>
                <w:rFonts w:hAnsi="宋体" w:cs="宋体"/>
                <w:sz w:val="24"/>
                <w:szCs w:val="24"/>
              </w:rPr>
            </w:pPr>
          </w:p>
        </w:tc>
      </w:tr>
    </w:tbl>
    <w:p>
      <w:pPr>
        <w:pStyle w:val="4"/>
        <w:spacing w:line="360" w:lineRule="auto"/>
        <w:rPr>
          <w:rFonts w:ascii="宋体" w:hAnsi="宋体" w:cs="宋体"/>
          <w:sz w:val="24"/>
          <w:szCs w:val="24"/>
        </w:rPr>
      </w:pPr>
      <w:bookmarkStart w:id="408" w:name="_Toc10340"/>
      <w:bookmarkStart w:id="409" w:name="_Toc1814"/>
      <w:bookmarkStart w:id="410" w:name="_Toc22618"/>
      <w:r>
        <w:rPr>
          <w:rFonts w:hint="eastAsia" w:ascii="宋体" w:hAnsi="宋体" w:cs="宋体"/>
          <w:sz w:val="24"/>
          <w:szCs w:val="24"/>
        </w:rPr>
        <w:t>1.4 付款</w:t>
      </w:r>
      <w:bookmarkEnd w:id="408"/>
      <w:bookmarkEnd w:id="409"/>
      <w:bookmarkEnd w:id="410"/>
      <w:r>
        <w:rPr>
          <w:rFonts w:hint="eastAsia" w:ascii="宋体" w:hAnsi="宋体" w:cs="宋体"/>
          <w:sz w:val="24"/>
          <w:szCs w:val="24"/>
        </w:rPr>
        <w:t>方式、时间和条件</w:t>
      </w:r>
    </w:p>
    <w:p>
      <w:pPr>
        <w:pStyle w:val="958"/>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20" w:firstLineChars="200"/>
        <w:rPr>
          <w:rFonts w:ascii="宋体" w:hAnsi="宋体" w:cs="宋体"/>
        </w:rPr>
      </w:pPr>
      <w:r>
        <w:rPr>
          <w:rFonts w:hint="eastAsia" w:ascii="宋体" w:hAnsi="宋体" w:cs="宋体"/>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20" w:firstLineChars="200"/>
        <w:rPr>
          <w:rFonts w:ascii="宋体" w:hAnsi="宋体" w:cs="宋体"/>
        </w:rPr>
      </w:pPr>
      <w:r>
        <w:rPr>
          <w:rFonts w:hint="eastAsia" w:ascii="宋体" w:hAnsi="宋体" w:cs="宋体"/>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rPr>
          <w:rFonts w:ascii="宋体" w:hAnsi="宋体" w:cs="宋体"/>
        </w:rPr>
      </w:pPr>
      <w:r>
        <w:rPr>
          <w:rFonts w:hint="eastAsia" w:ascii="宋体" w:hAnsi="宋体" w:cs="宋体"/>
        </w:rPr>
        <w:t>1.4.4资金支付的方式、时间和条件详见</w:t>
      </w:r>
      <w:r>
        <w:rPr>
          <w:rFonts w:hint="eastAsia" w:ascii="宋体" w:hAnsi="宋体" w:cs="宋体"/>
          <w:b/>
          <w:i/>
          <w:u w:val="single"/>
        </w:rPr>
        <w:t>合同专用条款</w:t>
      </w:r>
      <w:r>
        <w:rPr>
          <w:rFonts w:hint="eastAsia" w:ascii="宋体" w:hAnsi="宋体" w:cs="宋体"/>
        </w:rPr>
        <w:t>。</w:t>
      </w:r>
    </w:p>
    <w:p>
      <w:pPr>
        <w:spacing w:line="360" w:lineRule="auto"/>
        <w:rPr>
          <w:rFonts w:ascii="宋体" w:hAnsi="宋体" w:cs="宋体"/>
        </w:rPr>
      </w:pPr>
      <w:r>
        <w:rPr>
          <w:rFonts w:hint="eastAsia" w:ascii="宋体" w:hAnsi="宋体" w:cs="宋体"/>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4"/>
        <w:spacing w:line="360" w:lineRule="auto"/>
        <w:rPr>
          <w:rFonts w:ascii="宋体" w:hAnsi="宋体" w:cs="宋体"/>
          <w:sz w:val="24"/>
          <w:szCs w:val="24"/>
        </w:rPr>
      </w:pPr>
      <w:bookmarkStart w:id="411" w:name="_Toc19304"/>
      <w:bookmarkStart w:id="412" w:name="_Toc32071"/>
      <w:bookmarkStart w:id="413" w:name="_Toc2846"/>
      <w:r>
        <w:rPr>
          <w:rFonts w:hint="eastAsia" w:ascii="宋体" w:hAnsi="宋体" w:cs="宋体"/>
          <w:sz w:val="24"/>
          <w:szCs w:val="24"/>
        </w:rPr>
        <w:t>1.5 货物交付期限、地点和方式</w:t>
      </w:r>
      <w:bookmarkEnd w:id="411"/>
      <w:bookmarkEnd w:id="412"/>
      <w:bookmarkEnd w:id="413"/>
    </w:p>
    <w:p>
      <w:pPr>
        <w:spacing w:line="360" w:lineRule="auto"/>
        <w:ind w:firstLine="420" w:firstLineChars="200"/>
        <w:rPr>
          <w:rFonts w:ascii="宋体" w:hAnsi="宋体" w:cs="宋体"/>
          <w:u w:val="single"/>
        </w:rPr>
      </w:pPr>
      <w:r>
        <w:rPr>
          <w:rFonts w:hint="eastAsia" w:ascii="宋体" w:hAnsi="宋体" w:cs="宋体"/>
        </w:rPr>
        <w:t>1.5.1 交付期限：详见</w:t>
      </w:r>
      <w:r>
        <w:rPr>
          <w:rFonts w:hint="eastAsia" w:ascii="宋体" w:hAnsi="宋体" w:cs="宋体"/>
          <w:b/>
          <w:i/>
          <w:u w:val="single"/>
        </w:rPr>
        <w:t>合同专用条款</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1.5.2 交付地点：</w:t>
      </w:r>
      <w:r>
        <w:rPr>
          <w:rFonts w:hint="eastAsia" w:ascii="宋体" w:hAnsi="宋体" w:cs="宋体"/>
          <w:b/>
          <w:i/>
          <w:u w:val="single"/>
        </w:rPr>
        <w:t>合同专用条款</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1.5.3 交付方式：</w:t>
      </w:r>
      <w:r>
        <w:rPr>
          <w:rFonts w:hint="eastAsia" w:ascii="宋体" w:hAnsi="宋体" w:cs="宋体"/>
          <w:b/>
          <w:i/>
          <w:u w:val="single"/>
        </w:rPr>
        <w:t>合同专用条款</w:t>
      </w:r>
      <w:r>
        <w:rPr>
          <w:rFonts w:hint="eastAsia" w:ascii="宋体" w:hAnsi="宋体" w:cs="宋体"/>
        </w:rPr>
        <w:t>。</w:t>
      </w:r>
    </w:p>
    <w:p>
      <w:pPr>
        <w:pStyle w:val="4"/>
        <w:spacing w:line="360" w:lineRule="auto"/>
        <w:rPr>
          <w:rFonts w:ascii="宋体" w:hAnsi="宋体" w:cs="宋体"/>
          <w:sz w:val="24"/>
          <w:szCs w:val="24"/>
        </w:rPr>
      </w:pPr>
      <w:bookmarkStart w:id="414" w:name="_Toc19554"/>
      <w:bookmarkStart w:id="415" w:name="_Toc27250"/>
      <w:bookmarkStart w:id="416" w:name="_Toc21423"/>
      <w:r>
        <w:rPr>
          <w:rFonts w:hint="eastAsia" w:ascii="宋体" w:hAnsi="宋体" w:cs="宋体"/>
          <w:sz w:val="24"/>
          <w:szCs w:val="24"/>
        </w:rPr>
        <w:t>1.6 违约责任</w:t>
      </w:r>
      <w:bookmarkEnd w:id="414"/>
      <w:bookmarkEnd w:id="415"/>
      <w:bookmarkEnd w:id="416"/>
    </w:p>
    <w:p>
      <w:pPr>
        <w:spacing w:line="360" w:lineRule="auto"/>
        <w:ind w:firstLine="420" w:firstLineChars="200"/>
        <w:rPr>
          <w:rFonts w:ascii="宋体" w:hAnsi="宋体" w:cs="宋体"/>
        </w:rPr>
      </w:pPr>
      <w:r>
        <w:rPr>
          <w:rFonts w:hint="eastAsia" w:ascii="宋体" w:hAnsi="宋体" w:cs="宋体"/>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u w:val="single"/>
        </w:rPr>
        <w:t xml:space="preserve">  0.05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%；迟延交付货物的违约金计算数额达到前述最高限额之日起，甲方有权在要求乙方支付违约金的同时，书面通知乙方解除本合同；</w:t>
      </w:r>
    </w:p>
    <w:p>
      <w:pPr>
        <w:spacing w:line="360" w:lineRule="auto"/>
        <w:ind w:firstLine="420" w:firstLineChars="200"/>
        <w:rPr>
          <w:rFonts w:ascii="宋体" w:hAnsi="宋体" w:cs="宋体"/>
        </w:rPr>
      </w:pPr>
      <w:r>
        <w:rPr>
          <w:rFonts w:hint="eastAsia" w:ascii="宋体" w:hAnsi="宋体" w:cs="宋体"/>
        </w:rPr>
        <w:t>1.6.2 除不可抗力外，如果甲方没有按照本合同约定的付款方式付款，那么乙方可要求甲方支付违约金，违约金按每迟延付款一日的应付而未付款的</w:t>
      </w:r>
      <w:r>
        <w:rPr>
          <w:rFonts w:hint="eastAsia" w:ascii="宋体" w:hAnsi="宋体" w:cs="宋体"/>
          <w:u w:val="single"/>
        </w:rPr>
        <w:t xml:space="preserve">  0.05  </w:t>
      </w:r>
      <w:r>
        <w:rPr>
          <w:rFonts w:hint="eastAsia" w:ascii="宋体" w:hAnsi="宋体" w:cs="宋体"/>
        </w:rPr>
        <w:t>%计算，最高限额为本合同总价的</w:t>
      </w:r>
      <w:r>
        <w:rPr>
          <w:rFonts w:hint="eastAsia" w:ascii="宋体" w:hAnsi="宋体" w:cs="宋体"/>
          <w:u w:val="single"/>
        </w:rPr>
        <w:t xml:space="preserve">  20   </w:t>
      </w:r>
      <w:r>
        <w:rPr>
          <w:rFonts w:hint="eastAsia" w:ascii="宋体" w:hAnsi="宋体" w:cs="宋体"/>
        </w:rPr>
        <w:t>%；迟延付款的违约金计算数额达到前述最高限额之日起，乙方有权在要求甲方支付违约金的同时，书面通知甲方解除本合同；</w:t>
      </w:r>
    </w:p>
    <w:p>
      <w:pPr>
        <w:spacing w:line="360" w:lineRule="auto"/>
        <w:ind w:firstLine="420" w:firstLineChars="200"/>
        <w:rPr>
          <w:rFonts w:ascii="宋体" w:hAnsi="宋体" w:cs="宋体"/>
        </w:rPr>
      </w:pPr>
      <w:r>
        <w:rPr>
          <w:rFonts w:hint="eastAsia" w:ascii="宋体" w:hAnsi="宋体" w:cs="宋体"/>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0" w:firstLineChars="200"/>
        <w:rPr>
          <w:rFonts w:ascii="宋体" w:hAnsi="宋体" w:cs="宋体"/>
        </w:rPr>
      </w:pPr>
      <w:r>
        <w:rPr>
          <w:rFonts w:hint="eastAsia" w:ascii="宋体" w:hAnsi="宋体" w:cs="宋体"/>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20" w:firstLineChars="200"/>
        <w:rPr>
          <w:rFonts w:ascii="宋体" w:hAnsi="宋体" w:cs="宋体"/>
        </w:rPr>
      </w:pPr>
      <w:r>
        <w:rPr>
          <w:rFonts w:hint="eastAsia" w:ascii="宋体" w:hAnsi="宋体" w:cs="宋体"/>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ascii="宋体" w:hAnsi="宋体" w:cs="宋体"/>
        </w:rPr>
      </w:pPr>
      <w:r>
        <w:rPr>
          <w:rFonts w:hint="eastAsia" w:ascii="宋体" w:hAnsi="宋体" w:cs="宋体"/>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840" w:firstLineChars="400"/>
        <w:rPr>
          <w:rFonts w:ascii="宋体" w:hAnsi="宋体" w:cs="宋体"/>
        </w:rPr>
      </w:pPr>
      <w:r>
        <w:rPr>
          <w:rFonts w:hint="eastAsia" w:ascii="宋体" w:hAnsi="宋体" w:cs="宋体"/>
        </w:rPr>
        <w:t>1.6.7违约责任</w:t>
      </w:r>
      <w:r>
        <w:rPr>
          <w:rFonts w:hint="eastAsia" w:ascii="宋体" w:hAnsi="宋体" w:cs="宋体"/>
          <w:b/>
          <w:i/>
          <w:u w:val="single"/>
        </w:rPr>
        <w:t>合同专用条款</w:t>
      </w:r>
      <w:r>
        <w:rPr>
          <w:rFonts w:hint="eastAsia" w:ascii="宋体" w:hAnsi="宋体" w:cs="宋体"/>
        </w:rPr>
        <w:t>另有约定的，从其约定。</w:t>
      </w:r>
    </w:p>
    <w:p>
      <w:pPr>
        <w:pStyle w:val="4"/>
        <w:spacing w:line="360" w:lineRule="auto"/>
        <w:rPr>
          <w:rFonts w:ascii="宋体" w:hAnsi="宋体" w:cs="宋体"/>
          <w:sz w:val="24"/>
          <w:szCs w:val="24"/>
        </w:rPr>
      </w:pPr>
      <w:bookmarkStart w:id="417" w:name="_Toc15583"/>
      <w:bookmarkStart w:id="418" w:name="_Toc28375"/>
      <w:bookmarkStart w:id="419" w:name="_Toc16021"/>
      <w:r>
        <w:rPr>
          <w:rFonts w:hint="eastAsia" w:ascii="宋体" w:hAnsi="宋体" w:cs="宋体"/>
          <w:sz w:val="24"/>
          <w:szCs w:val="24"/>
        </w:rPr>
        <w:t>1.7 合同争议的解决</w:t>
      </w:r>
      <w:bookmarkEnd w:id="417"/>
      <w:bookmarkEnd w:id="418"/>
      <w:bookmarkEnd w:id="419"/>
    </w:p>
    <w:p>
      <w:pPr>
        <w:spacing w:line="360" w:lineRule="auto"/>
        <w:ind w:left="-61" w:leftChars="-29" w:right="-420" w:rightChars="-200" w:firstLine="210" w:firstLineChars="100"/>
        <w:rPr>
          <w:rFonts w:ascii="宋体" w:hAnsi="宋体" w:cs="宋体"/>
        </w:rPr>
      </w:pPr>
      <w:r>
        <w:rPr>
          <w:rFonts w:hint="eastAsia" w:ascii="宋体" w:hAnsi="宋体" w:cs="宋体"/>
        </w:rPr>
        <w:t xml:space="preserve">  本合同履行过程中发生的任何争议，双方当事人均可通过和解或者调解解决；不愿和解、调解或者和解、调解不成的，可以选择以下第</w:t>
      </w:r>
      <w:r>
        <w:rPr>
          <w:rFonts w:hint="eastAsia" w:ascii="宋体" w:hAnsi="宋体" w:cs="宋体"/>
          <w:b/>
          <w:i/>
          <w:u w:val="single"/>
        </w:rPr>
        <w:t xml:space="preserve"> 合同专用条款  </w:t>
      </w:r>
      <w:r>
        <w:rPr>
          <w:rFonts w:hint="eastAsia" w:ascii="宋体" w:hAnsi="宋体" w:cs="宋体"/>
        </w:rPr>
        <w:t>条款规定的方式解决：</w:t>
      </w:r>
    </w:p>
    <w:p>
      <w:pPr>
        <w:spacing w:line="360" w:lineRule="auto"/>
        <w:ind w:left="-420" w:leftChars="-200" w:right="-420" w:rightChars="-200" w:firstLine="525" w:firstLineChars="250"/>
        <w:rPr>
          <w:rFonts w:ascii="宋体" w:hAnsi="宋体" w:cs="宋体"/>
        </w:rPr>
      </w:pPr>
      <w:r>
        <w:rPr>
          <w:rFonts w:hint="eastAsia" w:ascii="宋体" w:hAnsi="宋体" w:cs="宋体"/>
        </w:rPr>
        <w:t>1.7.1 将争议提交</w:t>
      </w:r>
      <w:r>
        <w:rPr>
          <w:rFonts w:hint="eastAsia" w:ascii="宋体" w:hAnsi="宋体" w:cs="宋体"/>
          <w:b/>
          <w:i/>
          <w:u w:val="single"/>
        </w:rPr>
        <w:t>合同专用条款</w:t>
      </w:r>
      <w:r>
        <w:rPr>
          <w:rFonts w:hint="eastAsia" w:ascii="宋体" w:hAnsi="宋体" w:cs="宋体"/>
        </w:rPr>
        <w:t>仲裁委员会依申请仲裁时其现行有效的仲裁规则裁决；</w:t>
      </w:r>
    </w:p>
    <w:p>
      <w:pPr>
        <w:spacing w:line="360" w:lineRule="auto"/>
        <w:ind w:left="-420" w:leftChars="-200" w:right="-420" w:rightChars="-200" w:firstLine="525" w:firstLineChars="250"/>
        <w:rPr>
          <w:rFonts w:ascii="宋体" w:hAnsi="宋体" w:cs="宋体"/>
        </w:rPr>
      </w:pPr>
      <w:r>
        <w:rPr>
          <w:rFonts w:hint="eastAsia" w:ascii="宋体" w:hAnsi="宋体" w:cs="宋体"/>
        </w:rPr>
        <w:t>1.7.2 向</w:t>
      </w:r>
      <w:r>
        <w:rPr>
          <w:rFonts w:hint="eastAsia" w:ascii="宋体" w:hAnsi="宋体" w:cs="宋体"/>
          <w:b/>
          <w:i/>
          <w:u w:val="single"/>
        </w:rPr>
        <w:t>合同专用条款</w:t>
      </w:r>
      <w:r>
        <w:rPr>
          <w:rFonts w:hint="eastAsia" w:ascii="宋体" w:hAnsi="宋体" w:cs="宋体"/>
        </w:rPr>
        <w:t>人民法院起诉。</w:t>
      </w:r>
    </w:p>
    <w:p>
      <w:pPr>
        <w:pStyle w:val="4"/>
        <w:spacing w:line="360" w:lineRule="auto"/>
        <w:rPr>
          <w:rFonts w:ascii="宋体" w:hAnsi="宋体" w:cs="宋体"/>
          <w:sz w:val="24"/>
          <w:szCs w:val="24"/>
        </w:rPr>
      </w:pPr>
      <w:bookmarkStart w:id="420" w:name="_Toc15322"/>
      <w:bookmarkStart w:id="421" w:name="_Toc11173"/>
      <w:bookmarkStart w:id="422" w:name="_Toc7245"/>
      <w:r>
        <w:rPr>
          <w:rFonts w:hint="eastAsia" w:ascii="宋体" w:hAnsi="宋体" w:cs="宋体"/>
          <w:sz w:val="24"/>
          <w:szCs w:val="24"/>
        </w:rPr>
        <w:t>1.8 合同生效</w:t>
      </w:r>
      <w:bookmarkEnd w:id="420"/>
      <w:bookmarkEnd w:id="421"/>
      <w:bookmarkEnd w:id="422"/>
    </w:p>
    <w:p>
      <w:pPr>
        <w:spacing w:line="360" w:lineRule="auto"/>
        <w:ind w:firstLine="420" w:firstLineChars="200"/>
        <w:rPr>
          <w:rFonts w:ascii="宋体" w:hAnsi="宋体" w:cs="宋体"/>
          <w:b/>
        </w:rPr>
      </w:pPr>
      <w:r>
        <w:rPr>
          <w:rFonts w:hint="eastAsia" w:ascii="宋体" w:hAnsi="宋体" w:cs="宋体"/>
        </w:rPr>
        <w:t>本合同自双方当事人盖章或者签字时生效。</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b/>
          <w:lang w:val="zh-CN"/>
        </w:rPr>
        <w:t>甲方</w:t>
      </w:r>
      <w:r>
        <w:rPr>
          <w:rFonts w:hint="eastAsia" w:ascii="宋体" w:hAnsi="宋体" w:cs="宋体"/>
          <w:lang w:val="zh-CN"/>
        </w:rPr>
        <w:t xml:space="preserve">：                             </w:t>
      </w:r>
      <w:r>
        <w:rPr>
          <w:rFonts w:hint="eastAsia" w:ascii="宋体" w:hAnsi="宋体" w:cs="宋体"/>
          <w:b/>
          <w:lang w:val="zh-CN"/>
        </w:rPr>
        <w:t xml:space="preserve">      乙方</w:t>
      </w:r>
      <w:r>
        <w:rPr>
          <w:rFonts w:hint="eastAsia" w:ascii="宋体" w:hAnsi="宋体" w:cs="宋体"/>
          <w:lang w:val="zh-CN"/>
        </w:rPr>
        <w:t>：</w:t>
      </w:r>
    </w:p>
    <w:p>
      <w:pPr>
        <w:autoSpaceDE w:val="0"/>
        <w:autoSpaceDN w:val="0"/>
        <w:spacing w:line="360" w:lineRule="auto"/>
        <w:rPr>
          <w:rFonts w:ascii="宋体" w:hAnsi="宋体" w:cs="宋体"/>
          <w:lang w:val="zh-CN"/>
        </w:rPr>
      </w:pPr>
      <w:r>
        <w:rPr>
          <w:rFonts w:hint="eastAsia" w:ascii="宋体" w:hAnsi="宋体" w:cs="宋体"/>
          <w:lang w:val="zh-CN"/>
        </w:rPr>
        <w:t>统一社会信用代码：                        统一社会信用代码或身份证号码：</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住所：                                   住所：</w:t>
      </w:r>
    </w:p>
    <w:p>
      <w:pPr>
        <w:autoSpaceDE w:val="0"/>
        <w:autoSpaceDN w:val="0"/>
        <w:spacing w:line="360" w:lineRule="auto"/>
        <w:rPr>
          <w:rFonts w:ascii="宋体" w:hAnsi="宋体" w:cs="宋体"/>
          <w:lang w:val="zh-CN"/>
        </w:rPr>
      </w:pPr>
      <w:r>
        <w:rPr>
          <w:rFonts w:hint="eastAsia" w:ascii="宋体" w:hAnsi="宋体" w:cs="宋体"/>
          <w:lang w:val="zh-CN"/>
        </w:rPr>
        <w:t>法定代表人或                             法定代表人</w:t>
      </w:r>
    </w:p>
    <w:p>
      <w:pPr>
        <w:autoSpaceDE w:val="0"/>
        <w:autoSpaceDN w:val="0"/>
        <w:spacing w:line="360" w:lineRule="auto"/>
        <w:rPr>
          <w:rFonts w:ascii="宋体" w:hAnsi="宋体" w:cs="宋体"/>
          <w:lang w:val="zh-CN"/>
        </w:rPr>
      </w:pPr>
      <w:r>
        <w:rPr>
          <w:rFonts w:hint="eastAsia" w:ascii="宋体" w:hAnsi="宋体" w:cs="宋体"/>
          <w:lang w:val="zh-CN"/>
        </w:rPr>
        <w:t xml:space="preserve">授权代表（签字）：                        或授权代表（签字）: </w:t>
      </w:r>
    </w:p>
    <w:p>
      <w:pPr>
        <w:autoSpaceDE w:val="0"/>
        <w:autoSpaceDN w:val="0"/>
        <w:spacing w:line="360" w:lineRule="auto"/>
        <w:rPr>
          <w:rFonts w:ascii="宋体" w:hAnsi="宋体" w:cs="宋体"/>
          <w:lang w:val="zh-CN"/>
        </w:rPr>
      </w:pPr>
      <w:r>
        <w:rPr>
          <w:rFonts w:hint="eastAsia" w:ascii="宋体" w:hAnsi="宋体" w:cs="宋体"/>
          <w:lang w:val="zh-CN"/>
        </w:rPr>
        <w:t>联系人：                                 联系人：</w:t>
      </w:r>
    </w:p>
    <w:p>
      <w:pPr>
        <w:autoSpaceDE w:val="0"/>
        <w:autoSpaceDN w:val="0"/>
        <w:spacing w:line="360" w:lineRule="auto"/>
        <w:rPr>
          <w:rFonts w:ascii="宋体" w:hAnsi="宋体" w:cs="宋体"/>
          <w:lang w:val="zh-CN"/>
        </w:rPr>
      </w:pPr>
      <w:r>
        <w:rPr>
          <w:rFonts w:hint="eastAsia" w:ascii="宋体" w:hAnsi="宋体" w:cs="宋体"/>
          <w:lang w:val="zh-CN"/>
        </w:rPr>
        <w:t>约定送达地址：                           约定送达地址：</w:t>
      </w:r>
    </w:p>
    <w:p>
      <w:pPr>
        <w:autoSpaceDE w:val="0"/>
        <w:autoSpaceDN w:val="0"/>
        <w:spacing w:line="360" w:lineRule="auto"/>
        <w:rPr>
          <w:rFonts w:ascii="宋体" w:hAnsi="宋体" w:cs="宋体"/>
          <w:lang w:val="zh-CN"/>
        </w:rPr>
      </w:pPr>
      <w:r>
        <w:rPr>
          <w:rFonts w:hint="eastAsia" w:ascii="宋体" w:hAnsi="宋体" w:cs="宋体"/>
          <w:lang w:val="zh-CN"/>
        </w:rPr>
        <w:t>邮政编码：                               邮政编码：</w:t>
      </w:r>
    </w:p>
    <w:p>
      <w:pPr>
        <w:autoSpaceDE w:val="0"/>
        <w:autoSpaceDN w:val="0"/>
        <w:spacing w:line="360" w:lineRule="auto"/>
        <w:rPr>
          <w:rFonts w:ascii="宋体" w:hAnsi="宋体" w:cs="宋体"/>
          <w:lang w:val="zh-CN"/>
        </w:rPr>
      </w:pPr>
      <w:r>
        <w:rPr>
          <w:rFonts w:hint="eastAsia" w:ascii="宋体" w:hAnsi="宋体" w:cs="宋体"/>
          <w:lang w:val="zh-CN"/>
        </w:rPr>
        <w:t xml:space="preserve">电话:                                    电话: </w:t>
      </w:r>
    </w:p>
    <w:p>
      <w:pPr>
        <w:autoSpaceDE w:val="0"/>
        <w:autoSpaceDN w:val="0"/>
        <w:spacing w:line="360" w:lineRule="auto"/>
        <w:rPr>
          <w:rFonts w:ascii="宋体" w:hAnsi="宋体" w:cs="宋体"/>
          <w:lang w:val="zh-CN"/>
        </w:rPr>
      </w:pPr>
      <w:r>
        <w:rPr>
          <w:rFonts w:hint="eastAsia" w:ascii="宋体" w:hAnsi="宋体" w:cs="宋体"/>
          <w:lang w:val="zh-CN"/>
        </w:rPr>
        <w:t>传真:                                    传真:</w:t>
      </w:r>
    </w:p>
    <w:p>
      <w:pPr>
        <w:autoSpaceDE w:val="0"/>
        <w:autoSpaceDN w:val="0"/>
        <w:spacing w:line="360" w:lineRule="auto"/>
        <w:rPr>
          <w:rFonts w:ascii="宋体" w:hAnsi="宋体" w:cs="宋体"/>
        </w:rPr>
      </w:pPr>
      <w:r>
        <w:rPr>
          <w:rFonts w:hint="eastAsia" w:ascii="宋体" w:hAnsi="宋体" w:cs="宋体"/>
          <w:lang w:val="zh-CN"/>
        </w:rPr>
        <w:t>电子邮箱：                               电子邮箱：</w:t>
      </w:r>
    </w:p>
    <w:p>
      <w:pPr>
        <w:autoSpaceDE w:val="0"/>
        <w:autoSpaceDN w:val="0"/>
        <w:spacing w:line="360" w:lineRule="auto"/>
        <w:rPr>
          <w:rFonts w:ascii="宋体" w:hAnsi="宋体" w:cs="宋体"/>
        </w:rPr>
      </w:pPr>
      <w:r>
        <w:rPr>
          <w:rFonts w:hint="eastAsia" w:ascii="宋体" w:hAnsi="宋体" w:cs="宋体"/>
        </w:rPr>
        <w:t xml:space="preserve">开户银行：                               开户银行： </w:t>
      </w:r>
    </w:p>
    <w:p>
      <w:pPr>
        <w:autoSpaceDE w:val="0"/>
        <w:autoSpaceDN w:val="0"/>
        <w:spacing w:line="360" w:lineRule="auto"/>
        <w:rPr>
          <w:rFonts w:ascii="宋体" w:hAnsi="宋体" w:cs="宋体"/>
        </w:rPr>
      </w:pPr>
      <w:r>
        <w:rPr>
          <w:rFonts w:hint="eastAsia" w:ascii="宋体" w:hAnsi="宋体" w:cs="宋体"/>
        </w:rPr>
        <w:t xml:space="preserve">开户名称：                               开户名称： </w:t>
      </w:r>
    </w:p>
    <w:p>
      <w:pPr>
        <w:autoSpaceDE w:val="0"/>
        <w:autoSpaceDN w:val="0"/>
        <w:spacing w:line="360" w:lineRule="auto"/>
        <w:rPr>
          <w:rFonts w:ascii="宋体" w:hAnsi="宋体" w:cs="宋体"/>
        </w:rPr>
      </w:pPr>
      <w:r>
        <w:rPr>
          <w:rFonts w:hint="eastAsia" w:ascii="宋体" w:hAnsi="宋体" w:cs="宋体"/>
        </w:rPr>
        <w:t>开户账号：</w:t>
      </w:r>
      <w:r>
        <w:rPr>
          <w:rFonts w:hint="eastAsia" w:ascii="宋体" w:hAnsi="宋体" w:cs="宋体"/>
          <w:lang w:val="zh-CN"/>
        </w:rPr>
        <w:t xml:space="preserve">                               </w:t>
      </w:r>
      <w:r>
        <w:rPr>
          <w:rFonts w:hint="eastAsia" w:ascii="宋体" w:hAnsi="宋体" w:cs="宋体"/>
        </w:rPr>
        <w:t>开户账号：</w:t>
      </w:r>
    </w:p>
    <w:p>
      <w:pPr>
        <w:spacing w:line="360" w:lineRule="auto"/>
        <w:rPr>
          <w:rFonts w:ascii="宋体" w:hAnsi="宋体" w:cs="宋体"/>
          <w:b/>
        </w:rPr>
      </w:pPr>
      <w:bookmarkStart w:id="423" w:name="_Toc331685783"/>
    </w:p>
    <w:p>
      <w:pPr>
        <w:pStyle w:val="3"/>
        <w:ind w:left="0" w:firstLine="0"/>
        <w:jc w:val="center"/>
        <w:rPr>
          <w:rFonts w:ascii="宋体" w:hAnsi="宋体" w:eastAsia="宋体" w:cs="宋体"/>
        </w:rPr>
      </w:pPr>
      <w:r>
        <w:rPr>
          <w:rFonts w:hint="eastAsia" w:ascii="宋体" w:hAnsi="宋体" w:eastAsia="宋体" w:cs="宋体"/>
        </w:rPr>
        <w:t>第二部分 合同一般条款</w:t>
      </w:r>
      <w:bookmarkEnd w:id="423"/>
    </w:p>
    <w:p>
      <w:pPr>
        <w:pStyle w:val="4"/>
        <w:spacing w:line="360" w:lineRule="auto"/>
        <w:rPr>
          <w:rFonts w:ascii="宋体" w:hAnsi="宋体" w:cs="宋体"/>
          <w:sz w:val="24"/>
          <w:szCs w:val="24"/>
        </w:rPr>
      </w:pPr>
      <w:bookmarkStart w:id="424" w:name="_Ref467378463"/>
      <w:bookmarkStart w:id="425" w:name="_Ref467378404"/>
      <w:bookmarkStart w:id="426" w:name="_Toc28763"/>
      <w:bookmarkStart w:id="427" w:name="_Toc259093669"/>
      <w:bookmarkStart w:id="428" w:name="_Toc16917"/>
      <w:bookmarkStart w:id="429" w:name="_Ref467379101"/>
      <w:bookmarkStart w:id="430" w:name="_Ref467379214"/>
      <w:bookmarkStart w:id="431" w:name="_Ref467379225"/>
      <w:bookmarkStart w:id="432" w:name="_Ref467378499"/>
      <w:bookmarkStart w:id="433" w:name="_Ref467379094"/>
      <w:bookmarkStart w:id="434" w:name="_Ref467379195"/>
      <w:bookmarkStart w:id="435" w:name="_Ref467379109"/>
      <w:bookmarkStart w:id="436" w:name="_Toc19614"/>
      <w:bookmarkStart w:id="437" w:name="_Ref467379205"/>
      <w:bookmarkStart w:id="438" w:name="_Toc487900349"/>
      <w:bookmarkStart w:id="439" w:name="_Toc279701240"/>
      <w:r>
        <w:rPr>
          <w:rFonts w:hint="eastAsia" w:ascii="宋体" w:hAnsi="宋体" w:cs="宋体"/>
          <w:sz w:val="24"/>
          <w:szCs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360" w:lineRule="auto"/>
        <w:ind w:firstLine="420" w:firstLineChars="200"/>
        <w:rPr>
          <w:rFonts w:ascii="宋体" w:hAnsi="宋体" w:cs="宋体"/>
        </w:rPr>
      </w:pPr>
      <w:r>
        <w:rPr>
          <w:rFonts w:hint="eastAsia" w:ascii="宋体" w:hAnsi="宋体" w:cs="宋体"/>
        </w:rPr>
        <w:t>本合同中的下列词语应按以下内容进行解释：</w:t>
      </w:r>
    </w:p>
    <w:p>
      <w:pPr>
        <w:spacing w:line="360" w:lineRule="auto"/>
        <w:ind w:firstLine="42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360" w:lineRule="auto"/>
        <w:ind w:firstLine="42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360" w:lineRule="auto"/>
        <w:ind w:firstLine="42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20" w:firstLineChars="200"/>
        <w:rPr>
          <w:rFonts w:ascii="宋体" w:hAnsi="宋体" w:cs="宋体"/>
        </w:rPr>
      </w:pPr>
      <w:bookmarkStart w:id="440" w:name="_Ref467378840"/>
      <w:r>
        <w:rPr>
          <w:rFonts w:hint="eastAsia" w:ascii="宋体" w:hAnsi="宋体" w:cs="宋体"/>
        </w:rPr>
        <w:t>2.1.4 “甲方”系指与中标供应商签署合同的采购人</w:t>
      </w:r>
      <w:bookmarkEnd w:id="440"/>
      <w:r>
        <w:rPr>
          <w:rFonts w:hint="eastAsia" w:ascii="宋体" w:hAnsi="宋体" w:cs="宋体"/>
        </w:rPr>
        <w:t>；采购人委托采购代理机构代表其与乙方签订合同的，采购人的授权委托书作为合同附件。</w:t>
      </w:r>
    </w:p>
    <w:p>
      <w:pPr>
        <w:spacing w:line="360" w:lineRule="auto"/>
        <w:ind w:firstLine="420" w:firstLineChars="200"/>
        <w:rPr>
          <w:rFonts w:ascii="宋体" w:hAnsi="宋体" w:cs="宋体"/>
        </w:rPr>
      </w:pPr>
      <w:bookmarkStart w:id="441" w:name="_Ref467379400"/>
      <w:r>
        <w:rPr>
          <w:rFonts w:hint="eastAsia" w:ascii="宋体" w:hAnsi="宋体" w:cs="宋体"/>
        </w:rPr>
        <w:t>2.1.5 “乙方”系指根据合同约定交付货物的中标供应商</w:t>
      </w:r>
      <w:bookmarkEnd w:id="441"/>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ascii="宋体" w:hAnsi="宋体" w:cs="宋体"/>
        </w:rPr>
      </w:pPr>
      <w:bookmarkStart w:id="442" w:name="_Ref467379436"/>
      <w:r>
        <w:rPr>
          <w:rFonts w:hint="eastAsia" w:ascii="宋体" w:hAnsi="宋体" w:cs="宋体"/>
        </w:rPr>
        <w:t>2.1.6 “现场”系指合同约定货物将要运至或者安装的地点。</w:t>
      </w:r>
      <w:bookmarkEnd w:id="442"/>
    </w:p>
    <w:p>
      <w:pPr>
        <w:pStyle w:val="4"/>
        <w:spacing w:line="360" w:lineRule="auto"/>
        <w:rPr>
          <w:rFonts w:ascii="宋体" w:hAnsi="宋体" w:cs="宋体"/>
          <w:sz w:val="24"/>
          <w:szCs w:val="24"/>
        </w:rPr>
      </w:pPr>
      <w:bookmarkStart w:id="443" w:name="_Toc27635"/>
      <w:bookmarkStart w:id="444" w:name="_Toc279701241"/>
      <w:bookmarkStart w:id="445" w:name="_Toc13336"/>
      <w:bookmarkStart w:id="446" w:name="_Toc259093670"/>
      <w:bookmarkStart w:id="447" w:name="_Toc32504"/>
      <w:bookmarkStart w:id="448" w:name="_Toc487900350"/>
      <w:r>
        <w:rPr>
          <w:rFonts w:hint="eastAsia" w:ascii="宋体" w:hAnsi="宋体" w:cs="宋体"/>
          <w:sz w:val="24"/>
          <w:szCs w:val="24"/>
        </w:rPr>
        <w:t>2.2 技术规范</w:t>
      </w:r>
      <w:bookmarkEnd w:id="443"/>
      <w:bookmarkEnd w:id="444"/>
      <w:bookmarkEnd w:id="445"/>
      <w:bookmarkEnd w:id="446"/>
      <w:bookmarkEnd w:id="447"/>
      <w:bookmarkEnd w:id="448"/>
    </w:p>
    <w:p>
      <w:pPr>
        <w:spacing w:line="360" w:lineRule="auto"/>
        <w:ind w:firstLine="42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4"/>
        <w:spacing w:line="360" w:lineRule="auto"/>
        <w:rPr>
          <w:rFonts w:ascii="宋体" w:hAnsi="宋体" w:cs="宋体"/>
          <w:sz w:val="24"/>
          <w:szCs w:val="24"/>
        </w:rPr>
      </w:pPr>
      <w:bookmarkStart w:id="449" w:name="_Toc259093671"/>
      <w:bookmarkStart w:id="450" w:name="_Toc9829"/>
      <w:bookmarkStart w:id="451" w:name="_Toc27853"/>
      <w:bookmarkStart w:id="452" w:name="_Toc487900351"/>
      <w:bookmarkStart w:id="453" w:name="_Toc31634"/>
      <w:bookmarkStart w:id="454" w:name="_Toc279701242"/>
      <w:r>
        <w:rPr>
          <w:rFonts w:hint="eastAsia" w:ascii="宋体" w:hAnsi="宋体" w:cs="宋体"/>
          <w:sz w:val="24"/>
          <w:szCs w:val="24"/>
        </w:rPr>
        <w:t>2.3 知识产权</w:t>
      </w:r>
      <w:bookmarkEnd w:id="449"/>
      <w:bookmarkEnd w:id="450"/>
      <w:bookmarkEnd w:id="451"/>
      <w:bookmarkEnd w:id="452"/>
      <w:bookmarkEnd w:id="453"/>
      <w:bookmarkEnd w:id="454"/>
    </w:p>
    <w:p>
      <w:pPr>
        <w:spacing w:line="360" w:lineRule="auto"/>
        <w:ind w:firstLine="42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2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pStyle w:val="4"/>
        <w:spacing w:line="360" w:lineRule="auto"/>
        <w:rPr>
          <w:rFonts w:ascii="宋体" w:hAnsi="宋体" w:cs="宋体"/>
          <w:sz w:val="24"/>
          <w:szCs w:val="24"/>
        </w:rPr>
      </w:pPr>
      <w:bookmarkStart w:id="455" w:name="_Toc29149"/>
      <w:bookmarkStart w:id="456" w:name="_Toc11932"/>
      <w:bookmarkStart w:id="457" w:name="_Toc4194"/>
      <w:r>
        <w:rPr>
          <w:rFonts w:hint="eastAsia" w:ascii="宋体" w:hAnsi="宋体" w:cs="宋体"/>
          <w:sz w:val="24"/>
          <w:szCs w:val="24"/>
        </w:rPr>
        <w:t>2.4 包装和装运</w:t>
      </w:r>
      <w:bookmarkEnd w:id="455"/>
      <w:bookmarkEnd w:id="456"/>
      <w:bookmarkEnd w:id="457"/>
    </w:p>
    <w:p>
      <w:pPr>
        <w:spacing w:line="360" w:lineRule="auto"/>
        <w:ind w:firstLine="42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20" w:firstLineChars="200"/>
        <w:rPr>
          <w:rFonts w:ascii="宋体" w:hAnsi="宋体" w:cs="宋体"/>
        </w:rPr>
      </w:pPr>
      <w:r>
        <w:rPr>
          <w:rFonts w:hint="eastAsia" w:ascii="宋体" w:hAnsi="宋体" w:cs="宋体"/>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2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pStyle w:val="4"/>
        <w:spacing w:line="360" w:lineRule="auto"/>
        <w:rPr>
          <w:rFonts w:ascii="宋体" w:hAnsi="宋体" w:cs="宋体"/>
          <w:sz w:val="24"/>
          <w:szCs w:val="24"/>
        </w:rPr>
      </w:pPr>
      <w:bookmarkStart w:id="458" w:name="_Toc487900354"/>
      <w:bookmarkStart w:id="459" w:name="_Ref467379542"/>
      <w:bookmarkStart w:id="460" w:name="_Toc259093674"/>
      <w:bookmarkStart w:id="461" w:name="_Toc279701245"/>
      <w:bookmarkStart w:id="462" w:name="_Ref467379527"/>
      <w:bookmarkStart w:id="463" w:name="_Ref467379536"/>
      <w:bookmarkStart w:id="464" w:name="_Ref467378591"/>
      <w:bookmarkStart w:id="465" w:name="_Ref467378541"/>
      <w:bookmarkStart w:id="466" w:name="_Toc19074"/>
      <w:bookmarkStart w:id="467" w:name="_Toc26182"/>
      <w:bookmarkStart w:id="468" w:name="_Toc30272"/>
      <w:r>
        <w:rPr>
          <w:rFonts w:hint="eastAsia" w:ascii="宋体" w:hAnsi="宋体" w:cs="宋体"/>
          <w:sz w:val="24"/>
          <w:szCs w:val="24"/>
        </w:rPr>
        <w:t>2.</w:t>
      </w:r>
      <w:bookmarkEnd w:id="458"/>
      <w:bookmarkEnd w:id="459"/>
      <w:bookmarkEnd w:id="460"/>
      <w:bookmarkEnd w:id="461"/>
      <w:bookmarkEnd w:id="462"/>
      <w:bookmarkEnd w:id="463"/>
      <w:bookmarkEnd w:id="464"/>
      <w:bookmarkEnd w:id="465"/>
      <w:r>
        <w:rPr>
          <w:rFonts w:hint="eastAsia" w:ascii="宋体" w:hAnsi="宋体" w:cs="宋体"/>
          <w:sz w:val="24"/>
          <w:szCs w:val="24"/>
        </w:rPr>
        <w:t>5 履约检查和问题反馈</w:t>
      </w:r>
      <w:bookmarkEnd w:id="466"/>
      <w:bookmarkEnd w:id="467"/>
      <w:bookmarkEnd w:id="468"/>
    </w:p>
    <w:p>
      <w:pPr>
        <w:spacing w:line="360" w:lineRule="auto"/>
        <w:ind w:firstLine="420" w:firstLineChars="200"/>
        <w:rPr>
          <w:rFonts w:ascii="宋体" w:hAnsi="宋体" w:cs="宋体"/>
        </w:rPr>
      </w:pPr>
      <w:bookmarkStart w:id="469" w:name="_Ref467379657"/>
      <w:r>
        <w:rPr>
          <w:rFonts w:hint="eastAsia" w:ascii="宋体" w:hAnsi="宋体" w:cs="宋体"/>
        </w:rPr>
        <w:t>2.5.1</w:t>
      </w:r>
      <w:bookmarkEnd w:id="469"/>
      <w:bookmarkStart w:id="470" w:name="_Toc186431854"/>
      <w:bookmarkStart w:id="471" w:name="_Ref467379807"/>
      <w:bookmarkStart w:id="472" w:name="_Toc259093676"/>
      <w:bookmarkStart w:id="473" w:name="_Ref467379793"/>
      <w:bookmarkStart w:id="474" w:name="_Toc487900357"/>
      <w:bookmarkStart w:id="475"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2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rPr>
        <w:t>。</w:t>
      </w:r>
    </w:p>
    <w:bookmarkEnd w:id="471"/>
    <w:bookmarkEnd w:id="472"/>
    <w:bookmarkEnd w:id="473"/>
    <w:bookmarkEnd w:id="474"/>
    <w:bookmarkEnd w:id="475"/>
    <w:bookmarkEnd w:id="476"/>
    <w:p>
      <w:pPr>
        <w:pStyle w:val="4"/>
        <w:spacing w:line="360" w:lineRule="auto"/>
        <w:rPr>
          <w:rFonts w:ascii="宋体" w:hAnsi="宋体" w:cs="宋体"/>
          <w:sz w:val="24"/>
          <w:szCs w:val="24"/>
        </w:rPr>
      </w:pPr>
      <w:bookmarkStart w:id="477" w:name="_Toc279701248"/>
      <w:bookmarkStart w:id="478" w:name="_Toc487900358"/>
      <w:bookmarkStart w:id="479" w:name="_Toc259093677"/>
      <w:bookmarkStart w:id="480" w:name="_Ref467379852"/>
      <w:bookmarkStart w:id="481" w:name="_Ref467379923"/>
      <w:bookmarkStart w:id="482" w:name="_Ref467379863"/>
      <w:bookmarkStart w:id="483" w:name="_Toc774"/>
      <w:bookmarkStart w:id="484" w:name="_Toc16110"/>
      <w:bookmarkStart w:id="485" w:name="_Toc3225"/>
      <w:r>
        <w:rPr>
          <w:rFonts w:hint="eastAsia" w:ascii="宋体" w:hAnsi="宋体" w:cs="宋体"/>
          <w:sz w:val="24"/>
          <w:szCs w:val="24"/>
        </w:rPr>
        <w:t>2.6 技术资料</w:t>
      </w:r>
      <w:bookmarkEnd w:id="477"/>
      <w:bookmarkEnd w:id="478"/>
      <w:bookmarkEnd w:id="479"/>
      <w:bookmarkEnd w:id="480"/>
      <w:bookmarkEnd w:id="481"/>
      <w:bookmarkEnd w:id="482"/>
      <w:r>
        <w:rPr>
          <w:rFonts w:hint="eastAsia" w:ascii="宋体" w:hAnsi="宋体" w:cs="宋体"/>
          <w:sz w:val="24"/>
          <w:szCs w:val="24"/>
        </w:rPr>
        <w:t>和保密义务</w:t>
      </w:r>
      <w:bookmarkEnd w:id="483"/>
      <w:bookmarkEnd w:id="484"/>
      <w:bookmarkEnd w:id="485"/>
    </w:p>
    <w:p>
      <w:pPr>
        <w:spacing w:line="360" w:lineRule="auto"/>
        <w:ind w:firstLine="420" w:firstLineChars="200"/>
        <w:rPr>
          <w:rFonts w:ascii="宋体" w:hAnsi="宋体" w:cs="宋体"/>
        </w:rPr>
      </w:pPr>
      <w:r>
        <w:rPr>
          <w:rFonts w:hint="eastAsia" w:ascii="宋体" w:hAnsi="宋体" w:cs="宋体"/>
        </w:rPr>
        <w:t>2.6.1 乙方有权依据合同约定和项目需要，向甲方了解有关情况，调阅有关资料等，甲方应予积极配合；</w:t>
      </w:r>
    </w:p>
    <w:p>
      <w:pPr>
        <w:spacing w:line="360" w:lineRule="auto"/>
        <w:ind w:firstLine="420" w:firstLineChars="200"/>
        <w:rPr>
          <w:rFonts w:ascii="宋体" w:hAnsi="宋体" w:cs="宋体"/>
        </w:rPr>
      </w:pPr>
      <w:r>
        <w:rPr>
          <w:rFonts w:hint="eastAsia" w:ascii="宋体" w:hAnsi="宋体" w:cs="宋体"/>
        </w:rPr>
        <w:t>2.6.2 乙方有义务妥善保管和保护由甲方提供的前款信息和资料等；</w:t>
      </w:r>
    </w:p>
    <w:p>
      <w:pPr>
        <w:spacing w:line="360" w:lineRule="auto"/>
        <w:ind w:firstLine="420" w:firstLineChars="200"/>
        <w:rPr>
          <w:rFonts w:ascii="宋体" w:hAnsi="宋体" w:cs="宋体"/>
        </w:rPr>
      </w:pPr>
      <w:r>
        <w:rPr>
          <w:rFonts w:hint="eastAsia" w:ascii="宋体" w:hAnsi="宋体" w:cs="宋体"/>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spacing w:line="360" w:lineRule="auto"/>
        <w:rPr>
          <w:rFonts w:ascii="宋体" w:hAnsi="宋体" w:cs="宋体"/>
          <w:sz w:val="24"/>
          <w:szCs w:val="24"/>
        </w:rPr>
      </w:pPr>
      <w:bookmarkStart w:id="486" w:name="_Toc7860"/>
      <w:r>
        <w:rPr>
          <w:rFonts w:hint="eastAsia" w:ascii="宋体" w:hAnsi="宋体" w:cs="宋体"/>
          <w:sz w:val="24"/>
          <w:szCs w:val="24"/>
        </w:rPr>
        <w:t>2.7 质量保证</w:t>
      </w:r>
      <w:bookmarkEnd w:id="486"/>
    </w:p>
    <w:p>
      <w:pPr>
        <w:spacing w:line="360" w:lineRule="auto"/>
        <w:ind w:firstLine="420" w:firstLineChars="200"/>
        <w:rPr>
          <w:rFonts w:ascii="宋体" w:hAnsi="宋体" w:cs="宋体"/>
        </w:rPr>
      </w:pPr>
      <w:r>
        <w:rPr>
          <w:rFonts w:hint="eastAsia" w:ascii="宋体" w:hAnsi="宋体" w:cs="宋体"/>
        </w:rPr>
        <w:t>2.7.1 乙方应建立和完善履行合同的内部质量保证体系，并提供相关内部规章制度给甲方，以便甲方进行监督检查；</w:t>
      </w:r>
    </w:p>
    <w:p>
      <w:pPr>
        <w:spacing w:line="360" w:lineRule="auto"/>
        <w:ind w:firstLine="420" w:firstLineChars="200"/>
        <w:rPr>
          <w:rFonts w:ascii="宋体" w:hAnsi="宋体" w:cs="宋体"/>
        </w:rPr>
      </w:pPr>
      <w:r>
        <w:rPr>
          <w:rFonts w:hint="eastAsia" w:ascii="宋体" w:hAnsi="宋体" w:cs="宋体"/>
        </w:rPr>
        <w:t>2.7.2 乙方应保证履行合同的人员数量和素质、软件和硬件设备的配置、场地、环境和设施等满足全面履行合同的要求，并应接受甲方的监督检查。</w:t>
      </w:r>
    </w:p>
    <w:p>
      <w:pPr>
        <w:pStyle w:val="4"/>
        <w:spacing w:line="360" w:lineRule="auto"/>
        <w:rPr>
          <w:rFonts w:ascii="宋体" w:hAnsi="宋体" w:cs="宋体"/>
          <w:sz w:val="24"/>
          <w:szCs w:val="24"/>
        </w:rPr>
      </w:pPr>
      <w:bookmarkStart w:id="487" w:name="_Toc17244"/>
      <w:bookmarkStart w:id="488" w:name="_Toc487900362"/>
      <w:bookmarkStart w:id="489" w:name="_Toc259093681"/>
      <w:bookmarkStart w:id="490" w:name="_Toc279701252"/>
      <w:r>
        <w:rPr>
          <w:rFonts w:hint="eastAsia" w:ascii="宋体" w:hAnsi="宋体" w:cs="宋体"/>
          <w:sz w:val="24"/>
          <w:szCs w:val="24"/>
        </w:rPr>
        <w:t>2.8 货物的风险负担</w:t>
      </w:r>
      <w:bookmarkEnd w:id="487"/>
    </w:p>
    <w:p>
      <w:pPr>
        <w:spacing w:line="360" w:lineRule="auto"/>
        <w:ind w:firstLine="42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pStyle w:val="4"/>
        <w:spacing w:line="360" w:lineRule="auto"/>
        <w:rPr>
          <w:rFonts w:ascii="宋体" w:hAnsi="宋体" w:cs="宋体"/>
          <w:sz w:val="24"/>
          <w:szCs w:val="24"/>
        </w:rPr>
      </w:pPr>
      <w:bookmarkStart w:id="491" w:name="_Toc14055"/>
      <w:r>
        <w:rPr>
          <w:rFonts w:hint="eastAsia" w:ascii="宋体" w:hAnsi="宋体" w:cs="宋体"/>
          <w:sz w:val="24"/>
          <w:szCs w:val="24"/>
        </w:rPr>
        <w:t>2.9 延迟交货</w:t>
      </w:r>
      <w:bookmarkEnd w:id="488"/>
      <w:bookmarkEnd w:id="489"/>
      <w:bookmarkEnd w:id="490"/>
      <w:bookmarkEnd w:id="491"/>
    </w:p>
    <w:p>
      <w:pPr>
        <w:spacing w:line="360" w:lineRule="auto"/>
        <w:ind w:firstLine="42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spacing w:line="360" w:lineRule="auto"/>
        <w:rPr>
          <w:rFonts w:ascii="宋体" w:hAnsi="宋体" w:cs="宋体"/>
          <w:sz w:val="24"/>
          <w:szCs w:val="24"/>
        </w:rPr>
      </w:pPr>
      <w:bookmarkStart w:id="492" w:name="_Toc7502"/>
      <w:bookmarkStart w:id="493" w:name="_Toc279701254"/>
      <w:bookmarkStart w:id="494" w:name="_Ref467378121"/>
      <w:bookmarkStart w:id="495" w:name="_Toc259093683"/>
      <w:bookmarkStart w:id="496" w:name="_Toc487900364"/>
      <w:r>
        <w:rPr>
          <w:rFonts w:hint="eastAsia" w:ascii="宋体" w:hAnsi="宋体" w:cs="宋体"/>
          <w:sz w:val="24"/>
          <w:szCs w:val="24"/>
        </w:rPr>
        <w:t>2.10 合同变更</w:t>
      </w:r>
      <w:bookmarkEnd w:id="492"/>
    </w:p>
    <w:p>
      <w:pPr>
        <w:spacing w:line="360" w:lineRule="auto"/>
        <w:ind w:firstLine="420" w:firstLineChars="200"/>
        <w:rPr>
          <w:rFonts w:ascii="宋体" w:hAnsi="宋体" w:cs="宋体"/>
        </w:rPr>
      </w:pPr>
      <w:r>
        <w:rPr>
          <w:rFonts w:hint="eastAsia" w:ascii="宋体" w:hAnsi="宋体" w:cs="宋体"/>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pPr>
        <w:pStyle w:val="4"/>
        <w:spacing w:line="360" w:lineRule="auto"/>
        <w:rPr>
          <w:rFonts w:ascii="宋体" w:hAnsi="宋体" w:cs="宋体"/>
          <w:sz w:val="24"/>
          <w:szCs w:val="24"/>
        </w:rPr>
      </w:pPr>
      <w:bookmarkStart w:id="500" w:name="_Toc10366"/>
      <w:bookmarkStart w:id="501" w:name="_Toc22955"/>
      <w:bookmarkStart w:id="502" w:name="_Toc15237"/>
      <w:r>
        <w:rPr>
          <w:rFonts w:hint="eastAsia" w:ascii="宋体" w:hAnsi="宋体" w:cs="宋体"/>
          <w:sz w:val="24"/>
          <w:szCs w:val="24"/>
        </w:rPr>
        <w:t>2.11 合同转让</w:t>
      </w:r>
      <w:bookmarkEnd w:id="497"/>
      <w:bookmarkEnd w:id="498"/>
      <w:bookmarkEnd w:id="499"/>
      <w:r>
        <w:rPr>
          <w:rFonts w:hint="eastAsia" w:ascii="宋体" w:hAnsi="宋体" w:cs="宋体"/>
          <w:sz w:val="24"/>
          <w:szCs w:val="24"/>
        </w:rPr>
        <w:t>和分包</w:t>
      </w:r>
      <w:bookmarkEnd w:id="500"/>
      <w:bookmarkEnd w:id="501"/>
      <w:bookmarkEnd w:id="502"/>
    </w:p>
    <w:p>
      <w:pPr>
        <w:spacing w:line="360" w:lineRule="auto"/>
        <w:ind w:firstLine="420" w:firstLineChars="200"/>
        <w:rPr>
          <w:rFonts w:ascii="宋体" w:hAnsi="宋体" w:cs="宋体"/>
        </w:rPr>
      </w:pPr>
      <w:r>
        <w:rPr>
          <w:rFonts w:hint="eastAsia" w:ascii="宋体" w:hAnsi="宋体" w:cs="宋体"/>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20" w:firstLineChars="200"/>
        <w:rPr>
          <w:rFonts w:ascii="宋体" w:hAnsi="宋体" w:cs="宋体"/>
        </w:rPr>
      </w:pPr>
      <w:r>
        <w:rPr>
          <w:rFonts w:hint="eastAsia" w:ascii="宋体" w:hAnsi="宋体" w:cs="宋体"/>
        </w:rPr>
        <w:t>2.11.2乙方采取分包方式履行合同的，甲方可直接向分包供应商支付款项。</w:t>
      </w:r>
    </w:p>
    <w:p>
      <w:pPr>
        <w:pStyle w:val="4"/>
        <w:spacing w:line="360" w:lineRule="auto"/>
        <w:rPr>
          <w:rFonts w:ascii="宋体" w:hAnsi="宋体" w:cs="宋体"/>
          <w:sz w:val="24"/>
          <w:szCs w:val="24"/>
        </w:rPr>
      </w:pPr>
      <w:bookmarkStart w:id="503" w:name="_Toc13566"/>
      <w:bookmarkStart w:id="504" w:name="_Toc14066"/>
      <w:bookmarkStart w:id="505" w:name="_Toc16508"/>
      <w:r>
        <w:rPr>
          <w:rFonts w:hint="eastAsia" w:ascii="宋体" w:hAnsi="宋体" w:cs="宋体"/>
          <w:sz w:val="24"/>
          <w:szCs w:val="24"/>
        </w:rPr>
        <w:t>2.12 不可抗力</w:t>
      </w:r>
      <w:bookmarkEnd w:id="503"/>
      <w:bookmarkEnd w:id="504"/>
      <w:bookmarkEnd w:id="505"/>
    </w:p>
    <w:p>
      <w:pPr>
        <w:spacing w:line="360" w:lineRule="auto"/>
        <w:ind w:firstLine="420" w:firstLineChars="200"/>
        <w:rPr>
          <w:rFonts w:ascii="宋体" w:hAnsi="宋体" w:cs="宋体"/>
        </w:rPr>
      </w:pPr>
      <w:r>
        <w:rPr>
          <w:rFonts w:hint="eastAsia" w:ascii="宋体" w:hAnsi="宋体" w:cs="宋体"/>
        </w:rPr>
        <w:t>2.12.1如果任何一方遭遇法律规定的不可抗力，致使合同履行受阻时，履行合同的期限应予延长，延长的期限应相当于不可抗力所影响的时间；</w:t>
      </w:r>
    </w:p>
    <w:p>
      <w:pPr>
        <w:spacing w:line="360" w:lineRule="auto"/>
        <w:ind w:firstLine="420" w:firstLineChars="200"/>
        <w:rPr>
          <w:rFonts w:ascii="宋体" w:hAnsi="宋体" w:cs="宋体"/>
        </w:rPr>
      </w:pPr>
      <w:r>
        <w:rPr>
          <w:rFonts w:hint="eastAsia" w:ascii="宋体" w:hAnsi="宋体" w:cs="宋体"/>
        </w:rPr>
        <w:t>2.12.2 因不可抗力致使不能实现合同目的的，当事人可以解除合同；</w:t>
      </w:r>
    </w:p>
    <w:p>
      <w:pPr>
        <w:spacing w:line="360" w:lineRule="auto"/>
        <w:ind w:firstLine="420" w:firstLineChars="200"/>
        <w:rPr>
          <w:rFonts w:ascii="宋体" w:hAnsi="宋体" w:cs="宋体"/>
        </w:rPr>
      </w:pPr>
      <w:r>
        <w:rPr>
          <w:rFonts w:hint="eastAsia" w:ascii="宋体" w:hAnsi="宋体" w:cs="宋体"/>
        </w:rPr>
        <w:t>2.12.3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360" w:lineRule="auto"/>
        <w:ind w:firstLine="420" w:firstLineChars="200"/>
        <w:rPr>
          <w:rFonts w:ascii="宋体" w:hAnsi="宋体" w:cs="宋体"/>
        </w:rPr>
      </w:pPr>
      <w:r>
        <w:rPr>
          <w:rFonts w:hint="eastAsia" w:ascii="宋体" w:hAnsi="宋体" w:cs="宋体"/>
        </w:rPr>
        <w:t>2.12.4受不可抗力影响的一方在不可抗力发生后，应在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pStyle w:val="4"/>
        <w:spacing w:line="360" w:lineRule="auto"/>
        <w:rPr>
          <w:rFonts w:ascii="宋体" w:hAnsi="宋体" w:cs="宋体"/>
          <w:sz w:val="24"/>
          <w:szCs w:val="24"/>
        </w:rPr>
      </w:pPr>
      <w:bookmarkStart w:id="506" w:name="_Toc279701255"/>
      <w:bookmarkStart w:id="507" w:name="_Toc259093684"/>
      <w:bookmarkStart w:id="508" w:name="_Toc689"/>
      <w:bookmarkStart w:id="509" w:name="_Toc487900365"/>
      <w:bookmarkStart w:id="510" w:name="_Toc6969"/>
      <w:bookmarkStart w:id="511" w:name="_Toc30676"/>
      <w:r>
        <w:rPr>
          <w:rFonts w:hint="eastAsia" w:ascii="宋体" w:hAnsi="宋体" w:cs="宋体"/>
          <w:sz w:val="24"/>
          <w:szCs w:val="24"/>
        </w:rPr>
        <w:t>2.13 税费</w:t>
      </w:r>
      <w:bookmarkEnd w:id="506"/>
      <w:bookmarkEnd w:id="507"/>
      <w:bookmarkEnd w:id="508"/>
      <w:bookmarkEnd w:id="509"/>
      <w:bookmarkEnd w:id="510"/>
      <w:bookmarkEnd w:id="511"/>
    </w:p>
    <w:p>
      <w:pPr>
        <w:spacing w:line="360" w:lineRule="auto"/>
        <w:ind w:firstLine="420" w:firstLineChars="200"/>
        <w:rPr>
          <w:rFonts w:ascii="宋体" w:hAnsi="宋体" w:cs="宋体"/>
        </w:rPr>
      </w:pPr>
      <w:r>
        <w:rPr>
          <w:rFonts w:hint="eastAsia" w:ascii="宋体" w:hAnsi="宋体" w:cs="宋体"/>
        </w:rPr>
        <w:t>与合同有关的一切税费，均按照中华人民共和国法律的相关规定。</w:t>
      </w:r>
    </w:p>
    <w:p>
      <w:pPr>
        <w:pStyle w:val="4"/>
        <w:spacing w:line="360" w:lineRule="auto"/>
        <w:rPr>
          <w:rFonts w:ascii="宋体" w:hAnsi="宋体" w:cs="宋体"/>
          <w:sz w:val="24"/>
          <w:szCs w:val="24"/>
        </w:rPr>
      </w:pPr>
      <w:bookmarkStart w:id="512" w:name="_Toc7102"/>
      <w:bookmarkStart w:id="513" w:name="_Toc487900368"/>
      <w:bookmarkStart w:id="514" w:name="_Toc16959"/>
      <w:bookmarkStart w:id="515" w:name="_Toc259093687"/>
      <w:bookmarkStart w:id="516" w:name="_Toc8298"/>
      <w:bookmarkStart w:id="517" w:name="_Toc279701258"/>
      <w:r>
        <w:rPr>
          <w:rFonts w:hint="eastAsia" w:ascii="宋体" w:hAnsi="宋体" w:cs="宋体"/>
          <w:sz w:val="24"/>
          <w:szCs w:val="24"/>
        </w:rPr>
        <w:t>2.14乙方破产</w:t>
      </w:r>
      <w:bookmarkEnd w:id="512"/>
      <w:bookmarkEnd w:id="513"/>
      <w:bookmarkEnd w:id="514"/>
      <w:bookmarkEnd w:id="515"/>
      <w:bookmarkEnd w:id="516"/>
      <w:bookmarkEnd w:id="517"/>
    </w:p>
    <w:p>
      <w:pPr>
        <w:spacing w:line="360" w:lineRule="auto"/>
        <w:ind w:firstLine="42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spacing w:line="360" w:lineRule="auto"/>
        <w:rPr>
          <w:rFonts w:ascii="宋体" w:hAnsi="宋体" w:cs="宋体"/>
          <w:sz w:val="24"/>
          <w:szCs w:val="24"/>
        </w:rPr>
      </w:pPr>
      <w:bookmarkStart w:id="518" w:name="_Toc15387"/>
      <w:bookmarkStart w:id="519" w:name="_Toc29333"/>
      <w:bookmarkStart w:id="520" w:name="_Toc6134"/>
      <w:r>
        <w:rPr>
          <w:rFonts w:hint="eastAsia" w:ascii="宋体" w:hAnsi="宋体" w:cs="宋体"/>
          <w:sz w:val="24"/>
          <w:szCs w:val="24"/>
        </w:rPr>
        <w:t>2.15 合同中止、终止</w:t>
      </w:r>
      <w:bookmarkEnd w:id="518"/>
      <w:bookmarkEnd w:id="519"/>
      <w:bookmarkEnd w:id="520"/>
    </w:p>
    <w:p>
      <w:pPr>
        <w:spacing w:line="360" w:lineRule="auto"/>
        <w:ind w:firstLine="420" w:firstLineChars="200"/>
        <w:rPr>
          <w:rFonts w:ascii="宋体" w:hAnsi="宋体" w:cs="宋体"/>
        </w:rPr>
      </w:pPr>
      <w:r>
        <w:rPr>
          <w:rFonts w:hint="eastAsia" w:ascii="宋体" w:hAnsi="宋体" w:cs="宋体"/>
        </w:rPr>
        <w:t>2.15.1 双方当事人不得擅自中止或者终止合同；</w:t>
      </w:r>
    </w:p>
    <w:p>
      <w:pPr>
        <w:spacing w:line="360" w:lineRule="auto"/>
        <w:ind w:firstLine="420" w:firstLineChars="200"/>
        <w:rPr>
          <w:rFonts w:ascii="宋体" w:hAnsi="宋体" w:cs="宋体"/>
        </w:rPr>
      </w:pPr>
      <w:r>
        <w:rPr>
          <w:rFonts w:hint="eastAsia" w:ascii="宋体" w:hAnsi="宋体" w:cs="宋体"/>
        </w:rPr>
        <w:t>2.15.2合同继续履行将损害国家利益和社会公共利益的，双方当事人应当中止或者终止合同。有过错的一方应当承担赔偿责任，双方当事人都有过错的，各自承担相应的责任。</w:t>
      </w:r>
    </w:p>
    <w:p>
      <w:pPr>
        <w:pStyle w:val="4"/>
        <w:spacing w:line="360" w:lineRule="auto"/>
        <w:rPr>
          <w:rFonts w:ascii="宋体" w:hAnsi="宋体" w:cs="宋体"/>
          <w:sz w:val="24"/>
          <w:szCs w:val="24"/>
        </w:rPr>
      </w:pPr>
      <w:bookmarkStart w:id="521" w:name="_Toc6596"/>
      <w:bookmarkStart w:id="522" w:name="_Toc14563"/>
      <w:bookmarkStart w:id="523" w:name="_Toc1125"/>
      <w:r>
        <w:rPr>
          <w:rFonts w:hint="eastAsia" w:ascii="宋体" w:hAnsi="宋体" w:cs="宋体"/>
          <w:sz w:val="24"/>
          <w:szCs w:val="24"/>
        </w:rPr>
        <w:t>2.16检验和验收</w:t>
      </w:r>
      <w:bookmarkEnd w:id="521"/>
      <w:bookmarkEnd w:id="522"/>
      <w:bookmarkEnd w:id="523"/>
    </w:p>
    <w:p>
      <w:pPr>
        <w:tabs>
          <w:tab w:val="left" w:pos="360"/>
          <w:tab w:val="left" w:pos="540"/>
          <w:tab w:val="left" w:pos="1080"/>
        </w:tabs>
        <w:spacing w:line="360" w:lineRule="auto"/>
        <w:ind w:firstLine="420" w:firstLineChars="200"/>
        <w:rPr>
          <w:rFonts w:ascii="宋体" w:hAnsi="宋体" w:cs="宋体"/>
        </w:rPr>
      </w:pPr>
      <w:r>
        <w:rPr>
          <w:rFonts w:hint="eastAsia" w:ascii="宋体" w:hAnsi="宋体" w:cs="宋体"/>
        </w:rPr>
        <w:t>2.16.1货物交付前，乙方应对货物的质量、数量等方面进行详细、全面的检验，并向甲方出具证明货物符合合同约定的文件；货物交付时，乙方在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360" w:lineRule="auto"/>
        <w:ind w:firstLine="420" w:firstLineChars="200"/>
        <w:rPr>
          <w:rFonts w:ascii="宋体" w:hAnsi="宋体" w:cs="宋体"/>
        </w:rPr>
      </w:pPr>
      <w:r>
        <w:rPr>
          <w:rFonts w:hint="eastAsia" w:ascii="宋体" w:hAnsi="宋体" w:cs="宋体"/>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20" w:firstLineChars="200"/>
        <w:rPr>
          <w:rFonts w:ascii="宋体" w:hAnsi="宋体" w:cs="宋体"/>
        </w:rPr>
      </w:pPr>
      <w:r>
        <w:rPr>
          <w:rFonts w:hint="eastAsia" w:ascii="宋体" w:hAnsi="宋体" w:cs="宋体"/>
        </w:rPr>
        <w:t>2.16.3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493"/>
    <w:bookmarkEnd w:id="494"/>
    <w:bookmarkEnd w:id="495"/>
    <w:bookmarkEnd w:id="496"/>
    <w:p>
      <w:pPr>
        <w:pStyle w:val="4"/>
        <w:spacing w:line="360" w:lineRule="auto"/>
        <w:rPr>
          <w:rFonts w:ascii="宋体" w:hAnsi="宋体" w:cs="宋体"/>
          <w:sz w:val="24"/>
          <w:szCs w:val="24"/>
        </w:rPr>
      </w:pPr>
      <w:bookmarkStart w:id="524" w:name="_Toc279701261"/>
      <w:bookmarkStart w:id="525" w:name="_Toc487900371"/>
      <w:bookmarkStart w:id="526" w:name="_Toc259093690"/>
      <w:bookmarkStart w:id="527" w:name="_Toc19604"/>
      <w:bookmarkStart w:id="528" w:name="_Toc25182"/>
      <w:bookmarkStart w:id="529" w:name="_Toc11284"/>
      <w:r>
        <w:rPr>
          <w:rFonts w:hint="eastAsia" w:ascii="宋体" w:hAnsi="宋体" w:cs="宋体"/>
          <w:sz w:val="24"/>
          <w:szCs w:val="24"/>
        </w:rPr>
        <w:t>2.17 通知</w:t>
      </w:r>
      <w:bookmarkEnd w:id="524"/>
      <w:bookmarkEnd w:id="525"/>
      <w:bookmarkEnd w:id="526"/>
      <w:r>
        <w:rPr>
          <w:rFonts w:hint="eastAsia" w:ascii="宋体" w:hAnsi="宋体" w:cs="宋体"/>
          <w:sz w:val="24"/>
          <w:szCs w:val="24"/>
        </w:rPr>
        <w:t>和送达</w:t>
      </w:r>
      <w:bookmarkEnd w:id="527"/>
      <w:bookmarkEnd w:id="528"/>
      <w:bookmarkEnd w:id="529"/>
    </w:p>
    <w:p>
      <w:pPr>
        <w:spacing w:line="360" w:lineRule="auto"/>
        <w:ind w:firstLine="420" w:firstLineChars="200"/>
        <w:rPr>
          <w:rFonts w:ascii="宋体" w:hAnsi="宋体" w:cs="宋体"/>
        </w:rPr>
      </w:pPr>
      <w:bookmarkStart w:id="530" w:name="_Toc6698"/>
      <w:bookmarkStart w:id="531" w:name="_Toc3135"/>
      <w:bookmarkStart w:id="532" w:name="_Toc259093691"/>
      <w:bookmarkStart w:id="533" w:name="_Toc487900372"/>
      <w:bookmarkStart w:id="534" w:name="_Toc279701262"/>
      <w:r>
        <w:rPr>
          <w:rFonts w:hint="eastAsia" w:ascii="宋体" w:hAnsi="宋体" w:cs="宋体"/>
        </w:rPr>
        <w:t xml:space="preserve">2.17.1任何一方因履行合同而以合同第一部分尾部所列明的传真或电子邮件 </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3</w:t>
      </w:r>
      <w:r>
        <w:rPr>
          <w:rFonts w:hint="eastAsia" w:ascii="宋体" w:hAnsi="宋体" w:cs="宋体"/>
        </w:rPr>
        <w:t>个工作日内书面通知对方当事人，在对方当事人收到有关变更通知之前，变更前的约定送达方式或者地址仍视为有效。</w:t>
      </w:r>
      <w:bookmarkEnd w:id="530"/>
      <w:bookmarkEnd w:id="531"/>
    </w:p>
    <w:p>
      <w:pPr>
        <w:spacing w:line="360" w:lineRule="auto"/>
        <w:ind w:firstLine="420" w:firstLineChars="200"/>
        <w:rPr>
          <w:rFonts w:ascii="宋体" w:hAnsi="宋体" w:cs="宋体"/>
        </w:rPr>
      </w:pPr>
      <w:bookmarkStart w:id="535" w:name="_Toc23128"/>
      <w:bookmarkStart w:id="536" w:name="_Toc23294"/>
      <w:r>
        <w:rPr>
          <w:rFonts w:hint="eastAsia" w:ascii="宋体" w:hAnsi="宋体" w:cs="宋体"/>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pStyle w:val="4"/>
        <w:spacing w:line="360" w:lineRule="auto"/>
        <w:rPr>
          <w:rFonts w:ascii="宋体" w:hAnsi="宋体" w:cs="宋体"/>
          <w:sz w:val="24"/>
          <w:szCs w:val="24"/>
        </w:rPr>
      </w:pPr>
      <w:bookmarkStart w:id="537" w:name="_Toc4355"/>
      <w:bookmarkStart w:id="538" w:name="_Toc30599"/>
      <w:bookmarkStart w:id="539" w:name="_Toc18540"/>
      <w:r>
        <w:rPr>
          <w:rFonts w:hint="eastAsia" w:ascii="宋体" w:hAnsi="宋体" w:cs="宋体"/>
          <w:sz w:val="24"/>
          <w:szCs w:val="24"/>
        </w:rPr>
        <w:t>2.18 计量单位</w:t>
      </w:r>
      <w:bookmarkEnd w:id="532"/>
      <w:bookmarkEnd w:id="533"/>
      <w:bookmarkEnd w:id="534"/>
      <w:bookmarkEnd w:id="537"/>
      <w:bookmarkEnd w:id="538"/>
      <w:bookmarkEnd w:id="539"/>
    </w:p>
    <w:p>
      <w:pPr>
        <w:spacing w:line="360" w:lineRule="auto"/>
        <w:ind w:firstLine="420" w:firstLineChars="200"/>
        <w:rPr>
          <w:rFonts w:ascii="宋体" w:hAnsi="宋体" w:cs="宋体"/>
        </w:rPr>
      </w:pPr>
      <w:r>
        <w:rPr>
          <w:rFonts w:hint="eastAsia" w:ascii="宋体" w:hAnsi="宋体" w:cs="宋体"/>
        </w:rPr>
        <w:t>除技术规范中另有规定外,合同的计量单位均使用国家法定计量单位。</w:t>
      </w:r>
    </w:p>
    <w:p>
      <w:pPr>
        <w:pStyle w:val="4"/>
        <w:spacing w:line="360" w:lineRule="auto"/>
        <w:rPr>
          <w:rFonts w:ascii="宋体" w:hAnsi="宋体" w:cs="宋体"/>
          <w:sz w:val="24"/>
          <w:szCs w:val="24"/>
        </w:rPr>
      </w:pPr>
      <w:bookmarkStart w:id="540" w:name="_Toc487900373"/>
      <w:bookmarkStart w:id="541" w:name="_Toc12773"/>
      <w:bookmarkStart w:id="542" w:name="_Toc10330"/>
      <w:bookmarkStart w:id="543" w:name="_Toc259093692"/>
      <w:bookmarkStart w:id="544" w:name="_Toc18567"/>
      <w:bookmarkStart w:id="545" w:name="_Toc279701263"/>
      <w:r>
        <w:rPr>
          <w:rFonts w:hint="eastAsia" w:ascii="宋体" w:hAnsi="宋体" w:cs="宋体"/>
          <w:sz w:val="24"/>
          <w:szCs w:val="24"/>
        </w:rPr>
        <w:t>2.19 合同使用的文字和适用的法律</w:t>
      </w:r>
      <w:bookmarkEnd w:id="540"/>
      <w:bookmarkEnd w:id="541"/>
      <w:bookmarkEnd w:id="542"/>
      <w:bookmarkEnd w:id="543"/>
      <w:bookmarkEnd w:id="544"/>
      <w:bookmarkEnd w:id="545"/>
    </w:p>
    <w:p>
      <w:pPr>
        <w:spacing w:line="360" w:lineRule="auto"/>
        <w:ind w:firstLine="420" w:firstLineChars="200"/>
        <w:rPr>
          <w:rFonts w:ascii="宋体" w:hAnsi="宋体" w:cs="宋体"/>
        </w:rPr>
      </w:pPr>
      <w:r>
        <w:rPr>
          <w:rFonts w:hint="eastAsia" w:ascii="宋体" w:hAnsi="宋体" w:cs="宋体"/>
        </w:rPr>
        <w:t>2.19.1 合同使用汉语书就、变更和解释；</w:t>
      </w:r>
    </w:p>
    <w:p>
      <w:pPr>
        <w:spacing w:line="360" w:lineRule="auto"/>
        <w:ind w:firstLine="420" w:firstLineChars="200"/>
        <w:rPr>
          <w:rFonts w:ascii="宋体" w:hAnsi="宋体" w:cs="宋体"/>
        </w:rPr>
      </w:pPr>
      <w:r>
        <w:rPr>
          <w:rFonts w:hint="eastAsia" w:ascii="宋体" w:hAnsi="宋体" w:cs="宋体"/>
        </w:rPr>
        <w:t>2.19.2 合同适用中华人民共和国法律。</w:t>
      </w:r>
    </w:p>
    <w:p>
      <w:pPr>
        <w:pStyle w:val="4"/>
        <w:spacing w:line="360" w:lineRule="auto"/>
        <w:rPr>
          <w:rFonts w:ascii="宋体" w:hAnsi="宋体" w:cs="宋体"/>
          <w:sz w:val="24"/>
          <w:szCs w:val="24"/>
        </w:rPr>
      </w:pPr>
      <w:bookmarkStart w:id="546" w:name="_Toc16673"/>
      <w:bookmarkStart w:id="547" w:name="_Toc279701264"/>
      <w:bookmarkStart w:id="548" w:name="_Toc259093693"/>
      <w:bookmarkStart w:id="549" w:name="_Toc3148"/>
      <w:bookmarkStart w:id="550" w:name="_Toc12004"/>
      <w:bookmarkStart w:id="551" w:name="_Toc487900374"/>
      <w:r>
        <w:rPr>
          <w:rFonts w:hint="eastAsia" w:ascii="宋体" w:hAnsi="宋体" w:cs="宋体"/>
          <w:sz w:val="24"/>
          <w:szCs w:val="24"/>
        </w:rPr>
        <w:t>2.20 履约保证金</w:t>
      </w:r>
      <w:bookmarkEnd w:id="546"/>
      <w:bookmarkEnd w:id="547"/>
      <w:bookmarkEnd w:id="548"/>
      <w:bookmarkEnd w:id="549"/>
      <w:bookmarkEnd w:id="550"/>
    </w:p>
    <w:p>
      <w:pPr>
        <w:pStyle w:val="958"/>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rPr>
          <w:rFonts w:hint="eastAsia"/>
          <w:highlight w:val="yellow"/>
        </w:rPr>
        <w:t>1%</w:t>
      </w:r>
      <w:r>
        <w:rPr>
          <w:rFonts w:hint="eastAsia"/>
        </w:rPr>
        <w:t>的履约保证金；鼓励和支持乙方以银行、保险公司出具的保函形式提供履约保证，</w:t>
      </w:r>
      <w:r>
        <w:rPr>
          <w:rFonts w:hint="eastAsia"/>
          <w:highlight w:val="yellow"/>
        </w:rPr>
        <w:t>乙方以银行、保险公司出具保函形式提交履约保证金的，甲方不得拒收。</w:t>
      </w:r>
    </w:p>
    <w:p>
      <w:pPr>
        <w:spacing w:line="360" w:lineRule="auto"/>
        <w:ind w:firstLine="420" w:firstLineChars="200"/>
        <w:rPr>
          <w:rFonts w:ascii="宋体" w:hAnsi="宋体" w:cs="宋体"/>
        </w:rPr>
      </w:pPr>
      <w:r>
        <w:rPr>
          <w:rFonts w:hint="eastAsia" w:ascii="宋体" w:hAnsi="宋体" w:cs="宋体"/>
        </w:rPr>
        <w:t xml:space="preserve">2.20.2  </w:t>
      </w:r>
      <w:r>
        <w:rPr>
          <w:rFonts w:hint="eastAsia" w:ascii="宋体" w:hAnsi="宋体" w:cs="宋体"/>
          <w:highlight w:val="yellow"/>
        </w:rPr>
        <w:t>甲方在项目验收结束后及时退还履约保证金</w:t>
      </w:r>
      <w:r>
        <w:rPr>
          <w:rFonts w:hint="eastAsia" w:ascii="宋体" w:hAnsi="宋体" w:cs="宋体"/>
        </w:rPr>
        <w:t>。甲方在</w:t>
      </w:r>
      <w:r>
        <w:rPr>
          <w:rFonts w:hint="eastAsia" w:ascii="宋体" w:hAnsi="宋体" w:cs="宋体"/>
          <w:highlight w:val="yellow"/>
        </w:rPr>
        <w:t>项目通过验收</w:t>
      </w:r>
      <w:r>
        <w:rPr>
          <w:rFonts w:hint="eastAsia" w:ascii="宋体" w:hAnsi="宋体" w:cs="宋体"/>
        </w:rPr>
        <w:t>之日起</w:t>
      </w:r>
      <w:r>
        <w:rPr>
          <w:rFonts w:hint="eastAsia" w:ascii="宋体" w:hAnsi="宋体" w:cs="宋体"/>
          <w:u w:val="single"/>
        </w:rPr>
        <w:t xml:space="preserve"> 5 </w:t>
      </w:r>
      <w:r>
        <w:rPr>
          <w:rFonts w:hint="eastAsia" w:ascii="宋体" w:hAnsi="宋体" w:cs="宋体"/>
        </w:rPr>
        <w:t>个工作日内，按</w:t>
      </w:r>
      <w:r>
        <w:rPr>
          <w:rFonts w:hint="eastAsia" w:ascii="宋体" w:hAnsi="宋体" w:cs="宋体"/>
          <w:b/>
          <w:i/>
          <w:u w:val="single"/>
        </w:rPr>
        <w:t>合同专用条款</w:t>
      </w:r>
      <w:r>
        <w:rPr>
          <w:rFonts w:hint="eastAsia" w:ascii="宋体" w:hAnsi="宋体" w:cs="宋体"/>
        </w:rPr>
        <w:t>约定的方式将履约保证金退还乙方，逾期退还的，乙方可要求甲方支付违约金，违约金按每迟延退还一日的应退还而未退还金额的</w:t>
      </w:r>
      <w:r>
        <w:rPr>
          <w:rFonts w:hint="eastAsia" w:ascii="宋体" w:hAnsi="宋体" w:cs="宋体"/>
          <w:u w:val="single"/>
        </w:rPr>
        <w:t xml:space="preserve">  0.05  </w:t>
      </w:r>
      <w:r>
        <w:rPr>
          <w:rFonts w:hint="eastAsia" w:ascii="宋体" w:hAnsi="宋体" w:cs="宋体"/>
        </w:rPr>
        <w:t>%计算，最高限额为本合同履约保证金的</w:t>
      </w:r>
      <w:r>
        <w:rPr>
          <w:rFonts w:hint="eastAsia" w:ascii="宋体" w:hAnsi="宋体" w:cs="宋体"/>
          <w:u w:val="single"/>
        </w:rPr>
        <w:t xml:space="preserve">  20   </w:t>
      </w: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20" w:firstLineChars="200"/>
        <w:rPr>
          <w:rFonts w:ascii="宋体" w:hAnsi="宋体" w:cs="宋体"/>
        </w:rPr>
      </w:pPr>
      <w:r>
        <w:rPr>
          <w:rFonts w:hint="eastAsia" w:ascii="宋体" w:hAnsi="宋体" w:cs="宋体"/>
        </w:rPr>
        <w:t>2.20.4 甲方根据杭州市政府采购网公布的供应商履约评价情况减免履约保证金。乙方履约验收评价总分为100分的，甲方免收履约保证金。</w:t>
      </w:r>
    </w:p>
    <w:p>
      <w:pPr>
        <w:spacing w:line="360" w:lineRule="auto"/>
        <w:ind w:firstLine="420" w:firstLineChars="200"/>
        <w:rPr>
          <w:rFonts w:ascii="宋体" w:hAnsi="宋体" w:cs="宋体"/>
        </w:rPr>
      </w:pPr>
      <w:r>
        <w:rPr>
          <w:rFonts w:hint="eastAsia" w:ascii="宋体" w:hAnsi="宋体" w:cs="宋体"/>
        </w:rPr>
        <w:t>2.20.5甲方在乙方履行完合同约定义务事项后及时退还，延迟退还的，应当按照合同约定和法律规定承担相应的赔偿责任。</w:t>
      </w:r>
    </w:p>
    <w:p>
      <w:pPr>
        <w:pStyle w:val="4"/>
        <w:spacing w:line="360" w:lineRule="auto"/>
        <w:rPr>
          <w:rFonts w:ascii="宋体" w:hAnsi="宋体" w:cs="宋体"/>
          <w:sz w:val="24"/>
          <w:szCs w:val="24"/>
        </w:rPr>
      </w:pPr>
      <w:r>
        <w:rPr>
          <w:rFonts w:hint="eastAsia" w:ascii="宋体" w:hAnsi="宋体" w:cs="宋体"/>
          <w:sz w:val="24"/>
          <w:szCs w:val="24"/>
        </w:rPr>
        <w:t>2.21对于因甲方原因导致变更、中止或者终止政府采购合同的，甲方应当依照合同约定对供应商受到的损失予以赔偿或者补偿。</w:t>
      </w:r>
    </w:p>
    <w:bookmarkEnd w:id="551"/>
    <w:p>
      <w:pPr>
        <w:pStyle w:val="4"/>
        <w:spacing w:line="360" w:lineRule="auto"/>
        <w:rPr>
          <w:rFonts w:ascii="宋体" w:hAnsi="宋体" w:cs="宋体"/>
          <w:sz w:val="24"/>
          <w:szCs w:val="24"/>
        </w:rPr>
      </w:pPr>
      <w:bookmarkStart w:id="552" w:name="_Toc14001"/>
      <w:bookmarkStart w:id="553" w:name="_Toc6885"/>
      <w:bookmarkStart w:id="554" w:name="_Toc19890"/>
      <w:r>
        <w:rPr>
          <w:rFonts w:hint="eastAsia" w:ascii="宋体" w:hAnsi="宋体" w:cs="宋体"/>
          <w:sz w:val="24"/>
          <w:szCs w:val="24"/>
        </w:rPr>
        <w:t>2.22合同份数</w:t>
      </w:r>
      <w:bookmarkEnd w:id="552"/>
      <w:bookmarkEnd w:id="553"/>
      <w:bookmarkEnd w:id="554"/>
    </w:p>
    <w:p>
      <w:pPr>
        <w:spacing w:line="360" w:lineRule="auto"/>
        <w:ind w:firstLine="42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
        <w:rPr>
          <w:rFonts w:ascii="宋体" w:hAnsi="宋体" w:eastAsia="宋体" w:cs="宋体"/>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
      <w:pPr>
        <w:pStyle w:val="3"/>
        <w:ind w:left="0" w:firstLine="0"/>
        <w:jc w:val="center"/>
        <w:rPr>
          <w:rFonts w:ascii="宋体" w:hAnsi="宋体" w:eastAsia="宋体" w:cs="宋体"/>
        </w:rPr>
      </w:pPr>
      <w:r>
        <w:rPr>
          <w:rFonts w:hint="eastAsia" w:ascii="宋体" w:hAnsi="宋体" w:eastAsia="宋体" w:cs="宋体"/>
        </w:rPr>
        <w:t>第三部分  合同专用条款</w:t>
      </w:r>
    </w:p>
    <w:p>
      <w:pPr>
        <w:spacing w:line="560" w:lineRule="exact"/>
        <w:ind w:left="-420" w:leftChars="-200" w:right="-420" w:rightChars="-200" w:firstLine="42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宋体" w:hAnsi="宋体" w:cs="宋体"/>
                <w:b/>
              </w:rPr>
            </w:pPr>
            <w:r>
              <w:rPr>
                <w:rFonts w:hint="eastAsia" w:ascii="宋体" w:hAnsi="宋体" w:cs="宋体"/>
                <w:b/>
              </w:rPr>
              <w:t>条款号</w:t>
            </w:r>
          </w:p>
        </w:tc>
        <w:tc>
          <w:tcPr>
            <w:tcW w:w="4534" w:type="pct"/>
            <w:vAlign w:val="center"/>
          </w:tcPr>
          <w:p>
            <w:pPr>
              <w:spacing w:line="360" w:lineRule="auto"/>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1.4.4</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 xml:space="preserve">1.5.1 </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1.5.2</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 xml:space="preserve">1.5.3 </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1.6.7</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1.7</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1.7.1</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1.7.2</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2.3.2</w:t>
            </w:r>
          </w:p>
        </w:tc>
        <w:tc>
          <w:tcPr>
            <w:tcW w:w="4534" w:type="pct"/>
            <w:vAlign w:val="center"/>
          </w:tcPr>
          <w:p>
            <w:pPr>
              <w:spacing w:line="360" w:lineRule="auto"/>
              <w:ind w:left="-420" w:leftChars="-200" w:right="-420" w:rightChars="-200" w:firstLine="420" w:firstLineChars="20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2.4.1</w:t>
            </w:r>
          </w:p>
        </w:tc>
        <w:tc>
          <w:tcPr>
            <w:tcW w:w="4534" w:type="pct"/>
            <w:vAlign w:val="center"/>
          </w:tcPr>
          <w:p>
            <w:pPr>
              <w:spacing w:line="360" w:lineRule="auto"/>
              <w:ind w:left="-420" w:leftChars="-200" w:right="-420" w:rightChars="-200" w:firstLine="420" w:firstLineChars="200"/>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2.4.2</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rFonts w:ascii="宋体" w:hAnsi="宋体" w:cs="宋体"/>
              </w:rPr>
            </w:pPr>
            <w:r>
              <w:rPr>
                <w:rFonts w:hint="eastAsia" w:ascii="宋体" w:hAnsi="宋体" w:cs="宋体"/>
              </w:rPr>
              <w:t xml:space="preserve">2.8 </w:t>
            </w:r>
          </w:p>
        </w:tc>
        <w:tc>
          <w:tcPr>
            <w:tcW w:w="4534" w:type="pct"/>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2.12.3</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2.12.4</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2.16.1</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2.16.3</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rFonts w:ascii="宋体" w:hAnsi="宋体" w:cs="宋体"/>
              </w:rPr>
            </w:pPr>
            <w:r>
              <w:rPr>
                <w:rFonts w:hint="eastAsia" w:ascii="宋体" w:hAnsi="宋体" w:cs="宋体"/>
              </w:rPr>
              <w:t>2.20.1</w:t>
            </w:r>
          </w:p>
        </w:tc>
        <w:tc>
          <w:tcPr>
            <w:tcW w:w="4534" w:type="pct"/>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rFonts w:ascii="宋体" w:hAnsi="宋体" w:cs="宋体"/>
              </w:rPr>
            </w:pPr>
            <w:r>
              <w:rPr>
                <w:rFonts w:hint="eastAsia" w:ascii="宋体" w:hAnsi="宋体" w:cs="宋体"/>
              </w:rPr>
              <w:t xml:space="preserve">2.20.2 </w:t>
            </w:r>
          </w:p>
        </w:tc>
        <w:tc>
          <w:tcPr>
            <w:tcW w:w="4534" w:type="pct"/>
            <w:vAlign w:val="center"/>
          </w:tcPr>
          <w:p>
            <w:pPr>
              <w:spacing w:line="360" w:lineRule="auto"/>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20" w:leftChars="-200" w:right="-420" w:rightChars="-200" w:firstLine="420" w:firstLineChars="200"/>
              <w:outlineLvl w:val="0"/>
              <w:rPr>
                <w:rFonts w:ascii="宋体" w:hAnsi="宋体" w:cs="宋体"/>
              </w:rPr>
            </w:pPr>
            <w:r>
              <w:rPr>
                <w:rFonts w:hint="eastAsia" w:ascii="宋体" w:hAnsi="宋体" w:cs="宋体"/>
              </w:rPr>
              <w:t xml:space="preserve">2.22 </w:t>
            </w:r>
          </w:p>
        </w:tc>
        <w:tc>
          <w:tcPr>
            <w:tcW w:w="4534" w:type="pct"/>
            <w:vAlign w:val="center"/>
          </w:tcPr>
          <w:p>
            <w:pPr>
              <w:spacing w:line="360" w:lineRule="auto"/>
              <w:rPr>
                <w:rFonts w:ascii="宋体" w:hAnsi="宋体" w:cs="宋体"/>
              </w:rPr>
            </w:pPr>
          </w:p>
        </w:tc>
      </w:tr>
    </w:tbl>
    <w:p>
      <w:pPr>
        <w:spacing w:line="480" w:lineRule="auto"/>
        <w:jc w:val="center"/>
        <w:rPr>
          <w:rFonts w:ascii="宋体" w:hAnsi="宋体" w:cs="宋体"/>
          <w:b/>
          <w:sz w:val="24"/>
        </w:rPr>
      </w:pPr>
    </w:p>
    <w:p>
      <w:pPr>
        <w:spacing w:line="360" w:lineRule="auto"/>
        <w:ind w:left="-420" w:leftChars="-200" w:right="-420" w:rightChars="-200" w:firstLine="480" w:firstLineChars="200"/>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rPr>
          <w:rFonts w:ascii="宋体" w:hAnsi="宋体" w:cs="宋体"/>
          <w:b/>
          <w:kern w:val="0"/>
          <w:sz w:val="32"/>
          <w:szCs w:val="32"/>
        </w:rPr>
      </w:pP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55"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5"/>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3"/>
        <w:rPr>
          <w:lang w:val="en-US"/>
        </w:rPr>
      </w:pPr>
    </w:p>
    <w:p/>
    <w:p>
      <w:pPr>
        <w:pStyle w:val="3"/>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6" w:name="_Hlk101259491"/>
      <w:r>
        <w:rPr>
          <w:rFonts w:hint="eastAsia" w:ascii="宋体" w:hAnsi="宋体" w:eastAsia="宋体" w:cs="宋体"/>
          <w:sz w:val="32"/>
          <w:szCs w:val="32"/>
        </w:rPr>
        <w:t>（如果有）</w:t>
      </w:r>
      <w:bookmarkEnd w:id="556"/>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7" w:name="_Toc465665161"/>
      <w:r>
        <w:rPr>
          <w:rFonts w:hint="eastAsia" w:ascii="宋体" w:hAnsi="宋体" w:cs="宋体"/>
        </w:rPr>
        <w:t>附件</w:t>
      </w:r>
      <w:bookmarkEnd w:id="557"/>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8" w:name="OLE_LINK13"/>
      <w:bookmarkStart w:id="559" w:name="OLE_LINK14"/>
      <w:r>
        <w:rPr>
          <w:rFonts w:hint="eastAsia" w:ascii="宋体" w:hAnsi="宋体" w:cs="宋体"/>
          <w:b/>
          <w:spacing w:val="6"/>
          <w:sz w:val="32"/>
          <w:szCs w:val="32"/>
        </w:rPr>
        <w:t>残疾人福利性单位声明函</w:t>
      </w:r>
    </w:p>
    <w:bookmarkEnd w:id="558"/>
    <w:bookmarkEnd w:id="55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6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60"/>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r>
        <w:rPr>
          <w:rFonts w:ascii="宋体" w:hAnsi="宋体" w:cs="宋体"/>
          <w:b/>
          <w:sz w:val="32"/>
          <w:szCs w:val="32"/>
        </w:rPr>
        <w:br w:type="page"/>
      </w:r>
    </w:p>
    <w:p>
      <w:pPr>
        <w:pStyle w:val="3"/>
        <w:rPr>
          <w:rFonts w:cs="仿宋_GB2312"/>
          <w:sz w:val="24"/>
        </w:rPr>
      </w:pPr>
      <w:r>
        <w:rPr>
          <w:rFonts w:hint="eastAsia"/>
        </w:rPr>
        <w:t>附件</w:t>
      </w:r>
      <w:r>
        <w:rPr>
          <w:rFonts w:hint="eastAsia"/>
          <w:lang w:val="en-US"/>
        </w:rPr>
        <w:t>8</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rPr>
      </w:pPr>
      <w:r>
        <w:rPr>
          <w:rFonts w:hint="eastAsia" w:cs="仿宋_GB2312"/>
          <w:color w:val="000000"/>
        </w:rPr>
        <w:t>XXX（单位名称或采购机</w:t>
      </w:r>
      <w:r>
        <w:rPr>
          <w:rFonts w:hint="eastAsia" w:cs="仿宋_GB2312"/>
        </w:rPr>
        <w:t>构名称）</w:t>
      </w:r>
      <w:r>
        <w:rPr>
          <w:rFonts w:hint="eastAsia" w:cs="仿宋"/>
          <w:lang w:val="zh-CN"/>
        </w:rPr>
        <w:t>：</w:t>
      </w:r>
    </w:p>
    <w:p>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pPr>
        <w:snapToGrid w:val="0"/>
        <w:spacing w:line="360" w:lineRule="auto"/>
        <w:rPr>
          <w:rFonts w:cs="仿宋"/>
          <w:lang w:val="zh-CN"/>
        </w:rPr>
      </w:pPr>
      <w:r>
        <w:rPr>
          <w:rFonts w:hint="eastAsia" w:cs="仿宋"/>
          <w:lang w:val="zh-CN"/>
        </w:rPr>
        <w:t xml:space="preserve">  </w:t>
      </w: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r>
        <w:rPr>
          <w:rFonts w:hint="eastAsia" w:cs="仿宋"/>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3"/>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62" w:name="_Toc131845147"/>
    <w:bookmarkStart w:id="563" w:name="_Toc36110187"/>
    <w:bookmarkStart w:id="564" w:name="_Toc164085800"/>
    <w:bookmarkStart w:id="565" w:name="_Toc91899912"/>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cs="仿宋"/>
      </w:rPr>
      <w:t></w:t>
    </w:r>
    <w:r>
      <w:t xml:space="preserve">             </w:t>
    </w:r>
    <w:r>
      <w:rPr>
        <w:rFonts w:hint="eastAsia"/>
      </w:rPr>
      <w:t>杭州市政府采购公开招标文件</w:t>
    </w:r>
  </w:p>
  <w:p>
    <w:pPr>
      <w:pStyle w:val="59"/>
      <w:tabs>
        <w:tab w:val="center" w:pos="4535"/>
        <w:tab w:val="right" w:pos="9070"/>
      </w:tabs>
      <w:ind w:firstLine="181" w:firstLineChars="100"/>
      <w:jc w:val="both"/>
      <w:rPr>
        <w:rFonts w:ascii="仿宋_GB2312" w:eastAsia="仿宋_GB2312"/>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15A96F"/>
    <w:multiLevelType w:val="singleLevel"/>
    <w:tmpl w:val="3115A96F"/>
    <w:lvl w:ilvl="0" w:tentative="0">
      <w:start w:val="1"/>
      <w:numFmt w:val="decimal"/>
      <w:suff w:val="nothing"/>
      <w:lvlText w:val="（%1）"/>
      <w:lvlJc w:val="left"/>
    </w:lvl>
  </w:abstractNum>
  <w:abstractNum w:abstractNumId="2">
    <w:nsid w:val="6B6A85AC"/>
    <w:multiLevelType w:val="multilevel"/>
    <w:tmpl w:val="6B6A85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lhNGIzMDY3MmNlYjMyYmM3YTA1NTgyYWQ0M2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B8"/>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075"/>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A8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770"/>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13C9"/>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63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B73"/>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B89"/>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22E"/>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AA0"/>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BB"/>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313F99"/>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17B4C"/>
    <w:rsid w:val="04824B9E"/>
    <w:rsid w:val="048F763B"/>
    <w:rsid w:val="049F330E"/>
    <w:rsid w:val="04AA775C"/>
    <w:rsid w:val="04AF1889"/>
    <w:rsid w:val="04F66F48"/>
    <w:rsid w:val="05251E14"/>
    <w:rsid w:val="05A16594"/>
    <w:rsid w:val="05A33A8F"/>
    <w:rsid w:val="05A7762D"/>
    <w:rsid w:val="060E5941"/>
    <w:rsid w:val="06110FAF"/>
    <w:rsid w:val="061B77EC"/>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86C50"/>
    <w:rsid w:val="0B30404E"/>
    <w:rsid w:val="0B4C6C14"/>
    <w:rsid w:val="0B547599"/>
    <w:rsid w:val="0B631A88"/>
    <w:rsid w:val="0B683D45"/>
    <w:rsid w:val="0B7F3F11"/>
    <w:rsid w:val="0B884417"/>
    <w:rsid w:val="0BD65A7C"/>
    <w:rsid w:val="0BE7503A"/>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F18D4"/>
    <w:rsid w:val="10646583"/>
    <w:rsid w:val="107D4B15"/>
    <w:rsid w:val="108A3C80"/>
    <w:rsid w:val="10C26171"/>
    <w:rsid w:val="10F33360"/>
    <w:rsid w:val="10FC16EA"/>
    <w:rsid w:val="10FC6AD8"/>
    <w:rsid w:val="110F1D40"/>
    <w:rsid w:val="11266F33"/>
    <w:rsid w:val="118963A1"/>
    <w:rsid w:val="11C6522A"/>
    <w:rsid w:val="11D13114"/>
    <w:rsid w:val="11E104CC"/>
    <w:rsid w:val="11E20309"/>
    <w:rsid w:val="12255233"/>
    <w:rsid w:val="12530213"/>
    <w:rsid w:val="127723A9"/>
    <w:rsid w:val="12862074"/>
    <w:rsid w:val="12883966"/>
    <w:rsid w:val="129E45B4"/>
    <w:rsid w:val="12D81596"/>
    <w:rsid w:val="13072A44"/>
    <w:rsid w:val="135E0CDE"/>
    <w:rsid w:val="135F4BE2"/>
    <w:rsid w:val="139B1A0A"/>
    <w:rsid w:val="139D25C7"/>
    <w:rsid w:val="13AF4217"/>
    <w:rsid w:val="13BF3CE4"/>
    <w:rsid w:val="141008D8"/>
    <w:rsid w:val="14125FE6"/>
    <w:rsid w:val="1415556D"/>
    <w:rsid w:val="145B12A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A51C7"/>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A3439"/>
    <w:rsid w:val="1C1B3B4A"/>
    <w:rsid w:val="1C88086E"/>
    <w:rsid w:val="1CAB44C1"/>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1B3E66"/>
    <w:rsid w:val="204E48BC"/>
    <w:rsid w:val="205D622D"/>
    <w:rsid w:val="208921B3"/>
    <w:rsid w:val="208D5628"/>
    <w:rsid w:val="20973DEB"/>
    <w:rsid w:val="20B26522"/>
    <w:rsid w:val="20B44310"/>
    <w:rsid w:val="20CD282F"/>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41788"/>
    <w:rsid w:val="24D663E6"/>
    <w:rsid w:val="24D77F2B"/>
    <w:rsid w:val="258B00E2"/>
    <w:rsid w:val="25A917A6"/>
    <w:rsid w:val="25BE27CC"/>
    <w:rsid w:val="25F74A5C"/>
    <w:rsid w:val="2628662C"/>
    <w:rsid w:val="262D45DE"/>
    <w:rsid w:val="2661317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A6D05"/>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520F2"/>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296C89"/>
    <w:rsid w:val="383002EB"/>
    <w:rsid w:val="38342F56"/>
    <w:rsid w:val="38586797"/>
    <w:rsid w:val="385D15DF"/>
    <w:rsid w:val="38BC0149"/>
    <w:rsid w:val="38D87D1C"/>
    <w:rsid w:val="392C4F62"/>
    <w:rsid w:val="39636459"/>
    <w:rsid w:val="396B7F6C"/>
    <w:rsid w:val="39AD1B7B"/>
    <w:rsid w:val="39B417A9"/>
    <w:rsid w:val="39FC5695"/>
    <w:rsid w:val="3A006D8E"/>
    <w:rsid w:val="3A136626"/>
    <w:rsid w:val="3A1E0383"/>
    <w:rsid w:val="3A3651E5"/>
    <w:rsid w:val="3A401A90"/>
    <w:rsid w:val="3A744481"/>
    <w:rsid w:val="3A8C7BEF"/>
    <w:rsid w:val="3A906246"/>
    <w:rsid w:val="3B2349B7"/>
    <w:rsid w:val="3B610956"/>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0545E"/>
    <w:rsid w:val="3F95482B"/>
    <w:rsid w:val="3FCB252B"/>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1594A"/>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2C40"/>
    <w:rsid w:val="4AB82D0F"/>
    <w:rsid w:val="4AEB7664"/>
    <w:rsid w:val="4AFD7C19"/>
    <w:rsid w:val="4B0567D1"/>
    <w:rsid w:val="4B236AAE"/>
    <w:rsid w:val="4B707271"/>
    <w:rsid w:val="4B9739F7"/>
    <w:rsid w:val="4BAB3A41"/>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3CE1E3D"/>
    <w:rsid w:val="54013861"/>
    <w:rsid w:val="5435356C"/>
    <w:rsid w:val="54487265"/>
    <w:rsid w:val="544D6070"/>
    <w:rsid w:val="54544735"/>
    <w:rsid w:val="545D3957"/>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C1183"/>
    <w:rsid w:val="55DC29B6"/>
    <w:rsid w:val="55DD4241"/>
    <w:rsid w:val="561B338B"/>
    <w:rsid w:val="566B6D1E"/>
    <w:rsid w:val="56892614"/>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995D31"/>
    <w:rsid w:val="5AA85BE2"/>
    <w:rsid w:val="5AAD6F28"/>
    <w:rsid w:val="5AD63A24"/>
    <w:rsid w:val="5AE71988"/>
    <w:rsid w:val="5B2E1A1D"/>
    <w:rsid w:val="5B843A1C"/>
    <w:rsid w:val="5B873E3F"/>
    <w:rsid w:val="5B933207"/>
    <w:rsid w:val="5BF0340B"/>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D6F52"/>
    <w:rsid w:val="5F3A3602"/>
    <w:rsid w:val="5F45733B"/>
    <w:rsid w:val="5F482646"/>
    <w:rsid w:val="5F6277C6"/>
    <w:rsid w:val="5F6D0B1D"/>
    <w:rsid w:val="5F8D0B82"/>
    <w:rsid w:val="5FA40637"/>
    <w:rsid w:val="5FCC5339"/>
    <w:rsid w:val="5FE34A5B"/>
    <w:rsid w:val="5FFE1E36"/>
    <w:rsid w:val="60232584"/>
    <w:rsid w:val="60670669"/>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653729"/>
    <w:rsid w:val="62885958"/>
    <w:rsid w:val="62F40B65"/>
    <w:rsid w:val="62FC2CFE"/>
    <w:rsid w:val="63024505"/>
    <w:rsid w:val="635600A5"/>
    <w:rsid w:val="635B1DB5"/>
    <w:rsid w:val="63711FED"/>
    <w:rsid w:val="63880DDC"/>
    <w:rsid w:val="638D750D"/>
    <w:rsid w:val="63A77CEA"/>
    <w:rsid w:val="63AC6CC0"/>
    <w:rsid w:val="64055776"/>
    <w:rsid w:val="64240056"/>
    <w:rsid w:val="643E143A"/>
    <w:rsid w:val="64491666"/>
    <w:rsid w:val="648B6EEF"/>
    <w:rsid w:val="64C158BF"/>
    <w:rsid w:val="64CE2EAA"/>
    <w:rsid w:val="653C3090"/>
    <w:rsid w:val="65802878"/>
    <w:rsid w:val="65854376"/>
    <w:rsid w:val="658767BE"/>
    <w:rsid w:val="65892531"/>
    <w:rsid w:val="66195831"/>
    <w:rsid w:val="662E75B1"/>
    <w:rsid w:val="66342C2E"/>
    <w:rsid w:val="663E784C"/>
    <w:rsid w:val="66680A54"/>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06D19"/>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C97BDD"/>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125390"/>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2DA4A88"/>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A07A2B"/>
    <w:rsid w:val="76C87133"/>
    <w:rsid w:val="76CD08D5"/>
    <w:rsid w:val="76DB4B92"/>
    <w:rsid w:val="76FF5330"/>
    <w:rsid w:val="77052AA4"/>
    <w:rsid w:val="77136511"/>
    <w:rsid w:val="77167A87"/>
    <w:rsid w:val="77340A39"/>
    <w:rsid w:val="77351FD0"/>
    <w:rsid w:val="77472422"/>
    <w:rsid w:val="777E7077"/>
    <w:rsid w:val="777F31F2"/>
    <w:rsid w:val="77D1700D"/>
    <w:rsid w:val="77EA74CC"/>
    <w:rsid w:val="77EC04CC"/>
    <w:rsid w:val="7819161F"/>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D1627"/>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4F41E8"/>
    <w:rsid w:val="7E9A4E1F"/>
    <w:rsid w:val="7EA7723A"/>
    <w:rsid w:val="7EBE8AB3"/>
    <w:rsid w:val="7EF56FBB"/>
    <w:rsid w:val="7F0768EB"/>
    <w:rsid w:val="7F143BEC"/>
    <w:rsid w:val="7F4C0AB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0"/>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w:basedOn w:val="1"/>
    <w:next w:val="62"/>
    <w:link w:val="319"/>
    <w:autoRedefine/>
    <w:qFormat/>
    <w:uiPriority w:val="0"/>
    <w:pPr>
      <w:ind w:firstLine="420"/>
    </w:pPr>
    <w:rPr>
      <w:rFonts w:hAnsi="Calibri"/>
      <w:szCs w:val="20"/>
    </w:rPr>
  </w:style>
  <w:style w:type="paragraph" w:styleId="62">
    <w:name w:val="Body Text First Indent 2"/>
    <w:basedOn w:val="24"/>
    <w:next w:val="6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6"/>
    <w:autoRedefine/>
    <w:qFormat/>
    <w:uiPriority w:val="0"/>
    <w:rPr>
      <w:rFonts w:ascii="宋体"/>
      <w:kern w:val="2"/>
      <w:sz w:val="24"/>
      <w:szCs w:val="21"/>
      <w:lang w:val="zh-CN"/>
    </w:rPr>
  </w:style>
  <w:style w:type="character" w:customStyle="1" w:styleId="180">
    <w:name w:val="标题 9 字符"/>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0"/>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35410</Words>
  <Characters>37785</Characters>
  <Lines>326</Lines>
  <Paragraphs>92</Paragraphs>
  <TotalTime>0</TotalTime>
  <ScaleCrop>false</ScaleCrop>
  <LinksUpToDate>false</LinksUpToDate>
  <CharactersWithSpaces>43140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2024-02-08T02:15:00Z</dcterms:created>
  <dc:creator>玥</dc:creator>
  <cp:lastModifiedBy>北极熊不吃鱼</cp:lastModifiedBy>
  <cp:lastPrinted>2024-04-01T05:51:00Z</cp:lastPrinted>
  <dcterms:modified xsi:type="dcterms:W3CDTF">2024-07-23T04:23:15Z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307A0D4025114D22B933B081C9C9F8CD_13</vt:lpwstr>
  </property>
  <property fmtid="{D5CDD505-2E9C-101B-9397-08002B2CF9AE}" pid="5" name="MSIP_Label_ff6dbec8-95a8-4638-9f5f-bd076536645c_Enabled">
    <vt:lpwstr>true</vt:lpwstr>
  </property>
  <property fmtid="{D5CDD505-2E9C-101B-9397-08002B2CF9AE}" pid="6" name="MSIP_Label_ff6dbec8-95a8-4638-9f5f-bd076536645c_SetDate">
    <vt:lpwstr>2024-03-29T04:45:19Z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767c0086-8951-4146-9df2-c1b35df92d25</vt:lpwstr>
  </property>
  <property fmtid="{D5CDD505-2E9C-101B-9397-08002B2CF9AE}" pid="11" name="MSIP_Label_ff6dbec8-95a8-4638-9f5f-bd076536645c_ContentBits">
    <vt:lpwstr>0</vt:lpwstr>
  </property>
</Properties>
</file>