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72"/>
          <w:szCs w:val="72"/>
        </w:rPr>
      </w:pPr>
      <w:r>
        <w:rPr>
          <w:rFonts w:hint="eastAsia" w:ascii="仿宋" w:hAnsi="仿宋" w:eastAsia="仿宋"/>
          <w:b/>
          <w:color w:val="000000"/>
          <w:sz w:val="44"/>
          <w:szCs w:val="44"/>
        </w:rPr>
        <w:t>杭州市滨江区人民政府办公室政务外网裸光纤专线及互联网服务采购项目</w:t>
      </w:r>
    </w:p>
    <w:p>
      <w:pPr>
        <w:adjustRightInd/>
        <w:spacing w:line="360" w:lineRule="auto"/>
        <w:jc w:val="center"/>
        <w:rPr>
          <w:rFonts w:ascii="仿宋" w:hAnsi="仿宋" w:eastAsia="仿宋"/>
          <w:b/>
          <w:color w:val="000000"/>
          <w:sz w:val="72"/>
          <w:szCs w:val="72"/>
        </w:rPr>
      </w:pPr>
    </w:p>
    <w:p>
      <w:pPr>
        <w:adjustRightInd/>
        <w:spacing w:line="360" w:lineRule="auto"/>
        <w:jc w:val="center"/>
        <w:rPr>
          <w:rFonts w:ascii="仿宋" w:hAnsi="仿宋" w:eastAsia="仿宋"/>
          <w:b/>
          <w:color w:val="000000"/>
          <w:sz w:val="72"/>
          <w:szCs w:val="72"/>
        </w:rPr>
      </w:pPr>
      <w:r>
        <w:rPr>
          <w:rFonts w:hint="eastAsia" w:ascii="仿宋" w:hAnsi="仿宋" w:eastAsia="仿宋"/>
          <w:b/>
          <w:color w:val="000000"/>
          <w:sz w:val="72"/>
          <w:szCs w:val="72"/>
        </w:rPr>
        <w:t>招标文件</w:t>
      </w:r>
    </w:p>
    <w:p>
      <w:pPr>
        <w:adjustRightInd/>
        <w:spacing w:line="360" w:lineRule="auto"/>
        <w:jc w:val="center"/>
        <w:rPr>
          <w:rFonts w:ascii="仿宋" w:hAnsi="仿宋" w:eastAsia="仿宋"/>
          <w:b/>
          <w:color w:val="000000"/>
          <w:sz w:val="44"/>
          <w:szCs w:val="44"/>
        </w:rPr>
      </w:pPr>
      <w:r>
        <w:rPr>
          <w:rFonts w:hint="eastAsia" w:ascii="仿宋" w:hAnsi="仿宋" w:eastAsia="仿宋"/>
          <w:b/>
          <w:color w:val="000000"/>
          <w:sz w:val="44"/>
          <w:szCs w:val="44"/>
        </w:rPr>
        <w:t>(电子招投标)</w:t>
      </w:r>
    </w:p>
    <w:p>
      <w:pPr>
        <w:spacing w:line="360" w:lineRule="auto"/>
        <w:jc w:val="center"/>
        <w:rPr>
          <w:rFonts w:ascii="仿宋" w:hAnsi="仿宋" w:eastAsia="仿宋"/>
          <w:b/>
          <w:color w:val="000000"/>
          <w:sz w:val="24"/>
        </w:rPr>
      </w:pPr>
    </w:p>
    <w:p>
      <w:pPr>
        <w:snapToGrid w:val="0"/>
        <w:spacing w:line="360" w:lineRule="auto"/>
        <w:jc w:val="center"/>
        <w:rPr>
          <w:rFonts w:ascii="仿宋" w:hAnsi="仿宋" w:eastAsia="仿宋"/>
          <w:color w:val="000000"/>
          <w:sz w:val="24"/>
        </w:rPr>
      </w:pPr>
      <w:r>
        <w:rPr>
          <w:rFonts w:hint="eastAsia" w:ascii="仿宋" w:hAnsi="仿宋" w:eastAsia="仿宋"/>
          <w:color w:val="000000"/>
          <w:sz w:val="30"/>
          <w:szCs w:val="30"/>
        </w:rPr>
        <w:t>编号: BJZFCG-2024-051</w:t>
      </w:r>
    </w:p>
    <w:p>
      <w:pPr>
        <w:snapToGrid w:val="0"/>
        <w:spacing w:line="360" w:lineRule="auto"/>
        <w:jc w:val="center"/>
        <w:rPr>
          <w:rFonts w:ascii="仿宋" w:hAnsi="仿宋" w:eastAsia="仿宋"/>
          <w:color w:val="000000"/>
          <w:sz w:val="32"/>
          <w:szCs w:val="32"/>
        </w:rPr>
      </w:pPr>
    </w:p>
    <w:p>
      <w:pPr>
        <w:snapToGrid w:val="0"/>
        <w:spacing w:line="360" w:lineRule="auto"/>
        <w:jc w:val="center"/>
        <w:rPr>
          <w:rFonts w:ascii="仿宋" w:hAnsi="仿宋" w:eastAsia="仿宋"/>
          <w:color w:val="000000"/>
          <w:sz w:val="32"/>
          <w:szCs w:val="32"/>
        </w:rPr>
      </w:pPr>
    </w:p>
    <w:p>
      <w:pPr>
        <w:snapToGrid w:val="0"/>
        <w:spacing w:line="360" w:lineRule="auto"/>
        <w:jc w:val="center"/>
        <w:rPr>
          <w:rFonts w:ascii="仿宋" w:hAnsi="仿宋" w:eastAsia="仿宋"/>
          <w:color w:val="000000"/>
          <w:sz w:val="32"/>
          <w:szCs w:val="32"/>
        </w:rPr>
      </w:pPr>
    </w:p>
    <w:p>
      <w:pPr>
        <w:pStyle w:val="2"/>
      </w:pPr>
    </w:p>
    <w:p>
      <w:pPr>
        <w:snapToGrid w:val="0"/>
        <w:spacing w:line="360" w:lineRule="auto"/>
        <w:rPr>
          <w:rFonts w:ascii="仿宋" w:hAnsi="仿宋" w:eastAsia="仿宋"/>
          <w:color w:val="000000"/>
          <w:sz w:val="32"/>
          <w:szCs w:val="32"/>
        </w:rPr>
      </w:pPr>
    </w:p>
    <w:p>
      <w:pPr>
        <w:spacing w:line="360" w:lineRule="auto"/>
        <w:jc w:val="center"/>
        <w:rPr>
          <w:rFonts w:ascii="仿宋" w:hAnsi="仿宋" w:eastAsia="仿宋"/>
          <w:bCs/>
          <w:color w:val="000000"/>
          <w:sz w:val="32"/>
          <w:szCs w:val="32"/>
        </w:rPr>
      </w:pPr>
      <w:r>
        <w:rPr>
          <w:rFonts w:hint="eastAsia" w:ascii="仿宋" w:hAnsi="仿宋" w:eastAsia="仿宋"/>
          <w:bCs/>
          <w:color w:val="000000"/>
          <w:sz w:val="32"/>
          <w:szCs w:val="32"/>
        </w:rPr>
        <w:t>杭州市滨江区人民政府办公室</w:t>
      </w:r>
    </w:p>
    <w:p>
      <w:pPr>
        <w:spacing w:line="360" w:lineRule="auto"/>
        <w:jc w:val="center"/>
        <w:rPr>
          <w:rFonts w:ascii="仿宋" w:hAnsi="仿宋" w:eastAsia="仿宋"/>
          <w:bCs/>
          <w:color w:val="000000"/>
          <w:sz w:val="32"/>
          <w:szCs w:val="32"/>
        </w:rPr>
      </w:pPr>
      <w:r>
        <w:rPr>
          <w:rFonts w:hint="eastAsia" w:ascii="仿宋" w:hAnsi="仿宋" w:eastAsia="仿宋"/>
          <w:bCs/>
          <w:color w:val="000000"/>
          <w:sz w:val="32"/>
          <w:szCs w:val="32"/>
        </w:rPr>
        <w:t>杭州市公共资源交易中心高新技术产业开发区（滨江）分中心</w:t>
      </w:r>
    </w:p>
    <w:p>
      <w:pPr>
        <w:snapToGrid w:val="0"/>
        <w:spacing w:line="360" w:lineRule="auto"/>
        <w:jc w:val="center"/>
        <w:rPr>
          <w:rFonts w:ascii="仿宋" w:hAnsi="仿宋" w:eastAsia="仿宋"/>
          <w:color w:val="000000"/>
          <w:sz w:val="30"/>
          <w:szCs w:val="30"/>
        </w:rPr>
      </w:pPr>
      <w:r>
        <w:rPr>
          <w:rFonts w:hint="eastAsia" w:ascii="仿宋" w:hAnsi="仿宋" w:eastAsia="仿宋"/>
          <w:color w:val="000000"/>
          <w:sz w:val="30"/>
          <w:szCs w:val="30"/>
        </w:rPr>
        <w:t>二</w:t>
      </w:r>
      <w:r>
        <w:rPr>
          <w:rFonts w:hint="eastAsia" w:ascii="仿宋" w:hAnsi="仿宋" w:eastAsia="仿宋" w:cs="宋体"/>
          <w:color w:val="000000"/>
          <w:sz w:val="30"/>
          <w:szCs w:val="30"/>
        </w:rPr>
        <w:t>〇</w:t>
      </w:r>
      <w:r>
        <w:rPr>
          <w:rFonts w:hint="eastAsia" w:ascii="仿宋" w:hAnsi="仿宋" w:eastAsia="仿宋"/>
          <w:color w:val="000000"/>
          <w:sz w:val="30"/>
          <w:szCs w:val="30"/>
        </w:rPr>
        <w:t>二四年</w:t>
      </w:r>
      <w:r>
        <w:rPr>
          <w:rFonts w:hint="eastAsia" w:ascii="仿宋" w:hAnsi="仿宋" w:eastAsia="仿宋"/>
          <w:color w:val="000000"/>
          <w:sz w:val="30"/>
          <w:szCs w:val="30"/>
          <w:lang w:val="en-US" w:eastAsia="zh-CN"/>
        </w:rPr>
        <w:t>七</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二十二</w:t>
      </w:r>
      <w:r>
        <w:rPr>
          <w:rFonts w:hint="eastAsia" w:ascii="仿宋" w:hAnsi="仿宋" w:eastAsia="仿宋"/>
          <w:color w:val="000000"/>
          <w:sz w:val="30"/>
          <w:szCs w:val="30"/>
        </w:rPr>
        <w:t>日</w:t>
      </w:r>
    </w:p>
    <w:p>
      <w:pPr>
        <w:spacing w:line="360" w:lineRule="auto"/>
        <w:jc w:val="center"/>
        <w:rPr>
          <w:rFonts w:ascii="仿宋" w:hAnsi="仿宋" w:eastAsia="仿宋"/>
          <w:b/>
          <w:color w:val="000000"/>
          <w:sz w:val="48"/>
          <w:szCs w:val="48"/>
        </w:rPr>
      </w:pPr>
      <w:r>
        <w:rPr>
          <w:rFonts w:hint="eastAsia" w:ascii="仿宋" w:hAnsi="仿宋" w:eastAsia="仿宋"/>
          <w:color w:val="000000"/>
          <w:sz w:val="24"/>
        </w:rPr>
        <w:br w:type="page"/>
      </w:r>
      <w:bookmarkStart w:id="0" w:name="_Hlt67893495"/>
      <w:bookmarkEnd w:id="0"/>
      <w:r>
        <w:rPr>
          <w:rFonts w:hint="eastAsia" w:ascii="仿宋" w:hAnsi="仿宋" w:eastAsia="仿宋"/>
          <w:b/>
          <w:color w:val="000000"/>
          <w:sz w:val="48"/>
          <w:szCs w:val="48"/>
        </w:rPr>
        <w:t>目 录</w:t>
      </w:r>
    </w:p>
    <w:p>
      <w:pPr>
        <w:spacing w:line="360" w:lineRule="auto"/>
        <w:rPr>
          <w:rFonts w:ascii="仿宋" w:hAnsi="仿宋" w:eastAsia="仿宋"/>
          <w:color w:val="000000"/>
          <w:sz w:val="32"/>
          <w:szCs w:val="32"/>
        </w:rPr>
      </w:pPr>
    </w:p>
    <w:p>
      <w:pPr>
        <w:spacing w:line="360" w:lineRule="auto"/>
        <w:rPr>
          <w:rFonts w:ascii="仿宋" w:hAnsi="仿宋" w:eastAsia="仿宋"/>
          <w:color w:val="000000"/>
          <w:sz w:val="32"/>
          <w:szCs w:val="32"/>
        </w:rPr>
      </w:pP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第一部分     招标公告</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第二部分     </w:t>
      </w:r>
      <w:r>
        <w:rPr>
          <w:rFonts w:hint="eastAsia" w:ascii="仿宋" w:hAnsi="仿宋" w:eastAsia="仿宋" w:cs="仿宋_GB2312"/>
          <w:color w:val="000000"/>
          <w:sz w:val="32"/>
          <w:szCs w:val="32"/>
        </w:rPr>
        <w:t>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第三部分     </w:t>
      </w:r>
      <w:r>
        <w:rPr>
          <w:rFonts w:hint="eastAsia" w:ascii="仿宋" w:hAnsi="仿宋" w:eastAsia="仿宋" w:cs="仿宋_GB2312"/>
          <w:color w:val="000000"/>
          <w:sz w:val="32"/>
          <w:szCs w:val="32"/>
        </w:rPr>
        <w:t>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第四部分     </w:t>
      </w:r>
      <w:r>
        <w:rPr>
          <w:rFonts w:hint="eastAsia" w:ascii="仿宋" w:hAnsi="仿宋" w:eastAsia="仿宋" w:cs="仿宋_GB2312"/>
          <w:color w:val="000000"/>
          <w:sz w:val="32"/>
          <w:szCs w:val="32"/>
        </w:rPr>
        <w:t>评标方法</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第五部分     </w:t>
      </w:r>
      <w:r>
        <w:rPr>
          <w:rFonts w:hint="eastAsia" w:ascii="仿宋" w:hAnsi="仿宋" w:eastAsia="仿宋" w:cs="仿宋_GB2312"/>
          <w:color w:val="000000"/>
          <w:sz w:val="32"/>
          <w:szCs w:val="32"/>
        </w:rPr>
        <w:t>拟签订的合同文本</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第六部分     应提交的有关格式范例</w:t>
      </w:r>
    </w:p>
    <w:p>
      <w:pPr>
        <w:spacing w:line="360" w:lineRule="auto"/>
        <w:ind w:firstLine="549" w:firstLineChars="229"/>
        <w:rPr>
          <w:rFonts w:ascii="仿宋" w:hAnsi="仿宋" w:eastAsia="仿宋"/>
          <w:color w:val="000000"/>
          <w:sz w:val="24"/>
        </w:rPr>
      </w:pPr>
      <w:bookmarkStart w:id="1" w:name="_Hlt91233176"/>
      <w:bookmarkEnd w:id="1"/>
      <w:bookmarkStart w:id="2" w:name="_Toc91899869"/>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rPr>
          <w:rFonts w:ascii="仿宋" w:hAnsi="仿宋" w:eastAsia="仿宋"/>
          <w:color w:val="000000"/>
          <w:sz w:val="24"/>
        </w:rPr>
      </w:pPr>
    </w:p>
    <w:p>
      <w:pPr>
        <w:adjustRightInd/>
        <w:spacing w:line="360" w:lineRule="auto"/>
        <w:jc w:val="center"/>
        <w:outlineLvl w:val="0"/>
        <w:rPr>
          <w:rFonts w:ascii="仿宋" w:hAnsi="仿宋" w:eastAsia="仿宋"/>
          <w:b/>
          <w:color w:val="000000"/>
          <w:sz w:val="36"/>
          <w:szCs w:val="20"/>
        </w:rPr>
      </w:pPr>
      <w:bookmarkStart w:id="3" w:name="第一部分"/>
      <w:r>
        <w:rPr>
          <w:rFonts w:hint="eastAsia" w:ascii="仿宋" w:hAnsi="仿宋" w:eastAsia="仿宋"/>
          <w:b/>
          <w:color w:val="000000"/>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_Toc91899870"/>
      <w:bookmarkStart w:id="9" w:name="第二部分"/>
      <w:bookmarkStart w:id="10" w:name="_Toc91899871"/>
      <w:r>
        <w:rPr>
          <w:rFonts w:hint="eastAsia" w:ascii="仿宋" w:hAnsi="仿宋" w:eastAsia="仿宋"/>
          <w:b/>
          <w:color w:val="000000"/>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rPr>
      </w:pPr>
      <w:r>
        <w:rPr>
          <w:rFonts w:hint="eastAsia" w:ascii="仿宋" w:hAnsi="仿宋" w:eastAsia="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u w:val="single"/>
        </w:rPr>
      </w:pPr>
      <w:r>
        <w:rPr>
          <w:rFonts w:hint="eastAsia" w:ascii="仿宋" w:hAnsi="仿宋" w:eastAsia="仿宋"/>
          <w:b/>
          <w:color w:val="000000"/>
          <w:sz w:val="24"/>
          <w:u w:val="single"/>
        </w:rPr>
        <w:t>杭州市滨江区人民政府办公室政务外网裸光纤专线及互联网服务采购项目</w:t>
      </w:r>
      <w:r>
        <w:rPr>
          <w:rFonts w:hint="eastAsia" w:ascii="仿宋" w:hAnsi="仿宋" w:eastAsia="仿宋"/>
          <w:color w:val="000000"/>
          <w:sz w:val="24"/>
        </w:rPr>
        <w:t>招标项目的潜在投标人应在政采云平台（https://www.zcygov.cn/）获取（下载）招标文件，并于2024</w:t>
      </w:r>
      <w:r>
        <w:rPr>
          <w:rFonts w:hint="eastAsia" w:ascii="仿宋" w:hAnsi="仿宋" w:eastAsia="仿宋"/>
          <w:bCs/>
          <w:color w:val="000000"/>
          <w:sz w:val="24"/>
          <w:u w:val="single"/>
        </w:rPr>
        <w:t>年</w:t>
      </w:r>
      <w:r>
        <w:rPr>
          <w:rFonts w:hint="eastAsia" w:ascii="仿宋" w:hAnsi="仿宋" w:eastAsia="仿宋"/>
          <w:bCs/>
          <w:color w:val="000000"/>
          <w:sz w:val="24"/>
          <w:u w:val="single"/>
          <w:lang w:val="en-US" w:eastAsia="zh-CN"/>
        </w:rPr>
        <w:t>8</w:t>
      </w:r>
      <w:r>
        <w:rPr>
          <w:rFonts w:hint="eastAsia" w:ascii="仿宋" w:hAnsi="仿宋" w:eastAsia="仿宋"/>
          <w:bCs/>
          <w:color w:val="000000"/>
          <w:sz w:val="24"/>
          <w:u w:val="single"/>
        </w:rPr>
        <w:t>月</w:t>
      </w:r>
      <w:r>
        <w:rPr>
          <w:rFonts w:hint="eastAsia" w:ascii="仿宋" w:hAnsi="仿宋" w:eastAsia="仿宋"/>
          <w:bCs/>
          <w:color w:val="000000"/>
          <w:sz w:val="24"/>
          <w:u w:val="single"/>
          <w:lang w:val="en-US" w:eastAsia="zh-CN"/>
        </w:rPr>
        <w:t>12</w:t>
      </w:r>
      <w:r>
        <w:rPr>
          <w:rFonts w:hint="eastAsia" w:ascii="仿宋" w:hAnsi="仿宋" w:eastAsia="仿宋"/>
          <w:bCs/>
          <w:color w:val="000000"/>
          <w:sz w:val="24"/>
          <w:u w:val="single"/>
        </w:rPr>
        <w:t>日09点30分00秒</w:t>
      </w:r>
      <w:r>
        <w:rPr>
          <w:rFonts w:hint="eastAsia" w:ascii="仿宋" w:hAnsi="仿宋" w:eastAsia="仿宋"/>
          <w:bCs/>
          <w:color w:val="000000"/>
          <w:sz w:val="24"/>
        </w:rPr>
        <w:t>（北京时间）前</w:t>
      </w:r>
      <w:r>
        <w:rPr>
          <w:rFonts w:hint="eastAsia" w:ascii="仿宋" w:hAnsi="仿宋" w:eastAsia="仿宋"/>
          <w:color w:val="000000"/>
          <w:sz w:val="24"/>
        </w:rPr>
        <w:t>递交（上传）投标文件。</w:t>
      </w:r>
    </w:p>
    <w:p>
      <w:pPr>
        <w:spacing w:line="360" w:lineRule="auto"/>
        <w:rPr>
          <w:rFonts w:ascii="仿宋" w:hAnsi="仿宋" w:eastAsia="仿宋"/>
          <w:b/>
          <w:color w:val="000000"/>
          <w:sz w:val="24"/>
        </w:rPr>
      </w:pPr>
    </w:p>
    <w:p>
      <w:pPr>
        <w:spacing w:line="360" w:lineRule="auto"/>
        <w:rPr>
          <w:rFonts w:ascii="仿宋" w:hAnsi="仿宋" w:eastAsia="仿宋"/>
          <w:color w:val="000000"/>
          <w:sz w:val="24"/>
        </w:rPr>
      </w:pPr>
      <w:r>
        <w:rPr>
          <w:rFonts w:hint="eastAsia" w:ascii="仿宋" w:hAnsi="仿宋" w:eastAsia="仿宋"/>
          <w:b/>
          <w:color w:val="000000"/>
          <w:sz w:val="24"/>
        </w:rPr>
        <w:t xml:space="preserve">一、项目基本情况     </w:t>
      </w:r>
    </w:p>
    <w:p>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rPr>
        <w:t>1.项目编号：</w:t>
      </w:r>
      <w:r>
        <w:rPr>
          <w:rFonts w:hint="eastAsia" w:ascii="仿宋" w:hAnsi="仿宋" w:eastAsia="仿宋"/>
          <w:color w:val="000000"/>
          <w:sz w:val="24"/>
          <w:szCs w:val="24"/>
        </w:rPr>
        <w:t>BJZFCG-2</w:t>
      </w:r>
      <w:r>
        <w:rPr>
          <w:rFonts w:hint="eastAsia" w:ascii="仿宋" w:hAnsi="仿宋" w:eastAsia="仿宋"/>
          <w:color w:val="000000"/>
          <w:sz w:val="24"/>
          <w:szCs w:val="24"/>
          <w:highlight w:val="none"/>
        </w:rPr>
        <w:t>024-051</w:t>
      </w:r>
      <w:r>
        <w:rPr>
          <w:rFonts w:ascii="仿宋" w:hAnsi="仿宋" w:eastAsia="仿宋"/>
          <w:color w:val="000000"/>
          <w:sz w:val="24"/>
          <w:szCs w:val="24"/>
          <w:highlight w:val="none"/>
        </w:rPr>
        <w:t>。</w:t>
      </w:r>
    </w:p>
    <w:p>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2.项目名称：杭州市滨江区人民政府办公室政务外网裸光纤专线及互联网服务采购项目</w:t>
      </w:r>
      <w:r>
        <w:rPr>
          <w:rFonts w:hint="eastAsia" w:ascii="仿宋" w:hAnsi="仿宋" w:eastAsia="仿宋"/>
          <w:color w:val="000000"/>
          <w:sz w:val="24"/>
          <w:szCs w:val="24"/>
          <w:highlight w:val="none"/>
        </w:rPr>
        <w:t>。</w:t>
      </w:r>
    </w:p>
    <w:p>
      <w:pPr>
        <w:spacing w:line="360" w:lineRule="auto"/>
        <w:rPr>
          <w:rFonts w:hint="default" w:ascii="仿宋" w:hAnsi="仿宋" w:eastAsia="仿宋"/>
          <w:snapToGrid w:val="0"/>
          <w:color w:val="000000"/>
          <w:sz w:val="24"/>
          <w:highlight w:val="none"/>
          <w:lang w:val="en-US" w:eastAsia="zh-CN"/>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405</w:t>
      </w:r>
      <w:r>
        <w:rPr>
          <w:rFonts w:hint="eastAsia" w:ascii="仿宋" w:hAnsi="仿宋" w:eastAsia="仿宋"/>
          <w:snapToGrid w:val="0"/>
          <w:color w:val="000000"/>
          <w:sz w:val="24"/>
          <w:highlight w:val="none"/>
        </w:rPr>
        <w:t>万元 。</w:t>
      </w:r>
      <w:r>
        <w:rPr>
          <w:rFonts w:hint="eastAsia" w:ascii="仿宋" w:hAnsi="仿宋" w:eastAsia="仿宋"/>
          <w:snapToGrid w:val="0"/>
          <w:color w:val="000000"/>
          <w:sz w:val="24"/>
          <w:highlight w:val="none"/>
          <w:lang w:val="en-US" w:eastAsia="zh-CN"/>
        </w:rPr>
        <w:t>本预算金额为3年的预算价，其中单年预算金额为</w:t>
      </w:r>
      <w:r>
        <w:rPr>
          <w:rFonts w:hint="eastAsia" w:ascii="仿宋" w:hAnsi="仿宋" w:eastAsia="仿宋"/>
          <w:snapToGrid w:val="0"/>
          <w:color w:val="000000"/>
          <w:sz w:val="24"/>
          <w:highlight w:val="none"/>
          <w:u w:val="single"/>
          <w:lang w:val="en-US" w:eastAsia="zh-CN"/>
        </w:rPr>
        <w:t>135</w:t>
      </w:r>
      <w:r>
        <w:rPr>
          <w:rFonts w:hint="eastAsia" w:ascii="仿宋" w:hAnsi="仿宋" w:eastAsia="仿宋"/>
          <w:snapToGrid w:val="0"/>
          <w:color w:val="000000"/>
          <w:sz w:val="24"/>
          <w:highlight w:val="none"/>
          <w:lang w:val="en-US" w:eastAsia="zh-CN"/>
        </w:rPr>
        <w:t>万元。</w:t>
      </w:r>
    </w:p>
    <w:p>
      <w:pPr>
        <w:spacing w:line="360" w:lineRule="auto"/>
        <w:rPr>
          <w:rFonts w:hint="default" w:ascii="仿宋" w:hAnsi="仿宋" w:eastAsia="仿宋" w:cs="仿宋_GB2312"/>
          <w:sz w:val="24"/>
          <w:highlight w:val="none"/>
          <w:lang w:val="en-US" w:eastAsia="zh-CN"/>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405</w:t>
      </w:r>
      <w:r>
        <w:rPr>
          <w:rFonts w:hint="eastAsia" w:ascii="仿宋" w:hAnsi="仿宋" w:eastAsia="仿宋"/>
          <w:snapToGrid w:val="0"/>
          <w:color w:val="000000"/>
          <w:sz w:val="24"/>
          <w:highlight w:val="none"/>
        </w:rPr>
        <w:t>万元 。</w:t>
      </w:r>
      <w:r>
        <w:rPr>
          <w:rFonts w:hint="eastAsia" w:ascii="仿宋" w:hAnsi="仿宋" w:eastAsia="仿宋"/>
          <w:snapToGrid w:val="0"/>
          <w:color w:val="000000"/>
          <w:sz w:val="24"/>
          <w:highlight w:val="none"/>
          <w:lang w:val="en-US" w:eastAsia="zh-CN"/>
        </w:rPr>
        <w:t>本最高限价为3年的限价，其中单年最高限价为</w:t>
      </w:r>
      <w:r>
        <w:rPr>
          <w:rFonts w:hint="eastAsia" w:ascii="仿宋" w:hAnsi="仿宋" w:eastAsia="仿宋"/>
          <w:snapToGrid w:val="0"/>
          <w:color w:val="000000"/>
          <w:sz w:val="24"/>
          <w:highlight w:val="none"/>
          <w:u w:val="single"/>
          <w:lang w:val="en-US" w:eastAsia="zh-CN"/>
        </w:rPr>
        <w:t>135</w:t>
      </w:r>
      <w:r>
        <w:rPr>
          <w:rFonts w:hint="eastAsia" w:ascii="仿宋" w:hAnsi="仿宋" w:eastAsia="仿宋"/>
          <w:snapToGrid w:val="0"/>
          <w:color w:val="000000"/>
          <w:sz w:val="24"/>
          <w:highlight w:val="none"/>
          <w:lang w:val="en-US" w:eastAsia="zh-CN"/>
        </w:rPr>
        <w:t>万元。</w:t>
      </w:r>
    </w:p>
    <w:p>
      <w:pPr>
        <w:spacing w:line="360" w:lineRule="auto"/>
        <w:jc w:val="left"/>
        <w:outlineLvl w:val="0"/>
        <w:rPr>
          <w:rFonts w:ascii="仿宋" w:hAnsi="仿宋" w:eastAsia="仿宋"/>
          <w:snapToGrid w:val="0"/>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5.采购需求：</w:t>
      </w:r>
      <w:r>
        <w:rPr>
          <w:rFonts w:hint="eastAsia" w:ascii="仿宋" w:hAnsi="仿宋" w:eastAsia="仿宋" w:cs="仿宋"/>
          <w:kern w:val="0"/>
          <w:sz w:val="24"/>
          <w:highlight w:val="none"/>
          <w:lang w:val="zh-CN"/>
        </w:rPr>
        <w:t>滨江区政务</w:t>
      </w:r>
      <w:r>
        <w:rPr>
          <w:rFonts w:hint="eastAsia" w:ascii="仿宋" w:hAnsi="仿宋" w:eastAsia="仿宋" w:cs="仿宋"/>
          <w:kern w:val="0"/>
          <w:sz w:val="24"/>
          <w:highlight w:val="none"/>
        </w:rPr>
        <w:t>外网</w:t>
      </w:r>
      <w:r>
        <w:rPr>
          <w:rFonts w:hint="eastAsia" w:ascii="仿宋" w:hAnsi="仿宋" w:eastAsia="仿宋" w:cs="仿宋"/>
          <w:kern w:val="0"/>
          <w:sz w:val="24"/>
          <w:highlight w:val="none"/>
          <w:lang w:val="zh-CN"/>
        </w:rPr>
        <w:t>是覆盖区级机关各</w:t>
      </w:r>
      <w:r>
        <w:rPr>
          <w:rFonts w:hint="eastAsia" w:ascii="仿宋" w:hAnsi="仿宋" w:eastAsia="仿宋" w:cs="仿宋"/>
          <w:kern w:val="0"/>
          <w:sz w:val="24"/>
          <w:lang w:val="zh-CN"/>
        </w:rPr>
        <w:t>部门、各直属单位、各街道办事处和其他相关单位局域网的城域网。</w:t>
      </w:r>
      <w:r>
        <w:rPr>
          <w:rFonts w:hint="eastAsia" w:ascii="仿宋" w:hAnsi="仿宋" w:eastAsia="仿宋" w:cs="仿宋"/>
          <w:kern w:val="0"/>
          <w:sz w:val="24"/>
        </w:rPr>
        <w:t>以区政府大楼为核心</w:t>
      </w:r>
      <w:r>
        <w:rPr>
          <w:rFonts w:hint="eastAsia" w:ascii="仿宋" w:hAnsi="仿宋" w:eastAsia="仿宋" w:cs="仿宋"/>
          <w:kern w:val="0"/>
          <w:sz w:val="24"/>
          <w:lang w:val="zh-CN"/>
        </w:rPr>
        <w:t>连接区级机关各部门、各直属单位、各街道办事处，以及因工作需要接入的其他相关单位，</w:t>
      </w:r>
      <w:r>
        <w:rPr>
          <w:rFonts w:hint="eastAsia" w:ascii="仿宋" w:hAnsi="仿宋" w:eastAsia="仿宋" w:cs="仿宋"/>
          <w:kern w:val="0"/>
          <w:sz w:val="24"/>
        </w:rPr>
        <w:t>覆盖230</w:t>
      </w:r>
      <w:r>
        <w:rPr>
          <w:rFonts w:hint="eastAsia" w:ascii="仿宋" w:hAnsi="仿宋" w:eastAsia="仿宋" w:cs="仿宋"/>
          <w:kern w:val="0"/>
          <w:sz w:val="24"/>
          <w:lang w:val="zh-CN"/>
        </w:rPr>
        <w:t>个节点，涉及范围广，建设要求高</w:t>
      </w:r>
      <w:r>
        <w:rPr>
          <w:rFonts w:hint="eastAsia" w:ascii="仿宋" w:hAnsi="仿宋" w:eastAsia="仿宋" w:cs="仿宋"/>
          <w:kern w:val="0"/>
          <w:sz w:val="24"/>
          <w:highlight w:val="none"/>
          <w:lang w:val="zh-CN"/>
        </w:rPr>
        <w:t>。</w:t>
      </w:r>
      <w:r>
        <w:rPr>
          <w:rFonts w:hint="eastAsia" w:ascii="仿宋" w:hAnsi="仿宋" w:eastAsia="仿宋" w:cs="仿宋"/>
          <w:sz w:val="24"/>
          <w:highlight w:val="none"/>
        </w:rPr>
        <w:t>本项目为滨江区政务外网裸光纤专线及互联网服务采购项目，主要内容包括2条1G出口带宽（含互联网IP地址164个，</w:t>
      </w:r>
      <w:r>
        <w:rPr>
          <w:rFonts w:hint="eastAsia" w:ascii="仿宋" w:hAnsi="仿宋" w:eastAsia="仿宋" w:cs="仿宋"/>
          <w:kern w:val="0"/>
          <w:sz w:val="24"/>
          <w:highlight w:val="none"/>
        </w:rPr>
        <w:t>两条线路进行聚合</w:t>
      </w:r>
      <w:r>
        <w:rPr>
          <w:rFonts w:hint="eastAsia" w:ascii="仿宋" w:hAnsi="仿宋" w:eastAsia="仿宋" w:cs="仿宋"/>
          <w:sz w:val="24"/>
          <w:highlight w:val="none"/>
        </w:rPr>
        <w:t>）、230条裸光纤专用链路租用。</w:t>
      </w:r>
      <w:r>
        <w:rPr>
          <w:rFonts w:hint="eastAsia" w:ascii="仿宋" w:hAnsi="仿宋" w:eastAsia="仿宋"/>
          <w:color w:val="000000" w:themeColor="text1"/>
          <w:sz w:val="24"/>
          <w:highlight w:val="none"/>
          <w14:textFill>
            <w14:solidFill>
              <w14:schemeClr w14:val="tx1"/>
            </w14:solidFill>
          </w14:textFill>
        </w:rPr>
        <w:t>详见招标文件第三部分采购需求</w:t>
      </w:r>
      <w:r>
        <w:rPr>
          <w:rFonts w:hint="eastAsia" w:ascii="仿宋" w:hAnsi="仿宋" w:eastAsia="仿宋" w:cs="Vrinda"/>
          <w:color w:val="000000" w:themeColor="text1"/>
          <w:sz w:val="24"/>
          <w:highlight w:val="none"/>
          <w14:textFill>
            <w14:solidFill>
              <w14:schemeClr w14:val="tx1"/>
            </w14:solidFill>
          </w14:textFill>
        </w:rPr>
        <w:t>。</w:t>
      </w:r>
    </w:p>
    <w:p>
      <w:pPr>
        <w:spacing w:line="360" w:lineRule="auto"/>
        <w:outlineLvl w:val="2"/>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r>
        <w:rPr>
          <w:rFonts w:hint="eastAsia" w:ascii="仿宋" w:hAnsi="仿宋" w:eastAsia="仿宋" w:cs="仿宋"/>
          <w:sz w:val="24"/>
          <w:highlight w:val="none"/>
        </w:rPr>
        <w:t xml:space="preserve">服务期为合同签订之日起至2027年6月23日。合同签订后7个自然日内完成所有配套设备安装调试，具备正常对外提供服务的能力。 </w:t>
      </w:r>
    </w:p>
    <w:p>
      <w:pPr>
        <w:widowControl/>
        <w:spacing w:line="360" w:lineRule="auto"/>
        <w:jc w:val="left"/>
        <w:rPr>
          <w:rFonts w:ascii="仿宋" w:hAnsi="仿宋" w:eastAsia="仿宋" w:cs="Vrinda"/>
          <w:color w:val="000000"/>
          <w:sz w:val="24"/>
        </w:rPr>
      </w:pPr>
      <w:r>
        <w:rPr>
          <w:rFonts w:hint="eastAsia" w:ascii="仿宋_GB2312" w:hAnsi="仿宋" w:eastAsia="仿宋_GB2312"/>
          <w:b/>
          <w:sz w:val="24"/>
        </w:rPr>
        <w:t>7.本项目接受联合体投标：</w:t>
      </w:r>
      <w:r>
        <w:rPr>
          <w:rFonts w:hint="eastAsia" w:ascii="MS Gothic" w:hAnsi="MS Gothic" w:cs="Arial"/>
          <w:kern w:val="0"/>
          <w:sz w:val="24"/>
        </w:rPr>
        <w:sym w:font="Wingdings 2" w:char="0052"/>
      </w:r>
      <w:sdt>
        <w:sdtPr>
          <w:rPr>
            <w:rFonts w:hint="eastAsia" w:ascii="仿宋_GB2312" w:hAnsi="仿宋" w:eastAsia="仿宋_GB2312" w:cs="Arial"/>
            <w:kern w:val="0"/>
            <w:sz w:val="24"/>
          </w:rPr>
          <w:id w:val="2035453831"/>
          <w:showingPlcHdr/>
        </w:sdtPr>
        <w:sdtEndPr>
          <w:rPr>
            <w:rFonts w:hint="eastAsia" w:ascii="仿宋_GB2312" w:hAnsi="仿宋" w:eastAsia="仿宋_GB2312" w:cs="Arial"/>
            <w:kern w:val="0"/>
            <w:sz w:val="24"/>
          </w:rPr>
        </w:sdtEndPr>
        <w:sdtContent/>
      </w:sdt>
      <w:r>
        <w:rPr>
          <w:rFonts w:hint="eastAsia" w:ascii="仿宋_GB2312" w:hAnsi="仿宋" w:eastAsia="仿宋_GB2312"/>
          <w:b/>
          <w:sz w:val="24"/>
        </w:rPr>
        <w:t>是，</w:t>
      </w:r>
      <w:r>
        <w:rPr>
          <w:rFonts w:hint="eastAsia" w:ascii="MS Gothic" w:hAnsi="MS Gothic" w:cs="Arial"/>
          <w:kern w:val="0"/>
          <w:sz w:val="24"/>
        </w:rPr>
        <w:sym w:font="Wingdings 2" w:char="00A3"/>
      </w:r>
      <w:r>
        <w:rPr>
          <w:rFonts w:hint="eastAsia" w:ascii="仿宋_GB2312" w:hAnsi="仿宋" w:eastAsia="仿宋_GB2312"/>
          <w:b/>
          <w:sz w:val="24"/>
        </w:rPr>
        <w:t>否</w:t>
      </w:r>
      <w:r>
        <w:rPr>
          <w:rFonts w:hint="eastAsia" w:cs="Arial" w:asciiTheme="minorEastAsia" w:hAnsiTheme="minorEastAsia" w:eastAsiaTheme="minorEastAsia"/>
          <w:kern w:val="0"/>
          <w:sz w:val="24"/>
        </w:rPr>
        <w:t>。</w:t>
      </w:r>
    </w:p>
    <w:p>
      <w:pPr>
        <w:spacing w:line="360" w:lineRule="auto"/>
        <w:rPr>
          <w:rFonts w:ascii="仿宋" w:hAnsi="仿宋" w:eastAsia="仿宋"/>
          <w:b/>
          <w:color w:val="000000"/>
          <w:sz w:val="24"/>
        </w:rPr>
      </w:pPr>
      <w:r>
        <w:rPr>
          <w:rFonts w:hint="eastAsia" w:ascii="仿宋" w:hAnsi="仿宋" w:eastAsia="仿宋"/>
          <w:b/>
          <w:color w:val="000000"/>
          <w:sz w:val="24"/>
        </w:rPr>
        <w:t>二、申请人的资格要求</w:t>
      </w:r>
    </w:p>
    <w:p>
      <w:pPr>
        <w:spacing w:line="360" w:lineRule="auto"/>
        <w:ind w:firstLine="480"/>
        <w:rPr>
          <w:rFonts w:ascii="仿宋" w:hAnsi="仿宋" w:eastAsia="仿宋"/>
          <w:sz w:val="24"/>
        </w:rPr>
      </w:pPr>
      <w:r>
        <w:rPr>
          <w:rFonts w:ascii="仿宋" w:hAnsi="仿宋" w:eastAsia="仿宋" w:cs="仿宋_GB2312"/>
          <w:snapToGrid w:val="0"/>
          <w:kern w:val="28"/>
          <w:sz w:val="24"/>
          <w:szCs w:val="20"/>
        </w:rPr>
        <w:t>1.</w:t>
      </w:r>
      <w:r>
        <w:rPr>
          <w:rFonts w:hint="eastAsia" w:ascii="仿宋" w:hAnsi="仿宋" w:eastAsia="仿宋"/>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rPr>
      </w:pPr>
      <w:r>
        <w:rPr>
          <w:rFonts w:hint="eastAsia" w:ascii="仿宋" w:hAnsi="仿宋" w:eastAsia="仿宋" w:cs="仿宋_GB2312"/>
          <w:snapToGrid w:val="0"/>
          <w:kern w:val="28"/>
          <w:sz w:val="24"/>
          <w:szCs w:val="20"/>
        </w:rPr>
        <w:t>3</w:t>
      </w:r>
      <w:r>
        <w:rPr>
          <w:rFonts w:ascii="仿宋" w:hAnsi="仿宋" w:eastAsia="仿宋" w:cs="仿宋_GB2312"/>
          <w:snapToGrid w:val="0"/>
          <w:kern w:val="28"/>
          <w:sz w:val="24"/>
          <w:szCs w:val="20"/>
        </w:rPr>
        <w:t>.</w:t>
      </w:r>
      <w:r>
        <w:rPr>
          <w:rFonts w:hint="eastAsia" w:ascii="仿宋" w:hAnsi="仿宋" w:eastAsia="仿宋"/>
          <w:sz w:val="24"/>
        </w:rPr>
        <w:t>落实政府采购政策需满足的资格要求：</w:t>
      </w:r>
    </w:p>
    <w:p>
      <w:pPr>
        <w:spacing w:line="360" w:lineRule="auto"/>
        <w:ind w:firstLine="480" w:firstLineChars="200"/>
        <w:rPr>
          <w:rFonts w:ascii="仿宋" w:hAnsi="仿宋" w:eastAsia="仿宋"/>
          <w:sz w:val="24"/>
        </w:rPr>
      </w:pPr>
      <w:sdt>
        <w:sdtPr>
          <w:rPr>
            <w:rFonts w:hint="eastAsia" w:ascii="仿宋" w:hAnsi="仿宋" w:eastAsia="仿宋"/>
            <w:sz w:val="24"/>
          </w:rPr>
          <w:id w:val="1928616923"/>
        </w:sdtPr>
        <w:sdtEndPr>
          <w:rPr>
            <w:rFonts w:hint="eastAsia" w:ascii="仿宋" w:hAnsi="仿宋" w:eastAsia="仿宋"/>
            <w:sz w:val="24"/>
          </w:rPr>
        </w:sdtEndPr>
        <w:sdtContent>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Content>
      </w:sdt>
      <w:r>
        <w:rPr>
          <w:rFonts w:hint="eastAsia" w:ascii="仿宋" w:hAnsi="仿宋" w:eastAsia="仿宋"/>
          <w:sz w:val="24"/>
        </w:rPr>
        <w:t>无（注：不得限制大中型企业与小微企业组成联合体参与投标）；</w:t>
      </w:r>
    </w:p>
    <w:p>
      <w:pPr>
        <w:spacing w:line="360" w:lineRule="auto"/>
        <w:ind w:firstLine="480" w:firstLineChars="200"/>
        <w:rPr>
          <w:rFonts w:ascii="仿宋" w:hAnsi="仿宋" w:eastAsia="仿宋"/>
          <w:sz w:val="24"/>
        </w:rPr>
      </w:pPr>
      <w:r>
        <w:rPr>
          <w:rFonts w:hint="eastAsia" w:ascii="仿宋" w:hAnsi="仿宋" w:eastAsia="仿宋" w:cs="Arial"/>
          <w:kern w:val="0"/>
          <w:sz w:val="24"/>
        </w:rPr>
        <w:t xml:space="preserve"> </w:t>
      </w:r>
      <w:sdt>
        <w:sdtPr>
          <w:rPr>
            <w:rFonts w:hint="eastAsia" w:ascii="仿宋" w:hAnsi="仿宋" w:eastAsia="仿宋" w:cs="Arial"/>
            <w:kern w:val="0"/>
            <w:sz w:val="24"/>
          </w:rPr>
          <w:id w:val="-1024704304"/>
        </w:sdtPr>
        <w:sdtEndPr>
          <w:rPr>
            <w:rFonts w:hint="eastAsia" w:ascii="仿宋" w:hAnsi="仿宋" w:eastAsia="仿宋" w:cs="Arial"/>
            <w:kern w:val="0"/>
            <w:sz w:val="24"/>
          </w:rPr>
        </w:sdtEndPr>
        <w:sdtContent>
          <w:r>
            <w:rPr>
              <w:rFonts w:hint="eastAsia" w:ascii="仿宋" w:hAnsi="MS Gothic" w:eastAsia="MS Gothic" w:cs="Arial"/>
              <w:kern w:val="0"/>
              <w:sz w:val="24"/>
            </w:rPr>
            <w:t>☐</w:t>
          </w:r>
        </w:sdtContent>
      </w:sdt>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333685401"/>
        </w:sdtPr>
        <w:sdtEndPr>
          <w:rPr>
            <w:rFonts w:hint="eastAsia" w:ascii="仿宋" w:hAnsi="仿宋" w:eastAsia="仿宋" w:cs="Arial"/>
            <w:kern w:val="0"/>
            <w:sz w:val="24"/>
          </w:rPr>
        </w:sdtEndPr>
        <w:sdtContent>
          <w:r>
            <w:rPr>
              <w:rFonts w:hint="eastAsia" w:ascii="仿宋" w:hAnsi="MS Gothic" w:eastAsia="MS Gothic" w:cs="Arial"/>
              <w:kern w:val="0"/>
              <w:sz w:val="24"/>
            </w:rPr>
            <w:t>☐</w:t>
          </w:r>
        </w:sdtContent>
      </w:sdt>
      <w:r>
        <w:rPr>
          <w:rFonts w:hint="eastAsia" w:ascii="仿宋" w:hAnsi="仿宋" w:eastAsia="仿宋"/>
          <w:sz w:val="24"/>
        </w:rPr>
        <w:t>服务全部由符合政策要求的中小企业承接，提供中小企业声明函；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2141025358"/>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服务全部由符合政策要求的小微企业承接，提供中小企业声明函；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198560779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rPr>
        <w:t>% ;</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ascii="仿宋" w:hAnsi="仿宋" w:eastAsia="仿宋"/>
          <w:sz w:val="24"/>
        </w:rPr>
        <w:t>3.本项目的特定资格要求：</w:t>
      </w:r>
    </w:p>
    <w:p>
      <w:pPr>
        <w:snapToGrid w:val="0"/>
        <w:spacing w:line="360" w:lineRule="auto"/>
        <w:ind w:firstLine="480" w:firstLineChars="200"/>
        <w:rPr>
          <w:rFonts w:ascii="仿宋" w:hAnsi="仿宋" w:eastAsia="仿宋"/>
          <w:sz w:val="24"/>
        </w:rPr>
      </w:pPr>
      <w:sdt>
        <w:sdtPr>
          <w:rPr>
            <w:rFonts w:hint="eastAsia" w:ascii="宋体" w:hAnsi="宋体" w:cs="宋体"/>
            <w:color w:val="0000FF"/>
            <w:kern w:val="0"/>
            <w:sz w:val="24"/>
            <w:highlight w:val="cyan"/>
          </w:rPr>
          <w:id w:val="-1508982547"/>
        </w:sdtPr>
        <w:sdtEndPr>
          <w:rPr>
            <w:rFonts w:hint="eastAsia" w:ascii="仿宋" w:hAnsi="仿宋" w:eastAsia="仿宋" w:cs="Times New Roman"/>
            <w:color w:val="auto"/>
            <w:kern w:val="2"/>
            <w:sz w:val="24"/>
            <w:highlight w:val="none"/>
          </w:rPr>
        </w:sdtEndPr>
        <w:sdtContent>
          <w:sdt>
            <w:sdtPr>
              <w:rPr>
                <w:rFonts w:hint="eastAsia" w:ascii="仿宋" w:hAnsi="仿宋" w:eastAsia="仿宋"/>
                <w:sz w:val="24"/>
              </w:rPr>
              <w:id w:val="-508987994"/>
            </w:sdtPr>
            <w:sdtEndPr>
              <w:rPr>
                <w:rFonts w:hint="eastAsia" w:ascii="仿宋" w:hAnsi="仿宋" w:eastAsia="仿宋"/>
                <w:sz w:val="24"/>
              </w:rPr>
            </w:sdtEndPr>
            <w:sdtContent>
              <w:sdt>
                <w:sdtPr>
                  <w:rPr>
                    <w:rFonts w:hint="eastAsia" w:ascii="仿宋" w:hAnsi="仿宋" w:eastAsia="仿宋" w:cs="Arial"/>
                    <w:kern w:val="0"/>
                    <w:sz w:val="24"/>
                  </w:rPr>
                  <w:id w:val="-959729495"/>
                </w:sdtPr>
                <w:sdtEndPr>
                  <w:rPr>
                    <w:rFonts w:hint="eastAsia" w:ascii="仿宋" w:hAnsi="仿宋" w:eastAsia="仿宋" w:cs="Arial"/>
                    <w:kern w:val="0"/>
                    <w:sz w:val="24"/>
                  </w:rPr>
                </w:sdtEndPr>
                <w:sdtContent>
                  <w:sdt>
                    <w:sdtPr>
                      <w:rPr>
                        <w:rFonts w:hint="eastAsia" w:ascii="宋体" w:hAnsi="宋体" w:cs="宋体"/>
                        <w:color w:val="0000FF"/>
                        <w:kern w:val="0"/>
                        <w:sz w:val="24"/>
                        <w:highlight w:val="cyan"/>
                      </w:rPr>
                      <w:id w:val="-454714954"/>
                    </w:sdtPr>
                    <w:sdtEndPr>
                      <w:rPr>
                        <w:rFonts w:hint="eastAsia" w:ascii="仿宋" w:hAnsi="仿宋" w:eastAsia="仿宋" w:cs="Times New Roman"/>
                        <w:color w:val="auto"/>
                        <w:kern w:val="2"/>
                        <w:sz w:val="24"/>
                        <w:highlight w:val="none"/>
                      </w:rPr>
                    </w:sdtEndPr>
                    <w:sdtContent>
                      <w:sdt>
                        <w:sdtPr>
                          <w:rPr>
                            <w:rFonts w:hint="eastAsia" w:ascii="仿宋" w:hAnsi="仿宋" w:eastAsia="仿宋"/>
                            <w:sz w:val="24"/>
                          </w:rPr>
                          <w:id w:val="-1723589220"/>
                        </w:sdtPr>
                        <w:sdtEndPr>
                          <w:rPr>
                            <w:rFonts w:hint="eastAsia" w:ascii="仿宋" w:hAnsi="仿宋" w:eastAsia="仿宋"/>
                            <w:sz w:val="24"/>
                          </w:rPr>
                        </w:sdtEndPr>
                        <w:sdtContent>
                          <w:sdt>
                            <w:sdtPr>
                              <w:rPr>
                                <w:rFonts w:hint="eastAsia" w:ascii="仿宋" w:hAnsi="仿宋" w:eastAsia="仿宋"/>
                                <w:sz w:val="24"/>
                              </w:rPr>
                              <w:id w:val="1116257679"/>
                            </w:sdtPr>
                            <w:sdtEndPr>
                              <w:rPr>
                                <w:rFonts w:hint="eastAsia" w:ascii="仿宋" w:hAnsi="仿宋" w:eastAsia="仿宋"/>
                                <w:sz w:val="24"/>
                              </w:rPr>
                            </w:sdtEndPr>
                            <w:sdtContent>
                              <w:r>
                                <w:rPr>
                                  <w:rFonts w:hint="eastAsia" w:ascii="仿宋" w:hAnsi="仿宋" w:eastAsia="仿宋"/>
                                  <w:sz w:val="24"/>
                                </w:rPr>
                                <w:sym w:font="Wingdings 2" w:char="0052"/>
                              </w:r>
                            </w:sdtContent>
                          </w:sdt>
                        </w:sdtContent>
                      </w:sdt>
                    </w:sdtContent>
                  </w:sdt>
                </w:sdtContent>
              </w:sdt>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607112291"/>
        </w:sdtPr>
        <w:sdtEndPr>
          <w:rPr>
            <w:rFonts w:hint="eastAsia" w:ascii="仿宋" w:hAnsi="仿宋" w:eastAsia="仿宋"/>
            <w:sz w:val="24"/>
          </w:rPr>
        </w:sdtEndPr>
        <w:sdtContent>
          <w:sdt>
            <w:sdtPr>
              <w:rPr>
                <w:rFonts w:hint="eastAsia" w:ascii="仿宋" w:hAnsi="仿宋" w:eastAsia="仿宋" w:cs="Arial"/>
                <w:kern w:val="0"/>
                <w:sz w:val="24"/>
              </w:rPr>
              <w:id w:val="17974158"/>
            </w:sdtPr>
            <w:sdtEndPr>
              <w:rPr>
                <w:rFonts w:hint="eastAsia" w:ascii="仿宋" w:hAnsi="仿宋" w:eastAsia="仿宋" w:cs="Arial"/>
                <w:kern w:val="0"/>
                <w:sz w:val="24"/>
              </w:rPr>
            </w:sdtEndPr>
            <w:sdtContent>
              <w:sdt>
                <w:sdtPr>
                  <w:rPr>
                    <w:rFonts w:hint="eastAsia" w:ascii="仿宋" w:hAnsi="仿宋" w:eastAsia="仿宋" w:cs="Arial"/>
                    <w:kern w:val="0"/>
                    <w:sz w:val="24"/>
                  </w:rPr>
                  <w:id w:val="-89160522"/>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sdtContent>
      </w:sdt>
      <w:r>
        <w:rPr>
          <w:rFonts w:hint="eastAsia" w:ascii="仿宋" w:hAnsi="仿宋" w:eastAsia="仿宋"/>
          <w:sz w:val="24"/>
        </w:rPr>
        <w:t>有特定资格要求</w:t>
      </w:r>
    </w:p>
    <w:p>
      <w:pPr>
        <w:snapToGrid w:val="0"/>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至2024年</w:t>
      </w:r>
      <w:r>
        <w:rPr>
          <w:rFonts w:hint="eastAsia" w:ascii="仿宋" w:hAnsi="仿宋" w:eastAsia="仿宋"/>
          <w:color w:val="000000"/>
          <w:sz w:val="24"/>
          <w:lang w:val="en-US" w:eastAsia="zh-CN"/>
        </w:rPr>
        <w:t>8</w:t>
      </w:r>
      <w:r>
        <w:rPr>
          <w:rFonts w:hint="eastAsia" w:ascii="仿宋" w:hAnsi="仿宋" w:eastAsia="仿宋"/>
          <w:color w:val="000000"/>
          <w:sz w:val="24"/>
        </w:rPr>
        <w:t>月</w:t>
      </w:r>
      <w:r>
        <w:rPr>
          <w:rFonts w:hint="eastAsia" w:ascii="仿宋" w:hAnsi="仿宋" w:eastAsia="仿宋"/>
          <w:color w:val="000000"/>
          <w:sz w:val="24"/>
          <w:lang w:val="en-US" w:eastAsia="zh-CN"/>
        </w:rPr>
        <w:t>12</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6"/>
          <w:rFonts w:ascii="仿宋" w:hAnsi="仿宋" w:eastAsia="仿宋" w:cs="仿宋_GB2312"/>
          <w:color w:val="000000"/>
          <w:sz w:val="24"/>
        </w:rPr>
        <w:t>https://www.zcygov.cn/</w:t>
      </w:r>
      <w:r>
        <w:rPr>
          <w:rStyle w:val="56"/>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2024年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12</w:t>
      </w:r>
      <w:r>
        <w:rPr>
          <w:rFonts w:hint="eastAsia" w:ascii="仿宋" w:hAnsi="仿宋" w:eastAsia="仿宋"/>
          <w:sz w:val="24"/>
          <w:szCs w:val="24"/>
        </w:rPr>
        <w:t>日 09:30:00（北京时间）。</w:t>
      </w:r>
    </w:p>
    <w:p>
      <w:pPr>
        <w:pStyle w:val="13"/>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6"/>
          <w:rFonts w:ascii="仿宋" w:hAnsi="仿宋" w:eastAsia="仿宋" w:cs="仿宋_GB2312"/>
          <w:b/>
          <w:color w:val="000000"/>
          <w:sz w:val="24"/>
          <w:szCs w:val="24"/>
        </w:rPr>
        <w:t>https://www.zcygov.cn/</w:t>
      </w:r>
      <w:r>
        <w:rPr>
          <w:rStyle w:val="56"/>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2024年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12</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pPr>
        <w:pStyle w:val="13"/>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3"/>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3"/>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）“e见证”数字开标直播说明： 杭州市公共资源交易中心高新区（滨江）分中心现推出“e见证”数字开标直播服务，可通过网络直播观看开标现场画面和业务平台图文画面。欢迎在开标当天通扫描二维码的方式进入数字开标直播间，在线参与云开标，一起见证项目招标全过程！（二维码详见附件！）  </w:t>
      </w:r>
    </w:p>
    <w:p>
      <w:pPr>
        <w:pStyle w:val="27"/>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名    称：</w:t>
      </w:r>
      <w:r>
        <w:rPr>
          <w:rFonts w:hint="eastAsia" w:ascii="仿宋" w:hAnsi="仿宋" w:eastAsia="仿宋" w:cs="仿宋_GB2312"/>
          <w:snapToGrid w:val="0"/>
          <w:sz w:val="24"/>
        </w:rPr>
        <w:t>杭州市滨江区人民政府办公室。</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杭州市滨江区江南大道100号 。</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 </w:t>
      </w:r>
      <w:r>
        <w:rPr>
          <w:rFonts w:hint="eastAsia" w:ascii="仿宋" w:hAnsi="仿宋" w:eastAsia="仿宋" w:cs="仿宋_GB2312"/>
          <w:snapToGrid w:val="0"/>
          <w:sz w:val="24"/>
        </w:rPr>
        <w:t>/。</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项目联系人（询问）：阮静。</w:t>
      </w:r>
    </w:p>
    <w:p>
      <w:pPr>
        <w:spacing w:line="360" w:lineRule="auto"/>
        <w:rPr>
          <w:rFonts w:ascii="仿宋" w:hAnsi="仿宋" w:eastAsia="仿宋" w:cs="仿宋_GB2312"/>
          <w:snapToGrid w:val="0"/>
          <w:sz w:val="24"/>
        </w:rPr>
      </w:pPr>
      <w:r>
        <w:rPr>
          <w:rFonts w:ascii="仿宋" w:hAnsi="仿宋" w:eastAsia="仿宋" w:cs="仿宋_GB2312"/>
          <w:snapToGrid w:val="0"/>
          <w:sz w:val="24"/>
        </w:rPr>
        <w:t xml:space="preserve">    项目联系方式（询问）：</w:t>
      </w:r>
      <w:r>
        <w:rPr>
          <w:rFonts w:hint="eastAsia" w:ascii="仿宋" w:hAnsi="仿宋" w:eastAsia="仿宋" w:cs="仿宋_GB2312"/>
          <w:snapToGrid w:val="0"/>
          <w:sz w:val="24"/>
        </w:rPr>
        <w:t>0571-89520178。</w:t>
      </w:r>
    </w:p>
    <w:p>
      <w:pPr>
        <w:spacing w:line="360" w:lineRule="auto"/>
        <w:rPr>
          <w:rFonts w:ascii="仿宋" w:hAnsi="仿宋" w:eastAsia="仿宋" w:cs="仿宋_GB2312"/>
          <w:snapToGrid w:val="0"/>
          <w:sz w:val="24"/>
        </w:rPr>
      </w:pPr>
      <w:r>
        <w:rPr>
          <w:rFonts w:ascii="仿宋" w:hAnsi="仿宋" w:eastAsia="仿宋" w:cs="仿宋_GB2312"/>
          <w:snapToGrid w:val="0"/>
          <w:sz w:val="24"/>
        </w:rPr>
        <w:t xml:space="preserve">    质疑联系人：</w:t>
      </w:r>
      <w:r>
        <w:rPr>
          <w:rFonts w:hint="eastAsia" w:ascii="仿宋" w:hAnsi="仿宋" w:eastAsia="仿宋" w:cs="仿宋_GB2312"/>
          <w:snapToGrid w:val="0"/>
          <w:sz w:val="24"/>
        </w:rPr>
        <w:t>朱晓斌。</w:t>
      </w:r>
    </w:p>
    <w:p>
      <w:pPr>
        <w:spacing w:line="360" w:lineRule="auto"/>
        <w:rPr>
          <w:rFonts w:ascii="仿宋" w:hAnsi="仿宋" w:eastAsia="仿宋" w:cs="仿宋_GB2312"/>
          <w:snapToGrid w:val="0"/>
          <w:sz w:val="24"/>
        </w:rPr>
      </w:pPr>
      <w:r>
        <w:rPr>
          <w:rFonts w:ascii="仿宋" w:hAnsi="仿宋" w:eastAsia="仿宋" w:cs="仿宋_GB2312"/>
          <w:snapToGrid w:val="0"/>
          <w:sz w:val="24"/>
        </w:rPr>
        <w:t xml:space="preserve">    质疑联系方式：</w:t>
      </w:r>
      <w:r>
        <w:rPr>
          <w:rFonts w:hint="eastAsia" w:ascii="仿宋" w:hAnsi="仿宋" w:eastAsia="仿宋" w:cs="仿宋_GB2312"/>
          <w:snapToGrid w:val="0"/>
          <w:sz w:val="24"/>
        </w:rPr>
        <w:t>0571-81185966。</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rPr>
        <w:t>詹</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w:t>
      </w:r>
      <w:r>
        <w:rPr>
          <w:rFonts w:hint="eastAsia" w:ascii="仿宋" w:hAnsi="仿宋" w:eastAsia="仿宋" w:cs="仿宋_GB2312"/>
          <w:sz w:val="24"/>
        </w:rPr>
        <w:t>疑联系方式：0571-89521156。</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rPr>
          <w:rFonts w:ascii="仿宋" w:hAnsi="仿宋" w:eastAsia="仿宋" w:cs="仿宋_GB2312"/>
          <w:snapToGrid w:val="0"/>
          <w:sz w:val="24"/>
        </w:rPr>
      </w:pPr>
      <w:r>
        <w:rPr>
          <w:rFonts w:hint="eastAsia" w:ascii="仿宋" w:hAnsi="仿宋" w:eastAsia="仿宋" w:cs="仿宋_GB2312"/>
          <w:snapToGrid w:val="0"/>
          <w:sz w:val="24"/>
        </w:rPr>
        <w:t>名   称：杭州市滨江区财政局/浙江省政府采购行政裁决服务中心（杭州）。</w:t>
      </w:r>
    </w:p>
    <w:p>
      <w:pPr>
        <w:spacing w:line="360" w:lineRule="auto"/>
        <w:ind w:left="239" w:leftChars="114"/>
        <w:rPr>
          <w:rFonts w:ascii="仿宋" w:hAnsi="仿宋" w:eastAsia="仿宋" w:cs="仿宋_GB2312"/>
          <w:snapToGrid w:val="0"/>
          <w:sz w:val="24"/>
        </w:rPr>
      </w:pPr>
      <w:r>
        <w:rPr>
          <w:rFonts w:hint="eastAsia" w:ascii="仿宋" w:hAnsi="仿宋" w:eastAsia="仿宋" w:cs="仿宋_GB2312"/>
          <w:snapToGrid w:val="0"/>
          <w:sz w:val="24"/>
        </w:rPr>
        <w:t>地   址：杭州市上城区四季青街道新业路市民之家G03办公室。</w:t>
      </w:r>
    </w:p>
    <w:p>
      <w:pPr>
        <w:spacing w:line="360" w:lineRule="auto"/>
        <w:ind w:left="239" w:leftChars="114"/>
        <w:rPr>
          <w:rFonts w:ascii="仿宋" w:hAnsi="仿宋" w:eastAsia="仿宋" w:cs="仿宋_GB2312"/>
          <w:snapToGrid w:val="0"/>
          <w:sz w:val="24"/>
        </w:rPr>
      </w:pPr>
      <w:r>
        <w:rPr>
          <w:rFonts w:hint="eastAsia" w:ascii="仿宋" w:hAnsi="仿宋" w:eastAsia="仿宋" w:cs="仿宋_GB2312"/>
          <w:snapToGrid w:val="0"/>
          <w:sz w:val="24"/>
        </w:rPr>
        <w:t>传   真：/。</w:t>
      </w:r>
    </w:p>
    <w:p>
      <w:pPr>
        <w:spacing w:line="360" w:lineRule="auto"/>
        <w:ind w:left="239" w:leftChars="114"/>
        <w:rPr>
          <w:rFonts w:ascii="仿宋" w:hAnsi="仿宋" w:eastAsia="仿宋" w:cs="仿宋_GB2312"/>
          <w:snapToGrid w:val="0"/>
          <w:sz w:val="24"/>
        </w:rPr>
      </w:pPr>
      <w:r>
        <w:rPr>
          <w:rFonts w:hint="eastAsia" w:ascii="仿宋" w:hAnsi="仿宋" w:eastAsia="仿宋" w:cs="仿宋_GB2312"/>
          <w:snapToGrid w:val="0"/>
          <w:sz w:val="24"/>
        </w:rPr>
        <w:t>联 系 人：朱女士、王女士。</w:t>
      </w:r>
    </w:p>
    <w:p>
      <w:pPr>
        <w:spacing w:line="360" w:lineRule="auto"/>
        <w:ind w:left="239" w:leftChars="114"/>
        <w:rPr>
          <w:rFonts w:ascii="仿宋" w:hAnsi="仿宋" w:eastAsia="仿宋" w:cs="仿宋_GB2312"/>
          <w:snapToGrid w:val="0"/>
          <w:sz w:val="24"/>
        </w:rPr>
      </w:pPr>
      <w:r>
        <w:rPr>
          <w:rFonts w:hint="eastAsia" w:ascii="仿宋" w:hAnsi="仿宋" w:eastAsia="仿宋" w:cs="仿宋_GB2312"/>
          <w:snapToGrid w:val="0"/>
          <w:sz w:val="24"/>
        </w:rPr>
        <w:t>监督投诉电话：0571-85252453。</w:t>
      </w:r>
    </w:p>
    <w:p>
      <w:pPr>
        <w:spacing w:line="360" w:lineRule="auto"/>
        <w:ind w:left="239" w:leftChars="114"/>
        <w:rPr>
          <w:rFonts w:ascii="仿宋" w:hAnsi="仿宋" w:eastAsia="仿宋" w:cs="仿宋_GB2312"/>
          <w:snapToGrid w:val="0"/>
          <w:sz w:val="24"/>
        </w:rPr>
      </w:pPr>
      <w:r>
        <w:rPr>
          <w:rFonts w:hint="eastAsia" w:ascii="仿宋" w:hAnsi="仿宋" w:eastAsia="仿宋" w:cs="仿宋_GB2312"/>
          <w:snapToGrid w:val="0"/>
          <w:sz w:val="24"/>
        </w:rPr>
        <w:t>政策咨询：祝先生，0571-89521210。</w:t>
      </w:r>
    </w:p>
    <w:p>
      <w:pPr>
        <w:spacing w:line="360" w:lineRule="auto"/>
        <w:ind w:firstLine="480" w:firstLineChars="200"/>
        <w:rPr>
          <w:rFonts w:ascii="仿宋" w:hAnsi="仿宋" w:eastAsia="仿宋"/>
          <w:color w:val="000000"/>
          <w:sz w:val="24"/>
        </w:rPr>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14:textFill>
            <w14:solidFill>
              <w14:schemeClr w14:val="tx1"/>
            </w14:solidFill>
          </w14:textFill>
        </w:rPr>
        <w:t>汇信</w:t>
      </w:r>
      <w:r>
        <w:rPr>
          <w:rFonts w:ascii="仿宋" w:hAnsi="仿宋" w:eastAsia="仿宋"/>
          <w:color w:val="000000" w:themeColor="text1"/>
          <w:sz w:val="24"/>
          <w14:textFill>
            <w14:solidFill>
              <w14:schemeClr w14:val="tx1"/>
            </w14:solidFill>
          </w14:textFill>
        </w:rPr>
        <w:t>CA 400-888-4636；天谷CA 400-087-8198。</w:t>
      </w: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p>
      <w:pPr>
        <w:pStyle w:val="27"/>
        <w:spacing w:after="120" w:line="360" w:lineRule="auto"/>
        <w:ind w:firstLine="420"/>
        <w:jc w:val="center"/>
        <w:rPr>
          <w:rFonts w:ascii="仿宋" w:hAnsi="仿宋" w:eastAsia="仿宋"/>
          <w:b/>
          <w:color w:val="000000" w:themeColor="text1"/>
          <w:sz w:val="36"/>
          <w:szCs w:val="20"/>
          <w14:textFill>
            <w14:solidFill>
              <w14:schemeClr w14:val="tx1"/>
            </w14:solidFill>
          </w14:textFill>
        </w:rPr>
      </w:pPr>
    </w:p>
    <w:bookmarkEnd w:id="8"/>
    <w:bookmarkEnd w:id="9"/>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845"/>
        <w:gridCol w:w="1880"/>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5000" w:type="pct"/>
            <w:gridSpan w:val="3"/>
            <w:tcBorders>
              <w:top w:val="nil"/>
              <w:left w:val="nil"/>
              <w:bottom w:val="single" w:color="auto" w:sz="4" w:space="0"/>
              <w:right w:val="nil"/>
            </w:tcBorders>
          </w:tcPr>
          <w:p>
            <w:pPr>
              <w:pStyle w:val="27"/>
              <w:spacing w:after="120" w:line="360" w:lineRule="auto"/>
              <w:ind w:firstLine="420"/>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b/>
                <w:color w:val="000000" w:themeColor="text1"/>
                <w:sz w:val="36"/>
                <w:szCs w:val="20"/>
                <w14:textFill>
                  <w14:solidFill>
                    <w14:schemeClr w14:val="tx1"/>
                  </w14:solidFill>
                </w14:textFill>
              </w:rPr>
              <w:t>第二部分</w:t>
            </w:r>
            <w:r>
              <w:rPr>
                <w:rFonts w:hint="eastAsia" w:ascii="仿宋" w:hAnsi="仿宋" w:eastAsia="仿宋" w:cs="仿宋_GB2312"/>
                <w:b/>
                <w:color w:val="000000" w:themeColor="text1"/>
                <w:sz w:val="36"/>
                <w:szCs w:val="20"/>
                <w14:textFill>
                  <w14:solidFill>
                    <w14:schemeClr w14:val="tx1"/>
                  </w14:solidFill>
                </w14:textFill>
              </w:rPr>
              <w:t>投标人须知</w:t>
            </w:r>
          </w:p>
          <w:p>
            <w:pPr>
              <w:keepLines w:val="0"/>
              <w:snapToGrid w:val="0"/>
              <w:spacing w:line="360" w:lineRule="auto"/>
              <w:jc w:val="center"/>
              <w:rPr>
                <w:rFonts w:ascii="仿宋" w:hAnsi="仿宋" w:eastAsia="仿宋" w:cs="Times New Roman"/>
                <w:b/>
                <w:color w:val="000000" w:themeColor="text1"/>
                <w:sz w:val="32"/>
                <w:szCs w:val="20"/>
                <w14:textFill>
                  <w14:solidFill>
                    <w14:schemeClr w14:val="tx1"/>
                  </w14:solidFill>
                </w14:textFill>
              </w:rPr>
            </w:pPr>
            <w:r>
              <w:rPr>
                <w:rFonts w:hint="eastAsia" w:ascii="仿宋" w:hAnsi="仿宋" w:eastAsia="仿宋"/>
                <w:b/>
                <w:color w:val="000000" w:themeColor="text1"/>
                <w:sz w:val="32"/>
                <w:szCs w:val="20"/>
                <w14:textFill>
                  <w14:solidFill>
                    <w14:schemeClr w14:val="tx1"/>
                  </w14:solidFill>
                </w14:textFill>
              </w:rPr>
              <w:t>前附表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463" w:type="pct"/>
            <w:tcBorders>
              <w:top w:val="single" w:color="auto" w:sz="4" w:space="0"/>
              <w:left w:val="single" w:color="auto" w:sz="4" w:space="0"/>
              <w:bottom w:val="single" w:color="auto" w:sz="4" w:space="0"/>
              <w:right w:val="single" w:color="auto" w:sz="4" w:space="0"/>
            </w:tcBorders>
            <w:vAlign w:val="center"/>
          </w:tcPr>
          <w:p>
            <w:pPr>
              <w:pStyle w:val="27"/>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1030" w:type="pct"/>
            <w:tcBorders>
              <w:top w:val="single" w:color="auto" w:sz="4" w:space="0"/>
              <w:left w:val="single" w:color="auto" w:sz="4" w:space="0"/>
              <w:bottom w:val="single" w:color="auto" w:sz="4" w:space="0"/>
              <w:right w:val="single" w:color="auto" w:sz="4" w:space="0"/>
            </w:tcBorders>
            <w:vAlign w:val="bottom"/>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507"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0" w:hRule="atLeast"/>
          <w:tblHeader/>
        </w:trPr>
        <w:tc>
          <w:tcPr>
            <w:tcW w:w="463"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w:t>
            </w:r>
          </w:p>
        </w:tc>
        <w:tc>
          <w:tcPr>
            <w:tcW w:w="1030" w:type="pct"/>
            <w:tcBorders>
              <w:top w:val="single" w:color="auto" w:sz="4" w:space="0"/>
              <w:left w:val="single" w:color="auto" w:sz="4"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507" w:type="pct"/>
            <w:tcBorders>
              <w:top w:val="single" w:color="auto" w:sz="4" w:space="0"/>
              <w:left w:val="single" w:color="000000" w:sz="2" w:space="0"/>
              <w:bottom w:val="single" w:color="000000" w:sz="8" w:space="0"/>
              <w:right w:val="single" w:color="000000" w:sz="8" w:space="0"/>
            </w:tcBorders>
            <w:vAlign w:val="center"/>
          </w:tcPr>
          <w:p>
            <w:pPr>
              <w:keepLines/>
              <w:snapToGrid w:val="0"/>
              <w:spacing w:line="360"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有关本项目实施所需的所有费用（含税费）均计入报价。</w:t>
            </w:r>
            <w:r>
              <w:rPr>
                <w:rFonts w:hint="eastAsia" w:ascii="仿宋" w:hAnsi="仿宋" w:eastAsia="仿宋"/>
                <w:b/>
                <w:color w:val="000000" w:themeColor="text1"/>
                <w:sz w:val="24"/>
                <w14:textFill>
                  <w14:solidFill>
                    <w14:schemeClr w14:val="tx1"/>
                  </w14:solidFill>
                </w14:textFill>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b/>
                <w:color w:val="000000" w:themeColor="text1"/>
                <w:sz w:val="24"/>
                <w14:textFill>
                  <w14:solidFill>
                    <w14:schemeClr w14:val="tx1"/>
                  </w14:solidFill>
                </w14:textFill>
              </w:rPr>
              <w:t>提醒：验收时检测费用由采购人承担，不包含在投标总价中。</w:t>
            </w:r>
          </w:p>
          <w:p>
            <w:pPr>
              <w:keepLines/>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keepLines/>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keepLines/>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投标报价高于本项目采购预算或者最高限价的;</w:t>
            </w:r>
          </w:p>
          <w:p>
            <w:pPr>
              <w:keepLines/>
              <w:spacing w:line="360" w:lineRule="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14:textFill>
                  <w14:solidFill>
                    <w14:schemeClr w14:val="tx1"/>
                  </w14:solidFill>
                </w14:textFill>
              </w:rPr>
              <w:t>;</w:t>
            </w:r>
          </w:p>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463"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w:t>
            </w:r>
          </w:p>
        </w:tc>
        <w:tc>
          <w:tcPr>
            <w:tcW w:w="1030" w:type="pct"/>
            <w:tcBorders>
              <w:top w:val="single" w:color="000000" w:sz="8" w:space="0"/>
              <w:left w:val="single" w:color="auto" w:sz="4" w:space="0"/>
              <w:bottom w:val="single" w:color="000000" w:sz="8" w:space="0"/>
              <w:right w:val="single" w:color="000000" w:sz="8" w:space="0"/>
            </w:tcBorders>
            <w:vAlign w:val="center"/>
          </w:tcPr>
          <w:p>
            <w:pPr>
              <w:keepLines/>
              <w:snapToGrid w:val="0"/>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分包</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341438202"/>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 xml:space="preserve"> A</w:t>
            </w:r>
            <w:r>
              <w:rPr>
                <w:rFonts w:hint="eastAsia" w:ascii="仿宋" w:hAnsi="仿宋" w:eastAsia="仿宋"/>
                <w:color w:val="000000" w:themeColor="text1"/>
                <w:sz w:val="24"/>
                <w14:textFill>
                  <w14:solidFill>
                    <w14:schemeClr w14:val="tx1"/>
                  </w14:solidFill>
                </w14:textFill>
              </w:rPr>
              <w:t>同意将非主体、非关键性的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安装调试 </w:t>
            </w:r>
            <w:r>
              <w:rPr>
                <w:rFonts w:hint="eastAsia" w:ascii="仿宋" w:hAnsi="仿宋" w:eastAsia="仿宋"/>
                <w:color w:val="000000" w:themeColor="text1"/>
                <w:sz w:val="24"/>
                <w14:textFill>
                  <w14:solidFill>
                    <w14:schemeClr w14:val="tx1"/>
                  </w14:solidFill>
                </w14:textFill>
              </w:rPr>
              <w:t>工作分包；</w:t>
            </w:r>
          </w:p>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040821716"/>
              </w:sdtPr>
              <w:sdtEndPr>
                <w:rPr>
                  <w:rFonts w:hint="eastAsia" w:ascii="仿宋" w:hAnsi="仿宋" w:eastAsia="仿宋" w:cs="Arial"/>
                  <w:color w:val="000000" w:themeColor="text1"/>
                  <w:kern w:val="0"/>
                  <w:sz w:val="24"/>
                  <w14:textFill>
                    <w14:solidFill>
                      <w14:schemeClr w14:val="tx1"/>
                    </w14:solidFill>
                  </w14:textFill>
                </w:rPr>
              </w:sdtEndPr>
              <w:sdtContent/>
            </w:sdt>
            <w:sdt>
              <w:sdtPr>
                <w:rPr>
                  <w:rFonts w:hint="eastAsia" w:ascii="仿宋" w:hAnsi="仿宋" w:eastAsia="仿宋" w:cs="Arial"/>
                  <w:color w:val="000000" w:themeColor="text1"/>
                  <w:kern w:val="0"/>
                  <w:sz w:val="24"/>
                  <w14:textFill>
                    <w14:solidFill>
                      <w14:schemeClr w14:val="tx1"/>
                    </w14:solidFill>
                  </w14:textFill>
                </w:rPr>
                <w:id w:val="1404334742"/>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MS Gothic"/>
                    <w:color w:val="000000" w:themeColor="text1"/>
                    <w:kern w:val="0"/>
                    <w:sz w:val="24"/>
                    <w14:textFill>
                      <w14:solidFill>
                        <w14:schemeClr w14:val="tx1"/>
                      </w14:solidFill>
                    </w14:textFill>
                  </w:rPr>
                  <w:t>□</w:t>
                </w:r>
              </w:sdtContent>
            </w:sdt>
            <w:r>
              <w:rPr>
                <w:rFonts w:ascii="仿宋" w:hAnsi="仿宋" w:eastAsia="仿宋" w:cs="Arial"/>
                <w:color w:val="000000" w:themeColor="text1"/>
                <w:kern w:val="0"/>
                <w:sz w:val="24"/>
                <w14:textFill>
                  <w14:solidFill>
                    <w14:schemeClr w14:val="tx1"/>
                  </w14:solidFill>
                </w14:textFill>
              </w:rPr>
              <w:t>B</w:t>
            </w:r>
            <w:r>
              <w:rPr>
                <w:rFonts w:hint="eastAsia" w:ascii="仿宋" w:hAnsi="仿宋" w:eastAsia="仿宋"/>
                <w:color w:val="000000" w:themeColor="text1"/>
                <w:sz w:val="24"/>
                <w14:textFill>
                  <w14:solidFill>
                    <w14:schemeClr w14:val="tx1"/>
                  </w14:solidFill>
                </w14:textFill>
              </w:rPr>
              <w:t>不同意分包。</w:t>
            </w:r>
          </w:p>
          <w:p>
            <w:pPr>
              <w:pStyle w:val="2"/>
              <w:rPr>
                <w:color w:val="000000" w:themeColor="text1"/>
                <w:lang w:val="en-US"/>
                <w14:textFill>
                  <w14:solidFill>
                    <w14:schemeClr w14:val="tx1"/>
                  </w14:solidFill>
                </w14:textFill>
              </w:rPr>
            </w:pPr>
            <w:r>
              <w:rPr>
                <w:rFonts w:hint="eastAsia" w:ascii="仿宋" w:eastAsia="仿宋" w:cs="Arial"/>
                <w:bCs w:val="0"/>
                <w:color w:val="000000" w:themeColor="text1"/>
                <w:kern w:val="0"/>
                <w:sz w:val="24"/>
                <w:szCs w:val="24"/>
                <w:lang w:val="en-US"/>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463" w:type="pct"/>
            <w:vMerge w:val="restart"/>
            <w:tcBorders>
              <w:top w:val="single" w:color="auto" w:sz="4" w:space="0"/>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3</w:t>
            </w:r>
          </w:p>
        </w:tc>
        <w:tc>
          <w:tcPr>
            <w:tcW w:w="1030" w:type="pct"/>
            <w:vMerge w:val="restart"/>
            <w:tcBorders>
              <w:top w:val="single" w:color="000000" w:sz="8" w:space="0"/>
              <w:left w:val="single" w:color="auto" w:sz="4"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（1）资格证明文件：见招标文件第二部分</w:t>
            </w:r>
            <w:r>
              <w:rPr>
                <w:rFonts w:hint="eastAsia" w:ascii="仿宋" w:hAnsi="仿宋" w:eastAsia="仿宋" w:cs="仿宋_GB2312"/>
                <w:color w:val="000000" w:themeColor="text1"/>
                <w:sz w:val="24"/>
                <w14:textFill>
                  <w14:solidFill>
                    <w14:schemeClr w14:val="tx1"/>
                  </w14:solidFill>
                </w14:textFill>
              </w:rPr>
              <w:t>11.1。</w:t>
            </w:r>
          </w:p>
          <w:p>
            <w:pPr>
              <w:keepLines/>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463" w:type="pct"/>
            <w:vMerge w:val="continue"/>
            <w:tcBorders>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color w:val="000000" w:themeColor="text1"/>
                <w:sz w:val="24"/>
                <w14:textFill>
                  <w14:solidFill>
                    <w14:schemeClr w14:val="tx1"/>
                  </w14:solidFill>
                </w14:textFill>
              </w:rPr>
            </w:pPr>
          </w:p>
        </w:tc>
        <w:tc>
          <w:tcPr>
            <w:tcW w:w="1030" w:type="pct"/>
            <w:vMerge w:val="continue"/>
            <w:tcBorders>
              <w:left w:val="single" w:color="auto" w:sz="4"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463"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highlight w:val="yellow"/>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4</w:t>
            </w:r>
          </w:p>
        </w:tc>
        <w:tc>
          <w:tcPr>
            <w:tcW w:w="1030" w:type="pct"/>
            <w:tcBorders>
              <w:top w:val="single" w:color="000000" w:sz="8" w:space="0"/>
              <w:left w:val="single" w:color="auto" w:sz="4"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212966419"/>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4552815"/>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不组织。</w:t>
            </w:r>
          </w:p>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999802974"/>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r>
              <w:rPr>
                <w:rFonts w:hint="eastAsia" w:ascii="仿宋" w:hAnsi="仿宋" w:eastAsia="仿宋"/>
                <w:color w:val="000000" w:themeColor="text1"/>
                <w:sz w:val="24"/>
                <w14:textFill>
                  <w14:solidFill>
                    <w14:schemeClr w14:val="tx1"/>
                  </w14:solidFill>
                </w14:textFill>
              </w:rPr>
              <w:t>时间：</w:t>
            </w:r>
            <w:r>
              <w:rPr>
                <w:rFonts w:ascii="仿宋" w:hAnsi="仿宋" w:eastAsia="仿宋"/>
                <w:color w:val="000000" w:themeColor="text1"/>
                <w:sz w:val="24"/>
                <w14:textFill>
                  <w14:solidFill>
                    <w14:schemeClr w14:val="tx1"/>
                  </w14:solidFill>
                </w14:textFill>
              </w:rPr>
              <w:t>,地点：</w:t>
            </w:r>
            <w:r>
              <w:rPr>
                <w:rFonts w:hint="eastAsia" w:ascii="仿宋" w:hAnsi="仿宋" w:eastAsia="仿宋"/>
                <w:color w:val="000000" w:themeColor="text1"/>
                <w:sz w:val="24"/>
                <w14:textFill>
                  <w14:solidFill>
                    <w14:schemeClr w14:val="tx1"/>
                  </w14:solidFill>
                </w14:textFill>
              </w:rPr>
              <w:t>，联系人：，联系方式：。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91" w:hRule="atLeast"/>
          <w:tblHeader/>
        </w:trPr>
        <w:tc>
          <w:tcPr>
            <w:tcW w:w="463" w:type="pct"/>
            <w:tcBorders>
              <w:top w:val="single" w:color="auto" w:sz="4" w:space="0"/>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5</w:t>
            </w:r>
          </w:p>
        </w:tc>
        <w:tc>
          <w:tcPr>
            <w:tcW w:w="1030" w:type="pct"/>
            <w:tcBorders>
              <w:top w:val="single" w:color="000000" w:sz="8" w:space="0"/>
              <w:left w:val="single" w:color="auto" w:sz="4"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样品提供</w:t>
            </w:r>
          </w:p>
        </w:tc>
        <w:tc>
          <w:tcPr>
            <w:tcW w:w="3507" w:type="pct"/>
            <w:tcBorders>
              <w:top w:val="single" w:color="000000" w:sz="8" w:space="0"/>
              <w:left w:val="single" w:color="000000" w:sz="2"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639946486"/>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4552816"/>
                  </w:sdtPr>
                  <w:sdtEndPr>
                    <w:rPr>
                      <w:rFonts w:hint="eastAsia" w:ascii="仿宋" w:hAnsi="仿宋" w:eastAsia="仿宋" w:cs="Arial"/>
                      <w:color w:val="000000" w:themeColor="text1"/>
                      <w:kern w:val="0"/>
                      <w:sz w:val="24"/>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
                      <w:sdtPr>
                        <w:rPr>
                          <w:rFonts w:hint="eastAsia" w:ascii="仿宋" w:hAnsi="仿宋" w:eastAsia="仿宋" w:cs="Arial"/>
                          <w:color w:val="000000" w:themeColor="text1"/>
                          <w:kern w:val="0"/>
                          <w:sz w:val="24"/>
                          <w14:textFill>
                            <w14:solidFill>
                              <w14:schemeClr w14:val="tx1"/>
                            </w14:solidFill>
                          </w14:textFill>
                        </w:rPr>
                        <w:id w:val="5283195"/>
                        <w:showingPlcHdr/>
                      </w:sdtPr>
                      <w:sdtEndPr>
                        <w:rPr>
                          <w:rFonts w:hint="eastAsia" w:ascii="仿宋" w:hAnsi="仿宋" w:eastAsia="仿宋" w:cs="Arial"/>
                          <w:color w:val="000000" w:themeColor="text1"/>
                          <w:kern w:val="0"/>
                          <w:sz w:val="24"/>
                          <w14:textFill>
                            <w14:solidFill>
                              <w14:schemeClr w14:val="tx1"/>
                            </w14:solidFill>
                          </w14:textFill>
                        </w:rPr>
                      </w:sdtEndPr>
                      <w:sdtContent/>
                    </w:sdt>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不要求提供。</w:t>
            </w:r>
          </w:p>
          <w:p>
            <w:pPr>
              <w:keepLines/>
              <w:spacing w:line="360" w:lineRule="auto"/>
              <w:rPr>
                <w:rFonts w:ascii="仿宋" w:hAnsi="仿宋" w:eastAsia="仿宋"/>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1026831988"/>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w:t>
            </w:r>
            <w:r>
              <w:rPr>
                <w:rFonts w:hint="eastAsia" w:ascii="仿宋" w:hAnsi="仿宋" w:eastAsia="仿宋"/>
                <w:color w:val="000000" w:themeColor="text1"/>
                <w:kern w:val="0"/>
                <w:sz w:val="24"/>
                <w14:textFill>
                  <w14:solidFill>
                    <w14:schemeClr w14:val="tx1"/>
                  </w14:solidFill>
                </w14:textFill>
              </w:rPr>
              <w:t>要求</w:t>
            </w:r>
            <w:r>
              <w:rPr>
                <w:rFonts w:hint="eastAsia" w:ascii="仿宋" w:hAnsi="仿宋" w:eastAsia="仿宋"/>
                <w:color w:val="000000" w:themeColor="text1"/>
                <w:sz w:val="24"/>
                <w14:textFill>
                  <w14:solidFill>
                    <w14:schemeClr w14:val="tx1"/>
                  </w14:solidFill>
                </w14:textFill>
              </w:rPr>
              <w:t>提供（未提供样品或提供样品不满足采购需求实质性条件的供应商，投标无效），</w:t>
            </w:r>
          </w:p>
          <w:p>
            <w:pPr>
              <w:keepLines/>
              <w:spacing w:line="360" w:lineRule="auto"/>
              <w:rPr>
                <w:rFonts w:ascii="仿宋" w:hAnsi="仿宋" w:eastAsia="仿宋"/>
                <w:snapToGrid w:val="0"/>
                <w:color w:val="000000" w:themeColor="text1"/>
                <w:kern w:val="28"/>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w:t>
            </w:r>
          </w:p>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（2）样品制作的标准和要求：如上图所述。</w:t>
            </w:r>
          </w:p>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（3）样品的评审方法以及评审标准：</w:t>
            </w:r>
          </w:p>
          <w:p>
            <w:pPr>
              <w:keepLines/>
              <w:spacing w:line="360" w:lineRule="auto"/>
              <w:ind w:firstLine="240" w:firstLineChars="100"/>
              <w:rPr>
                <w:rFonts w:ascii="仿宋" w:hAnsi="仿宋" w:eastAsia="仿宋"/>
                <w:color w:val="000000" w:themeColor="text1"/>
                <w:sz w:val="24"/>
                <w14:textFill>
                  <w14:solidFill>
                    <w14:schemeClr w14:val="tx1"/>
                  </w14:solidFill>
                </w14:textFill>
              </w:rPr>
            </w:pPr>
            <w:sdt>
              <w:sdtPr>
                <w:rPr>
                  <w:rFonts w:hint="eastAsia" w:ascii="宋体" w:hAnsi="宋体" w:cs="宋体"/>
                  <w:color w:val="0000FF"/>
                  <w:kern w:val="0"/>
                  <w:sz w:val="24"/>
                  <w:highlight w:val="cyan"/>
                </w:rPr>
                <w:id w:val="-1350092240"/>
              </w:sdtPr>
              <w:sdtEndPr>
                <w:rPr>
                  <w:rFonts w:hint="eastAsia" w:ascii="仿宋" w:hAnsi="仿宋" w:eastAsia="仿宋" w:cs="Times New Roman"/>
                  <w:color w:val="000000" w:themeColor="text1"/>
                  <w:kern w:val="2"/>
                  <w:sz w:val="24"/>
                  <w:highlight w:val="none"/>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7974162"/>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sz w:val="24"/>
                <w14:textFill>
                  <w14:solidFill>
                    <w14:schemeClr w14:val="tx1"/>
                  </w14:solidFill>
                </w14:textFill>
              </w:rPr>
              <w:t>样品分未超过价格分的50%；</w:t>
            </w:r>
          </w:p>
          <w:p>
            <w:pPr>
              <w:keepLines/>
              <w:spacing w:line="360" w:lineRule="auto"/>
              <w:ind w:firstLine="240" w:firstLineChars="100"/>
              <w:rPr>
                <w:rFonts w:ascii="仿宋" w:hAnsi="仿宋" w:eastAsia="仿宋"/>
                <w:color w:val="000000" w:themeColor="text1"/>
                <w:sz w:val="24"/>
                <w14:textFill>
                  <w14:solidFill>
                    <w14:schemeClr w14:val="tx1"/>
                  </w14:solidFill>
                </w14:textFill>
              </w:rPr>
            </w:pPr>
            <w:sdt>
              <w:sdtPr>
                <w:rPr>
                  <w:rFonts w:hint="eastAsia" w:ascii="仿宋" w:hAnsi="仿宋" w:eastAsia="仿宋"/>
                  <w:color w:val="000000" w:themeColor="text1"/>
                  <w:sz w:val="24"/>
                  <w14:textFill>
                    <w14:solidFill>
                      <w14:schemeClr w14:val="tx1"/>
                    </w14:solidFill>
                  </w14:textFill>
                </w:rPr>
                <w:id w:val="-1485540415"/>
              </w:sdtPr>
              <w:sdtEndPr>
                <w:rPr>
                  <w:rFonts w:hint="eastAsia" w:ascii="仿宋" w:hAnsi="仿宋" w:eastAsia="仿宋"/>
                  <w:color w:val="000000" w:themeColor="text1"/>
                  <w:sz w:val="24"/>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7974164"/>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sz w:val="24"/>
                <w14:textFill>
                  <w14:solidFill>
                    <w14:schemeClr w14:val="tx1"/>
                  </w14:solidFill>
                </w14:textFill>
              </w:rPr>
              <w:t>样品分超过价格分的50%，理由；</w:t>
            </w:r>
          </w:p>
          <w:p>
            <w:pPr>
              <w:pStyle w:val="27"/>
              <w:keepLines/>
              <w:spacing w:line="360" w:lineRule="auto"/>
              <w:rPr>
                <w:rFonts w:ascii="仿宋" w:hAnsi="仿宋" w:eastAsia="仿宋"/>
                <w:snapToGrid/>
                <w:color w:val="000000" w:themeColor="text1"/>
                <w:sz w:val="24"/>
                <w:szCs w:val="24"/>
                <w14:textFill>
                  <w14:solidFill>
                    <w14:schemeClr w14:val="tx1"/>
                  </w14:solidFill>
                </w14:textFill>
              </w:rPr>
            </w:pPr>
            <w:r>
              <w:rPr>
                <w:rFonts w:hint="eastAsia" w:ascii="仿宋" w:hAnsi="仿宋" w:eastAsia="仿宋"/>
                <w:snapToGrid/>
                <w:color w:val="000000" w:themeColor="text1"/>
                <w:sz w:val="24"/>
                <w:szCs w:val="24"/>
                <w14:textFill>
                  <w14:solidFill>
                    <w14:schemeClr w14:val="tx1"/>
                  </w14:solidFill>
                </w14:textFill>
              </w:rPr>
              <w:t>详见招标文件第四部分评标办分法。</w:t>
            </w:r>
          </w:p>
          <w:p>
            <w:pPr>
              <w:pStyle w:val="27"/>
              <w:keepLines/>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）是否需要随样品提交检测报告：</w:t>
            </w:r>
            <w:r>
              <w:rPr>
                <w:rFonts w:hint="eastAsia" w:ascii="MS Gothic" w:hAnsi="MS Gothic" w:cs="Arial"/>
                <w:color w:val="000000" w:themeColor="text1"/>
                <w:kern w:val="0"/>
                <w:sz w:val="24"/>
                <w14:textFill>
                  <w14:solidFill>
                    <w14:schemeClr w14:val="tx1"/>
                  </w14:solidFill>
                </w14:textFill>
              </w:rPr>
              <w:sym w:font="Wingdings 2" w:char="0052"/>
            </w:r>
            <w:r>
              <w:rPr>
                <w:rFonts w:hint="eastAsia" w:ascii="仿宋" w:hAnsi="仿宋" w:eastAsia="仿宋"/>
                <w:color w:val="000000" w:themeColor="text1"/>
                <w:sz w:val="24"/>
                <w14:textFill>
                  <w14:solidFill>
                    <w14:schemeClr w14:val="tx1"/>
                  </w14:solidFill>
                </w14:textFill>
              </w:rPr>
              <w:t>否；</w:t>
            </w:r>
            <w:r>
              <w:rPr>
                <w:rFonts w:hint="eastAsia" w:ascii="MS Mincho" w:hAnsi="MS Mincho" w:eastAsia="MS Mincho" w:cs="MS Mincho"/>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是，检测机构的要求：；检测内容：</w:t>
            </w:r>
          </w:p>
          <w:p>
            <w:pPr>
              <w:keepLines/>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提供样品的时间：</w:t>
            </w:r>
            <w:r>
              <w:rPr>
                <w:rFonts w:hint="eastAsia" w:ascii="仿宋" w:hAnsi="仿宋" w:eastAsia="仿宋"/>
                <w:color w:val="000000" w:themeColor="text1"/>
                <w:kern w:val="0"/>
                <w:sz w:val="24"/>
                <w:lang w:val="zh-CN"/>
                <w14:textFill>
                  <w14:solidFill>
                    <w14:schemeClr w14:val="tx1"/>
                  </w14:solidFill>
                </w14:textFill>
              </w:rPr>
              <w:t>2023年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14:textFill>
                  <w14:solidFill>
                    <w14:schemeClr w14:val="tx1"/>
                  </w14:solidFill>
                </w14:textFill>
              </w:rPr>
              <w:t>9号电梯）4楼）。联系方式：来工，0571-89521179。</w:t>
            </w:r>
            <w:r>
              <w:rPr>
                <w:rFonts w:hint="eastAsia" w:ascii="仿宋" w:hAnsi="仿宋" w:eastAsia="仿宋" w:cs="Arial"/>
                <w:color w:val="000000" w:themeColor="text1"/>
                <w:kern w:val="0"/>
                <w:sz w:val="24"/>
                <w14:textFill>
                  <w14:solidFill>
                    <w14:schemeClr w14:val="tx1"/>
                  </w14:solidFill>
                </w14:textFill>
              </w:rPr>
              <w:t xml:space="preserve"> (6)采购活动结束后，对于未中标人提供的样品，采购人、采购机构将通知未中标人在规定的时间内取回，逾期未取回的，</w:t>
            </w:r>
          </w:p>
          <w:p>
            <w:pPr>
              <w:keepLines/>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采购人、采购机构不负保管义务；对于中标人提供的样品，采购人将进行保管、封存，并作为履约验收的参考。</w:t>
            </w:r>
          </w:p>
          <w:p>
            <w:pPr>
              <w:keepLines/>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463" w:type="pct"/>
            <w:tcBorders>
              <w:top w:val="single" w:color="auto" w:sz="4" w:space="0"/>
              <w:left w:val="single" w:color="000000" w:sz="8" w:space="0"/>
              <w:bottom w:val="single" w:color="auto" w:sz="4" w:space="0"/>
              <w:right w:val="single" w:color="000000" w:sz="2"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6</w:t>
            </w:r>
          </w:p>
        </w:tc>
        <w:tc>
          <w:tcPr>
            <w:tcW w:w="1030" w:type="pct"/>
            <w:tcBorders>
              <w:top w:val="single" w:color="000000" w:sz="8" w:space="0"/>
              <w:left w:val="single" w:color="000000" w:sz="2"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Cs/>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859348549"/>
              </w:sdtPr>
              <w:sdtEndPr>
                <w:rPr>
                  <w:rFonts w:hint="eastAsia" w:ascii="仿宋" w:hAnsi="仿宋" w:eastAsia="仿宋" w:cs="Arial"/>
                  <w:color w:val="000000" w:themeColor="text1"/>
                  <w:kern w:val="0"/>
                  <w:sz w:val="24"/>
                  <w:szCs w:val="21"/>
                  <w14:textFill>
                    <w14:solidFill>
                      <w14:schemeClr w14:val="tx1"/>
                    </w14:solidFill>
                  </w14:textFill>
                </w:rPr>
              </w:sdtEndPr>
              <w:sdtContent>
                <w:sdt>
                  <w:sdtPr>
                    <w:rPr>
                      <w:rFonts w:hint="eastAsia" w:ascii="仿宋" w:hAnsi="仿宋" w:eastAsia="仿宋" w:cs="Arial"/>
                      <w:color w:val="000000" w:themeColor="text1"/>
                      <w:kern w:val="0"/>
                      <w:sz w:val="24"/>
                      <w:szCs w:val="21"/>
                      <w14:textFill>
                        <w14:solidFill>
                          <w14:schemeClr w14:val="tx1"/>
                        </w14:solidFill>
                      </w14:textFill>
                    </w:rPr>
                    <w:id w:val="4552817"/>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cs="Arial"/>
                        <w:color w:val="000000" w:themeColor="text1"/>
                        <w:kern w:val="0"/>
                        <w:sz w:val="24"/>
                        <w14:textFill>
                          <w14:solidFill>
                            <w14:schemeClr w14:val="tx1"/>
                          </w14:solidFill>
                        </w14:textFill>
                      </w:rPr>
                      <w:sym w:font="Wingdings 2" w:char="0052"/>
                    </w:r>
                  </w:sdtContent>
                </w:sdt>
              </w:sdtContent>
            </w:sdt>
            <w:r>
              <w:rPr>
                <w:rFonts w:ascii="仿宋" w:hAnsi="仿宋" w:eastAsia="仿宋" w:cs="Arial"/>
                <w:color w:val="000000" w:themeColor="text1"/>
                <w:kern w:val="0"/>
                <w:sz w:val="24"/>
                <w14:textFill>
                  <w14:solidFill>
                    <w14:schemeClr w14:val="tx1"/>
                  </w14:solidFill>
                </w14:textFill>
              </w:rPr>
              <w:t>A</w:t>
            </w:r>
            <w:r>
              <w:rPr>
                <w:rFonts w:hint="eastAsia" w:ascii="仿宋" w:hAnsi="仿宋" w:eastAsia="仿宋"/>
                <w:color w:val="000000" w:themeColor="text1"/>
                <w:sz w:val="24"/>
                <w14:textFill>
                  <w14:solidFill>
                    <w14:schemeClr w14:val="tx1"/>
                  </w14:solidFill>
                </w14:textFill>
              </w:rPr>
              <w:t>不组织。</w:t>
            </w:r>
          </w:p>
          <w:p>
            <w:pPr>
              <w:keepLines/>
              <w:spacing w:line="360" w:lineRule="auto"/>
              <w:rPr>
                <w:rFonts w:ascii="仿宋" w:hAnsi="仿宋" w:eastAsia="仿宋"/>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7200604"/>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ascii="仿宋" w:hAnsi="仿宋" w:eastAsia="仿宋"/>
                <w:color w:val="000000" w:themeColor="text1"/>
                <w:kern w:val="0"/>
                <w:sz w:val="24"/>
                <w14:textFill>
                  <w14:solidFill>
                    <w14:schemeClr w14:val="tx1"/>
                  </w14:solidFill>
                </w14:textFill>
              </w:rPr>
              <w:t>B组织。</w:t>
            </w:r>
          </w:p>
          <w:p>
            <w:pPr>
              <w:keepLines/>
              <w:snapToGrid w:val="0"/>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1）在评标时安排每个投标人进行方案讲解演示。每个投标人时间不超过</w:t>
            </w:r>
            <w:r>
              <w:rPr>
                <w:rFonts w:hint="eastAsia" w:ascii="仿宋" w:hAnsi="仿宋" w:eastAsia="仿宋"/>
                <w:color w:val="000000" w:themeColor="text1"/>
                <w:kern w:val="0"/>
                <w:sz w:val="24"/>
                <w14:textFill>
                  <w14:solidFill>
                    <w14:schemeClr w14:val="tx1"/>
                  </w14:solidFill>
                </w14:textFill>
              </w:rPr>
              <w:t>15</w:t>
            </w:r>
            <w:r>
              <w:rPr>
                <w:rFonts w:ascii="仿宋" w:hAnsi="仿宋" w:eastAsia="仿宋"/>
                <w:color w:val="000000" w:themeColor="text1"/>
                <w:kern w:val="0"/>
                <w:sz w:val="24"/>
                <w14:textFill>
                  <w14:solidFill>
                    <w14:schemeClr w14:val="tx1"/>
                  </w14:solidFill>
                </w14:textFill>
              </w:rPr>
              <w:t>分钟，讲解次序以投标文件解密时间先后次序为准，讲解演示人员不超过</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人。讲解演示结束后按要求解答评标委员会提问。</w:t>
            </w:r>
            <w:r>
              <w:rPr>
                <w:rFonts w:ascii="仿宋" w:hAnsi="仿宋" w:eastAsia="仿宋"/>
                <w:b/>
                <w:color w:val="000000" w:themeColor="text1"/>
                <w:kern w:val="0"/>
                <w:sz w:val="24"/>
                <w14:textFill>
                  <w14:solidFill>
                    <w14:schemeClr w14:val="tx1"/>
                  </w14:solidFill>
                </w14:textFill>
              </w:rPr>
              <w:t>交易中心现场</w:t>
            </w:r>
            <w:r>
              <w:rPr>
                <w:rFonts w:hint="eastAsia" w:ascii="仿宋" w:hAnsi="仿宋" w:eastAsia="仿宋"/>
                <w:b/>
                <w:color w:val="000000" w:themeColor="text1"/>
                <w:kern w:val="0"/>
                <w:sz w:val="24"/>
                <w14:textFill>
                  <w14:solidFill>
                    <w14:schemeClr w14:val="tx1"/>
                  </w14:solidFill>
                </w14:textFill>
              </w:rPr>
              <w:t>讲解演示所用电脑等设备由投标人自备。</w:t>
            </w:r>
            <w:r>
              <w:rPr>
                <w:rFonts w:hint="eastAsia" w:ascii="仿宋" w:hAnsi="仿宋" w:eastAsia="仿宋"/>
                <w:color w:val="000000" w:themeColor="text1"/>
                <w:kern w:val="0"/>
                <w:sz w:val="24"/>
                <w14:textFill>
                  <w14:solidFill>
                    <w14:schemeClr w14:val="tx1"/>
                  </w14:solidFill>
                </w14:textFill>
              </w:rPr>
              <w:t>现场讲解演示人员进场时提供讲解人员名单（加盖公章）及身份证明，否则不得讲解演示。</w:t>
            </w:r>
          </w:p>
          <w:p>
            <w:pPr>
              <w:keepLines/>
              <w:spacing w:line="360" w:lineRule="auto"/>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463" w:type="pct"/>
            <w:tcBorders>
              <w:top w:val="single" w:color="auto" w:sz="4" w:space="0"/>
              <w:left w:val="single" w:color="000000" w:sz="8" w:space="0"/>
              <w:bottom w:val="single" w:color="auto" w:sz="4" w:space="0"/>
              <w:right w:val="single" w:color="000000" w:sz="2"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7</w:t>
            </w:r>
          </w:p>
        </w:tc>
        <w:tc>
          <w:tcPr>
            <w:tcW w:w="1030" w:type="pct"/>
            <w:tcBorders>
              <w:top w:val="single" w:color="000000" w:sz="8" w:space="0"/>
              <w:left w:val="single" w:color="000000" w:sz="2"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是否允许采购进口产品</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s="Arial"/>
                <w:color w:val="000000" w:themeColor="text1"/>
                <w:kern w:val="0"/>
                <w:sz w:val="24"/>
                <w14:textFill>
                  <w14:solidFill>
                    <w14:schemeClr w14:val="tx1"/>
                  </w14:solidFill>
                </w14:textFill>
              </w:rPr>
            </w:pPr>
            <w:sdt>
              <w:sdtPr>
                <w:rPr>
                  <w:rFonts w:hint="eastAsia" w:ascii="仿宋" w:hAnsi="仿宋" w:eastAsia="仿宋" w:cs="Arial"/>
                  <w:color w:val="000000" w:themeColor="text1"/>
                  <w:kern w:val="0"/>
                  <w:sz w:val="24"/>
                  <w:szCs w:val="21"/>
                  <w14:textFill>
                    <w14:solidFill>
                      <w14:schemeClr w14:val="tx1"/>
                    </w14:solidFill>
                  </w14:textFill>
                </w:rPr>
                <w:id w:val="-1828425707"/>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本项目不允许采购进口产品。</w:t>
            </w:r>
          </w:p>
          <w:p>
            <w:pPr>
              <w:keepLines/>
              <w:spacing w:line="360" w:lineRule="auto"/>
              <w:rPr>
                <w:rFonts w:ascii="仿宋" w:hAnsi="仿宋" w:eastAsia="仿宋"/>
                <w:color w:val="000000" w:themeColor="text1"/>
                <w:sz w:val="24"/>
                <w14:textFill>
                  <w14:solidFill>
                    <w14:schemeClr w14:val="tx1"/>
                  </w14:solidFill>
                </w14:textFill>
              </w:rPr>
            </w:pPr>
            <w:sdt>
              <w:sdtPr>
                <w:rPr>
                  <w:rFonts w:hint="eastAsia" w:ascii="仿宋" w:hAnsi="仿宋" w:eastAsia="仿宋" w:cs="Arial"/>
                  <w:color w:val="000000" w:themeColor="text1"/>
                  <w:kern w:val="0"/>
                  <w:sz w:val="24"/>
                  <w14:textFill>
                    <w14:solidFill>
                      <w14:schemeClr w14:val="tx1"/>
                    </w14:solidFill>
                  </w14:textFill>
                </w:rPr>
                <w:id w:val="-52852824"/>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r>
              <w:rPr>
                <w:rFonts w:hint="eastAsia" w:ascii="仿宋" w:hAnsi="仿宋" w:eastAsia="仿宋"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463" w:type="pct"/>
            <w:tcBorders>
              <w:top w:val="single" w:color="auto" w:sz="4" w:space="0"/>
              <w:left w:val="single" w:color="000000" w:sz="8" w:space="0"/>
              <w:bottom w:val="single" w:color="auto" w:sz="4" w:space="0"/>
              <w:right w:val="single" w:color="000000" w:sz="2"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8</w:t>
            </w:r>
          </w:p>
        </w:tc>
        <w:tc>
          <w:tcPr>
            <w:tcW w:w="1030" w:type="pct"/>
            <w:tcBorders>
              <w:top w:val="single" w:color="000000" w:sz="8" w:space="0"/>
              <w:left w:val="single" w:color="000000" w:sz="2"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项目属性</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463" w:type="pct"/>
            <w:tcBorders>
              <w:top w:val="single" w:color="auto" w:sz="4" w:space="0"/>
              <w:left w:val="single" w:color="000000" w:sz="8" w:space="0"/>
              <w:bottom w:val="single" w:color="auto" w:sz="4" w:space="0"/>
              <w:right w:val="single" w:color="000000" w:sz="2"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9</w:t>
            </w:r>
          </w:p>
        </w:tc>
        <w:tc>
          <w:tcPr>
            <w:tcW w:w="1030" w:type="pct"/>
            <w:tcBorders>
              <w:top w:val="single" w:color="000000" w:sz="8" w:space="0"/>
              <w:left w:val="single" w:color="000000" w:sz="2" w:space="0"/>
              <w:bottom w:val="single" w:color="000000" w:sz="8" w:space="0"/>
              <w:right w:val="single" w:color="000000" w:sz="8"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中小企业划分标准所属行业</w:t>
            </w:r>
          </w:p>
        </w:tc>
        <w:tc>
          <w:tcPr>
            <w:tcW w:w="3507" w:type="pct"/>
            <w:tcBorders>
              <w:top w:val="single" w:color="000000" w:sz="8" w:space="0"/>
              <w:left w:val="single" w:color="000000" w:sz="2" w:space="0"/>
              <w:bottom w:val="single" w:color="000000" w:sz="8" w:space="0"/>
              <w:right w:val="single" w:color="000000" w:sz="8" w:space="0"/>
            </w:tcBorders>
            <w:vAlign w:val="center"/>
          </w:tcPr>
          <w:p>
            <w:pPr>
              <w:keepLines/>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采购标的：政务外网裸光纤专线及互联网服务；</w:t>
            </w:r>
          </w:p>
          <w:p>
            <w:pPr>
              <w:keepLines/>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所属行业：</w:t>
            </w:r>
            <w:r>
              <w:rPr>
                <w:rFonts w:hint="eastAsia" w:ascii="仿宋" w:hAnsi="仿宋" w:eastAsia="仿宋"/>
                <w:color w:val="000000"/>
                <w:sz w:val="24"/>
              </w:rPr>
              <w:t>信息传输业</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463"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10</w:t>
            </w:r>
          </w:p>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节能产品、环境标志产品</w:t>
            </w:r>
          </w:p>
        </w:tc>
        <w:tc>
          <w:tcPr>
            <w:tcW w:w="3507" w:type="pct"/>
            <w:tcBorders>
              <w:top w:val="single" w:color="000000" w:sz="8" w:space="0"/>
              <w:left w:val="single" w:color="auto" w:sz="4" w:space="0"/>
              <w:bottom w:val="single" w:color="000000" w:sz="8" w:space="0"/>
              <w:right w:val="single" w:color="000000" w:sz="8" w:space="0"/>
            </w:tcBorders>
            <w:vAlign w:val="center"/>
          </w:tcPr>
          <w:p>
            <w:pPr>
              <w:keepLines/>
              <w:wordWrap/>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6" w:hRule="atLeast"/>
          <w:tblHeader/>
        </w:trPr>
        <w:tc>
          <w:tcPr>
            <w:tcW w:w="463" w:type="pct"/>
            <w:tcBorders>
              <w:top w:val="single" w:color="auto" w:sz="4" w:space="0"/>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11</w:t>
            </w:r>
          </w:p>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30" w:type="pct"/>
            <w:tcBorders>
              <w:top w:val="single" w:color="auto" w:sz="4" w:space="0"/>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07" w:type="pct"/>
            <w:tcBorders>
              <w:top w:val="single" w:color="000000" w:sz="8" w:space="0"/>
              <w:left w:val="single" w:color="auto" w:sz="4" w:space="0"/>
              <w:right w:val="single" w:color="000000" w:sz="8" w:space="0"/>
            </w:tcBorders>
            <w:vAlign w:val="center"/>
          </w:tcPr>
          <w:p>
            <w:pPr>
              <w:keepLine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463"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12</w:t>
            </w:r>
          </w:p>
        </w:tc>
        <w:tc>
          <w:tcPr>
            <w:tcW w:w="1030" w:type="pct"/>
            <w:tcBorders>
              <w:top w:val="single" w:color="auto" w:sz="4" w:space="0"/>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备份投标文件送达地点和签收人员</w:t>
            </w:r>
          </w:p>
        </w:tc>
        <w:tc>
          <w:tcPr>
            <w:tcW w:w="3507" w:type="pct"/>
            <w:tcBorders>
              <w:top w:val="single" w:color="000000" w:sz="8" w:space="0"/>
              <w:left w:val="single" w:color="auto" w:sz="4" w:space="0"/>
              <w:bottom w:val="single" w:color="000000" w:sz="8" w:space="0"/>
              <w:right w:val="single" w:color="000000" w:sz="8" w:space="0"/>
            </w:tcBorders>
            <w:vAlign w:val="center"/>
          </w:tcPr>
          <w:p>
            <w:pPr>
              <w:keepLines/>
              <w:spacing w:line="360" w:lineRule="auto"/>
              <w:rPr>
                <w:rFonts w:ascii="仿宋" w:hAnsi="仿宋" w:eastAsia="仿宋"/>
                <w:snapToGrid w:val="0"/>
                <w:color w:val="000000" w:themeColor="text1"/>
                <w:kern w:val="28"/>
                <w:sz w:val="24"/>
                <w14:textFill>
                  <w14:solidFill>
                    <w14:schemeClr w14:val="tx1"/>
                  </w14:solidFill>
                </w14:textFill>
              </w:rPr>
            </w:pPr>
            <w:r>
              <w:rPr>
                <w:rFonts w:hint="eastAsia" w:ascii="仿宋" w:hAnsi="仿宋" w:eastAsia="仿宋"/>
                <w:color w:val="000000" w:themeColor="text1"/>
                <w:kern w:val="28"/>
                <w:sz w:val="24"/>
                <w14:textFill>
                  <w14:solidFill>
                    <w14:schemeClr w14:val="tx1"/>
                  </w14:solidFill>
                </w14:textFill>
              </w:rPr>
              <w:t>备份投标文件送达地点：</w:t>
            </w:r>
            <w:r>
              <w:rPr>
                <w:rFonts w:hint="eastAsia" w:ascii="仿宋" w:hAnsi="仿宋" w:eastAsia="仿宋" w:cs="仿宋_GB2312"/>
                <w:color w:val="000000" w:themeColor="text1"/>
                <w:sz w:val="24"/>
                <w14:textFill>
                  <w14:solidFill>
                    <w14:schemeClr w14:val="tx1"/>
                  </w14:solidFill>
                </w14:textFill>
              </w:rPr>
              <w:t>杭州市滨江区泰安路200号区文化中心10号门（9号电梯）3楼2303室（杭州市滨江区公共资源交易中心）；</w:t>
            </w:r>
            <w:r>
              <w:rPr>
                <w:rFonts w:hint="eastAsia" w:ascii="仿宋" w:hAnsi="仿宋" w:eastAsia="仿宋"/>
                <w:color w:val="000000" w:themeColor="text1"/>
                <w:kern w:val="28"/>
                <w:sz w:val="24"/>
                <w14:textFill>
                  <w14:solidFill>
                    <w14:schemeClr w14:val="tx1"/>
                  </w14:solidFill>
                </w14:textFill>
              </w:rPr>
              <w:t>备份投标文件签收人员：现场管理科；联系电话：</w:t>
            </w:r>
            <w:r>
              <w:rPr>
                <w:rFonts w:ascii="仿宋" w:hAnsi="仿宋" w:eastAsia="仿宋"/>
                <w:color w:val="000000" w:themeColor="text1"/>
                <w:sz w:val="24"/>
                <w:u w:val="single"/>
                <w14:textFill>
                  <w14:solidFill>
                    <w14:schemeClr w14:val="tx1"/>
                  </w14:solidFill>
                </w14:textFill>
              </w:rPr>
              <w:t>0571-</w:t>
            </w:r>
            <w:r>
              <w:rPr>
                <w:rFonts w:hint="eastAsia" w:ascii="仿宋" w:hAnsi="仿宋" w:eastAsia="仿宋"/>
                <w:color w:val="000000" w:themeColor="text1"/>
                <w:sz w:val="24"/>
                <w:u w:val="single"/>
                <w14:textFill>
                  <w14:solidFill>
                    <w14:schemeClr w14:val="tx1"/>
                  </w14:solidFill>
                </w14:textFill>
              </w:rPr>
              <w:t>89521179</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463" w:type="pct"/>
            <w:vMerge w:val="restart"/>
            <w:tcBorders>
              <w:top w:val="single" w:color="auto" w:sz="4" w:space="0"/>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13</w:t>
            </w:r>
          </w:p>
        </w:tc>
        <w:tc>
          <w:tcPr>
            <w:tcW w:w="1030" w:type="pct"/>
            <w:vMerge w:val="restart"/>
            <w:tcBorders>
              <w:top w:val="single" w:color="auto" w:sz="4" w:space="0"/>
              <w:left w:val="single" w:color="auto" w:sz="4" w:space="0"/>
              <w:right w:val="single" w:color="auto" w:sz="4" w:space="0"/>
            </w:tcBorders>
            <w:vAlign w:val="center"/>
          </w:tcPr>
          <w:p>
            <w:pPr>
              <w:keepLines/>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3507" w:type="pct"/>
            <w:tcBorders>
              <w:top w:val="single" w:color="000000" w:sz="8" w:space="0"/>
              <w:left w:val="single" w:color="auto" w:sz="4" w:space="0"/>
              <w:bottom w:val="single" w:color="000000" w:sz="8" w:space="0"/>
              <w:right w:val="single" w:color="000000" w:sz="8" w:space="0"/>
            </w:tcBorders>
            <w:vAlign w:val="center"/>
          </w:tcPr>
          <w:p>
            <w:pPr>
              <w:keepLines/>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463" w:type="pct"/>
            <w:vMerge w:val="continue"/>
            <w:tcBorders>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30" w:type="pct"/>
            <w:vMerge w:val="continue"/>
            <w:tcBorders>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07" w:type="pct"/>
            <w:tcBorders>
              <w:top w:val="single" w:color="000000" w:sz="8" w:space="0"/>
              <w:left w:val="single" w:color="auto" w:sz="4" w:space="0"/>
              <w:bottom w:val="single" w:color="000000" w:sz="8" w:space="0"/>
              <w:right w:val="single" w:color="000000" w:sz="8" w:space="0"/>
            </w:tcBorders>
            <w:vAlign w:val="center"/>
          </w:tcPr>
          <w:p>
            <w:pPr>
              <w:keepLines/>
              <w:spacing w:line="360" w:lineRule="auto"/>
              <w:rPr>
                <w:rFonts w:ascii="仿宋" w:hAnsi="仿宋" w:eastAsia="仿宋"/>
                <w:color w:val="000000" w:themeColor="text1"/>
                <w:kern w:val="28"/>
                <w:sz w:val="24"/>
                <w14:textFill>
                  <w14:solidFill>
                    <w14:schemeClr w14:val="tx1"/>
                  </w14:solidFill>
                </w14:textFill>
              </w:rPr>
            </w:pPr>
            <w:sdt>
              <w:sdtPr>
                <w:rPr>
                  <w:rFonts w:hint="eastAsia" w:cs="Arial" w:asciiTheme="minorEastAsia" w:hAnsiTheme="minorEastAsia" w:eastAsiaTheme="minorEastAsia"/>
                  <w:kern w:val="0"/>
                  <w:sz w:val="24"/>
                </w:rPr>
                <w:id w:val="-1816336663"/>
              </w:sdtPr>
              <w:sdtEndPr>
                <w:rPr>
                  <w:rFonts w:hint="eastAsia" w:ascii="仿宋" w:hAnsi="仿宋" w:eastAsia="仿宋" w:cs="Times New Roman"/>
                  <w:color w:val="000000" w:themeColor="text1"/>
                  <w:kern w:val="28"/>
                  <w:sz w:val="24"/>
                  <w14:textFill>
                    <w14:solidFill>
                      <w14:schemeClr w14:val="tx1"/>
                    </w14:solidFill>
                  </w14:textFill>
                </w:rPr>
              </w:sdtEndPr>
              <w:sdtContent>
                <w:sdt>
                  <w:sdtPr>
                    <w:rPr>
                      <w:rFonts w:hint="eastAsia" w:ascii="仿宋" w:hAnsi="仿宋" w:eastAsia="仿宋" w:cs="Arial"/>
                      <w:color w:val="000000" w:themeColor="text1"/>
                      <w:kern w:val="0"/>
                      <w:sz w:val="24"/>
                      <w14:textFill>
                        <w14:solidFill>
                          <w14:schemeClr w14:val="tx1"/>
                        </w14:solidFill>
                      </w14:textFill>
                    </w:rPr>
                    <w:id w:val="17974185"/>
                  </w:sdtPr>
                  <w:sdtEndPr>
                    <w:rPr>
                      <w:rFonts w:hint="eastAsia" w:ascii="仿宋" w:hAnsi="仿宋" w:eastAsia="仿宋" w:cs="Arial"/>
                      <w:color w:val="000000" w:themeColor="text1"/>
                      <w:kern w:val="0"/>
                      <w:sz w:val="24"/>
                      <w14:textFill>
                        <w14:solidFill>
                          <w14:schemeClr w14:val="tx1"/>
                        </w14:solidFill>
                      </w14:textFill>
                    </w:rPr>
                  </w:sdtEndPr>
                  <w:sdtContent>
                    <w:r>
                      <w:rPr>
                        <w:rFonts w:ascii="仿宋" w:hAnsi="MS Gothic" w:eastAsia="仿宋" w:cs="Arial"/>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pPr>
              <w:keepLines/>
              <w:spacing w:line="360" w:lineRule="auto"/>
              <w:rPr>
                <w:rFonts w:ascii="仿宋" w:hAnsi="仿宋" w:eastAsia="仿宋"/>
                <w:color w:val="000000" w:themeColor="text1"/>
                <w:kern w:val="28"/>
                <w:sz w:val="24"/>
                <w14:textFill>
                  <w14:solidFill>
                    <w14:schemeClr w14:val="tx1"/>
                  </w14:solidFill>
                </w14:textFill>
              </w:rPr>
            </w:pPr>
            <w:sdt>
              <w:sdtPr>
                <w:rPr>
                  <w:rFonts w:hint="eastAsia" w:ascii="仿宋" w:hAnsi="仿宋" w:eastAsia="仿宋"/>
                  <w:color w:val="000000" w:themeColor="text1"/>
                  <w:kern w:val="28"/>
                  <w:sz w:val="24"/>
                  <w14:textFill>
                    <w14:solidFill>
                      <w14:schemeClr w14:val="tx1"/>
                    </w14:solidFill>
                  </w14:textFill>
                </w:rPr>
                <w:id w:val="-232311894"/>
              </w:sdtPr>
              <w:sdtEndPr>
                <w:rPr>
                  <w:rFonts w:hint="eastAsia" w:ascii="仿宋" w:hAnsi="仿宋" w:eastAsia="仿宋"/>
                  <w:color w:val="000000" w:themeColor="text1"/>
                  <w:kern w:val="28"/>
                  <w:sz w:val="24"/>
                  <w14:textFill>
                    <w14:solidFill>
                      <w14:schemeClr w14:val="tx1"/>
                    </w14:solidFill>
                  </w14:textFill>
                </w:rPr>
              </w:sdtEndPr>
              <w:sdtContent>
                <w:sdt>
                  <w:sdtPr>
                    <w:rPr>
                      <w:rFonts w:hint="eastAsia" w:ascii="仿宋" w:hAnsi="仿宋" w:eastAsia="仿宋" w:cs="Arial"/>
                      <w:color w:val="000000" w:themeColor="text1"/>
                      <w:kern w:val="0"/>
                      <w:sz w:val="24"/>
                      <w:szCs w:val="21"/>
                      <w14:textFill>
                        <w14:solidFill>
                          <w14:schemeClr w14:val="tx1"/>
                        </w14:solidFill>
                      </w14:textFill>
                    </w:rPr>
                    <w:id w:val="17974187"/>
                  </w:sdtPr>
                  <w:sdtEndPr>
                    <w:rPr>
                      <w:rFonts w:hint="eastAsia" w:ascii="仿宋" w:hAnsi="仿宋" w:eastAsia="仿宋" w:cs="Arial"/>
                      <w:color w:val="000000" w:themeColor="text1"/>
                      <w:kern w:val="0"/>
                      <w:sz w:val="24"/>
                      <w:szCs w:val="21"/>
                      <w14:textFill>
                        <w14:solidFill>
                          <w14:schemeClr w14:val="tx1"/>
                        </w14:solidFill>
                      </w14:textFill>
                    </w:rPr>
                  </w:sdtEndPr>
                  <w:sdtContent>
                    <w:r>
                      <w:rPr>
                        <w:rFonts w:hint="eastAsia" w:ascii="MS Gothic" w:hAnsi="MS Gothic" w:eastAsia="MS Gothic" w:cs="MS Gothic"/>
                        <w:color w:val="000000" w:themeColor="text1"/>
                        <w:kern w:val="0"/>
                        <w:sz w:val="24"/>
                        <w14:textFill>
                          <w14:solidFill>
                            <w14:schemeClr w14:val="tx1"/>
                          </w14:solidFill>
                        </w14:textFill>
                      </w:rPr>
                      <w:t>☑</w:t>
                    </w:r>
                  </w:sdtContent>
                </w:sdt>
              </w:sdtContent>
            </w:sdt>
            <w:r>
              <w:rPr>
                <w:rFonts w:hint="eastAsia" w:ascii="仿宋" w:hAnsi="仿宋" w:eastAsia="仿宋"/>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5" w:hRule="atLeast"/>
          <w:tblHeader/>
        </w:trPr>
        <w:tc>
          <w:tcPr>
            <w:tcW w:w="463" w:type="pct"/>
            <w:vMerge w:val="continue"/>
            <w:tcBorders>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30" w:type="pct"/>
            <w:vMerge w:val="continue"/>
            <w:tcBorders>
              <w:left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07" w:type="pct"/>
            <w:tcBorders>
              <w:top w:val="single" w:color="000000" w:sz="8" w:space="0"/>
              <w:left w:val="single" w:color="auto" w:sz="4" w:space="0"/>
              <w:bottom w:val="single" w:color="000000" w:sz="8" w:space="0"/>
              <w:right w:val="single" w:color="000000" w:sz="8" w:space="0"/>
            </w:tcBorders>
            <w:vAlign w:val="center"/>
          </w:tcPr>
          <w:p>
            <w:pPr>
              <w:keepLines/>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olor w:val="000000" w:themeColor="text1"/>
                <w:kern w:val="28"/>
                <w:sz w:val="24"/>
                <w:lang w:val="en"/>
                <w14:textFill>
                  <w14:solidFill>
                    <w14:schemeClr w14:val="tx1"/>
                  </w14:solidFill>
                </w14:textFill>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463" w:type="pct"/>
            <w:vMerge w:val="continue"/>
            <w:tcBorders>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1030" w:type="pct"/>
            <w:vMerge w:val="continue"/>
            <w:tcBorders>
              <w:left w:val="single" w:color="auto" w:sz="4" w:space="0"/>
              <w:bottom w:val="single" w:color="auto" w:sz="4" w:space="0"/>
              <w:right w:val="single" w:color="auto" w:sz="4" w:space="0"/>
            </w:tcBorders>
            <w:vAlign w:val="center"/>
          </w:tcPr>
          <w:p>
            <w:pPr>
              <w:keepLines/>
              <w:snapToGrid w:val="0"/>
              <w:spacing w:line="360" w:lineRule="auto"/>
              <w:jc w:val="center"/>
              <w:rPr>
                <w:rFonts w:ascii="仿宋" w:hAnsi="仿宋" w:eastAsia="仿宋" w:cs="仿宋_GB2312"/>
                <w:b/>
                <w:color w:val="000000" w:themeColor="text1"/>
                <w:sz w:val="24"/>
                <w14:textFill>
                  <w14:solidFill>
                    <w14:schemeClr w14:val="tx1"/>
                  </w14:solidFill>
                </w14:textFill>
              </w:rPr>
            </w:pPr>
          </w:p>
        </w:tc>
        <w:tc>
          <w:tcPr>
            <w:tcW w:w="3507" w:type="pct"/>
            <w:tcBorders>
              <w:top w:val="single" w:color="000000" w:sz="8" w:space="0"/>
              <w:left w:val="single" w:color="auto" w:sz="4" w:space="0"/>
              <w:bottom w:val="single" w:color="000000" w:sz="8" w:space="0"/>
              <w:right w:val="single" w:color="000000" w:sz="8" w:space="0"/>
            </w:tcBorders>
            <w:vAlign w:val="center"/>
          </w:tcPr>
          <w:p>
            <w:pPr>
              <w:keepLines/>
              <w:spacing w:line="360" w:lineRule="auto"/>
              <w:rPr>
                <w:rFonts w:ascii="仿宋" w:hAnsi="仿宋" w:eastAsia="仿宋"/>
                <w:color w:val="000000" w:themeColor="text1"/>
                <w:kern w:val="28"/>
                <w:sz w:val="24"/>
                <w14:textFill>
                  <w14:solidFill>
                    <w14:schemeClr w14:val="tx1"/>
                  </w14:solidFill>
                </w14:textFill>
              </w:rPr>
            </w:pPr>
            <w:r>
              <w:rPr>
                <w:rFonts w:hint="eastAsia" w:ascii="仿宋" w:hAnsi="仿宋" w:eastAsia="仿宋"/>
                <w:color w:val="000000" w:themeColor="text1"/>
                <w:kern w:val="28"/>
                <w:sz w:val="24"/>
                <w:lang w:val="en"/>
                <w14:textFill>
                  <w14:solidFill>
                    <w14:schemeClr w14:val="tx1"/>
                  </w14:solidFill>
                </w14:textFill>
              </w:rPr>
              <w:t>本项目评审报告推荐的中标候选人数量：</w:t>
            </w:r>
            <w:r>
              <w:rPr>
                <w:rFonts w:hint="eastAsia" w:ascii="仿宋" w:hAnsi="仿宋" w:eastAsia="仿宋"/>
                <w:color w:val="000000" w:themeColor="text1"/>
                <w:kern w:val="28"/>
                <w:sz w:val="24"/>
                <w14:textFill>
                  <w14:solidFill>
                    <w14:schemeClr w14:val="tx1"/>
                  </w14:solidFill>
                </w14:textFill>
              </w:rPr>
              <w:t xml:space="preserve">1 </w:t>
            </w:r>
            <w:r>
              <w:rPr>
                <w:rFonts w:hint="eastAsia" w:ascii="仿宋" w:hAnsi="仿宋" w:eastAsia="仿宋"/>
                <w:color w:val="000000" w:themeColor="text1"/>
                <w:kern w:val="28"/>
                <w:sz w:val="24"/>
                <w:lang w:val="en"/>
                <w14:textFill>
                  <w14:solidFill>
                    <w14:schemeClr w14:val="tx1"/>
                  </w14:solidFill>
                </w14:textFill>
              </w:rPr>
              <w:t>。</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1" w:name="第三部分"/>
      <w:bookmarkStart w:id="12"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3" w:name="_Hlt74730112"/>
      <w:bookmarkEnd w:id="13"/>
      <w:bookmarkStart w:id="14" w:name="_Hlt74714665"/>
      <w:bookmarkEnd w:id="14"/>
      <w:bookmarkStart w:id="15" w:name="_Hlt74730208"/>
      <w:bookmarkEnd w:id="15"/>
      <w:bookmarkStart w:id="16" w:name="_Toc91899872"/>
      <w:bookmarkEnd w:id="16"/>
      <w:bookmarkStart w:id="17" w:name="_Hlt74730295"/>
      <w:bookmarkEnd w:id="17"/>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2.5“电子签名”系指数据电文中以电子形式所含、所附用于识别签名人身份并表明签名人认可其中内容的数据。</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r>
        <w:rPr>
          <w:rFonts w:ascii="Wingdings" w:hAnsi="Wingdings" w:cs="宋体"/>
          <w:kern w:val="0"/>
          <w:sz w:val="24"/>
        </w:rPr>
        <w:t></w:t>
      </w:r>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600" w:firstLineChars="25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sz w:val="24"/>
        </w:rPr>
      </w:pPr>
      <w:r>
        <w:rPr>
          <w:rFonts w:hint="eastAsia" w:ascii="仿宋" w:hAnsi="仿宋" w:eastAsia="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sz w:val="24"/>
        </w:rPr>
      </w:pPr>
      <w:r>
        <w:rPr>
          <w:rFonts w:hint="eastAsia" w:ascii="仿宋" w:hAnsi="仿宋" w:eastAsia="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14:textFill>
            <w14:solidFill>
              <w14:schemeClr w14:val="tx1"/>
            </w14:solidFill>
          </w14:textFill>
        </w:rPr>
        <w:t>对小型和微型企业的投标报价给予10%</w:t>
      </w:r>
      <w:r>
        <w:rPr>
          <w:rFonts w:ascii="仿宋" w:hAnsi="仿宋" w:eastAsia="仿宋"/>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14:textFill>
            <w14:solidFill>
              <w14:schemeClr w14:val="tx1"/>
            </w14:solidFill>
          </w14:textFill>
        </w:rPr>
        <w:t>政府</w:t>
      </w:r>
      <w:r>
        <w:rPr>
          <w:rFonts w:ascii="仿宋" w:hAnsi="仿宋" w:eastAsia="仿宋"/>
          <w:color w:val="000000" w:themeColor="text1"/>
          <w:sz w:val="24"/>
          <w14:textFill>
            <w14:solidFill>
              <w14:schemeClr w14:val="tx1"/>
            </w14:solidFill>
          </w14:textFill>
        </w:rPr>
        <w:t>采购</w:t>
      </w:r>
      <w:r>
        <w:rPr>
          <w:rFonts w:hint="eastAsia" w:ascii="仿宋" w:hAnsi="仿宋" w:eastAsia="仿宋"/>
          <w:color w:val="000000" w:themeColor="text1"/>
          <w:sz w:val="24"/>
          <w14:textFill>
            <w14:solidFill>
              <w14:schemeClr w14:val="tx1"/>
            </w14:solidFill>
          </w14:textFill>
        </w:rPr>
        <w:t>货物或服务</w:t>
      </w:r>
      <w:r>
        <w:rPr>
          <w:rFonts w:ascii="仿宋" w:hAnsi="仿宋" w:eastAsia="仿宋"/>
          <w:color w:val="000000" w:themeColor="text1"/>
          <w:sz w:val="24"/>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被纳入《首台套产品推广应用指导目录》之日起3</w:t>
      </w:r>
      <w:r>
        <w:rPr>
          <w:rFonts w:ascii="仿宋" w:hAnsi="仿宋" w:eastAsia="仿宋"/>
          <w:sz w:val="24"/>
        </w:rPr>
        <w:t>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480" w:firstLineChars="200"/>
        <w:rPr>
          <w:rFonts w:ascii="仿宋" w:hAnsi="仿宋" w:eastAsia="仿宋"/>
          <w:sz w:val="24"/>
        </w:rPr>
      </w:pPr>
      <w:r>
        <w:rPr>
          <w:rFonts w:hint="eastAsia" w:ascii="仿宋" w:hAnsi="仿宋" w:eastAsia="仿宋"/>
          <w:sz w:val="24"/>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rPr>
          <w:rFonts w:ascii="仿宋" w:hAnsi="仿宋" w:eastAsia="仿宋"/>
          <w:b/>
          <w:color w:val="000000"/>
          <w:sz w:val="24"/>
        </w:rPr>
      </w:pPr>
      <w:r>
        <w:rPr>
          <w:rFonts w:hint="eastAsia" w:ascii="仿宋" w:hAnsi="仿宋" w:eastAsia="仿宋"/>
          <w:b/>
          <w:color w:val="000000"/>
          <w:sz w:val="24"/>
        </w:rPr>
        <w:t>4. 询问、质疑、投诉</w:t>
      </w:r>
    </w:p>
    <w:p>
      <w:pPr>
        <w:pStyle w:val="718"/>
        <w:shd w:val="clear" w:color="auto" w:fill="FFFFFF"/>
        <w:snapToGrid w:val="0"/>
        <w:spacing w:after="120" w:afterAutospacing="0" w:line="360" w:lineRule="auto"/>
        <w:ind w:firstLine="518" w:firstLineChars="216"/>
        <w:contextualSpacing/>
        <w:rPr>
          <w:rFonts w:ascii="仿宋" w:hAnsi="仿宋" w:eastAsia="仿宋"/>
        </w:rPr>
      </w:pPr>
      <w:r>
        <w:rPr>
          <w:rFonts w:hint="eastAsia" w:ascii="仿宋" w:hAnsi="仿宋" w:eastAsia="仿宋"/>
        </w:rPr>
        <w:t>4.1在线质疑、投诉。</w:t>
      </w:r>
    </w:p>
    <w:p>
      <w:pPr>
        <w:pStyle w:val="718"/>
        <w:shd w:val="clear" w:color="auto" w:fill="FFFFFF"/>
        <w:snapToGrid w:val="0"/>
        <w:spacing w:after="120" w:afterAutospacing="0" w:line="360" w:lineRule="auto"/>
        <w:ind w:firstLine="518" w:firstLineChars="216"/>
        <w:contextualSpacing/>
        <w:rPr>
          <w:rFonts w:ascii="仿宋" w:hAnsi="仿宋" w:eastAsia="仿宋"/>
        </w:rPr>
      </w:pPr>
      <w:r>
        <w:rPr>
          <w:rFonts w:hint="eastAsia" w:ascii="仿宋" w:hAnsi="仿宋" w:eastAsia="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pPr>
        <w:pStyle w:val="13"/>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7"/>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.2.2对采购过程提出质疑的，质疑期限为各采购程序环节结束之日起计算。对同一采购程序环节的质疑，供应商须一次性提出。</w:t>
      </w:r>
    </w:p>
    <w:p>
      <w:pPr>
        <w:pStyle w:val="27"/>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7"/>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18"/>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14:textFill>
            <w14:solidFill>
              <w14:schemeClr w14:val="tx1"/>
            </w14:solidFill>
          </w14:textFill>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18"/>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采购人、采购机构在质疑回复后</w:t>
      </w:r>
      <w:r>
        <w:rPr>
          <w:rFonts w:ascii="仿宋" w:hAnsi="仿宋" w:eastAsia="仿宋"/>
        </w:rPr>
        <w:t>5个工作日内，在浙江政府采购网的“其他公告”栏目公开质疑答复，答复内容应当完整。</w:t>
      </w:r>
      <w:r>
        <w:rPr>
          <w:rFonts w:hint="eastAsia" w:ascii="仿宋" w:hAnsi="仿宋" w:eastAsia="仿宋"/>
        </w:rPr>
        <w:t>质疑答复公告时，如对采购文件质疑的，不公布质疑单位名称。涉及国家秘密、个人隐私、商业秘密以及法律法规规定应予保密的信息不公开。</w:t>
      </w:r>
      <w:r>
        <w:rPr>
          <w:rFonts w:ascii="仿宋" w:hAnsi="仿宋" w:eastAsia="仿宋"/>
        </w:rPr>
        <w:t>质疑</w:t>
      </w:r>
      <w:r>
        <w:rPr>
          <w:rFonts w:hint="eastAsia" w:ascii="仿宋" w:hAnsi="仿宋" w:eastAsia="仿宋"/>
        </w:rPr>
        <w:t>函作为附件上传。</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18"/>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adjustRightInd/>
        <w:spacing w:line="360" w:lineRule="auto"/>
        <w:jc w:val="center"/>
        <w:outlineLvl w:val="0"/>
        <w:rPr>
          <w:rFonts w:ascii="仿宋" w:hAnsi="仿宋" w:eastAsia="仿宋" w:cs="仿宋_GB2312"/>
          <w:b/>
          <w:color w:val="000000"/>
          <w:sz w:val="32"/>
          <w:szCs w:val="20"/>
        </w:rPr>
      </w:pPr>
      <w:bookmarkStart w:id="18" w:name="_Hlt74729768"/>
      <w:bookmarkEnd w:id="18"/>
      <w:bookmarkStart w:id="19" w:name="_Hlt68072990"/>
      <w:bookmarkEnd w:id="19"/>
      <w:bookmarkStart w:id="20" w:name="_Hlt75236290"/>
      <w:bookmarkEnd w:id="20"/>
      <w:bookmarkStart w:id="21" w:name="_Hlt74707468"/>
      <w:bookmarkEnd w:id="21"/>
      <w:bookmarkStart w:id="22" w:name="_Hlt68057669"/>
      <w:bookmarkEnd w:id="22"/>
      <w:bookmarkStart w:id="23" w:name="_Toc91899879"/>
      <w:r>
        <w:rPr>
          <w:rFonts w:hint="eastAsia" w:ascii="仿宋" w:hAnsi="仿宋" w:eastAsia="仿宋" w:cs="仿宋_GB2312"/>
          <w:b/>
          <w:color w:val="000000"/>
          <w:sz w:val="32"/>
          <w:szCs w:val="20"/>
        </w:rPr>
        <w:t>二、招标文件</w:t>
      </w:r>
      <w:bookmarkEnd w:id="23"/>
      <w:r>
        <w:rPr>
          <w:rFonts w:hint="eastAsia" w:ascii="仿宋" w:hAnsi="仿宋" w:eastAsia="仿宋" w:cs="仿宋_GB2312"/>
          <w:b/>
          <w:color w:val="000000"/>
          <w:sz w:val="32"/>
          <w:szCs w:val="20"/>
        </w:rPr>
        <w:t>的构成、澄清、修改</w:t>
      </w:r>
    </w:p>
    <w:p>
      <w:pPr>
        <w:pStyle w:val="27"/>
        <w:spacing w:line="360" w:lineRule="auto"/>
        <w:rPr>
          <w:rFonts w:ascii="仿宋" w:hAnsi="仿宋" w:eastAsia="仿宋" w:cs="仿宋_GB2312"/>
          <w:b/>
          <w:color w:val="000000"/>
          <w:sz w:val="24"/>
          <w:szCs w:val="24"/>
        </w:rPr>
      </w:pPr>
      <w:bookmarkStart w:id="24" w:name="_Toc91899880"/>
      <w:bookmarkStart w:id="25" w:name="_Hlt74730307"/>
      <w:r>
        <w:rPr>
          <w:rFonts w:hint="eastAsia" w:ascii="仿宋" w:hAnsi="仿宋" w:eastAsia="仿宋" w:cs="仿宋_GB2312"/>
          <w:b/>
          <w:color w:val="000000"/>
          <w:sz w:val="24"/>
          <w:szCs w:val="24"/>
        </w:rPr>
        <w:t>5．招标文件的构成</w:t>
      </w:r>
      <w:bookmarkEnd w:id="24"/>
    </w:p>
    <w:bookmarkEnd w:id="25"/>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7"/>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第一部分招标公告</w:t>
      </w:r>
    </w:p>
    <w:p>
      <w:pPr>
        <w:pStyle w:val="27"/>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第二部分投标人须知</w:t>
      </w:r>
    </w:p>
    <w:p>
      <w:pPr>
        <w:pStyle w:val="27"/>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第三部分采购需求</w:t>
      </w:r>
    </w:p>
    <w:p>
      <w:pPr>
        <w:pStyle w:val="27"/>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第四部分评标方法</w:t>
      </w:r>
    </w:p>
    <w:p>
      <w:pPr>
        <w:pStyle w:val="27"/>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第五部分拟签订的合同文本</w:t>
      </w:r>
    </w:p>
    <w:p>
      <w:pPr>
        <w:pStyle w:val="27"/>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5"/>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0"/>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6" w:name="_Hlt75236011"/>
      <w:bookmarkEnd w:id="26"/>
      <w:bookmarkStart w:id="27" w:name="_Toc91899884"/>
      <w:r>
        <w:rPr>
          <w:rFonts w:hint="eastAsia" w:ascii="仿宋" w:hAnsi="仿宋" w:eastAsia="仿宋" w:cs="仿宋_GB2312"/>
          <w:b/>
          <w:color w:val="000000"/>
          <w:sz w:val="30"/>
          <w:szCs w:val="20"/>
        </w:rPr>
        <w:t>三、投标</w:t>
      </w:r>
      <w:bookmarkEnd w:id="27"/>
    </w:p>
    <w:p>
      <w:pPr>
        <w:pStyle w:val="27"/>
        <w:spacing w:line="360" w:lineRule="auto"/>
        <w:rPr>
          <w:rFonts w:ascii="仿宋" w:hAnsi="仿宋" w:eastAsia="仿宋" w:cs="仿宋_GB2312"/>
          <w:b/>
          <w:color w:val="000000"/>
          <w:sz w:val="24"/>
          <w:szCs w:val="24"/>
        </w:rPr>
      </w:pPr>
      <w:bookmarkStart w:id="28" w:name="_Toc86216991"/>
      <w:bookmarkStart w:id="29" w:name="_Toc91899892"/>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7"/>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7"/>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3"/>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0" w:name="_Hlk101259339"/>
      <w:r>
        <w:rPr>
          <w:rFonts w:hint="eastAsia" w:ascii="仿宋" w:hAnsi="仿宋" w:eastAsia="仿宋" w:cs="仿宋_GB2312"/>
          <w:sz w:val="24"/>
        </w:rPr>
        <w:t>联合协议</w:t>
      </w:r>
      <w:bookmarkStart w:id="31" w:name="_Hlk101257010"/>
      <w:r>
        <w:rPr>
          <w:rFonts w:hint="eastAsia" w:ascii="仿宋" w:hAnsi="仿宋" w:eastAsia="仿宋" w:cs="仿宋_GB2312"/>
          <w:sz w:val="24"/>
        </w:rPr>
        <w:t>（如果有)</w:t>
      </w:r>
      <w:bookmarkEnd w:id="30"/>
      <w:bookmarkEnd w:id="31"/>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zh-CN"/>
        </w:rPr>
        <w:t>投标</w:t>
      </w:r>
      <w:r>
        <w:rPr>
          <w:rFonts w:ascii="仿宋" w:hAnsi="仿宋" w:eastAsia="仿宋" w:cs="仿宋_GB2312"/>
          <w:sz w:val="24"/>
          <w:lang w:val="zh-CN"/>
        </w:rPr>
        <w:t>(开标)一览表</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95"/>
        <w:snapToGrid w:val="0"/>
        <w:spacing w:before="0"/>
        <w:ind w:firstLine="0" w:firstLineChars="0"/>
        <w:outlineLvl w:val="0"/>
        <w:rPr>
          <w:rFonts w:ascii="仿宋" w:hAnsi="仿宋" w:eastAsia="仿宋" w:cs="仿宋_GB2312"/>
          <w:b/>
          <w:color w:val="000000"/>
          <w:szCs w:val="24"/>
        </w:rPr>
      </w:pPr>
      <w:bookmarkStart w:id="32"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2"/>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5"/>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5"/>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5"/>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95"/>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7"/>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8"/>
    <w:bookmarkEnd w:id="29"/>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21"/>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5"/>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5"/>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bookmarkStart w:id="33" w:name="_Toc91899897"/>
    </w:p>
    <w:p>
      <w:pPr>
        <w:pStyle w:val="95"/>
        <w:spacing w:before="0"/>
        <w:ind w:firstLine="480"/>
        <w:rPr>
          <w:rFonts w:ascii="仿宋" w:hAnsi="仿宋" w:eastAsia="仿宋" w:cs="仿宋_GB2312"/>
          <w:color w:val="000000"/>
        </w:rPr>
      </w:pPr>
      <w:r>
        <w:rPr>
          <w:rFonts w:hint="eastAsia" w:ascii="仿宋" w:hAnsi="仿宋" w:eastAsia="仿宋" w:cs="仿宋_GB2312"/>
          <w:color w:val="000000"/>
        </w:rPr>
        <w:t>17.4在投标截止时间起至投标有效期届满，供应商投标文件不可撤销。</w:t>
      </w:r>
    </w:p>
    <w:p>
      <w:pPr>
        <w:pStyle w:val="95"/>
        <w:spacing w:before="0"/>
        <w:ind w:firstLine="643"/>
        <w:rPr>
          <w:rFonts w:ascii="仿宋" w:hAnsi="仿宋" w:eastAsia="仿宋" w:cs="仿宋_GB2312"/>
          <w:b/>
          <w:color w:val="000000"/>
          <w:sz w:val="32"/>
        </w:rPr>
      </w:pPr>
    </w:p>
    <w:p>
      <w:pPr>
        <w:pStyle w:val="95"/>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3"/>
      <w:r>
        <w:rPr>
          <w:rFonts w:hint="eastAsia" w:ascii="仿宋" w:hAnsi="仿宋" w:eastAsia="仿宋" w:cs="仿宋_GB2312"/>
          <w:b/>
          <w:color w:val="000000"/>
          <w:sz w:val="32"/>
        </w:rPr>
        <w:t>、资格审查与信用信息查询</w:t>
      </w:r>
    </w:p>
    <w:p>
      <w:pPr>
        <w:pStyle w:val="480"/>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0"/>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0"/>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0"/>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95"/>
        <w:spacing w:before="0"/>
        <w:ind w:firstLine="480"/>
        <w:rPr>
          <w:rFonts w:ascii="仿宋" w:hAnsi="仿宋" w:eastAsia="仿宋" w:cs="仿宋_GB2312"/>
          <w:color w:val="000000"/>
          <w:kern w:val="0"/>
        </w:rPr>
      </w:pPr>
      <w:r>
        <w:rPr>
          <w:rFonts w:hint="eastAsia" w:ascii="仿宋" w:hAnsi="仿宋" w:eastAsia="仿宋" w:cs="仿宋_GB2312"/>
          <w:color w:val="000000"/>
          <w:kern w:val="0"/>
        </w:rPr>
        <w:t>19.1开标后，采购人将依据法律法规和招标文件的规定，对投标人的资格进行审查。</w:t>
      </w:r>
    </w:p>
    <w:p>
      <w:pPr>
        <w:pStyle w:val="95"/>
        <w:spacing w:before="0"/>
        <w:ind w:firstLine="480"/>
        <w:rPr>
          <w:rFonts w:ascii="仿宋" w:hAnsi="仿宋" w:eastAsia="仿宋" w:cs="仿宋_GB2312"/>
          <w:color w:val="000000"/>
          <w:kern w:val="0"/>
        </w:rPr>
      </w:pPr>
      <w:r>
        <w:rPr>
          <w:rFonts w:hint="eastAsia" w:ascii="仿宋" w:hAnsi="仿宋" w:eastAsia="仿宋" w:cs="仿宋_GB2312"/>
          <w:color w:val="000000"/>
          <w:kern w:val="0"/>
        </w:rPr>
        <w:t>19.2投标人未按照招标文件要求提供与资格条件相应的有效资格证明材料的，视为投标人不具备招标文件中规定的资格要求，其投标无效。</w:t>
      </w:r>
    </w:p>
    <w:p>
      <w:pPr>
        <w:pStyle w:val="95"/>
        <w:spacing w:before="0"/>
        <w:ind w:firstLine="480"/>
        <w:rPr>
          <w:rFonts w:ascii="仿宋" w:hAnsi="仿宋" w:eastAsia="仿宋" w:cs="仿宋_GB2312"/>
          <w:color w:val="000000"/>
          <w:kern w:val="0"/>
        </w:rPr>
      </w:pPr>
      <w:r>
        <w:rPr>
          <w:rFonts w:hint="eastAsia" w:ascii="仿宋" w:hAnsi="仿宋" w:eastAsia="仿宋" w:cs="仿宋_GB2312"/>
          <w:color w:val="000000"/>
          <w:kern w:val="0"/>
        </w:rPr>
        <w:t>19.3对未通过资格审查的投标人，告知其未通过的原因。</w:t>
      </w:r>
    </w:p>
    <w:p>
      <w:pPr>
        <w:pStyle w:val="95"/>
        <w:spacing w:before="0"/>
        <w:ind w:firstLine="480"/>
        <w:rPr>
          <w:rFonts w:ascii="仿宋" w:hAnsi="仿宋" w:eastAsia="仿宋" w:cs="仿宋_GB2312"/>
          <w:color w:val="000000"/>
          <w:kern w:val="0"/>
        </w:rPr>
      </w:pPr>
      <w:r>
        <w:rPr>
          <w:rFonts w:hint="eastAsia" w:ascii="仿宋" w:hAnsi="仿宋" w:eastAsia="仿宋" w:cs="仿宋_GB2312"/>
          <w:color w:val="000000"/>
          <w:kern w:val="0"/>
        </w:rPr>
        <w:t>19.4合格投标人不足3家的，不再评标。</w:t>
      </w:r>
    </w:p>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20、信用信息查询</w:t>
      </w:r>
    </w:p>
    <w:p>
      <w:pPr>
        <w:pStyle w:val="9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5"/>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5"/>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4" w:name="_Hlt75236101"/>
      <w:bookmarkEnd w:id="34"/>
      <w:bookmarkStart w:id="35" w:name="_Toc91899902"/>
      <w:r>
        <w:rPr>
          <w:rFonts w:hint="eastAsia" w:ascii="仿宋" w:hAnsi="仿宋" w:eastAsia="仿宋" w:cs="仿宋_GB2312"/>
          <w:b/>
          <w:color w:val="000000"/>
          <w:sz w:val="36"/>
          <w:szCs w:val="36"/>
        </w:rPr>
        <w:t>五、评标</w:t>
      </w:r>
      <w:bookmarkEnd w:id="35"/>
    </w:p>
    <w:p>
      <w:pPr>
        <w:spacing w:line="360" w:lineRule="auto"/>
        <w:rPr>
          <w:rFonts w:ascii="仿宋" w:hAnsi="仿宋" w:eastAsia="仿宋" w:cs="仿宋_GB2312"/>
          <w:b/>
          <w:color w:val="000000"/>
          <w:sz w:val="24"/>
        </w:rPr>
      </w:pPr>
      <w:bookmarkStart w:id="36"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5"/>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95"/>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5"/>
        <w:snapToGrid w:val="0"/>
        <w:spacing w:before="0"/>
        <w:ind w:firstLine="480"/>
        <w:rPr>
          <w:rFonts w:ascii="仿宋" w:hAnsi="仿宋" w:eastAsia="仿宋" w:cs="仿宋_GB2312"/>
          <w:color w:val="000000"/>
          <w:kern w:val="0"/>
          <w:lang w:val="zh-CN"/>
        </w:rPr>
      </w:pPr>
      <w:r>
        <w:rPr>
          <w:rFonts w:hint="eastAsia" w:ascii="仿宋" w:hAnsi="仿宋" w:eastAsia="仿宋" w:cs="仿宋_GB2312"/>
          <w:color w:val="000000"/>
          <w:kern w:val="0"/>
          <w:lang w:val="zh-CN"/>
        </w:rPr>
        <w:t>25.1 采购人与中标人应当通过电子交易平台在中标通知书发出之日起10个工作日内，按照招标文件确定的事项签订政府采购合同，并在签订之日起2个工作日内将政府采购合同在浙江政府采购网上公告。</w:t>
      </w:r>
    </w:p>
    <w:p>
      <w:pPr>
        <w:pStyle w:val="95"/>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rPr>
          <w:rFonts w:ascii="仿宋" w:hAnsi="仿宋" w:eastAsia="仿宋" w:cs="Helvetica"/>
          <w:kern w:val="0"/>
          <w:sz w:val="24"/>
        </w:rPr>
      </w:pPr>
      <w:r>
        <w:rPr>
          <w:rFonts w:hint="eastAsia" w:ascii="仿宋" w:hAnsi="仿宋" w:eastAsia="仿宋"/>
          <w:color w:val="000000" w:themeColor="text1"/>
          <w:sz w:val="24"/>
          <w14:textFill>
            <w14:solidFill>
              <w14:schemeClr w14:val="tx1"/>
            </w14:solidFill>
          </w14:textFill>
        </w:rPr>
        <w:t xml:space="preserve">  供应商</w:t>
      </w:r>
      <w:r>
        <w:rPr>
          <w:rFonts w:ascii="仿宋" w:hAnsi="仿宋" w:eastAsia="仿宋"/>
          <w:snapToGrid w:val="0"/>
          <w:color w:val="000000" w:themeColor="text1"/>
          <w:kern w:val="28"/>
          <w:sz w:val="24"/>
          <w14:textFill>
            <w14:solidFill>
              <w14:schemeClr w14:val="tx1"/>
            </w14:solidFill>
          </w14:textFill>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1"/>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采购单位应当在政府采购合同中约定预付款，对中小企业合同预付款比例原则上不低于合同金额的</w:t>
      </w:r>
      <w:r>
        <w:rPr>
          <w:rFonts w:ascii="仿宋" w:hAnsi="仿宋" w:eastAsia="仿宋" w:cs="仿宋_GB2312"/>
          <w:color w:val="000000"/>
          <w:sz w:val="24"/>
          <w:szCs w:val="20"/>
        </w:rPr>
        <w:t>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70%；项目分年安排预算的，每年预付款比例</w:t>
      </w:r>
      <w:r>
        <w:rPr>
          <w:rFonts w:hint="eastAsia" w:ascii="仿宋" w:hAnsi="仿宋" w:eastAsia="仿宋" w:cs="仿宋_GB2312"/>
          <w:color w:val="000000"/>
          <w:sz w:val="24"/>
          <w:szCs w:val="20"/>
        </w:rPr>
        <w:t>不低于</w:t>
      </w:r>
      <w:r>
        <w:rPr>
          <w:rFonts w:ascii="仿宋" w:hAnsi="仿宋" w:eastAsia="仿宋" w:cs="仿宋_GB2312"/>
          <w:color w:val="000000"/>
          <w:sz w:val="24"/>
          <w:szCs w:val="20"/>
        </w:rPr>
        <w:t>项目年度计划支付资金额的40％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70%；采购项目实施以人工投入为主的，</w:t>
      </w:r>
      <w:r>
        <w:rPr>
          <w:rFonts w:hint="eastAsia" w:ascii="仿宋" w:hAnsi="仿宋" w:eastAsia="仿宋" w:cs="仿宋_GB2312"/>
          <w:color w:val="000000"/>
          <w:sz w:val="24"/>
          <w:szCs w:val="20"/>
        </w:rPr>
        <w:t>可适当降低预付款比例，但不得低于</w:t>
      </w:r>
      <w:r>
        <w:rPr>
          <w:rFonts w:ascii="仿宋" w:hAnsi="仿宋" w:eastAsia="仿宋" w:cs="仿宋_GB2312"/>
          <w:color w:val="000000"/>
          <w:sz w:val="24"/>
          <w:szCs w:val="20"/>
        </w:rPr>
        <w:t>20%。对供应商为大型企业的项目或者以人工投入为主且实行按月定期结算支付款项的项目，预付款可低于上述比例或者不约定预付款。在签订合同时，</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明确表示无需预付款或者主动要求降低预付款比例的，</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可不适用前述规定。</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根据项目特点、供应商诚信等因素，可以要求</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提交银行、保险公司等金融机构出具的预付款保函或其他担保措施。政府采购预付款应在合同生效以及具备实施条件后</w:t>
      </w:r>
      <w:r>
        <w:rPr>
          <w:rFonts w:hint="eastAsia" w:ascii="仿宋" w:hAnsi="仿宋" w:eastAsia="仿宋" w:cs="仿宋_GB2312"/>
          <w:color w:val="000000"/>
          <w:sz w:val="24"/>
          <w:szCs w:val="20"/>
        </w:rPr>
        <w:t>7</w:t>
      </w:r>
      <w:r>
        <w:rPr>
          <w:rFonts w:ascii="仿宋" w:hAnsi="仿宋" w:eastAsia="仿宋" w:cs="仿宋_GB2312"/>
          <w:color w:val="000000"/>
          <w:sz w:val="24"/>
          <w:szCs w:val="20"/>
        </w:rPr>
        <w:t>个工作日内支付。</w:t>
      </w:r>
      <w:r>
        <w:rPr>
          <w:rFonts w:hint="eastAsia" w:ascii="仿宋" w:hAnsi="仿宋" w:eastAsia="仿宋" w:cs="仿宋_GB2312"/>
          <w:color w:val="000000"/>
          <w:sz w:val="24"/>
          <w:szCs w:val="20"/>
        </w:rPr>
        <w:t>政府采购工程以及与工程建设有关的货物、服务，采用招标方式采购的，预付款从其相关规定。供应商可登录政采云前台大厅选择金融服务</w:t>
      </w:r>
      <w:r>
        <w:rPr>
          <w:rFonts w:ascii="仿宋" w:hAnsi="仿宋" w:eastAsia="仿宋" w:cs="仿宋_GB2312"/>
          <w:color w:val="000000"/>
          <w:sz w:val="24"/>
          <w:szCs w:val="20"/>
        </w:rPr>
        <w:t xml:space="preserve"> - </w:t>
      </w:r>
      <w:r>
        <w:rPr>
          <w:rFonts w:hint="eastAsia" w:ascii="仿宋" w:hAnsi="仿宋" w:eastAsia="仿宋" w:cs="仿宋_GB2312"/>
          <w:color w:val="000000"/>
          <w:sz w:val="24"/>
          <w:szCs w:val="20"/>
        </w:rPr>
        <w:t>【保函保险服务】出具预付款保函，具体步骤：选择产品—填写供应商信息—选择中标项目—确认信息—等待保险</w:t>
      </w:r>
      <w:r>
        <w:rPr>
          <w:rFonts w:ascii="仿宋" w:hAnsi="仿宋" w:eastAsia="仿宋" w:cs="仿宋_GB2312"/>
          <w:color w:val="000000"/>
          <w:sz w:val="24"/>
          <w:szCs w:val="20"/>
        </w:rPr>
        <w:t>/保函受理—确认保单—支付保费—成功出单。政</w:t>
      </w:r>
      <w:r>
        <w:rPr>
          <w:rFonts w:hint="eastAsia" w:ascii="仿宋" w:hAnsi="仿宋" w:eastAsia="仿宋" w:cs="仿宋_GB2312"/>
          <w:color w:val="000000"/>
          <w:sz w:val="24"/>
          <w:szCs w:val="20"/>
        </w:rPr>
        <w:t>采云金融专线</w:t>
      </w:r>
      <w:r>
        <w:rPr>
          <w:rFonts w:ascii="仿宋" w:hAnsi="仿宋" w:eastAsia="仿宋" w:cs="仿宋_GB2312"/>
          <w:color w:val="000000"/>
          <w:sz w:val="24"/>
          <w:szCs w:val="20"/>
        </w:rPr>
        <w:t>400-903-9583。</w:t>
      </w:r>
    </w:p>
    <w:p>
      <w:pPr>
        <w:snapToGrid w:val="0"/>
        <w:spacing w:line="360" w:lineRule="auto"/>
        <w:ind w:firstLine="3357" w:firstLineChars="1045"/>
        <w:rPr>
          <w:rFonts w:ascii="仿宋" w:hAnsi="仿宋" w:eastAsia="仿宋" w:cs="仿宋_GB2312"/>
          <w:b/>
          <w:color w:val="000000"/>
          <w:sz w:val="32"/>
        </w:rPr>
      </w:pPr>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5"/>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w:t>
      </w:r>
      <w:r>
        <w:rPr>
          <w:rFonts w:hint="eastAsia" w:ascii="仿宋" w:hAnsi="仿宋" w:eastAsia="仿宋" w:cs="仿宋_GB2312"/>
          <w:b/>
          <w:color w:val="000000"/>
          <w:szCs w:val="24"/>
        </w:rPr>
        <w:t>8.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5"/>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 xml:space="preserve"> 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tabs>
          <w:tab w:val="left" w:pos="0"/>
        </w:tabs>
        <w:spacing w:line="360" w:lineRule="auto"/>
        <w:ind w:firstLine="480"/>
        <w:rPr>
          <w:rFonts w:ascii="仿宋" w:hAnsi="仿宋" w:eastAsia="仿宋"/>
          <w:color w:val="000000"/>
          <w:sz w:val="24"/>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1"/>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w:t>
      </w:r>
      <w:r>
        <w:rPr>
          <w:rFonts w:hint="eastAsia" w:ascii="仿宋" w:hAnsi="仿宋" w:eastAsia="仿宋" w:cs="仿宋"/>
          <w:color w:val="000000"/>
          <w:kern w:val="0"/>
          <w:sz w:val="24"/>
        </w:rPr>
        <w:t>金。验收不合格的项目，采购人将依法及时处理。采购合同的履行、违约责任和解决争议的方式等适用《中华人民共和国民法典》。供应商在履</w:t>
      </w:r>
      <w:r>
        <w:rPr>
          <w:rFonts w:hint="eastAsia" w:ascii="仿宋" w:hAnsi="仿宋" w:eastAsia="仿宋" w:cs="Helvetica"/>
          <w:color w:val="000000"/>
          <w:kern w:val="0"/>
          <w:sz w:val="24"/>
        </w:rPr>
        <w:t>约过程中有政府采购法律法规规定的违法违规情形的，采购人应当及时报告本级财政部门。</w:t>
      </w:r>
    </w:p>
    <w:bookmarkEnd w:id="36"/>
    <w:p>
      <w:pPr>
        <w:spacing w:line="360" w:lineRule="auto"/>
        <w:jc w:val="center"/>
        <w:outlineLvl w:val="0"/>
        <w:rPr>
          <w:rFonts w:ascii="仿宋" w:hAnsi="仿宋" w:eastAsia="仿宋"/>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777" w:right="1418" w:bottom="471" w:left="1418" w:header="851" w:footer="992" w:gutter="0"/>
          <w:cols w:space="720" w:num="1"/>
          <w:docGrid w:linePitch="312" w:charSpace="0"/>
        </w:sectPr>
      </w:pPr>
    </w:p>
    <w:bookmarkEnd w:id="11"/>
    <w:bookmarkEnd w:id="12"/>
    <w:p>
      <w:pPr>
        <w:spacing w:line="360" w:lineRule="auto"/>
        <w:jc w:val="center"/>
        <w:outlineLvl w:val="0"/>
        <w:rPr>
          <w:rFonts w:ascii="仿宋" w:hAnsi="仿宋" w:eastAsia="仿宋" w:cs="仿宋_GB2312"/>
          <w:b/>
          <w:color w:val="000000"/>
          <w:sz w:val="36"/>
          <w:szCs w:val="36"/>
        </w:rPr>
      </w:pPr>
      <w:bookmarkStart w:id="37" w:name="_Toc302396120"/>
      <w:bookmarkStart w:id="38" w:name="_Toc4460"/>
      <w:bookmarkStart w:id="39" w:name="第四部分"/>
      <w:r>
        <w:rPr>
          <w:rFonts w:hint="eastAsia" w:ascii="仿宋" w:hAnsi="仿宋" w:eastAsia="仿宋"/>
          <w:b/>
          <w:color w:val="000000"/>
          <w:sz w:val="36"/>
          <w:szCs w:val="36"/>
        </w:rPr>
        <w:t>第三部分</w:t>
      </w:r>
      <w:bookmarkStart w:id="40" w:name="_Toc184314464"/>
      <w:bookmarkEnd w:id="40"/>
      <w:bookmarkStart w:id="41" w:name="_Toc184310283"/>
      <w:bookmarkEnd w:id="41"/>
      <w:bookmarkStart w:id="42" w:name="_Toc184314468"/>
      <w:bookmarkEnd w:id="42"/>
      <w:bookmarkStart w:id="43" w:name="_Toc184313264"/>
      <w:bookmarkEnd w:id="43"/>
      <w:bookmarkStart w:id="44" w:name="_Toc184310340"/>
      <w:bookmarkEnd w:id="44"/>
      <w:bookmarkStart w:id="45" w:name="_Toc184308098"/>
      <w:bookmarkEnd w:id="45"/>
      <w:bookmarkStart w:id="46" w:name="_Toc184308038"/>
      <w:bookmarkEnd w:id="46"/>
      <w:bookmarkStart w:id="47" w:name="_Toc184312111"/>
      <w:bookmarkEnd w:id="47"/>
      <w:bookmarkStart w:id="48" w:name="_Toc184314453"/>
      <w:bookmarkEnd w:id="48"/>
      <w:bookmarkStart w:id="49" w:name="_Toc184312102"/>
      <w:bookmarkEnd w:id="49"/>
      <w:bookmarkStart w:id="50" w:name="_Toc184308052"/>
      <w:bookmarkEnd w:id="50"/>
      <w:bookmarkStart w:id="51" w:name="_Toc184314476"/>
      <w:bookmarkEnd w:id="51"/>
      <w:bookmarkStart w:id="52" w:name="_Toc184313291"/>
      <w:bookmarkEnd w:id="52"/>
      <w:bookmarkStart w:id="53" w:name="_Toc184312134"/>
      <w:bookmarkEnd w:id="53"/>
      <w:bookmarkStart w:id="54" w:name="_Toc184312132"/>
      <w:bookmarkEnd w:id="54"/>
      <w:bookmarkStart w:id="55" w:name="_Toc184314463"/>
      <w:bookmarkEnd w:id="55"/>
      <w:bookmarkStart w:id="56" w:name="_Toc184313305"/>
      <w:bookmarkEnd w:id="56"/>
      <w:bookmarkStart w:id="57" w:name="_Toc184310300"/>
      <w:bookmarkEnd w:id="57"/>
      <w:bookmarkStart w:id="58" w:name="_Toc184310318"/>
      <w:bookmarkEnd w:id="58"/>
      <w:bookmarkStart w:id="59" w:name="_Toc184313249"/>
      <w:bookmarkEnd w:id="59"/>
      <w:bookmarkStart w:id="60" w:name="_Toc184314439"/>
      <w:bookmarkEnd w:id="60"/>
      <w:bookmarkStart w:id="61" w:name="_Toc184314461"/>
      <w:bookmarkEnd w:id="61"/>
      <w:bookmarkStart w:id="62" w:name="_Toc184310295"/>
      <w:bookmarkEnd w:id="62"/>
      <w:bookmarkStart w:id="63" w:name="_Toc184308085"/>
      <w:bookmarkEnd w:id="63"/>
      <w:bookmarkStart w:id="64" w:name="_Toc184313298"/>
      <w:bookmarkEnd w:id="64"/>
      <w:bookmarkStart w:id="65" w:name="_Toc184314426"/>
      <w:bookmarkEnd w:id="65"/>
      <w:bookmarkStart w:id="66" w:name="_Toc184313265"/>
      <w:bookmarkEnd w:id="66"/>
      <w:bookmarkStart w:id="67" w:name="_Toc184313261"/>
      <w:bookmarkEnd w:id="67"/>
      <w:bookmarkStart w:id="68" w:name="_Toc184310312"/>
      <w:bookmarkEnd w:id="68"/>
      <w:bookmarkStart w:id="69" w:name="_Toc184312124"/>
      <w:bookmarkEnd w:id="69"/>
      <w:bookmarkStart w:id="70" w:name="_Toc184308105"/>
      <w:bookmarkEnd w:id="70"/>
      <w:bookmarkStart w:id="71" w:name="_Toc184313304"/>
      <w:bookmarkEnd w:id="71"/>
      <w:bookmarkStart w:id="72" w:name="_Toc184313310"/>
      <w:bookmarkEnd w:id="72"/>
      <w:bookmarkStart w:id="73" w:name="_Toc184313300"/>
      <w:bookmarkEnd w:id="73"/>
      <w:bookmarkStart w:id="74" w:name="_Toc184314417"/>
      <w:bookmarkEnd w:id="74"/>
      <w:bookmarkStart w:id="75" w:name="_Toc184308051"/>
      <w:bookmarkEnd w:id="75"/>
      <w:bookmarkStart w:id="76" w:name="_Toc184310310"/>
      <w:bookmarkEnd w:id="76"/>
      <w:bookmarkStart w:id="77" w:name="_Toc184313308"/>
      <w:bookmarkEnd w:id="77"/>
      <w:bookmarkStart w:id="78" w:name="_Toc184310314"/>
      <w:bookmarkEnd w:id="78"/>
      <w:bookmarkStart w:id="79" w:name="_Toc184313247"/>
      <w:bookmarkEnd w:id="79"/>
      <w:bookmarkStart w:id="80" w:name="_Toc184312130"/>
      <w:bookmarkEnd w:id="80"/>
      <w:bookmarkStart w:id="81" w:name="_Toc184312123"/>
      <w:bookmarkEnd w:id="81"/>
      <w:bookmarkStart w:id="82" w:name="_Toc184314430"/>
      <w:bookmarkEnd w:id="82"/>
      <w:bookmarkStart w:id="83" w:name="_Toc184310331"/>
      <w:bookmarkEnd w:id="83"/>
      <w:bookmarkStart w:id="84" w:name="_Toc184312116"/>
      <w:bookmarkEnd w:id="84"/>
      <w:bookmarkStart w:id="85" w:name="_Toc184314424"/>
      <w:bookmarkEnd w:id="85"/>
      <w:bookmarkStart w:id="86" w:name="_Toc184314438"/>
      <w:bookmarkEnd w:id="86"/>
      <w:bookmarkStart w:id="87" w:name="_Toc184312107"/>
      <w:bookmarkEnd w:id="87"/>
      <w:bookmarkStart w:id="88" w:name="_Toc184308106"/>
      <w:bookmarkEnd w:id="88"/>
      <w:bookmarkStart w:id="89" w:name="_Toc184313275"/>
      <w:bookmarkEnd w:id="89"/>
      <w:bookmarkStart w:id="90" w:name="_Toc184313307"/>
      <w:bookmarkEnd w:id="90"/>
      <w:bookmarkStart w:id="91" w:name="_Toc184308079"/>
      <w:bookmarkEnd w:id="91"/>
      <w:bookmarkStart w:id="92" w:name="_Toc184308041"/>
      <w:bookmarkEnd w:id="92"/>
      <w:bookmarkStart w:id="93" w:name="_Toc184313283"/>
      <w:bookmarkEnd w:id="93"/>
      <w:bookmarkStart w:id="94" w:name="_Toc184314482"/>
      <w:bookmarkEnd w:id="94"/>
      <w:bookmarkStart w:id="95" w:name="_Toc184312071"/>
      <w:bookmarkEnd w:id="95"/>
      <w:bookmarkStart w:id="96" w:name="_Toc184312097"/>
      <w:bookmarkEnd w:id="96"/>
      <w:bookmarkStart w:id="97" w:name="_Toc184312115"/>
      <w:bookmarkEnd w:id="97"/>
      <w:bookmarkStart w:id="98" w:name="_Toc184308067"/>
      <w:bookmarkEnd w:id="98"/>
      <w:bookmarkStart w:id="99" w:name="_Toc184314435"/>
      <w:bookmarkEnd w:id="99"/>
      <w:bookmarkStart w:id="100" w:name="_Toc184313301"/>
      <w:bookmarkEnd w:id="100"/>
      <w:bookmarkStart w:id="101" w:name="_Toc184308103"/>
      <w:bookmarkEnd w:id="101"/>
      <w:bookmarkStart w:id="102" w:name="_Toc184313252"/>
      <w:bookmarkEnd w:id="102"/>
      <w:bookmarkStart w:id="103" w:name="_Toc184314469"/>
      <w:bookmarkEnd w:id="103"/>
      <w:bookmarkStart w:id="104" w:name="_Toc184314410"/>
      <w:bookmarkEnd w:id="104"/>
      <w:bookmarkStart w:id="105" w:name="_Toc184310322"/>
      <w:bookmarkEnd w:id="105"/>
      <w:bookmarkStart w:id="106" w:name="_Toc184310276"/>
      <w:bookmarkEnd w:id="106"/>
      <w:bookmarkStart w:id="107" w:name="_Toc184310325"/>
      <w:bookmarkEnd w:id="107"/>
      <w:bookmarkStart w:id="108" w:name="_Toc184313295"/>
      <w:bookmarkEnd w:id="108"/>
      <w:bookmarkStart w:id="109" w:name="_Toc184314465"/>
      <w:bookmarkEnd w:id="109"/>
      <w:bookmarkStart w:id="110" w:name="_Toc184313241"/>
      <w:bookmarkEnd w:id="110"/>
      <w:bookmarkStart w:id="111" w:name="_Toc184310328"/>
      <w:bookmarkEnd w:id="111"/>
      <w:bookmarkStart w:id="112" w:name="_Toc184312108"/>
      <w:bookmarkEnd w:id="112"/>
      <w:bookmarkStart w:id="113" w:name="_Toc184313276"/>
      <w:bookmarkEnd w:id="113"/>
      <w:bookmarkStart w:id="114" w:name="_Toc184314416"/>
      <w:bookmarkEnd w:id="114"/>
      <w:bookmarkStart w:id="115" w:name="_Toc184313284"/>
      <w:bookmarkEnd w:id="115"/>
      <w:bookmarkStart w:id="116" w:name="_Toc184310334"/>
      <w:bookmarkEnd w:id="116"/>
      <w:bookmarkStart w:id="117" w:name="_Toc184310332"/>
      <w:bookmarkEnd w:id="117"/>
      <w:bookmarkStart w:id="118" w:name="_Toc184312133"/>
      <w:bookmarkEnd w:id="118"/>
      <w:bookmarkStart w:id="119" w:name="_Toc184314418"/>
      <w:bookmarkEnd w:id="119"/>
      <w:bookmarkStart w:id="120" w:name="_Toc184314448"/>
      <w:bookmarkEnd w:id="120"/>
      <w:bookmarkStart w:id="121" w:name="_Toc184310299"/>
      <w:bookmarkEnd w:id="121"/>
      <w:bookmarkStart w:id="122" w:name="_Toc184310323"/>
      <w:bookmarkEnd w:id="122"/>
      <w:bookmarkStart w:id="123" w:name="_Toc184313280"/>
      <w:bookmarkEnd w:id="123"/>
      <w:bookmarkStart w:id="124" w:name="_Toc184308042"/>
      <w:bookmarkEnd w:id="124"/>
      <w:bookmarkStart w:id="125" w:name="_Toc184310281"/>
      <w:bookmarkEnd w:id="125"/>
      <w:bookmarkStart w:id="126" w:name="_Toc184312136"/>
      <w:bookmarkEnd w:id="126"/>
      <w:bookmarkStart w:id="127" w:name="_Toc184312087"/>
      <w:bookmarkEnd w:id="127"/>
      <w:bookmarkStart w:id="128" w:name="_Toc184308095"/>
      <w:bookmarkEnd w:id="128"/>
      <w:bookmarkStart w:id="129" w:name="_Toc184310341"/>
      <w:bookmarkEnd w:id="129"/>
      <w:bookmarkStart w:id="130" w:name="_Toc184314467"/>
      <w:bookmarkEnd w:id="130"/>
      <w:bookmarkStart w:id="131" w:name="_Toc184313257"/>
      <w:bookmarkEnd w:id="131"/>
      <w:bookmarkStart w:id="132" w:name="_Toc184313270"/>
      <w:bookmarkEnd w:id="132"/>
      <w:bookmarkStart w:id="133" w:name="_Toc184308064"/>
      <w:bookmarkEnd w:id="133"/>
      <w:bookmarkStart w:id="134" w:name="_Toc184313256"/>
      <w:bookmarkEnd w:id="134"/>
      <w:bookmarkStart w:id="135" w:name="_Toc184314427"/>
      <w:bookmarkEnd w:id="135"/>
      <w:bookmarkStart w:id="136" w:name="_Toc184313293"/>
      <w:bookmarkEnd w:id="136"/>
      <w:bookmarkStart w:id="137" w:name="_Toc184312083"/>
      <w:bookmarkEnd w:id="137"/>
      <w:bookmarkStart w:id="138" w:name="_Toc184312125"/>
      <w:bookmarkEnd w:id="138"/>
      <w:bookmarkStart w:id="139" w:name="_Toc184313263"/>
      <w:bookmarkEnd w:id="139"/>
      <w:bookmarkStart w:id="140" w:name="_Toc184313240"/>
      <w:bookmarkEnd w:id="140"/>
      <w:bookmarkStart w:id="141" w:name="_Toc184312099"/>
      <w:bookmarkEnd w:id="141"/>
      <w:bookmarkStart w:id="142" w:name="_Toc184313277"/>
      <w:bookmarkEnd w:id="142"/>
      <w:bookmarkStart w:id="143" w:name="_Toc184308092"/>
      <w:bookmarkEnd w:id="143"/>
      <w:bookmarkStart w:id="144" w:name="_Toc184310275"/>
      <w:bookmarkEnd w:id="144"/>
      <w:bookmarkStart w:id="145" w:name="_Toc184314434"/>
      <w:bookmarkEnd w:id="145"/>
      <w:bookmarkStart w:id="146" w:name="_Toc184308097"/>
      <w:bookmarkEnd w:id="146"/>
      <w:bookmarkStart w:id="147" w:name="_Toc184313246"/>
      <w:bookmarkEnd w:id="147"/>
      <w:bookmarkStart w:id="148" w:name="_Toc184308061"/>
      <w:bookmarkEnd w:id="148"/>
      <w:bookmarkStart w:id="149" w:name="_Toc184312112"/>
      <w:bookmarkEnd w:id="149"/>
      <w:bookmarkStart w:id="150" w:name="_Toc184314449"/>
      <w:bookmarkEnd w:id="150"/>
      <w:bookmarkStart w:id="151" w:name="_Toc184314443"/>
      <w:bookmarkEnd w:id="151"/>
      <w:bookmarkStart w:id="152" w:name="_Toc184314413"/>
      <w:bookmarkEnd w:id="152"/>
      <w:bookmarkStart w:id="153" w:name="_Toc184310287"/>
      <w:bookmarkEnd w:id="153"/>
      <w:bookmarkStart w:id="154" w:name="_Toc184308046"/>
      <w:bookmarkEnd w:id="154"/>
      <w:bookmarkStart w:id="155" w:name="_Toc184308049"/>
      <w:bookmarkEnd w:id="155"/>
      <w:bookmarkStart w:id="156" w:name="_Toc184312135"/>
      <w:bookmarkEnd w:id="156"/>
      <w:bookmarkStart w:id="157" w:name="_Toc184308081"/>
      <w:bookmarkEnd w:id="157"/>
      <w:bookmarkStart w:id="158" w:name="_Toc184308050"/>
      <w:bookmarkEnd w:id="158"/>
      <w:bookmarkStart w:id="159" w:name="_Toc184313271"/>
      <w:bookmarkEnd w:id="159"/>
      <w:bookmarkStart w:id="160" w:name="_Toc184310303"/>
      <w:bookmarkEnd w:id="160"/>
      <w:bookmarkStart w:id="161" w:name="_Toc184313260"/>
      <w:bookmarkEnd w:id="161"/>
      <w:bookmarkStart w:id="162" w:name="_Toc184312098"/>
      <w:bookmarkEnd w:id="162"/>
      <w:bookmarkStart w:id="163" w:name="_Toc184308099"/>
      <w:bookmarkEnd w:id="163"/>
      <w:bookmarkStart w:id="164" w:name="_Toc184314477"/>
      <w:bookmarkEnd w:id="164"/>
      <w:bookmarkStart w:id="165" w:name="_Toc184308073"/>
      <w:bookmarkEnd w:id="165"/>
      <w:bookmarkStart w:id="166" w:name="_Toc184310290"/>
      <w:bookmarkEnd w:id="166"/>
      <w:bookmarkStart w:id="167" w:name="_Toc184313285"/>
      <w:bookmarkEnd w:id="167"/>
      <w:bookmarkStart w:id="168" w:name="_Toc184310333"/>
      <w:bookmarkEnd w:id="168"/>
      <w:bookmarkStart w:id="169" w:name="_Toc184308107"/>
      <w:bookmarkEnd w:id="169"/>
      <w:bookmarkStart w:id="170" w:name="_Toc184312094"/>
      <w:bookmarkEnd w:id="170"/>
      <w:bookmarkStart w:id="171" w:name="_Toc184313259"/>
      <w:bookmarkEnd w:id="171"/>
      <w:bookmarkStart w:id="172" w:name="_Toc184313302"/>
      <w:bookmarkEnd w:id="172"/>
      <w:bookmarkStart w:id="173" w:name="_Toc184308083"/>
      <w:bookmarkEnd w:id="173"/>
      <w:bookmarkStart w:id="174" w:name="_Toc184308060"/>
      <w:bookmarkEnd w:id="174"/>
      <w:bookmarkStart w:id="175" w:name="_Toc184312100"/>
      <w:bookmarkEnd w:id="175"/>
      <w:bookmarkStart w:id="176" w:name="_Toc184308056"/>
      <w:bookmarkEnd w:id="176"/>
      <w:bookmarkStart w:id="177" w:name="_Toc184310274"/>
      <w:bookmarkEnd w:id="177"/>
      <w:bookmarkStart w:id="178" w:name="_Toc184310326"/>
      <w:bookmarkEnd w:id="178"/>
      <w:bookmarkStart w:id="179" w:name="_Toc184310321"/>
      <w:bookmarkEnd w:id="179"/>
      <w:bookmarkStart w:id="180" w:name="_Toc184308048"/>
      <w:bookmarkEnd w:id="180"/>
      <w:bookmarkStart w:id="181" w:name="_Toc184313299"/>
      <w:bookmarkEnd w:id="181"/>
      <w:bookmarkStart w:id="182" w:name="_Toc184308058"/>
      <w:bookmarkEnd w:id="182"/>
      <w:bookmarkStart w:id="183" w:name="_Toc184314415"/>
      <w:bookmarkEnd w:id="183"/>
      <w:bookmarkStart w:id="184" w:name="_Toc184312127"/>
      <w:bookmarkEnd w:id="184"/>
      <w:bookmarkStart w:id="185" w:name="_Toc184314431"/>
      <w:bookmarkEnd w:id="185"/>
      <w:bookmarkStart w:id="186" w:name="_Toc184308065"/>
      <w:bookmarkEnd w:id="186"/>
      <w:bookmarkStart w:id="187" w:name="_Toc184310338"/>
      <w:bookmarkEnd w:id="187"/>
      <w:bookmarkStart w:id="188" w:name="_Toc184313286"/>
      <w:bookmarkEnd w:id="188"/>
      <w:bookmarkStart w:id="189" w:name="_Toc184310279"/>
      <w:bookmarkEnd w:id="189"/>
      <w:bookmarkStart w:id="190" w:name="_Toc184314425"/>
      <w:bookmarkEnd w:id="190"/>
      <w:bookmarkStart w:id="191" w:name="_Toc184314414"/>
      <w:bookmarkEnd w:id="191"/>
      <w:bookmarkStart w:id="192" w:name="_Toc184310273"/>
      <w:bookmarkEnd w:id="192"/>
      <w:bookmarkStart w:id="193" w:name="_Toc184308090"/>
      <w:bookmarkEnd w:id="193"/>
      <w:bookmarkStart w:id="194" w:name="_Toc184312090"/>
      <w:bookmarkEnd w:id="194"/>
      <w:bookmarkStart w:id="195" w:name="_Toc184308091"/>
      <w:bookmarkEnd w:id="195"/>
      <w:bookmarkStart w:id="196" w:name="_Toc184310319"/>
      <w:bookmarkEnd w:id="196"/>
      <w:bookmarkStart w:id="197" w:name="_Toc184310277"/>
      <w:bookmarkEnd w:id="197"/>
      <w:bookmarkStart w:id="198" w:name="_Toc184310294"/>
      <w:bookmarkEnd w:id="198"/>
      <w:bookmarkStart w:id="199" w:name="_Toc184308088"/>
      <w:bookmarkEnd w:id="199"/>
      <w:bookmarkStart w:id="200" w:name="_Toc184312103"/>
      <w:bookmarkEnd w:id="200"/>
      <w:bookmarkStart w:id="201" w:name="_Toc184310313"/>
      <w:bookmarkEnd w:id="201"/>
      <w:bookmarkStart w:id="202" w:name="_Toc184313274"/>
      <w:bookmarkEnd w:id="202"/>
      <w:bookmarkStart w:id="203" w:name="_Toc184312121"/>
      <w:bookmarkEnd w:id="203"/>
      <w:bookmarkStart w:id="204" w:name="_Toc184310304"/>
      <w:bookmarkEnd w:id="204"/>
      <w:bookmarkStart w:id="205" w:name="_Toc184313296"/>
      <w:bookmarkEnd w:id="205"/>
      <w:bookmarkStart w:id="206" w:name="_Toc184312079"/>
      <w:bookmarkEnd w:id="206"/>
      <w:bookmarkStart w:id="207" w:name="_Toc184310344"/>
      <w:bookmarkEnd w:id="207"/>
      <w:bookmarkStart w:id="208" w:name="_Toc184314478"/>
      <w:bookmarkEnd w:id="208"/>
      <w:bookmarkStart w:id="209" w:name="_Toc184312128"/>
      <w:bookmarkEnd w:id="209"/>
      <w:bookmarkStart w:id="210" w:name="_Toc184312122"/>
      <w:bookmarkEnd w:id="210"/>
      <w:bookmarkStart w:id="211" w:name="_Toc184312073"/>
      <w:bookmarkEnd w:id="211"/>
      <w:bookmarkStart w:id="212" w:name="_Toc184313287"/>
      <w:bookmarkEnd w:id="212"/>
      <w:bookmarkStart w:id="213" w:name="_Toc184314444"/>
      <w:bookmarkEnd w:id="213"/>
      <w:bookmarkStart w:id="214" w:name="_Toc184310288"/>
      <w:bookmarkEnd w:id="214"/>
      <w:bookmarkStart w:id="215" w:name="_Toc184313243"/>
      <w:bookmarkEnd w:id="215"/>
      <w:bookmarkStart w:id="216" w:name="_Toc184312109"/>
      <w:bookmarkEnd w:id="216"/>
      <w:bookmarkStart w:id="217" w:name="_Toc184312082"/>
      <w:bookmarkEnd w:id="217"/>
      <w:bookmarkStart w:id="218" w:name="_Toc184308087"/>
      <w:bookmarkEnd w:id="218"/>
      <w:bookmarkStart w:id="219" w:name="_Toc184314457"/>
      <w:bookmarkEnd w:id="219"/>
      <w:bookmarkStart w:id="220" w:name="_Toc184310324"/>
      <w:bookmarkEnd w:id="220"/>
      <w:bookmarkStart w:id="221" w:name="_Toc184310316"/>
      <w:bookmarkEnd w:id="221"/>
      <w:bookmarkStart w:id="222" w:name="_Toc184312118"/>
      <w:bookmarkEnd w:id="222"/>
      <w:bookmarkStart w:id="223" w:name="_Toc184314481"/>
      <w:bookmarkEnd w:id="223"/>
      <w:bookmarkStart w:id="224" w:name="_Toc184313282"/>
      <w:bookmarkEnd w:id="224"/>
      <w:bookmarkStart w:id="225" w:name="_Toc184310315"/>
      <w:bookmarkEnd w:id="225"/>
      <w:bookmarkStart w:id="226" w:name="_Toc184310335"/>
      <w:bookmarkEnd w:id="226"/>
      <w:bookmarkStart w:id="227" w:name="_Toc184313244"/>
      <w:bookmarkEnd w:id="227"/>
      <w:bookmarkStart w:id="228" w:name="_Toc184314466"/>
      <w:bookmarkEnd w:id="228"/>
      <w:bookmarkStart w:id="229" w:name="_Toc184312117"/>
      <w:bookmarkEnd w:id="229"/>
      <w:bookmarkStart w:id="230" w:name="_Toc184312101"/>
      <w:bookmarkEnd w:id="230"/>
      <w:bookmarkStart w:id="231" w:name="_Toc184308063"/>
      <w:bookmarkEnd w:id="231"/>
      <w:bookmarkStart w:id="232" w:name="_Toc184308055"/>
      <w:bookmarkEnd w:id="232"/>
      <w:bookmarkStart w:id="233" w:name="_Toc184310278"/>
      <w:bookmarkEnd w:id="233"/>
      <w:bookmarkStart w:id="234" w:name="_Toc184312077"/>
      <w:bookmarkEnd w:id="234"/>
      <w:bookmarkStart w:id="235" w:name="_Toc184313250"/>
      <w:bookmarkEnd w:id="235"/>
      <w:bookmarkStart w:id="236" w:name="_Toc184308036"/>
      <w:bookmarkEnd w:id="236"/>
      <w:bookmarkStart w:id="237" w:name="_Toc184312110"/>
      <w:bookmarkEnd w:id="237"/>
      <w:bookmarkStart w:id="238" w:name="_Toc184312139"/>
      <w:bookmarkEnd w:id="238"/>
      <w:bookmarkStart w:id="239" w:name="_Toc184313239"/>
      <w:bookmarkEnd w:id="239"/>
      <w:bookmarkStart w:id="240" w:name="_Toc184312131"/>
      <w:bookmarkEnd w:id="240"/>
      <w:bookmarkStart w:id="241" w:name="_Toc184308104"/>
      <w:bookmarkEnd w:id="241"/>
      <w:bookmarkStart w:id="242" w:name="_Toc184308093"/>
      <w:bookmarkEnd w:id="242"/>
      <w:bookmarkStart w:id="243" w:name="_Toc184313251"/>
      <w:bookmarkEnd w:id="243"/>
      <w:bookmarkStart w:id="244" w:name="_Toc184314452"/>
      <w:bookmarkEnd w:id="244"/>
      <w:bookmarkStart w:id="245" w:name="_Toc184310291"/>
      <w:bookmarkEnd w:id="245"/>
      <w:bookmarkStart w:id="246" w:name="_Toc184313290"/>
      <w:bookmarkEnd w:id="246"/>
      <w:bookmarkStart w:id="247" w:name="_Toc184312114"/>
      <w:bookmarkEnd w:id="247"/>
      <w:bookmarkStart w:id="248" w:name="_Toc184310337"/>
      <w:bookmarkEnd w:id="248"/>
      <w:bookmarkStart w:id="249" w:name="_Toc184310330"/>
      <w:bookmarkEnd w:id="249"/>
      <w:bookmarkStart w:id="250" w:name="_Toc184308062"/>
      <w:bookmarkEnd w:id="250"/>
      <w:bookmarkStart w:id="251" w:name="_Toc184310339"/>
      <w:bookmarkEnd w:id="251"/>
      <w:bookmarkStart w:id="252" w:name="_Toc184308080"/>
      <w:bookmarkEnd w:id="252"/>
      <w:bookmarkStart w:id="253" w:name="_Toc184314437"/>
      <w:bookmarkEnd w:id="253"/>
      <w:bookmarkStart w:id="254" w:name="_Toc184308071"/>
      <w:bookmarkEnd w:id="254"/>
      <w:bookmarkStart w:id="255" w:name="_Toc184313268"/>
      <w:bookmarkEnd w:id="255"/>
      <w:bookmarkStart w:id="256" w:name="_Toc184314459"/>
      <w:bookmarkEnd w:id="256"/>
      <w:bookmarkStart w:id="257" w:name="_Toc184308072"/>
      <w:bookmarkEnd w:id="257"/>
      <w:bookmarkStart w:id="258" w:name="_Toc184313245"/>
      <w:bookmarkEnd w:id="258"/>
      <w:bookmarkStart w:id="259" w:name="_Toc184312080"/>
      <w:bookmarkEnd w:id="259"/>
      <w:bookmarkStart w:id="260" w:name="_Toc184310297"/>
      <w:bookmarkEnd w:id="260"/>
      <w:bookmarkStart w:id="261" w:name="_Toc184308059"/>
      <w:bookmarkEnd w:id="261"/>
      <w:bookmarkStart w:id="262" w:name="_Toc184308108"/>
      <w:bookmarkEnd w:id="262"/>
      <w:bookmarkStart w:id="263" w:name="_Toc184313272"/>
      <w:bookmarkEnd w:id="263"/>
      <w:bookmarkStart w:id="264" w:name="_Toc184310307"/>
      <w:bookmarkEnd w:id="264"/>
      <w:bookmarkStart w:id="265" w:name="_Toc184308089"/>
      <w:bookmarkEnd w:id="265"/>
      <w:bookmarkStart w:id="266" w:name="_Toc184310317"/>
      <w:bookmarkEnd w:id="266"/>
      <w:bookmarkStart w:id="267" w:name="_Toc184313306"/>
      <w:bookmarkEnd w:id="267"/>
      <w:bookmarkStart w:id="268" w:name="_Toc184312119"/>
      <w:bookmarkEnd w:id="268"/>
      <w:bookmarkStart w:id="269" w:name="_Toc184310282"/>
      <w:bookmarkEnd w:id="269"/>
      <w:bookmarkStart w:id="270" w:name="_Toc184314436"/>
      <w:bookmarkEnd w:id="270"/>
      <w:bookmarkStart w:id="271" w:name="_Toc184308096"/>
      <w:bookmarkEnd w:id="271"/>
      <w:bookmarkStart w:id="272" w:name="_Toc184310285"/>
      <w:bookmarkEnd w:id="272"/>
      <w:bookmarkStart w:id="273" w:name="_Toc184313262"/>
      <w:bookmarkEnd w:id="273"/>
      <w:bookmarkStart w:id="274" w:name="_Toc184313254"/>
      <w:bookmarkEnd w:id="274"/>
      <w:bookmarkStart w:id="275" w:name="_Toc184312089"/>
      <w:bookmarkEnd w:id="275"/>
      <w:bookmarkStart w:id="276" w:name="_Toc184314471"/>
      <w:bookmarkEnd w:id="276"/>
      <w:bookmarkStart w:id="277" w:name="_Toc184308094"/>
      <w:bookmarkEnd w:id="277"/>
      <w:bookmarkStart w:id="278" w:name="_Toc184313294"/>
      <w:bookmarkEnd w:id="278"/>
      <w:bookmarkStart w:id="279" w:name="_Toc184314470"/>
      <w:bookmarkEnd w:id="279"/>
      <w:bookmarkStart w:id="280" w:name="_Toc184310272"/>
      <w:bookmarkEnd w:id="280"/>
      <w:bookmarkStart w:id="281" w:name="_Toc184312126"/>
      <w:bookmarkEnd w:id="281"/>
      <w:bookmarkStart w:id="282" w:name="_Toc184314440"/>
      <w:bookmarkEnd w:id="282"/>
      <w:bookmarkStart w:id="283" w:name="_Toc184313242"/>
      <w:bookmarkEnd w:id="283"/>
      <w:bookmarkStart w:id="284" w:name="_Toc184312081"/>
      <w:bookmarkEnd w:id="284"/>
      <w:bookmarkStart w:id="285" w:name="_Toc184310327"/>
      <w:bookmarkEnd w:id="285"/>
      <w:bookmarkStart w:id="286" w:name="_Toc184310305"/>
      <w:bookmarkEnd w:id="286"/>
      <w:bookmarkStart w:id="287" w:name="_Toc184312092"/>
      <w:bookmarkEnd w:id="287"/>
      <w:bookmarkStart w:id="288" w:name="_Toc184308039"/>
      <w:bookmarkEnd w:id="288"/>
      <w:bookmarkStart w:id="289" w:name="_Toc184310309"/>
      <w:bookmarkEnd w:id="289"/>
      <w:bookmarkStart w:id="290" w:name="_Toc184314474"/>
      <w:bookmarkEnd w:id="290"/>
      <w:bookmarkStart w:id="291" w:name="_Toc184308043"/>
      <w:bookmarkEnd w:id="291"/>
      <w:bookmarkStart w:id="292" w:name="_Toc184314419"/>
      <w:bookmarkEnd w:id="292"/>
      <w:bookmarkStart w:id="293" w:name="_Toc184310296"/>
      <w:bookmarkEnd w:id="293"/>
      <w:bookmarkStart w:id="294" w:name="_Toc184314421"/>
      <w:bookmarkEnd w:id="294"/>
      <w:bookmarkStart w:id="295" w:name="_Toc184312069"/>
      <w:bookmarkEnd w:id="295"/>
      <w:bookmarkStart w:id="296" w:name="_Toc184310284"/>
      <w:bookmarkEnd w:id="296"/>
      <w:bookmarkStart w:id="297" w:name="_Toc184314420"/>
      <w:bookmarkEnd w:id="297"/>
      <w:bookmarkStart w:id="298" w:name="_Toc184313273"/>
      <w:bookmarkEnd w:id="298"/>
      <w:bookmarkStart w:id="299" w:name="_Toc184308084"/>
      <w:bookmarkEnd w:id="299"/>
      <w:bookmarkStart w:id="300" w:name="_Toc184313297"/>
      <w:bookmarkEnd w:id="300"/>
      <w:bookmarkStart w:id="301" w:name="_Toc184314458"/>
      <w:bookmarkEnd w:id="301"/>
      <w:bookmarkStart w:id="302" w:name="_Toc184314450"/>
      <w:bookmarkEnd w:id="302"/>
      <w:bookmarkStart w:id="303" w:name="_Toc184313278"/>
      <w:bookmarkEnd w:id="303"/>
      <w:bookmarkStart w:id="304" w:name="_Toc184308101"/>
      <w:bookmarkEnd w:id="304"/>
      <w:bookmarkStart w:id="305" w:name="_Toc184310302"/>
      <w:bookmarkEnd w:id="305"/>
      <w:bookmarkStart w:id="306" w:name="_Toc184310311"/>
      <w:bookmarkEnd w:id="306"/>
      <w:bookmarkStart w:id="307" w:name="_Toc184314442"/>
      <w:bookmarkEnd w:id="307"/>
      <w:bookmarkStart w:id="308" w:name="_Toc184310280"/>
      <w:bookmarkEnd w:id="308"/>
      <w:bookmarkStart w:id="309" w:name="_Toc184308077"/>
      <w:bookmarkEnd w:id="309"/>
      <w:bookmarkStart w:id="310" w:name="_Toc184312113"/>
      <w:bookmarkEnd w:id="310"/>
      <w:bookmarkStart w:id="311" w:name="_Toc184308082"/>
      <w:bookmarkEnd w:id="311"/>
      <w:bookmarkStart w:id="312" w:name="_Toc184310320"/>
      <w:bookmarkEnd w:id="312"/>
      <w:bookmarkStart w:id="313" w:name="_Toc184308066"/>
      <w:bookmarkEnd w:id="313"/>
      <w:bookmarkStart w:id="314" w:name="_Toc184310298"/>
      <w:bookmarkEnd w:id="314"/>
      <w:bookmarkStart w:id="315" w:name="_Toc184313279"/>
      <w:bookmarkEnd w:id="315"/>
      <w:bookmarkStart w:id="316" w:name="_Toc184314432"/>
      <w:bookmarkEnd w:id="316"/>
      <w:bookmarkStart w:id="317" w:name="_Toc184314423"/>
      <w:bookmarkEnd w:id="317"/>
      <w:bookmarkStart w:id="318" w:name="_Toc184314475"/>
      <w:bookmarkEnd w:id="318"/>
      <w:bookmarkStart w:id="319" w:name="_Toc184308068"/>
      <w:bookmarkEnd w:id="319"/>
      <w:bookmarkStart w:id="320" w:name="_Toc184313309"/>
      <w:bookmarkEnd w:id="320"/>
      <w:bookmarkStart w:id="321" w:name="_Toc184314460"/>
      <w:bookmarkEnd w:id="321"/>
      <w:bookmarkStart w:id="322" w:name="_Toc184314445"/>
      <w:bookmarkEnd w:id="322"/>
      <w:bookmarkStart w:id="323" w:name="_Toc184313281"/>
      <w:bookmarkEnd w:id="323"/>
      <w:bookmarkStart w:id="324" w:name="_Toc184310301"/>
      <w:bookmarkEnd w:id="324"/>
      <w:bookmarkStart w:id="325" w:name="_Toc184308076"/>
      <w:bookmarkEnd w:id="325"/>
      <w:bookmarkStart w:id="326" w:name="_Toc184312067"/>
      <w:bookmarkEnd w:id="326"/>
      <w:bookmarkStart w:id="327" w:name="_Toc184312078"/>
      <w:bookmarkEnd w:id="327"/>
      <w:bookmarkStart w:id="328" w:name="_Toc184310343"/>
      <w:bookmarkEnd w:id="328"/>
      <w:bookmarkStart w:id="329" w:name="_Toc184308074"/>
      <w:bookmarkEnd w:id="329"/>
      <w:bookmarkStart w:id="330" w:name="_Toc184313253"/>
      <w:bookmarkEnd w:id="330"/>
      <w:bookmarkStart w:id="331" w:name="_Toc184310336"/>
      <w:bookmarkEnd w:id="331"/>
      <w:bookmarkStart w:id="332" w:name="_Toc184314462"/>
      <w:bookmarkEnd w:id="332"/>
      <w:bookmarkStart w:id="333" w:name="_Toc184312084"/>
      <w:bookmarkEnd w:id="333"/>
      <w:bookmarkStart w:id="334" w:name="_Toc184310289"/>
      <w:bookmarkEnd w:id="334"/>
      <w:bookmarkStart w:id="335" w:name="_Toc184314412"/>
      <w:bookmarkEnd w:id="335"/>
      <w:bookmarkStart w:id="336" w:name="_Toc184313248"/>
      <w:bookmarkEnd w:id="336"/>
      <w:bookmarkStart w:id="337" w:name="_Toc184314472"/>
      <w:bookmarkEnd w:id="337"/>
      <w:bookmarkStart w:id="338" w:name="_Toc184312076"/>
      <w:bookmarkEnd w:id="338"/>
      <w:bookmarkStart w:id="339" w:name="_Toc184308078"/>
      <w:bookmarkEnd w:id="339"/>
      <w:bookmarkStart w:id="340" w:name="_Toc184308053"/>
      <w:bookmarkEnd w:id="340"/>
      <w:bookmarkStart w:id="341" w:name="_Toc184313238"/>
      <w:bookmarkEnd w:id="341"/>
      <w:bookmarkStart w:id="342" w:name="_Toc184314446"/>
      <w:bookmarkEnd w:id="342"/>
      <w:bookmarkStart w:id="343" w:name="_Toc184314454"/>
      <w:bookmarkEnd w:id="343"/>
      <w:bookmarkStart w:id="344" w:name="_Toc184313289"/>
      <w:bookmarkEnd w:id="344"/>
      <w:bookmarkStart w:id="345" w:name="_Toc184314479"/>
      <w:bookmarkEnd w:id="345"/>
      <w:bookmarkStart w:id="346" w:name="_Toc184313288"/>
      <w:bookmarkEnd w:id="346"/>
      <w:bookmarkStart w:id="347" w:name="_Toc184312095"/>
      <w:bookmarkEnd w:id="347"/>
      <w:bookmarkStart w:id="348" w:name="_Toc184314422"/>
      <w:bookmarkEnd w:id="348"/>
      <w:bookmarkStart w:id="349" w:name="_Toc184308054"/>
      <w:bookmarkEnd w:id="349"/>
      <w:bookmarkStart w:id="350" w:name="_Toc184313258"/>
      <w:bookmarkEnd w:id="350"/>
      <w:bookmarkStart w:id="351" w:name="_Toc184313267"/>
      <w:bookmarkEnd w:id="351"/>
      <w:bookmarkStart w:id="352" w:name="_Toc184312138"/>
      <w:bookmarkEnd w:id="352"/>
      <w:bookmarkStart w:id="353" w:name="_Toc184308037"/>
      <w:bookmarkEnd w:id="353"/>
      <w:bookmarkStart w:id="354" w:name="_Toc184310306"/>
      <w:bookmarkEnd w:id="354"/>
      <w:bookmarkStart w:id="355" w:name="_Toc184310308"/>
      <w:bookmarkEnd w:id="355"/>
      <w:bookmarkStart w:id="356" w:name="_Toc184308070"/>
      <w:bookmarkEnd w:id="356"/>
      <w:bookmarkStart w:id="357" w:name="_Toc184314473"/>
      <w:bookmarkEnd w:id="357"/>
      <w:bookmarkStart w:id="358" w:name="_Toc184312075"/>
      <w:bookmarkEnd w:id="358"/>
      <w:bookmarkStart w:id="359" w:name="_Toc184308075"/>
      <w:bookmarkEnd w:id="359"/>
      <w:bookmarkStart w:id="360" w:name="_Toc184314455"/>
      <w:bookmarkEnd w:id="360"/>
      <w:bookmarkStart w:id="361" w:name="_Toc184313255"/>
      <w:bookmarkEnd w:id="361"/>
      <w:bookmarkStart w:id="362" w:name="_Toc184310329"/>
      <w:bookmarkEnd w:id="362"/>
      <w:bookmarkStart w:id="363" w:name="_Toc184314451"/>
      <w:bookmarkEnd w:id="363"/>
      <w:bookmarkStart w:id="364" w:name="_Toc184310342"/>
      <w:bookmarkEnd w:id="364"/>
      <w:bookmarkStart w:id="365" w:name="_Toc184313266"/>
      <w:bookmarkEnd w:id="365"/>
      <w:bookmarkStart w:id="366" w:name="_Toc184314447"/>
      <w:bookmarkEnd w:id="366"/>
      <w:bookmarkStart w:id="367" w:name="_Toc184314433"/>
      <w:bookmarkEnd w:id="367"/>
      <w:bookmarkStart w:id="368" w:name="_Toc184312096"/>
      <w:bookmarkEnd w:id="368"/>
      <w:bookmarkStart w:id="369" w:name="_Toc184312088"/>
      <w:bookmarkEnd w:id="369"/>
      <w:bookmarkStart w:id="370" w:name="_Toc184308047"/>
      <w:bookmarkEnd w:id="370"/>
      <w:bookmarkStart w:id="371" w:name="_Toc184308086"/>
      <w:bookmarkEnd w:id="371"/>
      <w:bookmarkStart w:id="372" w:name="_Toc184312120"/>
      <w:bookmarkEnd w:id="372"/>
      <w:bookmarkStart w:id="373" w:name="_Toc184308102"/>
      <w:bookmarkEnd w:id="373"/>
      <w:bookmarkStart w:id="374" w:name="_Toc184308045"/>
      <w:bookmarkEnd w:id="374"/>
      <w:bookmarkStart w:id="375" w:name="_Toc184308044"/>
      <w:bookmarkEnd w:id="375"/>
      <w:bookmarkStart w:id="376" w:name="_Toc184314428"/>
      <w:bookmarkEnd w:id="376"/>
      <w:bookmarkStart w:id="377" w:name="_Toc184308069"/>
      <w:bookmarkEnd w:id="377"/>
      <w:bookmarkStart w:id="378" w:name="_Toc184312106"/>
      <w:bookmarkEnd w:id="378"/>
      <w:bookmarkStart w:id="379" w:name="_Toc184308040"/>
      <w:bookmarkEnd w:id="379"/>
      <w:bookmarkStart w:id="380" w:name="_Toc184314411"/>
      <w:bookmarkEnd w:id="380"/>
      <w:bookmarkStart w:id="381" w:name="_Toc184312085"/>
      <w:bookmarkEnd w:id="381"/>
      <w:bookmarkStart w:id="382" w:name="_Toc184312091"/>
      <w:bookmarkEnd w:id="382"/>
      <w:bookmarkStart w:id="383" w:name="_Toc184308100"/>
      <w:bookmarkEnd w:id="383"/>
      <w:bookmarkStart w:id="384" w:name="_Toc184313292"/>
      <w:bookmarkEnd w:id="384"/>
      <w:bookmarkStart w:id="385" w:name="_Toc184312105"/>
      <w:bookmarkEnd w:id="385"/>
      <w:bookmarkStart w:id="386" w:name="_Toc184312137"/>
      <w:bookmarkEnd w:id="386"/>
      <w:bookmarkStart w:id="387" w:name="_Toc184312086"/>
      <w:bookmarkEnd w:id="387"/>
      <w:bookmarkStart w:id="388" w:name="_Toc184312104"/>
      <w:bookmarkEnd w:id="388"/>
      <w:bookmarkStart w:id="389" w:name="_Toc184308057"/>
      <w:bookmarkEnd w:id="389"/>
      <w:bookmarkStart w:id="390" w:name="_Toc184310293"/>
      <w:bookmarkEnd w:id="390"/>
      <w:bookmarkStart w:id="391" w:name="_Toc184310292"/>
      <w:bookmarkEnd w:id="391"/>
      <w:bookmarkStart w:id="392" w:name="_Toc184313269"/>
      <w:bookmarkEnd w:id="392"/>
      <w:bookmarkStart w:id="393" w:name="_Toc184314456"/>
      <w:bookmarkEnd w:id="393"/>
      <w:bookmarkStart w:id="394" w:name="_Toc184312129"/>
      <w:bookmarkEnd w:id="394"/>
      <w:bookmarkStart w:id="395" w:name="_Toc184312093"/>
      <w:bookmarkEnd w:id="395"/>
      <w:bookmarkStart w:id="396" w:name="_Toc184313303"/>
      <w:bookmarkEnd w:id="396"/>
      <w:bookmarkStart w:id="397" w:name="_Toc184314441"/>
      <w:bookmarkEnd w:id="397"/>
      <w:bookmarkStart w:id="398" w:name="_Toc184312072"/>
      <w:bookmarkEnd w:id="398"/>
      <w:bookmarkStart w:id="399" w:name="_Toc184312074"/>
      <w:bookmarkEnd w:id="399"/>
      <w:bookmarkStart w:id="400" w:name="_Toc184310286"/>
      <w:bookmarkEnd w:id="400"/>
      <w:bookmarkStart w:id="401" w:name="_Toc184312070"/>
      <w:bookmarkEnd w:id="401"/>
      <w:bookmarkStart w:id="402" w:name="_Toc184312068"/>
      <w:bookmarkEnd w:id="402"/>
      <w:bookmarkStart w:id="403" w:name="_Toc184314429"/>
      <w:bookmarkEnd w:id="403"/>
      <w:bookmarkStart w:id="404" w:name="_Toc184314480"/>
      <w:bookmarkEnd w:id="404"/>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p>
      <w:pPr>
        <w:spacing w:line="360" w:lineRule="auto"/>
        <w:jc w:val="center"/>
        <w:outlineLvl w:val="0"/>
        <w:rPr>
          <w:rFonts w:ascii="仿宋" w:hAnsi="仿宋" w:eastAsia="仿宋" w:cs="仿宋_GB2312"/>
          <w:b/>
          <w:color w:val="000000"/>
          <w:sz w:val="28"/>
          <w:szCs w:val="28"/>
        </w:rPr>
      </w:pPr>
    </w:p>
    <w:bookmarkEnd w:id="37"/>
    <w:bookmarkEnd w:id="38"/>
    <w:p>
      <w:pPr>
        <w:numPr>
          <w:ilvl w:val="255"/>
          <w:numId w:val="0"/>
        </w:numPr>
        <w:snapToGrid w:val="0"/>
        <w:spacing w:before="24" w:after="24" w:line="360" w:lineRule="auto"/>
        <w:jc w:val="center"/>
        <w:rPr>
          <w:rFonts w:ascii="仿宋" w:hAnsi="仿宋" w:eastAsia="仿宋" w:cs="仿宋"/>
          <w:b/>
          <w:sz w:val="24"/>
        </w:rPr>
      </w:pPr>
      <w:r>
        <w:rPr>
          <w:rFonts w:hint="eastAsia" w:ascii="仿宋" w:hAnsi="仿宋" w:eastAsia="仿宋" w:cs="仿宋"/>
          <w:b/>
          <w:sz w:val="24"/>
        </w:rPr>
        <w:t>一、项目概况</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sz w:val="24"/>
        </w:rPr>
        <w:t>据《浙江省电子政务网络技术规范》等文件要求，结合杭州市电子政务网络建设需求，遵循</w:t>
      </w:r>
      <w:r>
        <w:rPr>
          <w:rFonts w:hint="eastAsia" w:ascii="仿宋" w:hAnsi="仿宋" w:eastAsia="仿宋" w:cs="仿宋"/>
          <w:kern w:val="0"/>
          <w:sz w:val="24"/>
        </w:rPr>
        <w:t>滨江区电子政务网规范，延续原有电子政务外网网络架构，构建以</w:t>
      </w:r>
      <w:r>
        <w:rPr>
          <w:rFonts w:hint="eastAsia" w:ascii="仿宋" w:hAnsi="仿宋" w:eastAsia="仿宋" w:cs="仿宋"/>
          <w:sz w:val="24"/>
        </w:rPr>
        <w:t>提升“滨江区电子政务网基础承载能力”为第一要素的电子政务体系，推动</w:t>
      </w:r>
      <w:r>
        <w:rPr>
          <w:rFonts w:hint="eastAsia" w:ascii="仿宋" w:hAnsi="仿宋" w:eastAsia="仿宋" w:cs="仿宋"/>
          <w:kern w:val="0"/>
          <w:sz w:val="24"/>
        </w:rPr>
        <w:t>电子政务基础设施建设，确保出口带宽</w:t>
      </w:r>
      <w:r>
        <w:rPr>
          <w:rFonts w:hint="eastAsia" w:ascii="仿宋" w:hAnsi="仿宋" w:eastAsia="仿宋" w:cs="仿宋"/>
          <w:sz w:val="24"/>
        </w:rPr>
        <w:t>覆盖滨江区内各级单位部门，为政府信息化建设，智慧城市、政务大数据、最多跑一次等目标的实现提供更为稳定、可靠、优质的基础网络平台和快速高效的互联网服务，为滨江区政府提供方便快捷的互联网服务</w:t>
      </w:r>
      <w:r>
        <w:rPr>
          <w:rFonts w:hint="eastAsia" w:ascii="仿宋" w:hAnsi="仿宋" w:eastAsia="仿宋" w:cs="仿宋"/>
          <w:kern w:val="0"/>
          <w:sz w:val="24"/>
        </w:rPr>
        <w:t>。</w:t>
      </w:r>
    </w:p>
    <w:p>
      <w:pPr>
        <w:adjustRightInd/>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滨江区政务</w:t>
      </w:r>
      <w:r>
        <w:rPr>
          <w:rFonts w:hint="eastAsia" w:ascii="仿宋" w:hAnsi="仿宋" w:eastAsia="仿宋" w:cs="仿宋"/>
          <w:kern w:val="0"/>
          <w:sz w:val="24"/>
        </w:rPr>
        <w:t>外网</w:t>
      </w:r>
      <w:r>
        <w:rPr>
          <w:rFonts w:hint="eastAsia" w:ascii="仿宋" w:hAnsi="仿宋" w:eastAsia="仿宋" w:cs="仿宋"/>
          <w:kern w:val="0"/>
          <w:sz w:val="24"/>
          <w:lang w:val="zh-CN"/>
        </w:rPr>
        <w:t>是覆盖区级机关各部门、各直属单位、各街道办事处和其他相关单位局域网的城域网。</w:t>
      </w:r>
      <w:r>
        <w:rPr>
          <w:rFonts w:hint="eastAsia" w:ascii="仿宋" w:hAnsi="仿宋" w:eastAsia="仿宋" w:cs="仿宋"/>
          <w:kern w:val="0"/>
          <w:sz w:val="24"/>
        </w:rPr>
        <w:t>以区政府大楼为核心</w:t>
      </w:r>
      <w:r>
        <w:rPr>
          <w:rFonts w:hint="eastAsia" w:ascii="仿宋" w:hAnsi="仿宋" w:eastAsia="仿宋" w:cs="仿宋"/>
          <w:kern w:val="0"/>
          <w:sz w:val="24"/>
          <w:lang w:val="zh-CN"/>
        </w:rPr>
        <w:t>连接区级机关各部门、各直属单位、各街道办事处，以及因工作需要接入的其他相关单位，</w:t>
      </w:r>
      <w:r>
        <w:rPr>
          <w:rFonts w:hint="eastAsia" w:ascii="仿宋" w:hAnsi="仿宋" w:eastAsia="仿宋" w:cs="仿宋"/>
          <w:kern w:val="0"/>
          <w:sz w:val="24"/>
        </w:rPr>
        <w:t>覆盖230</w:t>
      </w:r>
      <w:r>
        <w:rPr>
          <w:rFonts w:hint="eastAsia" w:ascii="仿宋" w:hAnsi="仿宋" w:eastAsia="仿宋" w:cs="仿宋"/>
          <w:kern w:val="0"/>
          <w:sz w:val="24"/>
          <w:lang w:val="zh-CN"/>
        </w:rPr>
        <w:t>个节点，涉及范围广，建设要求高。</w:t>
      </w:r>
    </w:p>
    <w:p>
      <w:pPr>
        <w:spacing w:line="360" w:lineRule="auto"/>
        <w:ind w:firstLine="480" w:firstLineChars="200"/>
        <w:jc w:val="left"/>
        <w:outlineLvl w:val="0"/>
        <w:rPr>
          <w:rFonts w:ascii="仿宋" w:hAnsi="仿宋" w:eastAsia="仿宋" w:cs="仿宋"/>
          <w:sz w:val="24"/>
        </w:rPr>
      </w:pPr>
      <w:r>
        <w:rPr>
          <w:rFonts w:hint="eastAsia" w:ascii="仿宋" w:hAnsi="仿宋" w:eastAsia="仿宋" w:cs="仿宋"/>
          <w:sz w:val="24"/>
        </w:rPr>
        <w:t>本项目为滨江区政务外网裸光纤专线及互联网服务采购项目，主要内容包括2条1G出口带宽（含互联网IP地址164个，</w:t>
      </w:r>
      <w:r>
        <w:rPr>
          <w:rFonts w:hint="eastAsia" w:ascii="仿宋" w:hAnsi="仿宋" w:eastAsia="仿宋" w:cs="仿宋"/>
          <w:kern w:val="0"/>
          <w:sz w:val="24"/>
        </w:rPr>
        <w:t>两条线路进行聚合</w:t>
      </w:r>
      <w:r>
        <w:rPr>
          <w:rFonts w:hint="eastAsia" w:ascii="仿宋" w:hAnsi="仿宋" w:eastAsia="仿宋" w:cs="仿宋"/>
          <w:sz w:val="24"/>
        </w:rPr>
        <w:t>）、230条裸光纤专用链路租用。</w:t>
      </w:r>
    </w:p>
    <w:p>
      <w:pPr>
        <w:spacing w:line="360" w:lineRule="auto"/>
        <w:ind w:firstLine="480" w:firstLineChars="200"/>
        <w:jc w:val="left"/>
        <w:outlineLvl w:val="0"/>
        <w:rPr>
          <w:rFonts w:ascii="仿宋" w:hAnsi="仿宋" w:eastAsia="仿宋" w:cs="仿宋"/>
          <w:sz w:val="24"/>
        </w:rPr>
      </w:pPr>
    </w:p>
    <w:p>
      <w:pPr>
        <w:numPr>
          <w:ilvl w:val="255"/>
          <w:numId w:val="0"/>
        </w:numPr>
        <w:snapToGrid w:val="0"/>
        <w:spacing w:before="24" w:after="24" w:line="360" w:lineRule="auto"/>
        <w:jc w:val="center"/>
        <w:rPr>
          <w:rFonts w:ascii="仿宋" w:hAnsi="仿宋" w:eastAsia="仿宋" w:cs="仿宋"/>
          <w:b/>
          <w:sz w:val="24"/>
        </w:rPr>
      </w:pPr>
      <w:r>
        <w:rPr>
          <w:rFonts w:hint="eastAsia" w:ascii="仿宋" w:hAnsi="仿宋" w:eastAsia="仿宋" w:cs="仿宋"/>
          <w:b/>
          <w:sz w:val="24"/>
        </w:rPr>
        <w:t>二、采购需求清单及技术需求</w:t>
      </w:r>
    </w:p>
    <w:p>
      <w:pPr>
        <w:adjustRightInd/>
        <w:spacing w:line="360" w:lineRule="auto"/>
        <w:rPr>
          <w:rFonts w:ascii="仿宋" w:hAnsi="仿宋" w:eastAsia="仿宋" w:cs="仿宋"/>
          <w:b/>
          <w:bCs/>
          <w:sz w:val="24"/>
        </w:rPr>
      </w:pPr>
      <w:r>
        <w:rPr>
          <w:rFonts w:hint="eastAsia" w:ascii="仿宋" w:hAnsi="仿宋" w:eastAsia="仿宋" w:cs="仿宋"/>
          <w:b/>
          <w:bCs/>
          <w:sz w:val="24"/>
        </w:rPr>
        <w:t>1．租用1G出口带宽2条</w:t>
      </w:r>
    </w:p>
    <w:tbl>
      <w:tblPr>
        <w:tblStyle w:val="48"/>
        <w:tblW w:w="9119" w:type="dxa"/>
        <w:jc w:val="center"/>
        <w:tblLayout w:type="autofit"/>
        <w:tblCellMar>
          <w:top w:w="0" w:type="dxa"/>
          <w:left w:w="108" w:type="dxa"/>
          <w:bottom w:w="0" w:type="dxa"/>
          <w:right w:w="108" w:type="dxa"/>
        </w:tblCellMar>
      </w:tblPr>
      <w:tblGrid>
        <w:gridCol w:w="772"/>
        <w:gridCol w:w="1716"/>
        <w:gridCol w:w="5913"/>
        <w:gridCol w:w="718"/>
      </w:tblGrid>
      <w:tr>
        <w:tblPrEx>
          <w:tblCellMar>
            <w:top w:w="0" w:type="dxa"/>
            <w:left w:w="108" w:type="dxa"/>
            <w:bottom w:w="0" w:type="dxa"/>
            <w:right w:w="108" w:type="dxa"/>
          </w:tblCellMar>
        </w:tblPrEx>
        <w:trPr>
          <w:trHeight w:val="270"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b/>
                <w:bCs/>
                <w:sz w:val="24"/>
              </w:rPr>
            </w:pPr>
            <w:r>
              <w:rPr>
                <w:rFonts w:hint="eastAsia" w:ascii="仿宋" w:hAnsi="仿宋" w:eastAsia="仿宋" w:cs="仿宋"/>
                <w:b/>
                <w:bCs/>
                <w:kern w:val="0"/>
                <w:sz w:val="24"/>
                <w:lang w:bidi="ar"/>
              </w:rPr>
              <w:t>类型</w:t>
            </w:r>
          </w:p>
        </w:tc>
        <w:tc>
          <w:tcPr>
            <w:tcW w:w="5913"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b/>
                <w:bCs/>
                <w:sz w:val="24"/>
              </w:rPr>
            </w:pPr>
            <w:r>
              <w:rPr>
                <w:rFonts w:hint="eastAsia" w:ascii="仿宋" w:hAnsi="仿宋" w:eastAsia="仿宋" w:cs="仿宋"/>
                <w:b/>
                <w:bCs/>
                <w:kern w:val="0"/>
                <w:sz w:val="24"/>
                <w:lang w:bidi="ar"/>
              </w:rPr>
              <w:t>地址</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b/>
                <w:bCs/>
                <w:kern w:val="0"/>
                <w:sz w:val="24"/>
                <w:lang w:bidi="ar"/>
              </w:rPr>
            </w:pPr>
            <w:r>
              <w:rPr>
                <w:rFonts w:hint="eastAsia" w:ascii="仿宋" w:hAnsi="仿宋" w:eastAsia="仿宋" w:cs="仿宋"/>
                <w:b/>
                <w:bCs/>
                <w:kern w:val="0"/>
                <w:sz w:val="24"/>
                <w:lang w:bidi="ar"/>
              </w:rPr>
              <w:t>数量</w:t>
            </w:r>
          </w:p>
        </w:tc>
      </w:tr>
      <w:tr>
        <w:tblPrEx>
          <w:tblCellMar>
            <w:top w:w="0" w:type="dxa"/>
            <w:left w:w="108" w:type="dxa"/>
            <w:bottom w:w="0" w:type="dxa"/>
            <w:right w:w="108" w:type="dxa"/>
          </w:tblCellMar>
        </w:tblPrEx>
        <w:trPr>
          <w:trHeight w:val="691"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sz w:val="24"/>
              </w:rPr>
            </w:pPr>
            <w:r>
              <w:rPr>
                <w:rFonts w:hint="eastAsia" w:ascii="仿宋" w:hAnsi="仿宋" w:eastAsia="仿宋" w:cs="仿宋"/>
                <w:sz w:val="24"/>
              </w:rPr>
              <w:t>1G出口带宽</w:t>
            </w:r>
          </w:p>
        </w:tc>
        <w:tc>
          <w:tcPr>
            <w:tcW w:w="5913"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sz w:val="24"/>
              </w:rPr>
            </w:pPr>
            <w:r>
              <w:rPr>
                <w:rFonts w:hint="eastAsia" w:ascii="仿宋" w:hAnsi="仿宋" w:eastAsia="仿宋" w:cs="仿宋"/>
                <w:kern w:val="0"/>
                <w:sz w:val="24"/>
                <w:lang w:bidi="ar"/>
              </w:rPr>
              <w:t>滨江区江南大道100号区政府3楼机房</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r>
    </w:tbl>
    <w:p>
      <w:pPr>
        <w:adjustRightInd/>
        <w:spacing w:line="360" w:lineRule="auto"/>
        <w:rPr>
          <w:rFonts w:ascii="仿宋" w:hAnsi="仿宋" w:eastAsia="仿宋" w:cs="仿宋"/>
          <w:bCs/>
          <w:sz w:val="24"/>
        </w:rPr>
      </w:pPr>
    </w:p>
    <w:p>
      <w:pPr>
        <w:adjustRightInd/>
        <w:spacing w:line="360" w:lineRule="auto"/>
        <w:rPr>
          <w:rFonts w:ascii="仿宋" w:hAnsi="仿宋" w:eastAsia="仿宋" w:cs="仿宋"/>
          <w:bCs/>
          <w:sz w:val="24"/>
        </w:rPr>
      </w:pPr>
      <w:r>
        <w:rPr>
          <w:rFonts w:hint="eastAsia" w:ascii="仿宋" w:hAnsi="仿宋" w:eastAsia="仿宋" w:cs="仿宋"/>
          <w:bCs/>
          <w:sz w:val="24"/>
        </w:rPr>
        <w:t>租赁采购技术需求：</w:t>
      </w:r>
    </w:p>
    <w:p>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①数字电路技术指标：电路可用率≥99.90%，电路端到端电路误码率≤10E-6（1×10-6），端到端时延≤50ms。</w:t>
      </w:r>
    </w:p>
    <w:p>
      <w:pPr>
        <w:adjustRightInd/>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②供应商为采购人提供互联网IP接入服务，需提供164个互联网IP地址。</w:t>
      </w:r>
    </w:p>
    <w:p>
      <w:pPr>
        <w:adjustRightInd/>
        <w:spacing w:line="360" w:lineRule="auto"/>
        <w:ind w:firstLine="480" w:firstLineChars="200"/>
        <w:rPr>
          <w:rFonts w:ascii="仿宋" w:hAnsi="仿宋" w:eastAsia="仿宋" w:cs="仿宋"/>
          <w:bCs/>
          <w:kern w:val="0"/>
          <w:sz w:val="24"/>
        </w:rPr>
      </w:pPr>
      <w:r>
        <w:rPr>
          <w:rFonts w:hint="eastAsia" w:ascii="仿宋" w:hAnsi="仿宋" w:eastAsia="仿宋" w:cs="仿宋"/>
          <w:kern w:val="0"/>
          <w:sz w:val="24"/>
        </w:rPr>
        <w:t>③为办公人员提供稳定可靠的访问环境，避免光缆重复建设，供应商向采购人提供1G互联网出口带宽2条（两条线路进行聚合）。</w:t>
      </w:r>
    </w:p>
    <w:p>
      <w:pPr>
        <w:adjustRightInd/>
        <w:spacing w:line="360" w:lineRule="auto"/>
        <w:ind w:firstLine="480" w:firstLineChars="200"/>
        <w:rPr>
          <w:rFonts w:ascii="仿宋" w:hAnsi="仿宋" w:eastAsia="仿宋" w:cs="仿宋"/>
          <w:sz w:val="24"/>
        </w:rPr>
      </w:pPr>
      <w:r>
        <w:rPr>
          <w:rFonts w:hint="eastAsia" w:ascii="仿宋" w:hAnsi="仿宋" w:eastAsia="仿宋" w:cs="仿宋"/>
          <w:bCs/>
          <w:kern w:val="0"/>
          <w:sz w:val="24"/>
        </w:rPr>
        <w:t>④供应商提供线路服务时，服务要求应不低于国家、省、市相关部门规定的质量标准执行《电信服务质量标准》。</w:t>
      </w:r>
    </w:p>
    <w:p>
      <w:pPr>
        <w:adjustRightInd/>
        <w:spacing w:line="360" w:lineRule="auto"/>
        <w:rPr>
          <w:rFonts w:ascii="仿宋" w:hAnsi="仿宋" w:eastAsia="仿宋" w:cs="仿宋"/>
          <w:b/>
          <w:bCs/>
          <w:sz w:val="24"/>
        </w:rPr>
      </w:pPr>
      <w:r>
        <w:rPr>
          <w:rFonts w:hint="eastAsia" w:ascii="仿宋" w:hAnsi="仿宋" w:eastAsia="仿宋" w:cs="仿宋"/>
          <w:b/>
          <w:bCs/>
          <w:sz w:val="24"/>
        </w:rPr>
        <w:t>2．租用裸光纤230条</w:t>
      </w:r>
    </w:p>
    <w:tbl>
      <w:tblPr>
        <w:tblStyle w:val="48"/>
        <w:tblW w:w="9072" w:type="dxa"/>
        <w:tblInd w:w="108" w:type="dxa"/>
        <w:tblLayout w:type="autofit"/>
        <w:tblCellMar>
          <w:top w:w="0" w:type="dxa"/>
          <w:left w:w="108" w:type="dxa"/>
          <w:bottom w:w="0" w:type="dxa"/>
          <w:right w:w="108" w:type="dxa"/>
        </w:tblCellMar>
      </w:tblPr>
      <w:tblGrid>
        <w:gridCol w:w="851"/>
        <w:gridCol w:w="2551"/>
        <w:gridCol w:w="5670"/>
      </w:tblGrid>
      <w:tr>
        <w:tblPrEx>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b/>
                <w:bCs/>
                <w:kern w:val="0"/>
                <w:sz w:val="24"/>
              </w:rPr>
            </w:pPr>
            <w:r>
              <w:rPr>
                <w:rFonts w:hint="eastAsia" w:ascii="仿宋" w:hAnsi="仿宋" w:eastAsia="仿宋" w:cs="仿宋"/>
                <w:b/>
                <w:bCs/>
                <w:kern w:val="0"/>
                <w:sz w:val="24"/>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b/>
                <w:bCs/>
                <w:kern w:val="0"/>
                <w:sz w:val="24"/>
              </w:rPr>
            </w:pPr>
            <w:r>
              <w:rPr>
                <w:rFonts w:hint="eastAsia" w:ascii="仿宋" w:hAnsi="仿宋" w:eastAsia="仿宋" w:cs="仿宋"/>
                <w:b/>
                <w:bCs/>
                <w:kern w:val="0"/>
                <w:sz w:val="24"/>
              </w:rPr>
              <w:t>使用单位</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b/>
                <w:bCs/>
                <w:kern w:val="0"/>
                <w:sz w:val="24"/>
              </w:rPr>
            </w:pPr>
            <w:r>
              <w:rPr>
                <w:rFonts w:hint="eastAsia" w:ascii="仿宋" w:hAnsi="仿宋" w:eastAsia="仿宋" w:cs="仿宋"/>
                <w:b/>
                <w:bCs/>
                <w:kern w:val="0"/>
                <w:sz w:val="24"/>
              </w:rPr>
              <w:t>地址</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长河司法所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滨江区长河街道平安路1号三楼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滨江交警大队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彩宏大厦7楼文书办公室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襄七房社区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滨江区西兴街道襄七房社区康悦香庄1号商铺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向南社区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浦沿街道中兴和园（向南社区）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西浦社区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滨江浦沿街道江南文苑（西浦社区）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区政府</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杭州市滨江区西兴街道江南大道100号区政府</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区政府2</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杭州市滨江区西兴街道江南大道100号区政府</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滨江公证处（之江公证处）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滨江区江南大道380号威陵大厦2楼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新生社区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浙新小区32幢东面新生村</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岩大房社区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滨江区火炬小区南门（靠近冠山路）</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汤家桥社区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滨江区汤家桥村</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巡特警大队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滨江区滨怡路滨江区国家税务局</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山二社区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滨江区浦沿山秀景苑7幢山二社区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马湖社区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滨江区白鹤苑小区20幢(社区新办公楼)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之江社区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滨江区浦沿街道江南大道4760号亚科中心A座2楼机房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东冠社区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滨江区浦沿镇东冠村村委新大楼3楼顶层</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冠一社区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滨江区冠一社区冠新佳苑32幢4楼机房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滨江区滨安路155号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杨家墩社区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滨江区滨江区明乐府小区4幢杨家墩社区党群服务中心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江三社区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滨江区长河街道滨康路467号长江小区13幢办事大厅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中兴社区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滨江区江汉路1688西门中兴社区</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江一社区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滨江区江一社区美好生活共同体(春波西苑小区大门东侧)</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滨江区长河街道长河路806号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滨江区滨文路200号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西陵社区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滨江区青年路1号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财政局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杭州市滨江区中兴路财政大楼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建设局和国土局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杭州市滨江区土地管理局大楼内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消防大队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滨江区长河街道乳泉路与光裕路交叉口消防救援站</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市监局行政执法队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滨江区江南大道城建大楼8层</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区政府海越大厦汇聚</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滨江区丹枫路788号海越大厦20楼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文旅局文化执法大队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滨江区西兴街道滨兴路121号迎春南苑35号商铺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长河综治</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杭州市滨江区长河镇长河街道办事大厅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高教派出所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滨江区浦沿街道明德路660号立业园2幢1楼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高新派出所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杭州市滨江区高新派出所新大楼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浦沿派出所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滨江区浦沿街道镇前路68号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西兴派出所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滨江区西兴街道共联村委东面迎春路北</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西兴镇官河路5号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滨江区长江北路18号长河街道主楼2楼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39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东冠大厦</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滨江区市监局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杭州市滨江区长河镇江一村江陵路叉口</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法院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滨江区西兴镇丹枫路799号（人民法院新大楼内）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滨江区滨文路200号流动党支部4楼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城管西兴中队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人民路18号西陵社区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共联社区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滨江区共联村</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星民社区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滨江区缤纷小区22-1幢商铺星民生活馆1号厅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七甲闸社区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滨江区缤纷北苑23幢七甲闸社区办公楼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冠二社区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滨江区东冠路329号冠新佳苑7号楼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滨文社区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杭州市滨文路江畔云庐商铺第10间</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49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浦联社区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滨江区浦联村</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山一社区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滨江区占家湖1号山一社区3楼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月明社区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滨江区江晖路1338号江南望庄商铺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长一社区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滨江区长虹南苑二期南门62-64号商铺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温馨社区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滨江区滨和路751号东侧4楼机房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越王社区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滨江区汤家井</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晶都社区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滨江区平达路上新建大楼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天官社区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天官路38号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水电社区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滨江区印月尚庭6幢楼下</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协同社区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滨江区湘云雅苑5幢东面1-6号商铺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59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滨盛社区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滨江区滨盛路国信嘉园19幢浮力森林蛋糕店旁边</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彩虹社区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滨江区彩虹城小区31幢底层</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东信社区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浦沿街道东信大道（东信社区）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滨江运管</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滨江区凯瑞金座24楼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联庄社区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滨江区联庄二区金南创业大厦2楼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高新物业管理有限公司（滨江保安）</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滨江区滨安路1358号4号楼4楼</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白马湖社区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滨江区长河街道江虹南路179号江南铭庭小区东面商铺日照中心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冠山社区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滨江区冠山小区38幢党群服务楼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新洲社区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西兴路新洲花园小区新洲社区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闻涛社区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锦绣江南商铺闻涛社区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69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新浦社区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滨江区钱塘福苑北面66号商铺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六和社区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滨江区江南大道观邸国际小区六和社区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白马湖管委会</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长江南楼白马湖创意城指挥部</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西兴街道流动人员党委</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滨江区西兴街道党群服务中心（人民路13号）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国土2楼汇聚</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滨江区国土资源大楼2楼机房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创意大厦（西斗门）</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西湖区文三路199号创业大厦</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长河执法中队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滨江区长河街道长医路（长河敬老院旁边）</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浦沿执法中队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滨江区西湘路39号城市管理中心机房2号房间</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钱潮社区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滨江区儿康路闻涛诚苑商铺85-96号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民政局社会组织服务中心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滨江区江尚景苑73-78号商铺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79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西兴市场监督管理所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西兴工商所2楼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浦沿市场监督管理所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杭州市滨江区浦沿路88号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西兴司法所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迎春小区西兴司法所</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建管中心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滨江区彩虹快速路旁彩虹大厦</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物联网指挥部</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阡陌路与物联网交叉口物联网A楼3楼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浦沿综治中心、司法所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滨江区镇前路154号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动物卫生监督所西兴犬防点</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滨江区西兴街道迎春南苑33-34号商铺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钱塘春晓大厦6楼海归之家</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滨江区钱塘春晓大厦6楼海归之家井道</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农业局排灌站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滨江区四桥下面农业局排灌站</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行政执法局—停车收费监管中心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滨江区滨安路242号原西兴污水处理厂</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89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 xml:space="preserve">政务服务网视频会议（市局光纤放至会展中心备用裸光纤） </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江南大道100号区政府3楼机房—滨江区会展中心4楼机房</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智慧新天地指挥部</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滨江区浦沿街道华与闻涛家排灌站管理用房（浦沿街道龙山路路交叉口</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国税</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滨江区江南大道328号7楼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浦沿党员活动中心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滨江区东冠路533号3楼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滨江区文化中心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杭州市滨江区丹枫路滨江区文化中心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明德社区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滨江区浦沿街道浦乐新苑小区外围商铺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浦沿街道信诚社区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滨江区钱塘帝景小区西门7-501</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长河卫生院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滨江区长河街道长江中路23号长河卫生院</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白马湖管委会2</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滨江区动漫广场研发楼5号楼西3楼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资产经营公司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滨江区江南大道3850号创新大厦11楼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99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高新总公司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滨江区滨安路1338号2楼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水务公司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滨江区火炬大道1699号（滨江水务）</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西兴街道奥体社区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滨江区龙湖春江彼岸6号商铺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西兴卫生院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西兴阡陌路78号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浦沿卫生院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滨江区浦沿路东冠路口</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海创基地</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海创基地（六和路368号）北楼人才之家弱电机房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浦沿街道经济发展服务中心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浦沿路88号六楼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杨家墩商业街现场办</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明德路上沙庙前50米</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浦沿街道江南社区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滨江区南环路小江南西面拎包客东面</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钱塘春晓无线出口</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滨江区钱塘春晓大厦7楼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109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长河市场监督管理所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滨兴家园商铺72号</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华家排灌站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浦沿街道龙山路与闻涛路交叉口，与萧山闻堰街道戈雅公寓接壤处</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文化中心大剧院音控室(涉密专线)</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滨江区文化中心大剧院音控室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文化中心视频会议室(涉密专线)</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滨江区文化中心4楼的视频会议室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长河街道外来务工人员服务中心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滨江区长江中路与滨文路交叉口</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观潮社区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半岛国际103-104号商铺</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江汉社区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河街道滨和路与江汉路交叉口，龙湖春江郦城10-14号商铺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公安出入境办证大厅</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丹枫路海越大厦出入境办证大厅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西兴街道滨和社区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滨兴路与西兴路交叉口科创公寓1幢沿街商铺1号-18号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西兴街道丹枫社区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滨江区阡陌路822号寰宇天下小区11幢106号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119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统一战线之家</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滨江区白马湖动漫馆3号楼7楼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西兴街道官河社区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滨康路366号官河锦庭小区1幢</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农业局森林消防仓库应急指挥中心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滨江区白马湖真经路冠山峙下面</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交警西兴中队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滨江区西兴街道滨和路751号5楼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城建开发公司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滨江区春晓路558号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长河街道白马湖和院工作组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滨江区白马湖壹号4-8号商铺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滨江区政府工作组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滨江区滨安路195号1楼机房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财政局专网</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滨江区财政大厦内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江北天堂软件园（自助机）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西湖区西斗门路3号天堂软件园E幢南侧暖企小站</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江北东部软件园（自助机）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西湖区文三路90号东部软件园</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129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吉利大厦（自助机）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滨江区江陵路1760号吉利大厦</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东信科技园C座 （自助机）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滨江区东信大道66号东信科技园C座</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海康威视（自助机）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滨江区阡陌路555号海康威视三期F幢1楼北面警务室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正泰（自助机）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滨江区滨安路1335号A幢1楼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浦沿派出法庭大楼</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滨江区东冠三路江南专修学校隔壁</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长河派出所春波南苑警务室</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滨江区长河街道春波南苑警务室(41号商铺)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长河派出所白马湖游客服务中心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滨江区长河街道长江路168号白马湖游客服务中心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西兴派出所缤纷社区警务室</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滨江区西兴街道丹枫路缤纷社区警务室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浦沿（高教）派出所浙新小区警务室</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滨江区浙新 小区2号商铺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长河派出所长江西苑警务室</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滨江区长河街道长江西苑25栋警务室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139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司法局矫正中心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浦沿镇山二村雷达站顶(民兵训练基地)</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网易（自助机）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滨江区网商路399号网易大厦3号楼1楼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住建局人防科</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滨江区白马湖动漫馆A馆地下室指挥中心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市场监管局知识产权科</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滨江区丹枫路399号市场监管局知识产权大楼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华为自助机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滨江区江淑路360号Z7楼1楼东边</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文化中心-2</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滨江区滨江泰安路200号文化中心机房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阿里巴巴自助机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滨江区网商路699号阿里滨江园区7号楼1楼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龙湖天街（自助机）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滨江区江汉路1515号龙湖天街6楼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浦沿街道结算中心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滨江区浦沿镇前路148号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交警长河中队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滨江区绿香街1号长河派出所2楼机房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149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滨江区文化中心（城市大脑）</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滨江区泰安路文化中心1楼机房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高新人才开发中心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滨江区星民大厦副楼4楼机房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刑侦大队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滨江区滨安路1197号刑侦大队</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襄七房社区-2</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滨江区西兴街道襄七房社区康悦香庄10号商铺</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浦沿卫生院-2（滨盛路4458号滨江生活馆四层社区卫生服务分中心）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滨江区滨盛路4458号滨江生活馆四层社区卫生服务分中心</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彩虹农贸市场自助机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滨江区滨盛路4313号滨江生活彩虹馆1-2楼彩虹农贸市场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江南豪园农贸市场自助机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滨江区月明路1040号江南豪园农贸市场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第六空间国际馆自助机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滨江区江南大道1088号第六空间国际馆一楼收银台边</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浦沿六合农贸市场自助机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浦沿街道西浦路1692号浦沿六合农贸市场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物联网孵化器</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滨江区丹枫路399号物联网孵化器3号楼1层商铺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159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公安法制大队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滨江区六眼井28号</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长河街道办事处-3（滨江区长河街道立业路138号）</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滨江区长河街道立业路138号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检察院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滨江区江南大道4288号东冠创业大厦13楼信息机房</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改回西兴街道办事处（老旧小区改造工作专班）</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滨江区西兴街54号老旧小区改造工作专班</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行政服务中心（企业e家）</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滨江区长江路336号动漫广场1号楼1楼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 xml:space="preserve">物联网（3T创新综合体演示） </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滨江区自贸大厦（知识产权大厦对面）</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高新区滨江党群服务中心自助机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滨江区滨纷街615号党群服务中心一楼</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 xml:space="preserve"> 互联网产业园发展服务中心云狐科技园自助机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滨江区天和高科技产业园5号楼一楼大厅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西兴卫生院（缤纷社区卫生服务站）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滨江西兴街道缤纷东苑9号楼29-32商铺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住建局（建设工程质量安全监督站）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滨江区滨盛路1909号（建设工程质量安全监督站）</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169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浦沿华悦湾社区2</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滨江区万科璞悦湾5幢59-60号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缤纷未来社区—三个社区合署</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滨江区缤纷北苑商铺5号楼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西兴街道办事处（固陵路119号）</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滨江区固陵路119号原老西兴卫生院内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石门塘社区筹建工作组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滨江区东方花城滨安路42号石门塘社区筹建工作组</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浦沿街道六和社区优化调整小组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杭州市滨江区浦沿街道新和路贺田尚城2号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浦沿街道伟业社区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滨江区浦沿街道火炬大道581号A座123-124号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浦沿街道信诚社区-2</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滨江区水晶城9号楼老年活动中心二楼电子阅览室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 xml:space="preserve">浦沿街道之江社区优化调整小组     </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滨江区滨盛路4307号2层</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长河街道钱潮建业社区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滨江区滨盛路3260号江尚景苑南面36号商铺2楼</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杭州市滨江区综合行政执法局（滨江区丹枫路275号（首幕国际））</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滨江区丹枫路275号（首幕国际）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179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西兴街道物联网社区（筹建）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滨江区西兴街道联慧街明月江南东区商铺102号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滨江区应急管理局（活水）</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滨江区滨文路95号活水工业园九号楼二楼</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信创云外网连接线路</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杭州市萧山区义桥镇新峡路电信IDC机房，义桥IDC5楼10号机房A11机柜36U位置</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浦沿街道办事处公共管理办公室（浦沿应急管理站）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滨江区浦沿街道火炬大道22号应急管理站</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长河街道星光产业社区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滨江区泰安路239号盾安发展大厦5楼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交警长河中队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滨江区长江西苑32号商铺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新洲社区退役军人服务站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滨江区西兴街道月明路303号新洲花苑西区28幢</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滨江区婚姻登记服务中心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滨江区北塘河公园内桃花居驿站（婚登中心）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共联社区退役军人服务站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滨江区迎春南苑30号商铺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西兴街道滨和社区-2（政务服务e站）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滨江区西兴街道科创公寓2幢30号商铺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189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长河街道星光产业社区（驿站）</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滨江区闻涛路1426号星光二期牛小星电影梦片场</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西兴街道新联社区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滨江区共联路晓风印月公寓9号楼裙楼1楼</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杭州高新技术产业开发区（滨江）互联网产业园发展服务中心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滨江区创慧街18号北塘河创新中心4号楼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西兴街道“暖企小站”自助服务机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滨江区聚工路19号盛大科技园A座1楼北面大厅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浦沿征迁指挥部</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滨江区东冠路899号（浦沿消防中队对面）</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w:t>
            </w:r>
          </w:p>
          <w:p>
            <w:pPr>
              <w:widowControl/>
              <w:adjustRightInd/>
              <w:jc w:val="center"/>
              <w:rPr>
                <w:rFonts w:ascii="仿宋" w:hAnsi="仿宋" w:eastAsia="仿宋" w:cs="仿宋"/>
                <w:kern w:val="0"/>
                <w:sz w:val="24"/>
              </w:rPr>
            </w:pPr>
            <w:r>
              <w:rPr>
                <w:rFonts w:hint="eastAsia" w:ascii="仿宋" w:hAnsi="仿宋" w:eastAsia="仿宋" w:cs="仿宋"/>
                <w:kern w:val="0"/>
                <w:sz w:val="24"/>
              </w:rPr>
              <w:t>（暖企小站建设办事一体机）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滨江区浦沿街道东冠路611号金盛科技园10幢A座</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滨江区人力资源和社会保障局  （劳动监察科）</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滨江区长河街道滨和路2015号滨兴家园商铺50号二楼</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杭州市滨江区残疾人联合会</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滨江区西兴街道人民路1号（滨江区残疾人综合服务中心）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西兴街道兴盛产业社区</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滨江区聚工路19号盛大科技园7幢106室</w:t>
            </w:r>
          </w:p>
        </w:tc>
      </w:tr>
      <w:tr>
        <w:tblPrEx>
          <w:tblCellMar>
            <w:top w:w="0" w:type="dxa"/>
            <w:left w:w="108" w:type="dxa"/>
            <w:bottom w:w="0" w:type="dxa"/>
            <w:right w:w="108" w:type="dxa"/>
          </w:tblCellMar>
        </w:tblPrEx>
        <w:trPr>
          <w:trHeight w:val="39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杭州高新金投控股集团有限公司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 xml:space="preserve"> 滨江区坚塔路768号贝邀大厦6楼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199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法院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滨江区西兴镇丹枫路799号（人民法院新大楼内）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检察院</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滨江区江南大道4288号东冠创业大厦13楼信息机房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财政局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滨江区江南大道1328号财政大楼（滨江区财政局）</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住建局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滨江区江南大道28号土地管理局大楼内（滨江住建局</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滨江交警</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滨江区彩宏大厦7楼井道交警</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公安分局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滨江区丹枫路行政中心北楼（滨江区公安局）</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 xml:space="preserve">杭州高新技术产业开发区（滨江）行政审批服务管理办公室 </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文三路199号</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建管中心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彩宏大厦19楼井道</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创意城管委会</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滨江区长江路158号（创意城管委会）</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市场监管局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江陵路609号（工商分局）三楼机房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209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国税分局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滨江区江南大道328号7楼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消防大队</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滨江区长河街道乳泉路与光裕路交叉口消防救援站</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水务公司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滨江区火炬大道1699号（滨江水务）综合楼303办公室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滨江运管处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滨江区凯瑞金座24楼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西兴街道</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滨江区人民路一号（西兴街道）机房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长河街道信访办107办公室</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浦沿街道</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滨江区浦沿街道东冠支路88号（浦沿街道）1楼办公室内</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人武部</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江南大道100号区政府北侧人武部2楼政工科</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智慧新天地</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滨江区浦沿街道华家排灌站管理用房（浦沿街道龙山路与闻涛路交叉口）</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高新总公司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滨江区滨安路1338号高新总公司</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219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资产经营公司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滨江区江南大道3850号创新大厦11楼1111室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民政局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钱塘春晓大厦7楼井道</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221</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物联网</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滨江区智慧e谷大楼A楼3楼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222</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互联网改为信访超市</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杭州市滨江区国土大楼225室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223</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公安分局指挥中心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江南大道100号区政府东侧公安局新大楼二楼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224</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行政服务中心 办事大厅</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滨江区泰安路200号文化中心一楼行政服务中心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225</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滨江区政府工作组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滨江区滨安路195号1楼机房</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226</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海越大厦汇聚</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滨江区丹枫路788号海越大厦19楼汇聚</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227</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杭州市道路运输管理服务中心滨江运管处</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滨江区滨盛路1509号天恒大厦1101室</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228</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文化中心</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滨江区泰安路200号文化中心</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229</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杭州高新科技创业服务有限公司</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滨江区坚塔路768号贝邀大厦6楼</w:t>
            </w:r>
          </w:p>
        </w:tc>
      </w:tr>
      <w:tr>
        <w:tblPrEx>
          <w:tblCellMar>
            <w:top w:w="0" w:type="dxa"/>
            <w:left w:w="108" w:type="dxa"/>
            <w:bottom w:w="0" w:type="dxa"/>
            <w:right w:w="108" w:type="dxa"/>
          </w:tblCellMar>
        </w:tblPrEx>
        <w:trPr>
          <w:trHeight w:val="28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230</w:t>
            </w:r>
          </w:p>
        </w:tc>
        <w:tc>
          <w:tcPr>
            <w:tcW w:w="2551"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应急管理局</w:t>
            </w:r>
          </w:p>
        </w:tc>
        <w:tc>
          <w:tcPr>
            <w:tcW w:w="567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仿宋"/>
                <w:kern w:val="0"/>
                <w:sz w:val="24"/>
              </w:rPr>
            </w:pPr>
            <w:r>
              <w:rPr>
                <w:rFonts w:hint="eastAsia" w:ascii="仿宋" w:hAnsi="仿宋" w:eastAsia="仿宋" w:cs="仿宋"/>
                <w:kern w:val="0"/>
                <w:sz w:val="24"/>
              </w:rPr>
              <w:t>滨江区丹枫路3号区行政中心北楼303室</w:t>
            </w:r>
          </w:p>
        </w:tc>
      </w:tr>
    </w:tbl>
    <w:p>
      <w:pPr>
        <w:adjustRightInd/>
        <w:spacing w:line="360" w:lineRule="auto"/>
        <w:rPr>
          <w:rFonts w:ascii="仿宋" w:hAnsi="仿宋" w:eastAsia="仿宋" w:cs="仿宋"/>
          <w:bCs/>
          <w:sz w:val="24"/>
        </w:rPr>
      </w:pPr>
    </w:p>
    <w:p>
      <w:pPr>
        <w:adjustRightInd/>
        <w:spacing w:line="360" w:lineRule="auto"/>
        <w:rPr>
          <w:rFonts w:ascii="仿宋" w:hAnsi="仿宋" w:eastAsia="仿宋" w:cs="仿宋"/>
          <w:bCs/>
          <w:sz w:val="24"/>
        </w:rPr>
      </w:pPr>
      <w:r>
        <w:rPr>
          <w:rFonts w:hint="eastAsia" w:ascii="仿宋" w:hAnsi="仿宋" w:eastAsia="仿宋" w:cs="仿宋"/>
          <w:bCs/>
          <w:sz w:val="24"/>
        </w:rPr>
        <w:t>租赁采购技术需求：</w:t>
      </w:r>
    </w:p>
    <w:p>
      <w:pPr>
        <w:numPr>
          <w:ilvl w:val="0"/>
          <w:numId w:val="3"/>
        </w:numPr>
        <w:adjustRightInd/>
        <w:spacing w:line="360" w:lineRule="auto"/>
        <w:rPr>
          <w:rFonts w:ascii="仿宋" w:hAnsi="仿宋" w:eastAsia="仿宋" w:cs="仿宋"/>
          <w:bCs/>
          <w:kern w:val="0"/>
          <w:sz w:val="24"/>
        </w:rPr>
      </w:pPr>
      <w:r>
        <w:rPr>
          <w:rFonts w:hint="eastAsia" w:ascii="仿宋" w:hAnsi="仿宋" w:eastAsia="仿宋" w:cs="仿宋"/>
          <w:sz w:val="24"/>
        </w:rPr>
        <w:t>供应商为本项目提供双芯裸光纤，裸光纤接入的数量为230条，在实际使用过程中，采购人有权对裸光纤接入数量进行调整，供应商需配合采购人的调整</w:t>
      </w:r>
      <w:r>
        <w:rPr>
          <w:rFonts w:hint="eastAsia" w:ascii="仿宋" w:hAnsi="仿宋" w:eastAsia="仿宋" w:cs="仿宋"/>
          <w:bCs/>
          <w:kern w:val="0"/>
          <w:sz w:val="24"/>
        </w:rPr>
        <w:t>。</w:t>
      </w:r>
    </w:p>
    <w:p>
      <w:pPr>
        <w:numPr>
          <w:ilvl w:val="0"/>
          <w:numId w:val="3"/>
        </w:numPr>
        <w:adjustRightInd/>
        <w:spacing w:line="360" w:lineRule="auto"/>
        <w:rPr>
          <w:rFonts w:ascii="仿宋" w:hAnsi="仿宋" w:eastAsia="仿宋" w:cs="仿宋"/>
          <w:bCs/>
          <w:kern w:val="0"/>
          <w:sz w:val="24"/>
        </w:rPr>
      </w:pPr>
      <w:r>
        <w:rPr>
          <w:rFonts w:hint="eastAsia" w:ascii="仿宋" w:hAnsi="仿宋" w:eastAsia="仿宋" w:cs="仿宋"/>
          <w:sz w:val="24"/>
        </w:rPr>
        <w:t>供应商</w:t>
      </w:r>
      <w:r>
        <w:rPr>
          <w:rFonts w:hint="eastAsia" w:ascii="仿宋" w:hAnsi="仿宋" w:eastAsia="仿宋" w:cs="仿宋"/>
          <w:bCs/>
          <w:kern w:val="0"/>
          <w:sz w:val="24"/>
        </w:rPr>
        <w:t>提供线路服务时，服务要求应不低于国家、省、市相关部门规定的质量标准执行《电信服务质量标准》。</w:t>
      </w:r>
    </w:p>
    <w:p>
      <w:pPr>
        <w:spacing w:line="360" w:lineRule="auto"/>
        <w:jc w:val="center"/>
        <w:rPr>
          <w:rFonts w:ascii="仿宋" w:hAnsi="仿宋" w:eastAsia="仿宋" w:cs="仿宋"/>
          <w:b/>
          <w:bCs/>
          <w:sz w:val="24"/>
        </w:rPr>
      </w:pPr>
      <w:r>
        <w:rPr>
          <w:rFonts w:hint="eastAsia" w:ascii="仿宋" w:hAnsi="仿宋" w:eastAsia="仿宋" w:cs="仿宋"/>
          <w:b/>
          <w:bCs/>
          <w:sz w:val="24"/>
        </w:rPr>
        <w:t>三、商务需求</w:t>
      </w:r>
    </w:p>
    <w:p>
      <w:pPr>
        <w:spacing w:line="360" w:lineRule="auto"/>
        <w:outlineLvl w:val="2"/>
        <w:rPr>
          <w:rFonts w:ascii="仿宋" w:hAnsi="仿宋" w:eastAsia="仿宋" w:cs="仿宋"/>
          <w:b/>
          <w:sz w:val="24"/>
        </w:rPr>
      </w:pPr>
      <w:r>
        <w:rPr>
          <w:rFonts w:hint="eastAsia" w:ascii="仿宋" w:hAnsi="仿宋" w:eastAsia="仿宋" w:cs="仿宋"/>
          <w:b/>
          <w:sz w:val="24"/>
        </w:rPr>
        <w:t>1. 项目实施时间：</w:t>
      </w:r>
    </w:p>
    <w:p>
      <w:pPr>
        <w:spacing w:line="360" w:lineRule="auto"/>
        <w:ind w:firstLine="480" w:firstLineChars="200"/>
        <w:outlineLvl w:val="2"/>
        <w:rPr>
          <w:rFonts w:ascii="仿宋" w:hAnsi="仿宋" w:eastAsia="仿宋" w:cs="仿宋"/>
          <w:sz w:val="24"/>
        </w:rPr>
      </w:pPr>
      <w:r>
        <w:rPr>
          <w:rFonts w:hint="eastAsia" w:ascii="仿宋" w:hAnsi="仿宋" w:eastAsia="仿宋" w:cs="仿宋"/>
          <w:sz w:val="24"/>
        </w:rPr>
        <w:t>合同签订后7个自然日内完成所有配套设备安装调试，具备正常对外提供服务的能力。</w:t>
      </w:r>
    </w:p>
    <w:p>
      <w:pPr>
        <w:spacing w:line="360" w:lineRule="auto"/>
        <w:ind w:firstLine="480" w:firstLineChars="200"/>
        <w:outlineLvl w:val="2"/>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中标供应商需在合同签订后7个自然日内，完成各线路的无缝转换，不得对采购人业务造成影响，若中标供应商在7个自然日内未按采购要求全部完成的，则视为主动放弃中标，同时2024年6月2</w:t>
      </w:r>
      <w:r>
        <w:rPr>
          <w:rFonts w:ascii="仿宋" w:hAnsi="仿宋" w:eastAsia="仿宋" w:cs="仿宋"/>
          <w:color w:val="000000" w:themeColor="text1"/>
          <w:sz w:val="24"/>
          <w:u w:val="single"/>
          <w14:textFill>
            <w14:solidFill>
              <w14:schemeClr w14:val="tx1"/>
            </w14:solidFill>
          </w14:textFill>
        </w:rPr>
        <w:t>4</w:t>
      </w:r>
      <w:r>
        <w:rPr>
          <w:rFonts w:hint="eastAsia" w:ascii="仿宋" w:hAnsi="仿宋" w:eastAsia="仿宋" w:cs="仿宋"/>
          <w:color w:val="000000" w:themeColor="text1"/>
          <w:sz w:val="24"/>
          <w:u w:val="single"/>
          <w14:textFill>
            <w14:solidFill>
              <w14:schemeClr w14:val="tx1"/>
            </w14:solidFill>
          </w14:textFill>
        </w:rPr>
        <w:t>日至切换完成期间所产生的租赁服务费用由中标供应商承担，并在切换完成后10个工作日内支付给原供应商（费用依据本次中标价，按日折算）。</w:t>
      </w:r>
    </w:p>
    <w:p>
      <w:pPr>
        <w:spacing w:line="360" w:lineRule="auto"/>
        <w:outlineLvl w:val="2"/>
        <w:rPr>
          <w:rFonts w:ascii="仿宋" w:hAnsi="仿宋" w:eastAsia="仿宋" w:cs="仿宋"/>
          <w:b/>
          <w:sz w:val="24"/>
          <w:highlight w:val="none"/>
        </w:rPr>
      </w:pPr>
      <w:r>
        <w:rPr>
          <w:rFonts w:hint="eastAsia" w:ascii="仿宋" w:hAnsi="仿宋" w:eastAsia="仿宋" w:cs="仿宋"/>
          <w:b/>
          <w:sz w:val="24"/>
        </w:rPr>
        <w:t>2.</w:t>
      </w:r>
      <w:r>
        <w:rPr>
          <w:rFonts w:hint="eastAsia" w:ascii="仿宋" w:hAnsi="仿宋" w:eastAsia="仿宋" w:cs="仿宋"/>
          <w:b/>
          <w:sz w:val="24"/>
          <w:highlight w:val="none"/>
        </w:rPr>
        <w:t>质保（服务）期：</w:t>
      </w:r>
    </w:p>
    <w:p>
      <w:pPr>
        <w:pStyle w:val="772"/>
        <w:spacing w:after="120"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服务期为合同签订之日起至2027年6月23日。 </w:t>
      </w:r>
    </w:p>
    <w:p>
      <w:pPr>
        <w:spacing w:line="360" w:lineRule="auto"/>
        <w:outlineLvl w:val="2"/>
        <w:rPr>
          <w:rFonts w:ascii="仿宋" w:hAnsi="仿宋" w:eastAsia="仿宋" w:cs="仿宋"/>
          <w:b/>
          <w:sz w:val="24"/>
        </w:rPr>
      </w:pPr>
      <w:r>
        <w:rPr>
          <w:rFonts w:hint="eastAsia" w:ascii="仿宋" w:hAnsi="仿宋" w:eastAsia="仿宋" w:cs="仿宋"/>
          <w:b/>
          <w:sz w:val="24"/>
        </w:rPr>
        <w:t>3.付款方式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1、每年服务期开始后5个工作日内，支付当年服务合同金额的60%。</w:t>
      </w:r>
    </w:p>
    <w:p>
      <w:pPr>
        <w:spacing w:line="360" w:lineRule="auto"/>
        <w:ind w:firstLine="480" w:firstLineChars="200"/>
        <w:rPr>
          <w:rFonts w:ascii="仿宋" w:hAnsi="仿宋" w:eastAsia="仿宋" w:cs="仿宋"/>
          <w:sz w:val="24"/>
        </w:rPr>
      </w:pPr>
      <w:r>
        <w:rPr>
          <w:rFonts w:hint="eastAsia" w:ascii="仿宋" w:hAnsi="仿宋" w:eastAsia="仿宋" w:cs="仿宋"/>
          <w:sz w:val="24"/>
        </w:rPr>
        <w:t>2、每年服务期满半年后5个工作日内，支付当年服务合同金额的20%。</w:t>
      </w:r>
    </w:p>
    <w:p>
      <w:pPr>
        <w:spacing w:line="360" w:lineRule="auto"/>
        <w:ind w:firstLine="480" w:firstLineChars="200"/>
        <w:rPr>
          <w:rFonts w:ascii="仿宋" w:hAnsi="仿宋" w:eastAsia="仿宋" w:cs="仿宋"/>
          <w:sz w:val="24"/>
        </w:rPr>
      </w:pPr>
      <w:r>
        <w:rPr>
          <w:rFonts w:hint="eastAsia" w:ascii="仿宋" w:hAnsi="仿宋" w:eastAsia="仿宋" w:cs="仿宋"/>
          <w:sz w:val="24"/>
        </w:rPr>
        <w:t>3、每年验收合格后5个工作日内，按照实际点位租用情况支付当年剩余款项。</w:t>
      </w:r>
    </w:p>
    <w:p>
      <w:pPr>
        <w:spacing w:line="360" w:lineRule="auto"/>
        <w:outlineLvl w:val="2"/>
        <w:rPr>
          <w:rFonts w:ascii="仿宋" w:hAnsi="仿宋" w:eastAsia="仿宋" w:cs="仿宋"/>
          <w:b/>
          <w:sz w:val="24"/>
        </w:rPr>
      </w:pPr>
      <w:bookmarkStart w:id="572" w:name="_GoBack"/>
      <w:bookmarkEnd w:id="572"/>
      <w:r>
        <w:rPr>
          <w:rFonts w:hint="eastAsia" w:ascii="仿宋" w:hAnsi="仿宋" w:eastAsia="仿宋" w:cs="仿宋"/>
          <w:b/>
          <w:sz w:val="24"/>
        </w:rPr>
        <w:t>4.售后服务要求</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1、供应商应按工业和信息化部相关要求，保证采购人使用电路畅通。采购人在开通和使用电路过程中出现的任何故障均可就近向供应商申告。供应商将提供每周7×24小时热线电话服务，并确定专人联系。电路故障网络线路发生故障时，30分钟响应，4小时内解决，紧急情况配合做好应急保障。供应商在接到采购人故障申告后，应依据国家相关规定及时解决有关故障。但因采购人人为操作等原因以及非供应商控制范围之内的事项除外。</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2、供应商应依据国家相关规定和合同约定负责对采购人所租用之电路进行维护，采购人应给予必要的协助和配合。供应商应当以双方商定的接入点为界，各自负责维护在接入点靠近己方一侧的网络通信线路、设备和其他设施。</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 xml:space="preserve">3、为保证国家电信网络的的正常运行，供应商有义务根据国家规定进行调网、割接、系统升级等工作。由此引发的电路中断，应确定为非电路故障，但是供应商将提前通知采购人并承诺在最短时间内保证电路恢复正常。  </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4、供应商承诺重大安保活动前供应商应对线路进行排查，并对重要线路进行巡检。</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5、供应商承诺线路不受欠费或其他原因影响导致停机。</w:t>
      </w:r>
    </w:p>
    <w:p>
      <w:pPr>
        <w:spacing w:line="360" w:lineRule="auto"/>
        <w:outlineLvl w:val="2"/>
        <w:rPr>
          <w:rFonts w:ascii="仿宋" w:hAnsi="仿宋" w:eastAsia="仿宋" w:cs="仿宋"/>
          <w:b/>
          <w:snapToGrid w:val="0"/>
          <w:sz w:val="24"/>
        </w:rPr>
      </w:pPr>
      <w:r>
        <w:rPr>
          <w:rFonts w:hint="eastAsia" w:ascii="仿宋" w:hAnsi="仿宋" w:eastAsia="仿宋" w:cs="仿宋"/>
          <w:b/>
          <w:snapToGrid w:val="0"/>
          <w:sz w:val="24"/>
        </w:rPr>
        <w:t>5.其他商务要求（包装和运输、保险等）</w:t>
      </w:r>
    </w:p>
    <w:p>
      <w:pPr>
        <w:spacing w:line="360" w:lineRule="auto"/>
        <w:ind w:firstLine="480" w:firstLineChars="200"/>
        <w:outlineLvl w:val="2"/>
        <w:rPr>
          <w:rFonts w:ascii="仿宋" w:hAnsi="仿宋" w:eastAsia="仿宋" w:cs="仿宋"/>
          <w:snapToGrid w:val="0"/>
          <w:sz w:val="24"/>
        </w:rPr>
      </w:pPr>
      <w:r>
        <w:rPr>
          <w:rFonts w:hint="eastAsia" w:ascii="仿宋" w:hAnsi="仿宋" w:eastAsia="仿宋" w:cs="仿宋"/>
          <w:snapToGrid w:val="0"/>
          <w:sz w:val="24"/>
        </w:rPr>
        <w:t>1、本项目建设在采购人指定地点，包装和运输满足国家强制要求。</w:t>
      </w:r>
    </w:p>
    <w:p>
      <w:pPr>
        <w:spacing w:line="360" w:lineRule="auto"/>
        <w:ind w:firstLine="480" w:firstLineChars="200"/>
        <w:outlineLvl w:val="2"/>
        <w:rPr>
          <w:rFonts w:ascii="仿宋" w:hAnsi="仿宋" w:eastAsia="仿宋" w:cs="仿宋"/>
          <w:snapToGrid w:val="0"/>
          <w:sz w:val="24"/>
        </w:rPr>
      </w:pPr>
      <w:r>
        <w:rPr>
          <w:rFonts w:hint="eastAsia" w:ascii="仿宋" w:hAnsi="仿宋" w:eastAsia="仿宋" w:cs="仿宋"/>
          <w:snapToGrid w:val="0"/>
          <w:sz w:val="24"/>
        </w:rPr>
        <w:t>2、项目实施过程中发生的死亡、人身伤害、财产损失、损害以及任何其它损失、损害和引起的费用和开支，由供应商承担全部责任。所有一切保险均由供应商负责。</w:t>
      </w:r>
    </w:p>
    <w:p>
      <w:pPr>
        <w:spacing w:line="360" w:lineRule="auto"/>
        <w:ind w:firstLine="480" w:firstLineChars="200"/>
        <w:outlineLvl w:val="2"/>
        <w:rPr>
          <w:rFonts w:ascii="仿宋" w:hAnsi="仿宋" w:eastAsia="仿宋" w:cs="仿宋"/>
          <w:snapToGrid w:val="0"/>
          <w:sz w:val="24"/>
        </w:rPr>
      </w:pPr>
      <w:r>
        <w:rPr>
          <w:rFonts w:hint="eastAsia" w:ascii="仿宋" w:hAnsi="仿宋" w:eastAsia="仿宋" w:cs="仿宋"/>
          <w:snapToGrid w:val="0"/>
          <w:sz w:val="24"/>
        </w:rPr>
        <w:t>3、投标报价包含链路租赁费、初装费、布线费、人员服务（人员工资、加班费、《劳动合同法》规定的各类社保费、食宿费、交通费、办公费等）、机具费用、税费等为完成本项目各项服务可能发生的全部费用。</w:t>
      </w:r>
    </w:p>
    <w:p>
      <w:pPr>
        <w:spacing w:line="360" w:lineRule="auto"/>
        <w:outlineLvl w:val="2"/>
        <w:rPr>
          <w:rFonts w:ascii="仿宋" w:hAnsi="仿宋" w:eastAsia="仿宋" w:cs="仿宋"/>
          <w:b/>
          <w:sz w:val="24"/>
        </w:rPr>
      </w:pPr>
      <w:r>
        <w:rPr>
          <w:rFonts w:hint="eastAsia" w:ascii="仿宋" w:hAnsi="仿宋" w:eastAsia="仿宋" w:cs="仿宋"/>
          <w:b/>
          <w:sz w:val="24"/>
        </w:rPr>
        <w:t>6.项目组织实施要求</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1、投标供应商需具有完备的</w:t>
      </w:r>
      <w:r>
        <w:rPr>
          <w:rFonts w:hint="eastAsia" w:ascii="仿宋" w:hAnsi="仿宋" w:eastAsia="仿宋" w:cs="仿宋"/>
          <w:color w:val="000000"/>
          <w:kern w:val="0"/>
          <w:sz w:val="24"/>
          <w:lang w:val="zh-CN"/>
        </w:rPr>
        <w:t>组织机构、工作程序和步骤和管理和协调方法</w:t>
      </w:r>
      <w:r>
        <w:rPr>
          <w:rFonts w:hint="eastAsia" w:ascii="仿宋" w:hAnsi="仿宋" w:eastAsia="仿宋" w:cs="仿宋"/>
          <w:snapToGrid w:val="0"/>
          <w:sz w:val="24"/>
        </w:rPr>
        <w:t>，有完善的</w:t>
      </w:r>
      <w:r>
        <w:rPr>
          <w:rFonts w:hint="eastAsia" w:ascii="仿宋" w:hAnsi="仿宋" w:eastAsia="仿宋" w:cs="仿宋"/>
          <w:color w:val="000000"/>
          <w:kern w:val="0"/>
          <w:sz w:val="24"/>
        </w:rPr>
        <w:t>质量保证措施方案</w:t>
      </w:r>
      <w:r>
        <w:rPr>
          <w:rFonts w:hint="eastAsia" w:ascii="仿宋" w:hAnsi="仿宋" w:eastAsia="仿宋" w:cs="仿宋"/>
          <w:snapToGrid w:val="0"/>
          <w:sz w:val="24"/>
        </w:rPr>
        <w:t>，并能有效实施，中标人应负责按采购需求制订完整的实施方案，保障项目建设，完成相关系统调试、运行等工作；</w:t>
      </w:r>
    </w:p>
    <w:p>
      <w:pPr>
        <w:spacing w:line="360" w:lineRule="auto"/>
        <w:ind w:firstLine="480" w:firstLineChars="200"/>
        <w:rPr>
          <w:rFonts w:ascii="仿宋" w:hAnsi="仿宋" w:eastAsia="仿宋" w:cs="仿宋"/>
          <w:snapToGrid w:val="0"/>
          <w:sz w:val="24"/>
        </w:rPr>
      </w:pPr>
      <w:r>
        <w:rPr>
          <w:rFonts w:hint="eastAsia" w:ascii="仿宋" w:hAnsi="仿宋" w:eastAsia="仿宋" w:cs="仿宋"/>
          <w:snapToGrid w:val="0"/>
          <w:sz w:val="24"/>
        </w:rPr>
        <w:t>2、针对本项目制订详实的项目实施规划方案，实施期间，中标人应遵守有关部门的管理，并遵照相关的规定，保障项目顺利实施。</w:t>
      </w:r>
    </w:p>
    <w:p>
      <w:pPr>
        <w:spacing w:line="360" w:lineRule="auto"/>
        <w:outlineLvl w:val="2"/>
        <w:rPr>
          <w:rFonts w:ascii="仿宋" w:hAnsi="仿宋" w:eastAsia="仿宋" w:cs="仿宋"/>
          <w:b/>
          <w:sz w:val="24"/>
        </w:rPr>
      </w:pPr>
      <w:r>
        <w:rPr>
          <w:rFonts w:hint="eastAsia" w:ascii="仿宋" w:hAnsi="仿宋" w:eastAsia="仿宋" w:cs="仿宋"/>
          <w:b/>
          <w:sz w:val="24"/>
        </w:rPr>
        <w:t>7.项目实施团队要求：</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1、本项目应配备项目经理和主要技术人员。本项目需配备1名项目负责人具备高级工程师（信息技术方向）证书、信息系统项目管理师证书、注册信息安全专业人员证书、中级通信（互联网技术）工程师证书；1名技术负责人具备信息系统项目管理师证书、系统分析师证书、中级通信（互联网技术）工程师证书、信创集成项目管理师证书；项目组人员（除项目负责人和技术负责人外）至少4名成员具备网络工程师（中级）证书。</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2、服务人员有关要求：</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①供应商需按采购人要求提供项目团队主要成员名单及相关技术能力信息，在项目实施过程中，如采购人认为相关人员无法满足要求的，供应商应根据采购人要求及时更换项目团队成员。</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 xml:space="preserve">②供应商在履行本合同义务的期间，应运用合理的技能，认真、勤奋的工作，按照合同约定的内容及时间完成服务。 </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 xml:space="preserve">③供应商须负责本合同服务所需的一切政府相关部门报批工作，承担全部费用，如有必要采购人应予以积极配合。 </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 xml:space="preserve">④供应商负责服务期间的安全工作，如因供应商原因导致人身、财产损害或消防事故等，供应商应承担全部责任。 </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⑤供应商在工作准备及实施过程中，应接受采购人任何形式的监督、检查，及时与采购人沟通工作完成情况。</w:t>
      </w:r>
    </w:p>
    <w:p>
      <w:pPr>
        <w:spacing w:line="360" w:lineRule="auto"/>
        <w:ind w:firstLine="480" w:firstLineChars="200"/>
        <w:jc w:val="left"/>
        <w:outlineLvl w:val="0"/>
        <w:rPr>
          <w:rFonts w:ascii="仿宋" w:hAnsi="仿宋" w:eastAsia="仿宋" w:cs="仿宋"/>
          <w:snapToGrid w:val="0"/>
          <w:sz w:val="24"/>
        </w:rPr>
      </w:pPr>
      <w:r>
        <w:rPr>
          <w:rFonts w:hint="eastAsia" w:ascii="仿宋" w:hAnsi="仿宋" w:eastAsia="仿宋" w:cs="仿宋"/>
          <w:snapToGrid w:val="0"/>
          <w:sz w:val="24"/>
        </w:rPr>
        <w:t>⑥供应商在服务结束后【30】日内，需整理并向采购人提交就整个项目的总结汇报材料。</w:t>
      </w:r>
    </w:p>
    <w:p>
      <w:pPr>
        <w:spacing w:line="360" w:lineRule="auto"/>
        <w:ind w:firstLine="480" w:firstLineChars="200"/>
        <w:jc w:val="left"/>
        <w:outlineLvl w:val="0"/>
        <w:rPr>
          <w:rFonts w:ascii="仿宋" w:hAnsi="仿宋" w:eastAsia="仿宋" w:cs="仿宋"/>
          <w:sz w:val="24"/>
        </w:rPr>
      </w:pPr>
      <w:r>
        <w:rPr>
          <w:rFonts w:hint="eastAsia" w:ascii="仿宋" w:hAnsi="仿宋" w:eastAsia="仿宋" w:cs="仿宋"/>
          <w:sz w:val="24"/>
        </w:rPr>
        <w:t>3、投标供应商需具有通信技术服务管理能力、通信系统建设和服务能力。</w:t>
      </w:r>
    </w:p>
    <w:p>
      <w:pPr>
        <w:spacing w:line="360" w:lineRule="auto"/>
        <w:outlineLvl w:val="2"/>
        <w:rPr>
          <w:rFonts w:ascii="仿宋" w:hAnsi="仿宋" w:eastAsia="仿宋" w:cs="仿宋"/>
          <w:b/>
          <w:color w:val="000000"/>
          <w:kern w:val="0"/>
          <w:sz w:val="24"/>
        </w:rPr>
        <w:sectPr>
          <w:pgSz w:w="11907" w:h="16840"/>
          <w:pgMar w:top="777" w:right="1418" w:bottom="471" w:left="1418" w:header="851" w:footer="851" w:gutter="0"/>
          <w:cols w:space="720" w:num="1"/>
          <w:docGrid w:linePitch="462" w:charSpace="0"/>
        </w:sectPr>
      </w:pPr>
      <w:r>
        <w:rPr>
          <w:rFonts w:hint="eastAsia" w:ascii="仿宋" w:hAnsi="仿宋" w:eastAsia="仿宋" w:cs="仿宋"/>
          <w:b/>
          <w:color w:val="000000"/>
          <w:kern w:val="0"/>
          <w:sz w:val="24"/>
        </w:rPr>
        <w:t>其它：招标文件第四部分评分办法中评审因素相应的其它要求及第五部分采购合同中相应的其他要求。</w:t>
      </w: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05" w:name="_Toc302396102"/>
      <w:bookmarkStart w:id="406" w:name="_Toc11082"/>
      <w:bookmarkStart w:id="407" w:name="_Toc13823"/>
      <w:bookmarkStart w:id="408" w:name="_Toc8240"/>
      <w:bookmarkStart w:id="409" w:name="_Toc18363"/>
      <w:bookmarkStart w:id="410" w:name="_Toc30830"/>
      <w:r>
        <w:rPr>
          <w:rFonts w:hint="eastAsia" w:ascii="仿宋" w:hAnsi="仿宋" w:eastAsia="仿宋"/>
          <w:b/>
          <w:color w:val="000000"/>
          <w:sz w:val="36"/>
          <w:szCs w:val="36"/>
        </w:rPr>
        <w:t>评标方法</w:t>
      </w:r>
      <w:bookmarkEnd w:id="39"/>
      <w:bookmarkEnd w:id="405"/>
      <w:bookmarkEnd w:id="406"/>
      <w:bookmarkEnd w:id="407"/>
      <w:bookmarkEnd w:id="408"/>
      <w:bookmarkEnd w:id="409"/>
      <w:bookmarkEnd w:id="410"/>
      <w:bookmarkStart w:id="411" w:name="第五部分"/>
      <w:bookmarkStart w:id="412" w:name="_Toc401313705"/>
      <w:bookmarkStart w:id="413" w:name="_Toc86217003"/>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48"/>
        <w:tblpPr w:leftFromText="180" w:rightFromText="180" w:vertAnchor="text" w:horzAnchor="margin" w:tblpY="8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992"/>
        <w:gridCol w:w="575"/>
        <w:gridCol w:w="589"/>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45" w:type="pct"/>
            <w:vAlign w:val="center"/>
          </w:tcPr>
          <w:p>
            <w:pPr>
              <w:pStyle w:val="343"/>
              <w:jc w:val="center"/>
              <w:rPr>
                <w:rFonts w:ascii="仿宋" w:hAnsi="仿宋" w:eastAsia="仿宋"/>
              </w:rPr>
            </w:pPr>
            <w:r>
              <w:rPr>
                <w:rFonts w:hint="eastAsia" w:ascii="仿宋" w:hAnsi="仿宋" w:eastAsia="仿宋"/>
              </w:rPr>
              <w:t>序号</w:t>
            </w:r>
          </w:p>
        </w:tc>
        <w:tc>
          <w:tcPr>
            <w:tcW w:w="3227" w:type="pct"/>
            <w:vAlign w:val="center"/>
          </w:tcPr>
          <w:p>
            <w:pPr>
              <w:pStyle w:val="343"/>
              <w:jc w:val="center"/>
              <w:rPr>
                <w:rFonts w:ascii="仿宋" w:hAnsi="仿宋" w:eastAsia="仿宋"/>
              </w:rPr>
            </w:pPr>
            <w:r>
              <w:rPr>
                <w:rFonts w:hint="eastAsia" w:ascii="仿宋" w:hAnsi="仿宋" w:eastAsia="仿宋"/>
              </w:rPr>
              <w:t>评标标准</w:t>
            </w:r>
          </w:p>
        </w:tc>
        <w:tc>
          <w:tcPr>
            <w:tcW w:w="310" w:type="pct"/>
            <w:vAlign w:val="center"/>
          </w:tcPr>
          <w:p>
            <w:pPr>
              <w:pStyle w:val="343"/>
              <w:jc w:val="center"/>
              <w:rPr>
                <w:rFonts w:ascii="仿宋" w:hAnsi="仿宋" w:eastAsia="仿宋"/>
              </w:rPr>
            </w:pPr>
            <w:r>
              <w:rPr>
                <w:rFonts w:hint="eastAsia" w:ascii="仿宋" w:hAnsi="仿宋" w:eastAsia="仿宋"/>
              </w:rPr>
              <w:t>权重</w:t>
            </w:r>
          </w:p>
        </w:tc>
        <w:tc>
          <w:tcPr>
            <w:tcW w:w="317" w:type="pct"/>
            <w:vAlign w:val="center"/>
          </w:tcPr>
          <w:p>
            <w:pPr>
              <w:pStyle w:val="343"/>
              <w:jc w:val="center"/>
              <w:rPr>
                <w:rFonts w:ascii="仿宋" w:hAnsi="仿宋" w:eastAsia="仿宋"/>
              </w:rPr>
            </w:pPr>
            <w:r>
              <w:rPr>
                <w:rFonts w:hint="eastAsia" w:ascii="仿宋" w:hAnsi="仿宋" w:eastAsia="仿宋"/>
              </w:rPr>
              <w:t>主客观属性</w:t>
            </w:r>
          </w:p>
        </w:tc>
        <w:tc>
          <w:tcPr>
            <w:tcW w:w="898" w:type="pct"/>
            <w:vAlign w:val="center"/>
          </w:tcPr>
          <w:p>
            <w:pPr>
              <w:pStyle w:val="343"/>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227" w:type="pct"/>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投标人针对本项目的技术服务方案，包括：①2G出口带宽租用；②裸光纤专用链路租用。</w:t>
            </w:r>
            <w:r>
              <w:rPr>
                <w:rFonts w:hint="eastAsia" w:ascii="仿宋" w:hAnsi="仿宋" w:eastAsia="仿宋" w:cs="仿宋"/>
                <w:color w:val="000000"/>
                <w:kern w:val="0"/>
                <w:sz w:val="24"/>
                <w:lang w:bidi="ar"/>
              </w:rPr>
              <w:br w:type="textWrapping"/>
            </w:r>
            <w:r>
              <w:rPr>
                <w:rFonts w:hint="eastAsia" w:ascii="仿宋" w:hAnsi="仿宋" w:eastAsia="仿宋" w:cs="仿宋"/>
                <w:sz w:val="24"/>
              </w:rPr>
              <w:t>根据投标人提供的方案能否满足采购需求判定评分，每一项</w:t>
            </w:r>
            <w:r>
              <w:rPr>
                <w:rFonts w:hint="eastAsia" w:ascii="仿宋" w:hAnsi="仿宋" w:eastAsia="仿宋" w:cs="宋体"/>
                <w:color w:val="000000"/>
                <w:sz w:val="24"/>
              </w:rPr>
              <w:t>方案全面合理，规范可操作性、针对性强的，得5分；方案有欠缺，但基本合理的，得3分；不够合理得当的得1分；未提供或完全不符的，不得分，本项</w:t>
            </w:r>
            <w:r>
              <w:rPr>
                <w:rFonts w:hint="eastAsia" w:ascii="仿宋" w:hAnsi="仿宋" w:eastAsia="仿宋" w:cs="仿宋"/>
                <w:color w:val="000000"/>
                <w:kern w:val="0"/>
                <w:sz w:val="24"/>
                <w:lang w:bidi="ar"/>
              </w:rPr>
              <w:t>最高10分。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技术服务方案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227" w:type="pct"/>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投标人针对本项目的实施规划方案，包括：①提出合理的项目整体实施方案，②按照项目分解节点，</w:t>
            </w:r>
            <w:r>
              <w:rPr>
                <w:rFonts w:hint="eastAsia" w:ascii="仿宋" w:hAnsi="仿宋" w:eastAsia="仿宋" w:cs="仿宋"/>
                <w:sz w:val="24"/>
              </w:rPr>
              <w:t>提供项目实施计划，</w:t>
            </w:r>
            <w:r>
              <w:rPr>
                <w:rFonts w:hint="eastAsia" w:ascii="仿宋" w:hAnsi="仿宋" w:eastAsia="仿宋" w:cs="仿宋"/>
                <w:color w:val="000000"/>
                <w:kern w:val="0"/>
                <w:sz w:val="24"/>
                <w:lang w:bidi="ar"/>
              </w:rPr>
              <w:t>③供货、安装调试、试运行、测试、调优等内容技术组织实施，④组织机构、工作时间进度表、工作程序和步骤、管理和协调方法、关键步骤的思路和要点。</w:t>
            </w:r>
          </w:p>
          <w:p>
            <w:pPr>
              <w:widowControl/>
              <w:textAlignment w:val="center"/>
              <w:rPr>
                <w:rFonts w:ascii="仿宋" w:hAnsi="仿宋" w:eastAsia="仿宋" w:cs="仿宋"/>
                <w:color w:val="000000"/>
                <w:sz w:val="24"/>
              </w:rPr>
            </w:pPr>
            <w:r>
              <w:rPr>
                <w:rFonts w:hint="eastAsia" w:ascii="仿宋" w:hAnsi="仿宋" w:eastAsia="仿宋" w:cs="仿宋"/>
                <w:sz w:val="24"/>
              </w:rPr>
              <w:t>根据投标人提供的方案能否满足采购需求判定评分，</w:t>
            </w:r>
            <w:r>
              <w:rPr>
                <w:rFonts w:hint="eastAsia" w:ascii="仿宋" w:hAnsi="仿宋" w:eastAsia="仿宋" w:cs="仿宋"/>
                <w:color w:val="000000"/>
                <w:kern w:val="0"/>
                <w:sz w:val="24"/>
                <w:lang w:bidi="ar"/>
              </w:rPr>
              <w:t>每一项</w:t>
            </w:r>
            <w:r>
              <w:rPr>
                <w:rFonts w:hint="eastAsia" w:ascii="仿宋" w:hAnsi="仿宋" w:eastAsia="仿宋" w:cs="宋体"/>
                <w:color w:val="000000"/>
                <w:sz w:val="24"/>
              </w:rPr>
              <w:t>方案全面合理，规范可操作性强的，得3分；方案有欠缺，但基本合理的，得2分；不够合理得当的得1分；未提供或完全不符的，不得分，本项最高12分。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227" w:type="pct"/>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投标人提供针对本项目的应急方案，包括由投标人自身原因发生可能影响采购人使用的线路中断应急方案。</w:t>
            </w:r>
            <w:r>
              <w:rPr>
                <w:rFonts w:ascii="仿宋" w:hAnsi="仿宋" w:eastAsia="仿宋" w:cs="仿宋"/>
                <w:color w:val="000000"/>
                <w:kern w:val="0"/>
                <w:sz w:val="24"/>
                <w:lang w:bidi="ar"/>
              </w:rPr>
              <w:br w:type="textWrapping"/>
            </w:r>
            <w:r>
              <w:rPr>
                <w:rFonts w:hint="eastAsia" w:ascii="仿宋" w:hAnsi="仿宋" w:eastAsia="仿宋" w:cs="仿宋"/>
                <w:sz w:val="24"/>
              </w:rPr>
              <w:t>根据投标人提供的方案能否满足采购需求判定评分，</w:t>
            </w:r>
            <w:r>
              <w:rPr>
                <w:rFonts w:hint="eastAsia" w:ascii="仿宋" w:hAnsi="仿宋" w:eastAsia="仿宋" w:cs="宋体"/>
                <w:color w:val="000000"/>
                <w:sz w:val="24"/>
              </w:rPr>
              <w:t>方案全面合理，规范可操作性、针对性强的，得</w:t>
            </w:r>
            <w:r>
              <w:rPr>
                <w:rFonts w:ascii="仿宋" w:hAnsi="仿宋" w:eastAsia="仿宋" w:cs="宋体"/>
                <w:color w:val="000000"/>
                <w:sz w:val="24"/>
              </w:rPr>
              <w:t>5分；方案有欠缺，但基本合理的，得3分；不够合理得当的得1分；未提供或完全不符的，不得分。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3227" w:type="pct"/>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w:t>
            </w:r>
            <w:r>
              <w:rPr>
                <w:rFonts w:hint="eastAsia" w:ascii="仿宋" w:hAnsi="仿宋" w:eastAsia="仿宋" w:cs="仿宋"/>
                <w:color w:val="000000"/>
                <w:kern w:val="0"/>
                <w:sz w:val="24"/>
                <w:highlight w:val="none"/>
                <w:lang w:bidi="ar"/>
              </w:rPr>
              <w:t>针对本项目</w:t>
            </w:r>
            <w:r>
              <w:rPr>
                <w:rFonts w:hint="eastAsia" w:ascii="仿宋" w:hAnsi="仿宋" w:eastAsia="仿宋" w:cs="仿宋"/>
                <w:color w:val="000000"/>
                <w:kern w:val="0"/>
                <w:sz w:val="24"/>
                <w:lang w:bidi="ar"/>
              </w:rPr>
              <w:t>重大安保活动前供应商应对线路进行排查，并对重要线路进行巡检，并提供巡检方案：①</w:t>
            </w:r>
            <w:r>
              <w:rPr>
                <w:rFonts w:ascii="仿宋" w:hAnsi="仿宋" w:eastAsia="仿宋" w:cs="仿宋"/>
                <w:color w:val="000000"/>
                <w:kern w:val="0"/>
                <w:sz w:val="24"/>
                <w:lang w:bidi="ar"/>
              </w:rPr>
              <w:t>2G出口带宽线路巡检方案，②裸光纤专用链路巡检方案。</w:t>
            </w:r>
          </w:p>
          <w:p>
            <w:pPr>
              <w:widowControl/>
              <w:jc w:val="left"/>
              <w:textAlignment w:val="center"/>
              <w:rPr>
                <w:rFonts w:ascii="仿宋" w:hAnsi="仿宋" w:eastAsia="仿宋" w:cs="仿宋"/>
                <w:color w:val="000000"/>
                <w:sz w:val="24"/>
              </w:rPr>
            </w:pPr>
            <w:r>
              <w:rPr>
                <w:rFonts w:hint="eastAsia" w:ascii="仿宋" w:hAnsi="仿宋" w:eastAsia="仿宋" w:cs="仿宋"/>
                <w:sz w:val="24"/>
              </w:rPr>
              <w:t>根据投标人提供的方案能否满足采购需求判定评分，每一项</w:t>
            </w:r>
            <w:r>
              <w:rPr>
                <w:rFonts w:hint="eastAsia" w:ascii="仿宋" w:hAnsi="仿宋" w:eastAsia="仿宋" w:cs="宋体"/>
                <w:color w:val="000000"/>
                <w:sz w:val="24"/>
              </w:rPr>
              <w:t>方案全面合理，规范可操作性、针对性强的，得</w:t>
            </w:r>
            <w:r>
              <w:rPr>
                <w:rFonts w:ascii="仿宋" w:hAnsi="仿宋" w:eastAsia="仿宋" w:cs="宋体"/>
                <w:color w:val="000000"/>
                <w:sz w:val="24"/>
              </w:rPr>
              <w:t>3分；方案有欠缺，但基本合理的，得2分；不够合理得当的得1分；未提供或完全不符的，不得分，本项最高6分。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巡检方案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227" w:type="pct"/>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投标人对本项目建设实施重难点进行阐述，并提出相关解决方案。</w:t>
            </w:r>
          </w:p>
          <w:p>
            <w:pPr>
              <w:widowControl/>
              <w:textAlignment w:val="center"/>
              <w:rPr>
                <w:rFonts w:ascii="仿宋" w:hAnsi="仿宋" w:eastAsia="仿宋" w:cs="仿宋"/>
                <w:color w:val="000000"/>
                <w:sz w:val="24"/>
              </w:rPr>
            </w:pPr>
            <w:r>
              <w:rPr>
                <w:rFonts w:hint="eastAsia" w:ascii="仿宋" w:hAnsi="仿宋" w:eastAsia="仿宋" w:cs="仿宋"/>
                <w:sz w:val="24"/>
              </w:rPr>
              <w:t>根据投标人提供的方案能否满足采购需求判定评分，</w:t>
            </w:r>
            <w:r>
              <w:rPr>
                <w:rFonts w:hint="eastAsia" w:ascii="仿宋" w:hAnsi="仿宋" w:eastAsia="仿宋" w:cs="宋体"/>
                <w:color w:val="000000"/>
                <w:sz w:val="24"/>
              </w:rPr>
              <w:t>方案全面合理，规范可操作性、针对性强的，得5分；方案有欠缺，但基本合理的，得3分；不够合理得当的得1分；未提供或完全不符的，不得分。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重难点解决方案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227" w:type="pct"/>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投标人具备链路运行质量主动监控能力，并提供即时链路故障提醒服务功能相关方案。</w:t>
            </w:r>
          </w:p>
          <w:p>
            <w:pPr>
              <w:widowControl/>
              <w:jc w:val="left"/>
              <w:textAlignment w:val="center"/>
              <w:rPr>
                <w:rFonts w:ascii="仿宋" w:hAnsi="仿宋" w:eastAsia="仿宋" w:cs="仿宋"/>
                <w:color w:val="000000"/>
                <w:sz w:val="24"/>
              </w:rPr>
            </w:pPr>
            <w:r>
              <w:rPr>
                <w:rFonts w:hint="eastAsia" w:ascii="仿宋" w:hAnsi="仿宋" w:eastAsia="仿宋" w:cs="仿宋"/>
                <w:sz w:val="24"/>
              </w:rPr>
              <w:t>根据投标人提供的方案能否满足采购需求判定评分，</w:t>
            </w:r>
            <w:r>
              <w:rPr>
                <w:rFonts w:hint="eastAsia" w:ascii="仿宋" w:hAnsi="仿宋" w:eastAsia="仿宋" w:cs="宋体"/>
                <w:color w:val="000000"/>
                <w:sz w:val="24"/>
              </w:rPr>
              <w:t>方案全面合理，规范可操作性强的，得3分；方案有欠缺，但基本合理的，得2分；不够合理得当的得1分；未提供或完全不符的，不得分。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故障主动提醒方案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3227" w:type="pct"/>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投标人提供针对本项目的质量保证措施方案：①按采购人要求有明确的建设质量目标，质量保证措施，②按期完成系统设计、部署测试、上线运行、验收等措施，并具有详细可行的实施内容。</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sz w:val="24"/>
              </w:rPr>
              <w:t>根据投标人提供的方案能否满足采购需求判定评分，每一项</w:t>
            </w:r>
            <w:r>
              <w:rPr>
                <w:rFonts w:hint="eastAsia" w:ascii="仿宋" w:hAnsi="仿宋" w:eastAsia="仿宋" w:cs="宋体"/>
                <w:color w:val="000000"/>
                <w:sz w:val="24"/>
              </w:rPr>
              <w:t>方案全面合理，规范可操作性、针对性强的，得3分；方案有欠缺，但基本合理的，得2分；不够合理得当的得1分；未提供或完全不符的，不得分，本项最高6分。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3227" w:type="pct"/>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投标人提供针对本项目的网络安全保障方案，对主流的网络攻击行为有主动/被动防御控制措施。</w:t>
            </w:r>
          </w:p>
          <w:p>
            <w:pPr>
              <w:widowControl/>
              <w:jc w:val="left"/>
              <w:textAlignment w:val="center"/>
              <w:rPr>
                <w:rFonts w:ascii="仿宋" w:hAnsi="仿宋" w:eastAsia="仿宋" w:cs="仿宋"/>
                <w:color w:val="000000"/>
                <w:sz w:val="24"/>
              </w:rPr>
            </w:pPr>
            <w:r>
              <w:rPr>
                <w:rFonts w:hint="eastAsia" w:ascii="仿宋" w:hAnsi="仿宋" w:eastAsia="仿宋" w:cs="仿宋"/>
                <w:sz w:val="24"/>
              </w:rPr>
              <w:t>根据投标人提供的方案能否满足采购需求判定评分，</w:t>
            </w:r>
            <w:r>
              <w:rPr>
                <w:rFonts w:hint="eastAsia" w:ascii="仿宋" w:hAnsi="仿宋" w:eastAsia="仿宋" w:cs="宋体"/>
                <w:color w:val="000000"/>
                <w:sz w:val="24"/>
              </w:rPr>
              <w:t>方案全面合理，规范可操作性、针对性强的，得5分；方案有欠缺，但基本合理的，得3分；不够合理得当的得1分；未提供或完全不符的，不得分。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网络安全保障方案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3227" w:type="pct"/>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投标人提供针对本项目的培训方案，包括①培训计划与课程、②培训组织与讲师配备等。</w:t>
            </w:r>
          </w:p>
          <w:p>
            <w:pPr>
              <w:widowControl/>
              <w:jc w:val="left"/>
              <w:textAlignment w:val="center"/>
              <w:rPr>
                <w:rFonts w:ascii="仿宋" w:hAnsi="仿宋" w:eastAsia="仿宋" w:cs="仿宋"/>
                <w:color w:val="000000"/>
                <w:sz w:val="24"/>
              </w:rPr>
            </w:pPr>
            <w:r>
              <w:rPr>
                <w:rFonts w:hint="eastAsia" w:ascii="仿宋" w:hAnsi="仿宋" w:eastAsia="仿宋" w:cs="仿宋"/>
                <w:sz w:val="24"/>
              </w:rPr>
              <w:t>根据投标人提供的方案能否满足采购需求判定评分，每一项</w:t>
            </w:r>
            <w:r>
              <w:rPr>
                <w:rFonts w:hint="eastAsia" w:ascii="仿宋" w:hAnsi="仿宋" w:eastAsia="仿宋" w:cs="宋体"/>
                <w:color w:val="000000"/>
                <w:sz w:val="24"/>
              </w:rPr>
              <w:t>方案全面合理，规范可操作性、针对性强的，得3分；方案有欠缺，但基本合理的，得2分；不够合理得当的得1分；未提供或完全不符的，不得分，本项最高6分。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主观分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highlight w:val="none"/>
                <w:lang w:bidi="ar"/>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3227" w:type="pct"/>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highlight w:val="none"/>
                <w:lang w:bidi="ar"/>
              </w:rPr>
              <w:t>投标人承诺</w:t>
            </w:r>
            <w:r>
              <w:rPr>
                <w:rFonts w:hint="eastAsia" w:ascii="仿宋" w:hAnsi="仿宋" w:eastAsia="仿宋" w:cs="仿宋"/>
                <w:color w:val="000000"/>
                <w:kern w:val="0"/>
                <w:sz w:val="24"/>
                <w:lang w:bidi="ar"/>
              </w:rPr>
              <w:t>为确保业务网络无缝转换，需在合同签订</w:t>
            </w:r>
            <w:r>
              <w:rPr>
                <w:rFonts w:ascii="仿宋" w:hAnsi="仿宋" w:eastAsia="仿宋" w:cs="仿宋"/>
                <w:color w:val="000000"/>
                <w:kern w:val="0"/>
                <w:sz w:val="24"/>
                <w:lang w:bidi="ar"/>
              </w:rPr>
              <w:t>7个自然日内，完成</w:t>
            </w:r>
            <w:r>
              <w:rPr>
                <w:rFonts w:hint="eastAsia" w:ascii="仿宋" w:hAnsi="仿宋" w:eastAsia="仿宋" w:cs="仿宋"/>
                <w:color w:val="000000"/>
                <w:kern w:val="0"/>
                <w:sz w:val="24"/>
                <w:lang w:bidi="ar"/>
              </w:rPr>
              <w:t>各线路的无缝转换，不得对采购人业务造成影响。若中标投标人在7个自然日内未按采购要求全部完成的，则视为主动放弃中标，同时2024年6月24日至切换完成期间所产生的租赁服务费用由中标投标人承担，并在切换完成后10个工作日内支付给原投标人（费用依据本次中标价，按日折算）。提供承诺函，符合得5分，不符合不得分。</w:t>
            </w:r>
            <w:r>
              <w:rPr>
                <w:rFonts w:hint="eastAsia" w:ascii="仿宋" w:hAnsi="仿宋" w:eastAsia="仿宋" w:cs="仿宋"/>
                <w:color w:val="000000"/>
                <w:kern w:val="0"/>
                <w:sz w:val="24"/>
                <w:lang w:bidi="ar"/>
              </w:rPr>
              <w:br w:type="textWrapping"/>
            </w:r>
            <w:r>
              <w:rPr>
                <w:rFonts w:hint="eastAsia" w:ascii="仿宋" w:hAnsi="仿宋" w:eastAsia="仿宋" w:cs="仿宋"/>
                <w:b/>
                <w:bCs/>
                <w:color w:val="000000"/>
                <w:kern w:val="0"/>
                <w:sz w:val="24"/>
                <w:lang w:bidi="ar"/>
              </w:rPr>
              <w:t>证明材料：提供承诺函并加盖公章，不满足或不提供承诺函不得分。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3227" w:type="pct"/>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①投标人承诺售后服务提供每周7×24小时热线电话服务，并确定专人联系。网络线路发生故障时，30分钟响应，4小时内解决。提供承诺函，符合得3分，不符合或不提供不得分。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②投标人承诺重大安保活动前投标人应对线路进行排查，并对重要线路进行巡检。提供承诺函，符合得3分，不符合或不提供不得分。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③投标人承诺线路不受欠费或其他原因影响导致停机。提供承诺函，符合得3分，不符合或不提供不得分。</w:t>
            </w:r>
            <w:r>
              <w:rPr>
                <w:rFonts w:hint="eastAsia" w:ascii="仿宋" w:hAnsi="仿宋" w:eastAsia="仿宋" w:cs="仿宋"/>
                <w:color w:val="000000"/>
                <w:kern w:val="0"/>
                <w:sz w:val="24"/>
                <w:lang w:bidi="ar"/>
              </w:rPr>
              <w:br w:type="textWrapping"/>
            </w:r>
            <w:r>
              <w:rPr>
                <w:rFonts w:hint="eastAsia" w:ascii="仿宋" w:hAnsi="仿宋" w:eastAsia="仿宋" w:cs="仿宋"/>
                <w:b/>
                <w:bCs/>
                <w:color w:val="000000"/>
                <w:kern w:val="0"/>
                <w:sz w:val="24"/>
                <w:lang w:bidi="ar"/>
              </w:rPr>
              <w:t>证明材料：提供承诺函并加盖公章，不满足或不提供承诺函不得分。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3227" w:type="pct"/>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①项目负责人具备：高级工程师（信息技术方向）证书、信息系统项目管理师证书、注册信息安全专业人员证书、中级通信（互联网技术）工程师证书，每提供一项得1分，最高得4分。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②技术负责人具备：信息系统项目管理师证书、系统分析师证书、中级通信（互联网技术）工程师证书、信创集成项目管理师证书，每提供一项得1分，最高得4分。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③项目组人员（除项目负责人和技术负责人外）：具备4名网络工程师（中级）证书，每提供1人得1分，最高得4分。</w:t>
            </w:r>
            <w:r>
              <w:rPr>
                <w:rFonts w:hint="eastAsia" w:ascii="仿宋" w:hAnsi="仿宋" w:eastAsia="仿宋" w:cs="仿宋"/>
                <w:color w:val="000000"/>
                <w:kern w:val="0"/>
                <w:sz w:val="24"/>
                <w:lang w:bidi="ar"/>
              </w:rPr>
              <w:br w:type="textWrapping"/>
            </w:r>
            <w:r>
              <w:rPr>
                <w:rFonts w:hint="eastAsia" w:ascii="仿宋" w:hAnsi="仿宋" w:eastAsia="仿宋" w:cs="仿宋"/>
                <w:b/>
                <w:bCs/>
                <w:color w:val="000000"/>
                <w:kern w:val="0"/>
                <w:sz w:val="24"/>
                <w:lang w:bidi="ar"/>
              </w:rPr>
              <w:t>证明材料:同时提供相关证书、所涉及人员提供社保机构出具的在投标人单位社保证明材料，材料不齐不得分。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3227" w:type="pct"/>
            <w:vAlign w:val="center"/>
          </w:tcPr>
          <w:p>
            <w:pPr>
              <w:widowControl/>
              <w:textAlignment w:val="center"/>
              <w:rPr>
                <w:rFonts w:ascii="仿宋" w:hAnsi="仿宋" w:eastAsia="仿宋" w:cs="仿宋"/>
                <w:color w:val="000000"/>
                <w:kern w:val="2"/>
                <w:sz w:val="24"/>
                <w:lang w:bidi="ar-SA"/>
              </w:rPr>
            </w:pPr>
            <w:r>
              <w:rPr>
                <w:rFonts w:hint="eastAsia" w:ascii="仿宋" w:hAnsi="仿宋" w:eastAsia="仿宋" w:cs="仿宋"/>
                <w:color w:val="000000"/>
                <w:kern w:val="0"/>
                <w:sz w:val="24"/>
                <w:lang w:bidi="ar"/>
              </w:rPr>
              <w:t>①投标人具有有效期内的质量管理体系认证证书，得</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分。</w:t>
            </w:r>
          </w:p>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②投标人具有有效期内的环境管理体系认证证书，得</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分。</w:t>
            </w:r>
            <w:r>
              <w:rPr>
                <w:rFonts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③投标人具有有效期内的信息安全管理体系认证证书，得</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分。</w:t>
            </w:r>
            <w:r>
              <w:rPr>
                <w:rFonts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④投标人具有有效期内的信息技术服务管理体系认证证书，得</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分。</w:t>
            </w:r>
            <w:r>
              <w:rPr>
                <w:rFonts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⑤投标人具有有效期内的</w:t>
            </w:r>
            <w:r>
              <w:rPr>
                <w:rFonts w:hint="eastAsia" w:ascii="仿宋" w:hAnsi="仿宋" w:eastAsia="仿宋" w:cs="仿宋"/>
                <w:snapToGrid w:val="0"/>
                <w:sz w:val="24"/>
              </w:rPr>
              <w:t>中华人民共和国基础电信业务经营许可证或增值电信业务经营许可证</w:t>
            </w:r>
            <w:r>
              <w:rPr>
                <w:rFonts w:hint="eastAsia" w:ascii="仿宋" w:hAnsi="仿宋" w:eastAsia="仿宋" w:cs="仿宋"/>
                <w:color w:val="000000"/>
                <w:kern w:val="0"/>
                <w:sz w:val="24"/>
                <w:lang w:bidi="ar"/>
              </w:rPr>
              <w:t>，得</w:t>
            </w:r>
            <w:r>
              <w:rPr>
                <w:rFonts w:ascii="仿宋" w:hAnsi="仿宋" w:eastAsia="仿宋" w:cs="仿宋"/>
                <w:color w:val="000000"/>
                <w:kern w:val="0"/>
                <w:sz w:val="24"/>
                <w:lang w:bidi="ar"/>
              </w:rPr>
              <w:t>1</w:t>
            </w:r>
            <w:r>
              <w:rPr>
                <w:rFonts w:hint="eastAsia" w:ascii="仿宋" w:hAnsi="仿宋" w:eastAsia="仿宋" w:cs="仿宋"/>
                <w:color w:val="000000"/>
                <w:kern w:val="0"/>
                <w:sz w:val="24"/>
                <w:lang w:bidi="ar"/>
              </w:rPr>
              <w:t>分。</w:t>
            </w:r>
            <w:r>
              <w:rPr>
                <w:rFonts w:ascii="仿宋" w:hAnsi="仿宋" w:eastAsia="仿宋" w:cs="仿宋"/>
                <w:color w:val="000000"/>
                <w:kern w:val="0"/>
                <w:sz w:val="24"/>
                <w:lang w:bidi="ar"/>
              </w:rPr>
              <w:br w:type="textWrapping"/>
            </w:r>
            <w:r>
              <w:rPr>
                <w:rFonts w:hint="eastAsia" w:ascii="仿宋" w:hAnsi="仿宋" w:eastAsia="仿宋" w:cs="仿宋"/>
                <w:b/>
                <w:bCs/>
                <w:color w:val="000000"/>
                <w:kern w:val="0"/>
                <w:sz w:val="24"/>
                <w:lang w:bidi="ar"/>
              </w:rPr>
              <w:t>证明材料：提供有效期内的认证证书复印件，加盖投标人公章，否则不得分。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3227" w:type="pct"/>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投标人类似项目的成功经验案例：自2021年1月1日（以合同签订日期为准）以来，投标人承担类似项目实施的成功经验案例的，每个项目得0.5分，最高得1分。</w:t>
            </w:r>
            <w:r>
              <w:rPr>
                <w:rFonts w:hint="eastAsia" w:ascii="仿宋" w:hAnsi="仿宋" w:eastAsia="仿宋" w:cs="仿宋"/>
                <w:color w:val="000000"/>
                <w:kern w:val="0"/>
                <w:sz w:val="24"/>
                <w:lang w:bidi="ar"/>
              </w:rPr>
              <w:br w:type="textWrapping"/>
            </w:r>
            <w:r>
              <w:rPr>
                <w:rFonts w:hint="eastAsia" w:ascii="仿宋" w:hAnsi="仿宋" w:eastAsia="仿宋" w:cs="仿宋"/>
                <w:b/>
                <w:bCs/>
                <w:color w:val="000000"/>
                <w:kern w:val="0"/>
                <w:sz w:val="24"/>
                <w:lang w:bidi="ar"/>
              </w:rPr>
              <w:t>证明材料：同时提供合同和项目业主对其履约情况的证明，否则不得分。</w:t>
            </w:r>
          </w:p>
        </w:tc>
        <w:tc>
          <w:tcPr>
            <w:tcW w:w="310"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17"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客观分</w:t>
            </w:r>
          </w:p>
        </w:tc>
        <w:tc>
          <w:tcPr>
            <w:tcW w:w="898" w:type="pct"/>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45" w:type="pct"/>
            <w:vAlign w:val="center"/>
          </w:tcPr>
          <w:p>
            <w:pPr>
              <w:pStyle w:val="343"/>
              <w:rPr>
                <w:rFonts w:ascii="仿宋" w:hAnsi="仿宋" w:eastAsia="仿宋"/>
              </w:rPr>
            </w:pPr>
            <w:r>
              <w:rPr>
                <w:rFonts w:hint="eastAsia" w:ascii="仿宋" w:hAnsi="仿宋" w:eastAsia="仿宋"/>
              </w:rPr>
              <w:t>15</w:t>
            </w:r>
          </w:p>
        </w:tc>
        <w:tc>
          <w:tcPr>
            <w:tcW w:w="3227" w:type="pct"/>
          </w:tcPr>
          <w:p>
            <w:pPr>
              <w:spacing w:line="400" w:lineRule="exac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有效投标报价的最低价作为评标基准价，其最低报价为满分；按［投标报价得分=（评标基准价/投标报价）*10］的计算公式计算。</w:t>
            </w:r>
          </w:p>
          <w:p>
            <w:pPr>
              <w:widowControl/>
              <w:shd w:val="clear" w:color="auto" w:fill="FFFFFF"/>
              <w:spacing w:after="225" w:line="400" w:lineRule="exact"/>
              <w:ind w:firstLine="420"/>
              <w:jc w:val="left"/>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pStyle w:val="343"/>
              <w:rPr>
                <w:rFonts w:ascii="仿宋" w:hAnsi="仿宋" w:eastAsia="仿宋"/>
              </w:rPr>
            </w:pPr>
            <w:r>
              <w:rPr>
                <w:rFonts w:hint="eastAsia" w:ascii="仿宋" w:hAnsi="仿宋" w:eastAsia="仿宋" w:cs="仿宋"/>
              </w:rPr>
              <w:t>对于未预留份额专门面向中小企业的政府采购服务项目，以及预留份额政府采购服务项目中的非预留部分标项，对小型和微型企业的投标报价给予</w:t>
            </w:r>
            <w:r>
              <w:rPr>
                <w:rFonts w:hint="eastAsia" w:ascii="仿宋" w:hAnsi="仿宋" w:eastAsia="仿宋"/>
                <w:color w:val="000000"/>
              </w:rPr>
              <w:t>10%</w:t>
            </w:r>
            <w:r>
              <w:rPr>
                <w:rFonts w:hint="eastAsia" w:ascii="仿宋" w:hAnsi="仿宋" w:eastAsia="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10" w:type="pct"/>
            <w:vAlign w:val="center"/>
          </w:tcPr>
          <w:p>
            <w:pPr>
              <w:pStyle w:val="343"/>
              <w:rPr>
                <w:rFonts w:ascii="仿宋" w:hAnsi="仿宋" w:eastAsia="仿宋"/>
              </w:rPr>
            </w:pPr>
            <w:r>
              <w:rPr>
                <w:rFonts w:hint="eastAsia" w:ascii="仿宋" w:hAnsi="仿宋" w:eastAsia="仿宋"/>
              </w:rPr>
              <w:t>10</w:t>
            </w:r>
          </w:p>
        </w:tc>
        <w:tc>
          <w:tcPr>
            <w:tcW w:w="317" w:type="pct"/>
            <w:vAlign w:val="center"/>
          </w:tcPr>
          <w:p>
            <w:pPr>
              <w:pStyle w:val="343"/>
              <w:jc w:val="center"/>
              <w:rPr>
                <w:rFonts w:ascii="仿宋" w:hAnsi="仿宋" w:eastAsia="仿宋"/>
              </w:rPr>
            </w:pPr>
            <w:r>
              <w:rPr>
                <w:rFonts w:hint="eastAsia" w:ascii="仿宋" w:hAnsi="仿宋" w:eastAsia="仿宋"/>
              </w:rPr>
              <w:t>客观分</w:t>
            </w:r>
          </w:p>
        </w:tc>
        <w:tc>
          <w:tcPr>
            <w:tcW w:w="898" w:type="pct"/>
            <w:vAlign w:val="center"/>
          </w:tcPr>
          <w:p>
            <w:pPr>
              <w:pStyle w:val="343"/>
              <w:ind w:firstLine="720" w:firstLineChars="300"/>
              <w:rPr>
                <w:rFonts w:ascii="仿宋" w:hAnsi="仿宋" w:eastAsia="仿宋"/>
              </w:rPr>
            </w:pPr>
            <w:r>
              <w:rPr>
                <w:rFonts w:ascii="仿宋" w:hAnsi="仿宋" w:eastAsia="仿宋"/>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5"/>
        <w:spacing w:before="0"/>
        <w:ind w:firstLine="508" w:firstLineChars="212"/>
        <w:rPr>
          <w:rFonts w:ascii="仿宋" w:hAnsi="仿宋" w:eastAsia="仿宋" w:cs="Arial"/>
          <w:kern w:val="0"/>
          <w:szCs w:val="24"/>
        </w:rPr>
      </w:pPr>
      <w:r>
        <w:rPr>
          <w:rFonts w:hint="eastAsia" w:ascii="仿宋" w:hAnsi="仿宋" w:eastAsia="仿宋" w:cs="Arial"/>
          <w:kern w:val="0"/>
          <w:szCs w:val="24"/>
        </w:rPr>
        <w:t>3.4.1投标文件报价出现前后不一致的，按照下列规定修正：</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3.4.1.1投标文件中投标</w:t>
      </w:r>
      <w:r>
        <w:rPr>
          <w:rFonts w:ascii="仿宋" w:hAnsi="仿宋" w:eastAsia="仿宋" w:cs="仿宋"/>
          <w:kern w:val="0"/>
          <w:szCs w:val="24"/>
        </w:rPr>
        <w:t>(开标)一览表</w:t>
      </w:r>
      <w:r>
        <w:rPr>
          <w:rFonts w:hint="eastAsia" w:ascii="仿宋" w:hAnsi="仿宋" w:eastAsia="仿宋" w:cs="仿宋"/>
          <w:kern w:val="0"/>
          <w:szCs w:val="24"/>
        </w:rPr>
        <w:t>内容与投标文件中相应内容不一致的，以投标(开标)一览表为准;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推荐1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5"/>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1"/>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4.2.4投标文件含有采购人不能接受的附加条件的；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hint="eastAsia" w:ascii="仿宋" w:hAnsi="仿宋" w:eastAsia="仿宋" w:cs="Arial"/>
          <w:kern w:val="0"/>
          <w:sz w:val="24"/>
        </w:rPr>
        <w:t xml:space="preserve">   4.2.6投标文件出现不是唯一的、有选择性投标报价的;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4.2.7投标报价超过招标文件中规定的预算金额或者最高限价的;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4.2.9投标人对根据修正原则修正后的报价不确认的；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4.2.10投标人提供虚假材料投标的；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4.2.13投标人未提供样品或提供的样品不满足采购需求实质性条件的，投标无效；</w:t>
      </w:r>
    </w:p>
    <w:p>
      <w:pPr>
        <w:spacing w:line="360" w:lineRule="auto"/>
        <w:ind w:firstLine="350" w:firstLineChars="146"/>
        <w:rPr>
          <w:rFonts w:ascii="仿宋" w:hAnsi="仿宋" w:eastAsia="仿宋" w:cs="Arial"/>
          <w:kern w:val="0"/>
          <w:sz w:val="24"/>
        </w:rPr>
      </w:pPr>
      <w:r>
        <w:rPr>
          <w:rFonts w:hint="eastAsia" w:ascii="仿宋" w:hAnsi="仿宋" w:eastAsia="仿宋" w:cs="Arial"/>
          <w:kern w:val="0"/>
          <w:sz w:val="24"/>
        </w:rPr>
        <w:t>4.2.14 投标文件不满足招标文件的其它实质性要求的；</w:t>
      </w:r>
    </w:p>
    <w:p>
      <w:pPr>
        <w:spacing w:line="360" w:lineRule="auto"/>
        <w:ind w:firstLine="360" w:firstLineChars="150"/>
        <w:rPr>
          <w:rFonts w:ascii="仿宋" w:hAnsi="仿宋" w:eastAsia="仿宋" w:cs="Arial"/>
          <w:kern w:val="0"/>
          <w:sz w:val="24"/>
        </w:rPr>
      </w:pPr>
      <w:r>
        <w:rPr>
          <w:rFonts w:hint="eastAsia" w:ascii="仿宋" w:hAnsi="仿宋" w:eastAsia="仿宋" w:cs="Arial"/>
          <w:kern w:val="0"/>
          <w:sz w:val="24"/>
        </w:rPr>
        <w:t>4.2.15法律、法规、规章（适用本市的）及省级以上规范性文件（适用本市的）规定的其他无效情形。</w:t>
      </w:r>
    </w:p>
    <w:p>
      <w:pPr>
        <w:pStyle w:val="21"/>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1"/>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1"/>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1"/>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1"/>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1"/>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1"/>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1"/>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1"/>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21"/>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1"/>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1"/>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21"/>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21"/>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pStyle w:val="21"/>
        <w:snapToGrid w:val="0"/>
        <w:spacing w:line="360" w:lineRule="auto"/>
        <w:ind w:right="-512" w:firstLine="723"/>
        <w:jc w:val="center"/>
        <w:rPr>
          <w:rFonts w:ascii="仿宋" w:hAnsi="仿宋" w:eastAsia="仿宋" w:cs="仿宋_GB2312"/>
        </w:rPr>
      </w:pPr>
      <w:r>
        <w:rPr>
          <w:rFonts w:hint="eastAsia" w:ascii="仿宋" w:hAnsi="仿宋" w:eastAsia="仿宋"/>
          <w:b/>
          <w:color w:val="000000"/>
          <w:sz w:val="36"/>
          <w:szCs w:val="36"/>
        </w:rPr>
        <w:t>第五部分</w:t>
      </w:r>
      <w:r>
        <w:rPr>
          <w:rFonts w:hint="eastAsia" w:ascii="仿宋" w:hAnsi="仿宋" w:eastAsia="仿宋" w:cs="仿宋_GB2312"/>
          <w:b/>
          <w:color w:val="000000"/>
          <w:sz w:val="36"/>
          <w:szCs w:val="36"/>
        </w:rPr>
        <w:t>拟签订的合同文本</w:t>
      </w:r>
    </w:p>
    <w:p>
      <w:pPr>
        <w:spacing w:line="360" w:lineRule="auto"/>
        <w:rPr>
          <w:rFonts w:ascii="仿宋" w:hAnsi="仿宋" w:eastAsia="仿宋"/>
          <w:color w:val="000000"/>
          <w:sz w:val="24"/>
        </w:rPr>
      </w:pPr>
      <w:r>
        <w:rPr>
          <w:rFonts w:hint="eastAsia" w:ascii="仿宋" w:hAnsi="仿宋" w:eastAsia="仿宋"/>
          <w:color w:val="000000"/>
          <w:sz w:val="24"/>
        </w:rPr>
        <w:t>合同编号</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（服务类）</w:t>
      </w:r>
    </w:p>
    <w:p>
      <w:pPr>
        <w:rPr>
          <w:b/>
        </w:rPr>
      </w:pPr>
    </w:p>
    <w:p>
      <w:pPr>
        <w:spacing w:line="360" w:lineRule="auto"/>
        <w:rPr>
          <w:rFonts w:ascii="仿宋" w:hAnsi="仿宋" w:eastAsia="仿宋"/>
          <w:color w:val="000000"/>
          <w:sz w:val="24"/>
          <w:u w:val="single"/>
        </w:rPr>
      </w:pPr>
    </w:p>
    <w:p>
      <w:pPr>
        <w:pStyle w:val="405"/>
        <w:ind w:firstLine="482"/>
        <w:jc w:val="center"/>
        <w:rPr>
          <w:rFonts w:ascii="仿宋" w:hAnsi="仿宋" w:eastAsia="仿宋"/>
          <w:b/>
          <w:color w:val="000000"/>
          <w:szCs w:val="24"/>
        </w:rPr>
      </w:pPr>
      <w:r>
        <w:rPr>
          <w:rFonts w:hint="eastAsia" w:ascii="仿宋" w:hAnsi="仿宋" w:eastAsia="仿宋"/>
          <w:b/>
          <w:color w:val="000000"/>
          <w:szCs w:val="24"/>
        </w:rPr>
        <w:t>第一部分合同书</w:t>
      </w:r>
    </w:p>
    <w:p>
      <w:pPr>
        <w:pStyle w:val="405"/>
        <w:rPr>
          <w:rFonts w:ascii="仿宋" w:hAnsi="仿宋" w:eastAsia="仿宋"/>
          <w:color w:val="000000"/>
          <w:szCs w:val="24"/>
        </w:rPr>
      </w:pPr>
    </w:p>
    <w:p>
      <w:pPr>
        <w:pStyle w:val="405"/>
        <w:rPr>
          <w:rFonts w:ascii="仿宋" w:hAnsi="仿宋" w:eastAsia="仿宋"/>
          <w:color w:val="000000"/>
          <w:szCs w:val="24"/>
        </w:rPr>
      </w:pP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19"/>
        <w:spacing w:before="120"/>
        <w:rPr>
          <w:rFonts w:ascii="仿宋" w:hAnsi="仿宋" w:eastAsia="仿宋"/>
          <w:color w:val="000000"/>
          <w:szCs w:val="24"/>
        </w:rPr>
      </w:pPr>
    </w:p>
    <w:p>
      <w:pPr>
        <w:pStyle w:val="719"/>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签订日期：年月日</w:t>
      </w:r>
    </w:p>
    <w:p>
      <w:pPr>
        <w:autoSpaceDE w:val="0"/>
        <w:autoSpaceDN w:val="0"/>
        <w:spacing w:line="360" w:lineRule="auto"/>
        <w:ind w:firstLine="640"/>
        <w:jc w:val="center"/>
        <w:rPr>
          <w:rFonts w:ascii="仿宋" w:hAnsi="仿宋" w:eastAsia="仿宋"/>
          <w:color w:val="000000"/>
          <w:sz w:val="24"/>
        </w:rPr>
        <w:sectPr>
          <w:headerReference r:id="rId9" w:type="default"/>
          <w:pgSz w:w="11907" w:h="16840"/>
          <w:pgMar w:top="777" w:right="1418" w:bottom="471" w:left="1418" w:header="851" w:footer="851" w:gutter="0"/>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为该项目中标供应商。现于中标通知书发出之日起10个工作日内，按照采购文件确定的事项签订本合同。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14" w:name="_Toc24059"/>
      <w:bookmarkStart w:id="415" w:name="_Toc2232"/>
      <w:bookmarkStart w:id="416" w:name="_Toc3029"/>
      <w:r>
        <w:rPr>
          <w:rFonts w:hint="eastAsia" w:ascii="仿宋" w:hAnsi="仿宋" w:eastAsia="仿宋"/>
          <w:b/>
          <w:sz w:val="24"/>
        </w:rPr>
        <w:t>1.1 合同组成部分</w:t>
      </w:r>
      <w:bookmarkEnd w:id="414"/>
      <w:bookmarkEnd w:id="415"/>
      <w:bookmarkEnd w:id="41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417" w:name="_Toc24300"/>
      <w:bookmarkStart w:id="418" w:name="_Toc27126"/>
      <w:bookmarkStart w:id="419" w:name="_Toc21295"/>
      <w:r>
        <w:rPr>
          <w:rFonts w:hint="eastAsia" w:ascii="仿宋" w:hAnsi="仿宋" w:eastAsia="仿宋"/>
          <w:b/>
          <w:sz w:val="24"/>
        </w:rPr>
        <w:t xml:space="preserve">1.2 </w:t>
      </w:r>
      <w:bookmarkEnd w:id="417"/>
      <w:bookmarkEnd w:id="418"/>
      <w:bookmarkEnd w:id="419"/>
      <w:r>
        <w:rPr>
          <w:rFonts w:hint="eastAsia" w:ascii="仿宋" w:hAnsi="仿宋" w:eastAsia="仿宋"/>
          <w:b/>
          <w:sz w:val="24"/>
        </w:rPr>
        <w:t>标的</w:t>
      </w:r>
    </w:p>
    <w:p>
      <w:pPr>
        <w:spacing w:line="560" w:lineRule="exact"/>
        <w:ind w:firstLine="480" w:firstLineChars="200"/>
        <w:rPr>
          <w:rFonts w:ascii="仿宋" w:hAnsi="仿宋" w:eastAsia="仿宋"/>
          <w:sz w:val="24"/>
          <w:u w:val="single"/>
        </w:rPr>
      </w:pPr>
      <w:r>
        <w:rPr>
          <w:rFonts w:hint="eastAsia" w:ascii="仿宋" w:hAnsi="仿宋" w:eastAsia="仿宋"/>
          <w:sz w:val="24"/>
        </w:rPr>
        <w:t>1.2.1 标的名称：；</w:t>
      </w:r>
    </w:p>
    <w:p>
      <w:pPr>
        <w:spacing w:line="560" w:lineRule="exact"/>
        <w:ind w:firstLine="480" w:firstLineChars="200"/>
        <w:rPr>
          <w:rFonts w:ascii="仿宋" w:hAnsi="仿宋" w:eastAsia="仿宋"/>
          <w:sz w:val="24"/>
          <w:u w:val="single"/>
        </w:rPr>
      </w:pPr>
      <w:r>
        <w:rPr>
          <w:rFonts w:hint="eastAsia" w:ascii="仿宋" w:hAnsi="仿宋" w:eastAsia="仿宋"/>
          <w:sz w:val="24"/>
        </w:rPr>
        <w:t>1.2.2 标的数量：；</w:t>
      </w:r>
    </w:p>
    <w:p>
      <w:pPr>
        <w:spacing w:line="560" w:lineRule="exact"/>
        <w:ind w:firstLine="480" w:firstLineChars="200"/>
        <w:rPr>
          <w:rFonts w:ascii="仿宋" w:hAnsi="仿宋" w:eastAsia="仿宋"/>
          <w:sz w:val="24"/>
        </w:rPr>
      </w:pPr>
      <w:r>
        <w:rPr>
          <w:rFonts w:hint="eastAsia" w:ascii="仿宋" w:hAnsi="仿宋" w:eastAsia="仿宋"/>
          <w:sz w:val="24"/>
        </w:rPr>
        <w:t>1.2.3 标的质量：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1.3 价款</w:t>
      </w:r>
    </w:p>
    <w:p>
      <w:pPr>
        <w:pStyle w:val="772"/>
        <w:spacing w:line="360" w:lineRule="auto"/>
        <w:rPr>
          <w:rFonts w:ascii="仿宋" w:hAnsi="仿宋" w:eastAsia="仿宋" w:cs="宋体"/>
          <w:kern w:val="0"/>
          <w:sz w:val="24"/>
          <w:szCs w:val="24"/>
        </w:rPr>
      </w:pPr>
      <w:r>
        <w:rPr>
          <w:rFonts w:hint="eastAsia" w:ascii="仿宋" w:hAnsi="仿宋" w:eastAsia="仿宋" w:cs="宋体"/>
          <w:kern w:val="0"/>
          <w:sz w:val="24"/>
          <w:szCs w:val="24"/>
        </w:rPr>
        <w:t>单价合同，本合同单价（含税）标准为：裸光纤专线服务为 元/月/点，互联网出口带宽服务为 元/年</w:t>
      </w:r>
      <w:r>
        <w:rPr>
          <w:rFonts w:ascii="仿宋" w:hAnsi="仿宋" w:eastAsia="仿宋" w:cs="宋体"/>
          <w:kern w:val="0"/>
          <w:sz w:val="24"/>
          <w:szCs w:val="24"/>
        </w:rPr>
        <w:t>。</w:t>
      </w:r>
      <w:r>
        <w:rPr>
          <w:rFonts w:hint="eastAsia" w:ascii="仿宋" w:hAnsi="仿宋" w:eastAsia="仿宋" w:cs="宋体"/>
          <w:kern w:val="0"/>
          <w:sz w:val="24"/>
          <w:szCs w:val="24"/>
        </w:rPr>
        <w:t>服务工作量的计量方式为：</w:t>
      </w:r>
      <w:r>
        <w:rPr>
          <w:rFonts w:hint="eastAsia" w:ascii="仿宋" w:hAnsi="仿宋" w:eastAsia="仿宋" w:cs="宋体"/>
          <w:b/>
          <w:i/>
          <w:sz w:val="24"/>
          <w:szCs w:val="24"/>
          <w:u w:val="single"/>
        </w:rPr>
        <w:t>合同专用条款</w:t>
      </w:r>
      <w:r>
        <w:rPr>
          <w:rFonts w:ascii="仿宋" w:hAnsi="仿宋" w:eastAsia="仿宋" w:cs="宋体"/>
          <w:kern w:val="0"/>
          <w:sz w:val="24"/>
          <w:szCs w:val="24"/>
        </w:rPr>
        <w:t>。</w:t>
      </w:r>
      <w:r>
        <w:rPr>
          <w:rFonts w:hint="eastAsia" w:ascii="仿宋" w:hAnsi="仿宋" w:eastAsia="仿宋" w:cs="宋体"/>
          <w:kern w:val="0"/>
          <w:sz w:val="24"/>
          <w:szCs w:val="24"/>
        </w:rPr>
        <w:t>单价合同，在合同履行期间内，根据实际完成的工作量据实结算，但结算总价上限不得超过预算金额或者双方确定的金额￥</w:t>
      </w:r>
      <w:r>
        <w:rPr>
          <w:rFonts w:ascii="仿宋" w:hAnsi="仿宋" w:eastAsia="仿宋" w:cs="宋体"/>
          <w:kern w:val="0"/>
          <w:sz w:val="24"/>
          <w:szCs w:val="24"/>
        </w:rPr>
        <w:t>元</w:t>
      </w:r>
      <w:r>
        <w:rPr>
          <w:rFonts w:hint="eastAsia" w:ascii="仿宋" w:hAnsi="仿宋" w:eastAsia="仿宋" w:cs="宋体"/>
          <w:kern w:val="0"/>
          <w:sz w:val="24"/>
          <w:szCs w:val="24"/>
        </w:rPr>
        <w:t>（大写：元人民币）。</w:t>
      </w:r>
    </w:p>
    <w:p>
      <w:pPr>
        <w:pStyle w:val="767"/>
        <w:spacing w:before="0" w:beforeAutospacing="0" w:after="0" w:afterAutospacing="0" w:line="360" w:lineRule="auto"/>
        <w:ind w:firstLine="480"/>
        <w:rPr>
          <w:rFonts w:ascii="仿宋" w:hAnsi="仿宋" w:eastAsia="仿宋"/>
          <w:b/>
        </w:rPr>
      </w:pPr>
      <w:bookmarkStart w:id="420" w:name="_Toc1814"/>
      <w:bookmarkStart w:id="421" w:name="_Toc22618"/>
      <w:bookmarkStart w:id="422" w:name="_Toc10340"/>
      <w:bookmarkStart w:id="423" w:name="_Toc31421"/>
      <w:bookmarkStart w:id="424" w:name="_Toc4760"/>
      <w:bookmarkStart w:id="425" w:name="_Toc8772"/>
      <w:bookmarkStart w:id="426" w:name="_Toc3625"/>
      <w:bookmarkStart w:id="427" w:name="_Toc11108"/>
      <w:r>
        <w:rPr>
          <w:rFonts w:hint="eastAsia" w:ascii="仿宋" w:hAnsi="仿宋" w:eastAsia="仿宋"/>
          <w:b/>
        </w:rPr>
        <w:t>1.4履约保证金</w:t>
      </w:r>
    </w:p>
    <w:p>
      <w:pPr>
        <w:pStyle w:val="767"/>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2"/>
        <w:tabs>
          <w:tab w:val="left" w:pos="0"/>
        </w:tabs>
        <w:spacing w:line="560" w:lineRule="exact"/>
        <w:ind w:left="0" w:firstLine="480" w:firstLineChars="200"/>
        <w:rPr>
          <w:rFonts w:ascii="仿宋" w:eastAsia="仿宋"/>
          <w:sz w:val="24"/>
          <w:szCs w:val="24"/>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  </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20"/>
      <w:bookmarkEnd w:id="421"/>
      <w:bookmarkEnd w:id="422"/>
      <w:r>
        <w:rPr>
          <w:rFonts w:hint="eastAsia" w:ascii="仿宋" w:hAnsi="仿宋" w:eastAsia="仿宋" w:cs="宋体"/>
          <w:b/>
          <w:sz w:val="24"/>
        </w:rPr>
        <w:t>预付款</w:t>
      </w:r>
    </w:p>
    <w:p>
      <w:pPr>
        <w:pStyle w:val="767"/>
        <w:spacing w:before="0" w:beforeAutospacing="0" w:after="0" w:afterAutospacing="0" w:line="360" w:lineRule="auto"/>
        <w:ind w:firstLine="482"/>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67"/>
        <w:spacing w:before="0" w:beforeAutospacing="0" w:after="0" w:afterAutospacing="0" w:line="360" w:lineRule="auto"/>
        <w:ind w:firstLine="482"/>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67"/>
        <w:spacing w:before="0" w:beforeAutospacing="0" w:after="0" w:afterAutospacing="0" w:line="360" w:lineRule="auto"/>
        <w:ind w:firstLine="482"/>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67"/>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67"/>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履行期限</w:t>
      </w:r>
      <w:r>
        <w:rPr>
          <w:rFonts w:hint="eastAsia" w:ascii="仿宋" w:hAnsi="仿宋" w:eastAsia="仿宋"/>
          <w:b/>
          <w:sz w:val="24"/>
        </w:rPr>
        <w:t>、地点和方式</w:t>
      </w:r>
      <w:bookmarkEnd w:id="423"/>
      <w:bookmarkEnd w:id="424"/>
      <w:bookmarkEnd w:id="425"/>
      <w:bookmarkEnd w:id="426"/>
      <w:bookmarkEnd w:id="427"/>
    </w:p>
    <w:p>
      <w:pPr>
        <w:spacing w:line="56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sz w:val="24"/>
          <w:u w:val="single"/>
        </w:rPr>
      </w:pPr>
      <w:bookmarkStart w:id="428" w:name="_Toc8586"/>
      <w:bookmarkStart w:id="429" w:name="_Toc2375"/>
      <w:bookmarkStart w:id="430" w:name="_Toc5698"/>
      <w:bookmarkStart w:id="431" w:name="_Toc3079"/>
      <w:bookmarkStart w:id="432" w:name="_Toc24662"/>
      <w:r>
        <w:rPr>
          <w:rFonts w:ascii="仿宋" w:hAnsi="仿宋" w:eastAsia="仿宋"/>
          <w:b/>
          <w:sz w:val="24"/>
        </w:rPr>
        <w:t>1.</w:t>
      </w:r>
      <w:r>
        <w:rPr>
          <w:rFonts w:hint="eastAsia" w:ascii="仿宋" w:hAnsi="仿宋" w:eastAsia="仿宋"/>
          <w:b/>
          <w:sz w:val="24"/>
        </w:rPr>
        <w:t>8违约责任</w:t>
      </w:r>
      <w:bookmarkEnd w:id="428"/>
      <w:bookmarkEnd w:id="429"/>
      <w:bookmarkEnd w:id="430"/>
      <w:bookmarkEnd w:id="431"/>
      <w:bookmarkEnd w:id="432"/>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0.05</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pStyle w:val="2"/>
        <w:ind w:left="0" w:firstLine="480" w:firstLineChars="200"/>
        <w:rPr>
          <w:rFonts w:ascii="仿宋" w:eastAsia="仿宋" w:cs="宋体"/>
          <w:b w:val="0"/>
          <w:bCs w:val="0"/>
          <w:sz w:val="24"/>
          <w:szCs w:val="24"/>
          <w:lang w:val="en-US"/>
        </w:rPr>
      </w:pPr>
      <w:r>
        <w:rPr>
          <w:rFonts w:hint="eastAsia" w:ascii="仿宋" w:eastAsia="仿宋"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u w:val="single"/>
          <w:lang w:val="en-US"/>
        </w:rPr>
        <w:t xml:space="preserve">  0.0</w:t>
      </w:r>
      <w:r>
        <w:rPr>
          <w:rFonts w:hint="eastAsia" w:ascii="仿宋" w:eastAsia="仿宋" w:cs="宋体"/>
          <w:b w:val="0"/>
          <w:bCs w:val="0"/>
          <w:sz w:val="24"/>
          <w:szCs w:val="24"/>
          <w:lang w:val="en-US"/>
        </w:rPr>
        <w:t>5（可根据情况修改） %计算，最高限额为本合同总价的</w:t>
      </w:r>
      <w:r>
        <w:rPr>
          <w:rFonts w:hint="eastAsia" w:ascii="仿宋" w:eastAsia="仿宋" w:cs="宋体"/>
          <w:b w:val="0"/>
          <w:bCs w:val="0"/>
          <w:sz w:val="24"/>
          <w:szCs w:val="24"/>
          <w:u w:val="single"/>
          <w:lang w:val="en-US"/>
        </w:rPr>
        <w:t xml:space="preserve">  20  </w:t>
      </w:r>
      <w:r>
        <w:rPr>
          <w:rFonts w:hint="eastAsia" w:ascii="仿宋" w:eastAsia="仿宋"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pPr>
        <w:spacing w:line="560" w:lineRule="exact"/>
        <w:ind w:firstLine="480" w:firstLineChars="200"/>
        <w:rPr>
          <w:rFonts w:ascii="仿宋" w:hAnsi="仿宋" w:eastAsia="仿宋" w:cs="宋体"/>
          <w:sz w:val="24"/>
        </w:rPr>
      </w:pPr>
      <w:bookmarkStart w:id="433" w:name="_Toc30329"/>
      <w:bookmarkStart w:id="434" w:name="_Toc9497"/>
      <w:bookmarkStart w:id="435" w:name="_Toc18683"/>
      <w:bookmarkStart w:id="436" w:name="_Toc32454"/>
      <w:bookmarkStart w:id="437" w:name="_Toc2680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宋体"/>
          <w:sz w:val="24"/>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33"/>
    <w:bookmarkEnd w:id="434"/>
    <w:bookmarkEnd w:id="435"/>
    <w:bookmarkEnd w:id="436"/>
    <w:bookmarkEnd w:id="437"/>
    <w:p>
      <w:pPr>
        <w:spacing w:line="560" w:lineRule="exact"/>
        <w:ind w:firstLine="482" w:firstLineChars="200"/>
        <w:outlineLvl w:val="0"/>
        <w:rPr>
          <w:rFonts w:ascii="仿宋" w:hAnsi="仿宋" w:eastAsia="仿宋" w:cs="宋体"/>
          <w:b/>
          <w:sz w:val="24"/>
        </w:rPr>
      </w:pPr>
      <w:bookmarkStart w:id="438" w:name="_Toc28375"/>
      <w:bookmarkStart w:id="439" w:name="_Toc15583"/>
      <w:bookmarkStart w:id="440" w:name="_Toc16021"/>
      <w:r>
        <w:rPr>
          <w:rFonts w:hint="eastAsia" w:ascii="仿宋" w:hAnsi="仿宋" w:eastAsia="仿宋" w:cs="宋体"/>
          <w:b/>
          <w:sz w:val="24"/>
        </w:rPr>
        <w:t>1.9合同争议的解决</w:t>
      </w:r>
      <w:bookmarkEnd w:id="438"/>
      <w:bookmarkEnd w:id="439"/>
      <w:bookmarkEnd w:id="440"/>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41" w:name="_Toc15322"/>
      <w:bookmarkStart w:id="442" w:name="_Toc7245"/>
      <w:bookmarkStart w:id="443" w:name="_Toc11173"/>
      <w:r>
        <w:rPr>
          <w:rFonts w:hint="eastAsia" w:ascii="仿宋" w:hAnsi="仿宋" w:eastAsia="仿宋" w:cs="宋体"/>
          <w:b/>
          <w:sz w:val="24"/>
        </w:rPr>
        <w:t>2.0 合同生效</w:t>
      </w:r>
      <w:bookmarkEnd w:id="441"/>
      <w:bookmarkEnd w:id="442"/>
      <w:bookmarkEnd w:id="443"/>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法定代表人或法定代表人或</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开户账号：开户账号：</w:t>
      </w:r>
    </w:p>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444" w:name="_Toc331685783"/>
    </w:p>
    <w:p>
      <w:pPr>
        <w:pStyle w:val="405"/>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444"/>
    </w:p>
    <w:p>
      <w:pPr>
        <w:spacing w:line="560" w:lineRule="exact"/>
        <w:ind w:firstLine="482" w:firstLineChars="200"/>
        <w:outlineLvl w:val="0"/>
        <w:rPr>
          <w:rFonts w:ascii="仿宋" w:hAnsi="仿宋" w:eastAsia="仿宋"/>
          <w:b/>
          <w:sz w:val="24"/>
        </w:rPr>
      </w:pPr>
      <w:bookmarkStart w:id="445" w:name="_Toc19614"/>
      <w:bookmarkStart w:id="446" w:name="_Ref467378499"/>
      <w:bookmarkStart w:id="447" w:name="_Toc28763"/>
      <w:bookmarkStart w:id="448" w:name="_Ref467379205"/>
      <w:bookmarkStart w:id="449" w:name="_Toc279701240"/>
      <w:bookmarkStart w:id="450" w:name="_Toc487900349"/>
      <w:bookmarkStart w:id="451" w:name="_Ref467379101"/>
      <w:bookmarkStart w:id="452" w:name="_Ref467379214"/>
      <w:bookmarkStart w:id="453" w:name="_Ref467379195"/>
      <w:bookmarkStart w:id="454" w:name="_Ref467379094"/>
      <w:bookmarkStart w:id="455" w:name="_Ref467379109"/>
      <w:bookmarkStart w:id="456" w:name="_Toc259093669"/>
      <w:bookmarkStart w:id="457" w:name="_Ref467379225"/>
      <w:bookmarkStart w:id="458" w:name="_Ref467378463"/>
      <w:bookmarkStart w:id="459" w:name="_Toc16917"/>
      <w:bookmarkStart w:id="460" w:name="_Ref467378404"/>
      <w:r>
        <w:rPr>
          <w:rFonts w:hint="eastAsia" w:ascii="仿宋" w:hAnsi="仿宋" w:eastAsia="仿宋"/>
          <w:b/>
          <w:sz w:val="24"/>
        </w:rPr>
        <w:t>2.1 定义</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bookmarkStart w:id="461" w:name="_Ref467378840"/>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560" w:lineRule="exact"/>
        <w:ind w:firstLine="480" w:firstLineChars="200"/>
        <w:rPr>
          <w:rFonts w:ascii="仿宋" w:hAnsi="仿宋" w:eastAsia="仿宋"/>
          <w:sz w:val="24"/>
        </w:rPr>
      </w:pPr>
      <w:r>
        <w:rPr>
          <w:rFonts w:hint="eastAsia" w:ascii="仿宋" w:hAnsi="仿宋" w:eastAsia="仿宋"/>
          <w:sz w:val="24"/>
        </w:rPr>
        <w:t>2.1.4 “甲方”系指与中标供应商签署合同的采购人</w:t>
      </w:r>
      <w:bookmarkEnd w:id="461"/>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62" w:name="_Ref467379400"/>
      <w:r>
        <w:rPr>
          <w:rFonts w:hint="eastAsia" w:ascii="仿宋" w:hAnsi="仿宋" w:eastAsia="仿宋"/>
          <w:sz w:val="24"/>
        </w:rPr>
        <w:t>2.1.5 “乙方”系指根据合同约定交付货物的中标供应商</w:t>
      </w:r>
      <w:bookmarkEnd w:id="462"/>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63" w:name="_Ref467379436"/>
      <w:r>
        <w:rPr>
          <w:rFonts w:hint="eastAsia" w:ascii="仿宋" w:hAnsi="仿宋" w:eastAsia="仿宋"/>
          <w:sz w:val="24"/>
        </w:rPr>
        <w:t>2.1.6 “现场”系指合同约定货物将要运至或者安装的地点。</w:t>
      </w:r>
      <w:bookmarkEnd w:id="463"/>
    </w:p>
    <w:p>
      <w:pPr>
        <w:spacing w:line="560" w:lineRule="exact"/>
        <w:ind w:firstLine="482" w:firstLineChars="200"/>
        <w:outlineLvl w:val="0"/>
        <w:rPr>
          <w:rFonts w:ascii="仿宋" w:hAnsi="仿宋" w:eastAsia="仿宋"/>
          <w:b/>
          <w:sz w:val="24"/>
        </w:rPr>
      </w:pPr>
      <w:bookmarkStart w:id="464" w:name="_Toc279701241"/>
      <w:bookmarkStart w:id="465" w:name="_Toc259093670"/>
      <w:bookmarkStart w:id="466" w:name="_Toc32504"/>
      <w:bookmarkStart w:id="467" w:name="_Toc13336"/>
      <w:bookmarkStart w:id="468" w:name="_Toc27635"/>
      <w:bookmarkStart w:id="469" w:name="_Toc487900350"/>
      <w:r>
        <w:rPr>
          <w:rFonts w:hint="eastAsia" w:ascii="仿宋" w:hAnsi="仿宋" w:eastAsia="仿宋"/>
          <w:b/>
          <w:sz w:val="24"/>
        </w:rPr>
        <w:t>2.2 技术规范</w:t>
      </w:r>
      <w:bookmarkEnd w:id="464"/>
      <w:bookmarkEnd w:id="465"/>
      <w:bookmarkEnd w:id="466"/>
      <w:bookmarkEnd w:id="467"/>
      <w:bookmarkEnd w:id="468"/>
      <w:bookmarkEnd w:id="469"/>
    </w:p>
    <w:p>
      <w:pPr>
        <w:spacing w:line="560" w:lineRule="exact"/>
        <w:ind w:firstLine="480" w:firstLineChars="200"/>
        <w:rPr>
          <w:rFonts w:ascii="仿宋" w:hAnsi="仿宋" w:eastAsia="仿宋"/>
          <w:sz w:val="24"/>
        </w:rPr>
      </w:pPr>
      <w:bookmarkStart w:id="470" w:name="_Toc31634"/>
      <w:bookmarkStart w:id="471" w:name="_Toc487900351"/>
      <w:bookmarkStart w:id="472" w:name="_Toc259093671"/>
      <w:bookmarkStart w:id="473" w:name="_Toc9829"/>
      <w:bookmarkStart w:id="474" w:name="_Toc279701242"/>
      <w:bookmarkStart w:id="475" w:name="_Toc27853"/>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560" w:lineRule="exact"/>
        <w:ind w:firstLine="482" w:firstLineChars="200"/>
        <w:outlineLvl w:val="0"/>
        <w:rPr>
          <w:rFonts w:ascii="仿宋" w:hAnsi="仿宋" w:eastAsia="仿宋"/>
          <w:b/>
          <w:sz w:val="24"/>
        </w:rPr>
      </w:pPr>
      <w:r>
        <w:rPr>
          <w:rFonts w:hint="eastAsia" w:ascii="仿宋" w:hAnsi="仿宋" w:eastAsia="仿宋"/>
          <w:b/>
          <w:sz w:val="24"/>
        </w:rPr>
        <w:t>2.3 知识产权</w:t>
      </w:r>
      <w:bookmarkEnd w:id="470"/>
      <w:bookmarkEnd w:id="471"/>
      <w:bookmarkEnd w:id="472"/>
      <w:bookmarkEnd w:id="473"/>
      <w:bookmarkEnd w:id="474"/>
      <w:bookmarkEnd w:id="475"/>
    </w:p>
    <w:p>
      <w:pPr>
        <w:spacing w:line="560" w:lineRule="exact"/>
        <w:ind w:firstLine="480" w:firstLineChars="200"/>
        <w:rPr>
          <w:rFonts w:ascii="仿宋" w:hAnsi="仿宋" w:eastAsia="仿宋"/>
          <w:sz w:val="24"/>
        </w:rPr>
      </w:pPr>
      <w:bookmarkStart w:id="476" w:name="_Toc11932"/>
      <w:bookmarkStart w:id="477" w:name="_Toc4194"/>
      <w:bookmarkStart w:id="478" w:name="_Toc29149"/>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p>
    <w:bookmarkEnd w:id="476"/>
    <w:bookmarkEnd w:id="477"/>
    <w:bookmarkEnd w:id="478"/>
    <w:p>
      <w:pPr>
        <w:spacing w:line="560" w:lineRule="exact"/>
        <w:ind w:firstLine="482" w:firstLineChars="200"/>
        <w:outlineLvl w:val="0"/>
        <w:rPr>
          <w:rFonts w:ascii="仿宋" w:hAnsi="仿宋" w:eastAsia="仿宋"/>
          <w:b/>
          <w:sz w:val="24"/>
        </w:rPr>
      </w:pPr>
      <w:bookmarkStart w:id="479" w:name="_Ref467378541"/>
      <w:bookmarkStart w:id="480" w:name="_Ref467379542"/>
      <w:bookmarkStart w:id="481" w:name="_Toc279701245"/>
      <w:bookmarkStart w:id="482" w:name="_Ref467379527"/>
      <w:bookmarkStart w:id="483" w:name="_Toc259093674"/>
      <w:bookmarkStart w:id="484" w:name="_Ref467378591"/>
      <w:bookmarkStart w:id="485" w:name="_Toc487900354"/>
      <w:bookmarkStart w:id="486" w:name="_Ref467379536"/>
      <w:bookmarkStart w:id="487" w:name="_Toc19074"/>
      <w:bookmarkStart w:id="488" w:name="_Toc26182"/>
      <w:bookmarkStart w:id="489" w:name="_Toc30272"/>
      <w:r>
        <w:rPr>
          <w:rFonts w:hint="eastAsia" w:ascii="仿宋" w:hAnsi="仿宋" w:eastAsia="仿宋"/>
          <w:b/>
          <w:sz w:val="24"/>
        </w:rPr>
        <w:t>2.</w:t>
      </w:r>
      <w:bookmarkEnd w:id="479"/>
      <w:bookmarkEnd w:id="480"/>
      <w:bookmarkEnd w:id="481"/>
      <w:bookmarkEnd w:id="482"/>
      <w:bookmarkEnd w:id="483"/>
      <w:bookmarkEnd w:id="484"/>
      <w:bookmarkEnd w:id="485"/>
      <w:bookmarkEnd w:id="486"/>
      <w:r>
        <w:rPr>
          <w:rFonts w:hint="eastAsia" w:ascii="仿宋" w:hAnsi="仿宋" w:eastAsia="仿宋"/>
          <w:b/>
          <w:sz w:val="24"/>
        </w:rPr>
        <w:t>4履约检查和问题反馈</w:t>
      </w:r>
      <w:bookmarkEnd w:id="487"/>
      <w:bookmarkEnd w:id="488"/>
      <w:bookmarkEnd w:id="489"/>
    </w:p>
    <w:p>
      <w:pPr>
        <w:spacing w:line="560" w:lineRule="exact"/>
        <w:ind w:firstLine="480" w:firstLineChars="200"/>
        <w:rPr>
          <w:rFonts w:ascii="仿宋" w:hAnsi="仿宋" w:eastAsia="仿宋"/>
          <w:sz w:val="24"/>
        </w:rPr>
      </w:pPr>
      <w:bookmarkStart w:id="490" w:name="_Toc259093677"/>
      <w:bookmarkStart w:id="491" w:name="_Toc279701248"/>
      <w:bookmarkStart w:id="492" w:name="_Ref467379923"/>
      <w:bookmarkStart w:id="493" w:name="_Toc487900358"/>
      <w:bookmarkStart w:id="494" w:name="_Ref467379852"/>
      <w:bookmarkStart w:id="495" w:name="_Ref467379863"/>
      <w:bookmarkStart w:id="496" w:name="_Toc16110"/>
      <w:bookmarkStart w:id="497" w:name="_Toc774"/>
      <w:bookmarkStart w:id="498" w:name="_Toc3225"/>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sz w:val="24"/>
        </w:rPr>
      </w:pPr>
      <w:bookmarkStart w:id="499" w:name="_Toc32670"/>
      <w:bookmarkStart w:id="500" w:name="_Toc26555"/>
      <w:bookmarkStart w:id="501" w:name="_Toc22011"/>
      <w:bookmarkStart w:id="502" w:name="_Toc15447"/>
      <w:bookmarkStart w:id="503" w:name="_Toc31233"/>
      <w:r>
        <w:rPr>
          <w:rFonts w:ascii="仿宋" w:hAnsi="仿宋" w:eastAsia="仿宋"/>
          <w:b/>
          <w:sz w:val="24"/>
        </w:rPr>
        <w:t>2.5 结算方式和付款条件</w:t>
      </w:r>
      <w:bookmarkEnd w:id="499"/>
      <w:bookmarkEnd w:id="500"/>
      <w:bookmarkEnd w:id="501"/>
      <w:bookmarkEnd w:id="502"/>
      <w:bookmarkEnd w:id="503"/>
    </w:p>
    <w:p>
      <w:pPr>
        <w:spacing w:line="560" w:lineRule="exact"/>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560" w:lineRule="exact"/>
        <w:ind w:firstLine="482" w:firstLineChars="200"/>
        <w:outlineLvl w:val="0"/>
        <w:rPr>
          <w:rFonts w:ascii="仿宋" w:hAnsi="仿宋" w:eastAsia="仿宋"/>
          <w:b/>
          <w:sz w:val="24"/>
        </w:rPr>
      </w:pPr>
      <w:r>
        <w:rPr>
          <w:rFonts w:hint="eastAsia" w:ascii="仿宋" w:hAnsi="仿宋" w:eastAsia="仿宋"/>
          <w:b/>
          <w:sz w:val="24"/>
        </w:rPr>
        <w:t>2.6 技术资料</w:t>
      </w:r>
      <w:bookmarkEnd w:id="490"/>
      <w:bookmarkEnd w:id="491"/>
      <w:bookmarkEnd w:id="492"/>
      <w:bookmarkEnd w:id="493"/>
      <w:bookmarkEnd w:id="494"/>
      <w:bookmarkEnd w:id="495"/>
      <w:r>
        <w:rPr>
          <w:rFonts w:hint="eastAsia" w:ascii="仿宋" w:hAnsi="仿宋" w:eastAsia="仿宋"/>
          <w:b/>
          <w:sz w:val="24"/>
        </w:rPr>
        <w:t>和保密义务</w:t>
      </w:r>
      <w:bookmarkEnd w:id="496"/>
      <w:bookmarkEnd w:id="497"/>
      <w:bookmarkEnd w:id="498"/>
    </w:p>
    <w:p>
      <w:pPr>
        <w:spacing w:line="560" w:lineRule="exact"/>
        <w:ind w:firstLine="480" w:firstLineChars="200"/>
        <w:rPr>
          <w:rFonts w:ascii="仿宋" w:hAnsi="仿宋" w:eastAsia="仿宋"/>
          <w:sz w:val="24"/>
        </w:rPr>
      </w:pPr>
      <w:bookmarkStart w:id="504" w:name="_Toc7860"/>
      <w:r>
        <w:rPr>
          <w:rFonts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r>
        <w:rPr>
          <w:rFonts w:hint="eastAsia" w:ascii="仿宋" w:hAnsi="仿宋" w:eastAsia="仿宋"/>
          <w:b/>
          <w:sz w:val="24"/>
        </w:rPr>
        <w:t>2.7 质量保证</w:t>
      </w:r>
      <w:bookmarkEnd w:id="504"/>
    </w:p>
    <w:p>
      <w:pPr>
        <w:spacing w:line="560" w:lineRule="exact"/>
        <w:ind w:firstLine="480" w:firstLineChars="200"/>
        <w:rPr>
          <w:rFonts w:ascii="仿宋" w:hAnsi="仿宋" w:eastAsia="仿宋"/>
          <w:sz w:val="24"/>
        </w:rPr>
      </w:pPr>
      <w:bookmarkStart w:id="505" w:name="_Toc259093681"/>
      <w:bookmarkStart w:id="506" w:name="_Toc17244"/>
      <w:bookmarkStart w:id="507" w:name="_Toc279701252"/>
      <w:bookmarkStart w:id="508" w:name="_Toc487900362"/>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bookmarkEnd w:id="505"/>
    <w:bookmarkEnd w:id="506"/>
    <w:bookmarkEnd w:id="507"/>
    <w:bookmarkEnd w:id="508"/>
    <w:p>
      <w:pPr>
        <w:spacing w:line="560" w:lineRule="exact"/>
        <w:ind w:firstLine="482" w:firstLineChars="200"/>
        <w:outlineLvl w:val="0"/>
        <w:rPr>
          <w:rFonts w:ascii="仿宋" w:hAnsi="仿宋" w:eastAsia="仿宋"/>
          <w:b/>
          <w:sz w:val="24"/>
        </w:rPr>
      </w:pPr>
      <w:bookmarkStart w:id="509" w:name="_Toc22267"/>
      <w:bookmarkStart w:id="510" w:name="_Toc7502"/>
      <w:bookmarkStart w:id="511" w:name="_Toc259093683"/>
      <w:bookmarkStart w:id="512" w:name="_Ref467378121"/>
      <w:bookmarkStart w:id="513" w:name="_Toc279701254"/>
      <w:bookmarkStart w:id="514" w:name="_Toc487900364"/>
      <w:r>
        <w:rPr>
          <w:rFonts w:ascii="仿宋" w:hAnsi="仿宋" w:eastAsia="仿宋"/>
          <w:b/>
          <w:sz w:val="24"/>
        </w:rPr>
        <w:t xml:space="preserve">2.8 </w:t>
      </w:r>
      <w:r>
        <w:rPr>
          <w:rFonts w:hint="eastAsia" w:ascii="仿宋" w:hAnsi="仿宋" w:eastAsia="仿宋"/>
          <w:b/>
          <w:sz w:val="24"/>
        </w:rPr>
        <w:t>延迟履行</w:t>
      </w:r>
      <w:bookmarkEnd w:id="509"/>
    </w:p>
    <w:p>
      <w:pPr>
        <w:spacing w:line="560" w:lineRule="exact"/>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560" w:lineRule="exact"/>
        <w:ind w:firstLine="482" w:firstLineChars="200"/>
        <w:outlineLvl w:val="0"/>
        <w:rPr>
          <w:rFonts w:ascii="仿宋" w:hAnsi="仿宋" w:eastAsia="仿宋"/>
          <w:b/>
          <w:sz w:val="24"/>
        </w:rPr>
      </w:pPr>
      <w:r>
        <w:rPr>
          <w:rFonts w:hint="eastAsia" w:ascii="仿宋" w:hAnsi="仿宋" w:eastAsia="仿宋"/>
          <w:b/>
          <w:sz w:val="24"/>
        </w:rPr>
        <w:t>2.9 合同变更</w:t>
      </w:r>
      <w:bookmarkEnd w:id="51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15" w:name="_Toc279701259"/>
      <w:bookmarkStart w:id="516" w:name="_Toc259093688"/>
      <w:bookmarkStart w:id="517" w:name="_Toc487900369"/>
    </w:p>
    <w:p>
      <w:pPr>
        <w:spacing w:line="560" w:lineRule="exact"/>
        <w:ind w:firstLine="482" w:firstLineChars="200"/>
        <w:outlineLvl w:val="0"/>
        <w:rPr>
          <w:rFonts w:ascii="仿宋" w:hAnsi="仿宋" w:eastAsia="仿宋"/>
          <w:b/>
          <w:sz w:val="24"/>
        </w:rPr>
      </w:pPr>
      <w:bookmarkStart w:id="518" w:name="_Toc15237"/>
      <w:bookmarkStart w:id="519" w:name="_Toc22955"/>
      <w:bookmarkStart w:id="520" w:name="_Toc10366"/>
      <w:r>
        <w:rPr>
          <w:rFonts w:hint="eastAsia" w:ascii="仿宋" w:hAnsi="仿宋" w:eastAsia="仿宋"/>
          <w:b/>
          <w:sz w:val="24"/>
        </w:rPr>
        <w:t>2.11 合同转让</w:t>
      </w:r>
      <w:bookmarkEnd w:id="515"/>
      <w:bookmarkEnd w:id="516"/>
      <w:bookmarkEnd w:id="517"/>
      <w:r>
        <w:rPr>
          <w:rFonts w:hint="eastAsia" w:ascii="仿宋" w:hAnsi="仿宋" w:eastAsia="仿宋"/>
          <w:b/>
          <w:sz w:val="24"/>
        </w:rPr>
        <w:t>和分包</w:t>
      </w:r>
      <w:bookmarkEnd w:id="518"/>
      <w:bookmarkEnd w:id="519"/>
      <w:bookmarkEnd w:id="520"/>
    </w:p>
    <w:p>
      <w:pPr>
        <w:spacing w:line="560" w:lineRule="exact"/>
        <w:ind w:firstLine="480" w:firstLineChars="200"/>
        <w:rPr>
          <w:rFonts w:ascii="仿宋" w:hAnsi="仿宋" w:eastAsia="仿宋"/>
          <w:sz w:val="24"/>
        </w:rPr>
      </w:pPr>
      <w:bookmarkStart w:id="521" w:name="_Toc14066"/>
      <w:bookmarkStart w:id="522" w:name="_Toc16508"/>
      <w:bookmarkStart w:id="523" w:name="_Toc13566"/>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560" w:lineRule="exact"/>
        <w:ind w:firstLine="482" w:firstLineChars="200"/>
        <w:outlineLvl w:val="0"/>
        <w:rPr>
          <w:rFonts w:ascii="仿宋" w:hAnsi="仿宋" w:eastAsia="仿宋"/>
          <w:b/>
          <w:sz w:val="24"/>
        </w:rPr>
      </w:pPr>
      <w:r>
        <w:rPr>
          <w:rFonts w:hint="eastAsia" w:ascii="仿宋" w:hAnsi="仿宋" w:eastAsia="仿宋"/>
          <w:b/>
          <w:sz w:val="24"/>
        </w:rPr>
        <w:t>2.11 不可抗力</w:t>
      </w:r>
      <w:bookmarkEnd w:id="521"/>
      <w:bookmarkEnd w:id="522"/>
      <w:bookmarkEnd w:id="523"/>
    </w:p>
    <w:p>
      <w:pPr>
        <w:spacing w:line="560" w:lineRule="exact"/>
        <w:ind w:firstLine="480" w:firstLineChars="200"/>
        <w:rPr>
          <w:rFonts w:ascii="仿宋" w:hAnsi="仿宋" w:eastAsia="仿宋"/>
          <w:sz w:val="24"/>
        </w:rPr>
      </w:pPr>
      <w:bookmarkStart w:id="524" w:name="_Toc689"/>
      <w:bookmarkStart w:id="525" w:name="_Toc487900365"/>
      <w:bookmarkStart w:id="526" w:name="_Toc6969"/>
      <w:bookmarkStart w:id="527" w:name="_Toc259093684"/>
      <w:bookmarkStart w:id="528" w:name="_Toc279701255"/>
      <w:bookmarkStart w:id="529" w:name="_Toc30676"/>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560" w:lineRule="exact"/>
        <w:ind w:firstLine="482" w:firstLineChars="200"/>
        <w:outlineLvl w:val="0"/>
        <w:rPr>
          <w:rFonts w:ascii="仿宋" w:hAnsi="仿宋" w:eastAsia="仿宋"/>
          <w:b/>
          <w:sz w:val="24"/>
        </w:rPr>
      </w:pPr>
      <w:r>
        <w:rPr>
          <w:rFonts w:hint="eastAsia" w:ascii="仿宋" w:hAnsi="仿宋" w:eastAsia="仿宋"/>
          <w:b/>
          <w:sz w:val="24"/>
        </w:rPr>
        <w:t>2.12 税费</w:t>
      </w:r>
      <w:bookmarkEnd w:id="524"/>
      <w:bookmarkEnd w:id="525"/>
      <w:bookmarkEnd w:id="526"/>
      <w:bookmarkEnd w:id="527"/>
      <w:bookmarkEnd w:id="528"/>
      <w:bookmarkEnd w:id="529"/>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30" w:name="_Toc7102"/>
      <w:bookmarkStart w:id="531" w:name="_Toc279701258"/>
      <w:bookmarkStart w:id="532" w:name="_Toc8298"/>
      <w:bookmarkStart w:id="533" w:name="_Toc16959"/>
      <w:bookmarkStart w:id="534" w:name="_Toc259093687"/>
      <w:bookmarkStart w:id="535" w:name="_Toc487900368"/>
      <w:r>
        <w:rPr>
          <w:rFonts w:hint="eastAsia" w:ascii="仿宋" w:hAnsi="仿宋" w:eastAsia="仿宋"/>
          <w:b/>
          <w:sz w:val="24"/>
        </w:rPr>
        <w:t>2.13乙方破产</w:t>
      </w:r>
      <w:bookmarkEnd w:id="530"/>
      <w:bookmarkEnd w:id="531"/>
      <w:bookmarkEnd w:id="532"/>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36" w:name="_Toc6134"/>
      <w:bookmarkStart w:id="537" w:name="_Toc15387"/>
      <w:bookmarkStart w:id="538" w:name="_Toc29333"/>
      <w:r>
        <w:rPr>
          <w:rFonts w:hint="eastAsia" w:ascii="仿宋" w:hAnsi="仿宋" w:eastAsia="仿宋"/>
          <w:b/>
          <w:sz w:val="24"/>
        </w:rPr>
        <w:t>2.14合同中止、终止</w:t>
      </w:r>
      <w:bookmarkEnd w:id="536"/>
      <w:bookmarkEnd w:id="537"/>
      <w:bookmarkEnd w:id="538"/>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39" w:name="_Toc6596"/>
      <w:bookmarkStart w:id="540" w:name="_Toc1125"/>
      <w:bookmarkStart w:id="541" w:name="_Toc14563"/>
      <w:r>
        <w:rPr>
          <w:rFonts w:hint="eastAsia" w:ascii="仿宋" w:hAnsi="仿宋" w:eastAsia="仿宋"/>
          <w:b/>
          <w:sz w:val="24"/>
        </w:rPr>
        <w:t>2.16检验和验收</w:t>
      </w:r>
      <w:bookmarkEnd w:id="539"/>
      <w:bookmarkEnd w:id="540"/>
      <w:bookmarkEnd w:id="541"/>
    </w:p>
    <w:bookmarkEnd w:id="511"/>
    <w:bookmarkEnd w:id="512"/>
    <w:bookmarkEnd w:id="513"/>
    <w:bookmarkEnd w:id="514"/>
    <w:p>
      <w:pPr>
        <w:tabs>
          <w:tab w:val="left" w:pos="360"/>
          <w:tab w:val="left" w:pos="540"/>
          <w:tab w:val="left" w:pos="1080"/>
        </w:tabs>
        <w:spacing w:line="560" w:lineRule="exact"/>
        <w:ind w:firstLine="480" w:firstLineChars="200"/>
        <w:rPr>
          <w:rFonts w:ascii="仿宋" w:hAnsi="仿宋" w:eastAsia="仿宋"/>
          <w:sz w:val="24"/>
        </w:rPr>
      </w:pPr>
      <w:bookmarkStart w:id="542" w:name="_Toc279701261"/>
      <w:bookmarkStart w:id="543" w:name="_Toc487900371"/>
      <w:bookmarkStart w:id="544" w:name="_Toc259093690"/>
      <w:bookmarkStart w:id="545" w:name="_Toc19604"/>
      <w:bookmarkStart w:id="546" w:name="_Toc25182"/>
      <w:bookmarkStart w:id="547" w:name="_Toc11284"/>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560" w:lineRule="exact"/>
        <w:ind w:firstLine="482" w:firstLineChars="200"/>
        <w:outlineLvl w:val="0"/>
        <w:rPr>
          <w:rFonts w:ascii="仿宋" w:hAnsi="仿宋" w:eastAsia="仿宋"/>
          <w:b/>
          <w:sz w:val="24"/>
        </w:rPr>
      </w:pPr>
      <w:r>
        <w:rPr>
          <w:rFonts w:hint="eastAsia" w:ascii="仿宋" w:hAnsi="仿宋" w:eastAsia="仿宋"/>
          <w:b/>
          <w:sz w:val="24"/>
        </w:rPr>
        <w:t>2.16 通知</w:t>
      </w:r>
      <w:bookmarkEnd w:id="542"/>
      <w:bookmarkEnd w:id="543"/>
      <w:bookmarkEnd w:id="544"/>
      <w:r>
        <w:rPr>
          <w:rFonts w:hint="eastAsia" w:ascii="仿宋" w:hAnsi="仿宋" w:eastAsia="仿宋"/>
          <w:b/>
          <w:sz w:val="24"/>
        </w:rPr>
        <w:t>和送达</w:t>
      </w:r>
      <w:bookmarkEnd w:id="545"/>
      <w:bookmarkEnd w:id="546"/>
      <w:bookmarkEnd w:id="547"/>
    </w:p>
    <w:p>
      <w:pPr>
        <w:spacing w:line="560" w:lineRule="exact"/>
        <w:ind w:firstLine="480" w:firstLineChars="200"/>
        <w:rPr>
          <w:rFonts w:ascii="仿宋" w:hAnsi="仿宋" w:eastAsia="仿宋"/>
          <w:sz w:val="24"/>
        </w:rPr>
      </w:pPr>
      <w:bookmarkStart w:id="548" w:name="_Toc27674"/>
      <w:bookmarkStart w:id="549" w:name="_Toc18401"/>
      <w:bookmarkStart w:id="550" w:name="_Toc18540"/>
      <w:bookmarkStart w:id="551" w:name="_Toc30599"/>
      <w:bookmarkStart w:id="552" w:name="_Toc4355"/>
      <w:bookmarkStart w:id="553" w:name="_Toc259093691"/>
      <w:bookmarkStart w:id="554" w:name="_Toc487900372"/>
      <w:bookmarkStart w:id="555" w:name="_Toc279701262"/>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48"/>
      <w:bookmarkEnd w:id="549"/>
    </w:p>
    <w:bookmarkEnd w:id="550"/>
    <w:bookmarkEnd w:id="551"/>
    <w:bookmarkEnd w:id="552"/>
    <w:bookmarkEnd w:id="553"/>
    <w:bookmarkEnd w:id="554"/>
    <w:bookmarkEnd w:id="555"/>
    <w:p>
      <w:pPr>
        <w:spacing w:line="560" w:lineRule="exact"/>
        <w:ind w:firstLine="482" w:firstLineChars="200"/>
        <w:outlineLvl w:val="0"/>
        <w:rPr>
          <w:rFonts w:ascii="仿宋" w:hAnsi="仿宋" w:eastAsia="仿宋"/>
          <w:b/>
          <w:sz w:val="24"/>
        </w:rPr>
      </w:pPr>
      <w:bookmarkStart w:id="556" w:name="_Toc487900373"/>
      <w:bookmarkStart w:id="557" w:name="_Toc18567"/>
      <w:bookmarkStart w:id="558" w:name="_Toc12773"/>
      <w:bookmarkStart w:id="559" w:name="_Toc10330"/>
      <w:bookmarkStart w:id="560" w:name="_Toc279701263"/>
      <w:bookmarkStart w:id="561" w:name="_Toc259093692"/>
      <w:r>
        <w:rPr>
          <w:rFonts w:hint="eastAsia" w:ascii="仿宋" w:hAnsi="仿宋" w:eastAsia="仿宋"/>
          <w:b/>
          <w:sz w:val="24"/>
        </w:rPr>
        <w:t>2.17 合同使用的文字和适用的法律</w:t>
      </w:r>
      <w:bookmarkEnd w:id="556"/>
      <w:bookmarkEnd w:id="557"/>
      <w:bookmarkEnd w:id="558"/>
      <w:bookmarkEnd w:id="559"/>
      <w:bookmarkEnd w:id="560"/>
      <w:bookmarkEnd w:id="561"/>
    </w:p>
    <w:p>
      <w:pPr>
        <w:spacing w:line="560" w:lineRule="exact"/>
        <w:ind w:firstLine="480" w:firstLineChars="200"/>
        <w:rPr>
          <w:rFonts w:ascii="仿宋" w:hAnsi="仿宋" w:eastAsia="仿宋"/>
          <w:sz w:val="24"/>
        </w:rPr>
      </w:pPr>
      <w:r>
        <w:rPr>
          <w:rFonts w:hint="eastAsia" w:ascii="仿宋" w:hAnsi="仿宋" w:eastAsia="仿宋"/>
          <w:sz w:val="24"/>
        </w:rPr>
        <w:t>2.17.1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2.17.2 合同适用中华人民共和国法律。</w:t>
      </w:r>
    </w:p>
    <w:p>
      <w:pPr>
        <w:spacing w:line="560" w:lineRule="exact"/>
        <w:ind w:firstLine="482" w:firstLineChars="200"/>
        <w:rPr>
          <w:rFonts w:ascii="仿宋" w:hAnsi="仿宋" w:eastAsia="仿宋"/>
          <w:sz w:val="24"/>
        </w:rPr>
      </w:pPr>
      <w:bookmarkStart w:id="562" w:name="_Toc19890"/>
      <w:bookmarkStart w:id="563" w:name="_Toc6885"/>
      <w:bookmarkStart w:id="564" w:name="_Toc14001"/>
      <w:r>
        <w:rPr>
          <w:rFonts w:ascii="仿宋" w:hAnsi="仿宋" w:eastAsia="仿宋"/>
          <w:b/>
          <w:bCs/>
          <w:sz w:val="24"/>
        </w:rPr>
        <w:t>2.</w:t>
      </w:r>
      <w:r>
        <w:rPr>
          <w:rFonts w:hint="eastAsia" w:ascii="仿宋" w:hAnsi="仿宋" w:eastAsia="仿宋"/>
          <w:b/>
          <w:bCs/>
          <w:sz w:val="24"/>
        </w:rPr>
        <w:t>18</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r>
        <w:rPr>
          <w:rFonts w:hint="eastAsia" w:ascii="仿宋" w:hAnsi="仿宋" w:eastAsia="仿宋"/>
          <w:b/>
          <w:sz w:val="24"/>
        </w:rPr>
        <w:t>2.19合同份数</w:t>
      </w:r>
      <w:bookmarkEnd w:id="562"/>
      <w:bookmarkEnd w:id="563"/>
      <w:bookmarkEnd w:id="564"/>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5"/>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565" w:name="_Toc331685784"/>
      <w:bookmarkEnd w:id="565"/>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5" w:type="pct"/>
            <w:tcBorders>
              <w:left w:val="single" w:color="auto" w:sz="4" w:space="0"/>
            </w:tcBorders>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505" w:type="pct"/>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.3</w:t>
            </w:r>
          </w:p>
        </w:tc>
        <w:tc>
          <w:tcPr>
            <w:tcW w:w="4505" w:type="pct"/>
            <w:vAlign w:val="center"/>
          </w:tcPr>
          <w:p>
            <w:pPr>
              <w:spacing w:line="360" w:lineRule="auto"/>
              <w:rPr>
                <w:rFonts w:ascii="仿宋" w:hAnsi="仿宋" w:eastAsia="仿宋"/>
                <w:sz w:val="24"/>
              </w:rPr>
            </w:pPr>
            <w:r>
              <w:rPr>
                <w:rFonts w:hint="eastAsia" w:ascii="仿宋" w:hAnsi="仿宋" w:eastAsia="仿宋"/>
                <w:sz w:val="24"/>
              </w:rPr>
              <w:t>以实际使用时间为准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cs="宋体"/>
                <w:kern w:val="0"/>
                <w:sz w:val="24"/>
              </w:rPr>
              <w:t>1.4.2</w:t>
            </w:r>
          </w:p>
        </w:tc>
        <w:tc>
          <w:tcPr>
            <w:tcW w:w="4505" w:type="pct"/>
            <w:vAlign w:val="center"/>
          </w:tcPr>
          <w:p>
            <w:pPr>
              <w:spacing w:line="360" w:lineRule="auto"/>
              <w:rPr>
                <w:rFonts w:ascii="仿宋" w:hAnsi="仿宋" w:eastAsia="仿宋"/>
                <w:sz w:val="24"/>
              </w:rPr>
            </w:pPr>
            <w:r>
              <w:rPr>
                <w:rFonts w:hint="eastAsia" w:ascii="仿宋" w:hAnsi="仿宋" w:eastAsia="仿宋"/>
                <w:sz w:val="24"/>
              </w:rPr>
              <w:t>本项目无履约保证金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cs="宋体"/>
                <w:kern w:val="0"/>
                <w:sz w:val="24"/>
              </w:rPr>
              <w:t>1.5.1</w:t>
            </w:r>
          </w:p>
        </w:tc>
        <w:tc>
          <w:tcPr>
            <w:tcW w:w="4505" w:type="pct"/>
            <w:vAlign w:val="center"/>
          </w:tcPr>
          <w:p>
            <w:pPr>
              <w:spacing w:line="360" w:lineRule="auto"/>
              <w:rPr>
                <w:rFonts w:ascii="仿宋" w:hAnsi="仿宋" w:eastAsia="仿宋"/>
                <w:sz w:val="24"/>
              </w:rPr>
            </w:pPr>
            <w:r>
              <w:rPr>
                <w:rFonts w:hint="eastAsia" w:ascii="仿宋" w:hAnsi="仿宋" w:eastAsia="仿宋" w:cs="仿宋"/>
                <w:sz w:val="24"/>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1.5.2</w:t>
            </w:r>
          </w:p>
        </w:tc>
        <w:tc>
          <w:tcPr>
            <w:tcW w:w="4505" w:type="pct"/>
            <w:vAlign w:val="center"/>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1.5.3</w:t>
            </w:r>
          </w:p>
        </w:tc>
        <w:tc>
          <w:tcPr>
            <w:tcW w:w="4505" w:type="pct"/>
            <w:vAlign w:val="center"/>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cs="宋体"/>
                <w:sz w:val="24"/>
              </w:rPr>
              <w:t>1.6.2</w:t>
            </w:r>
          </w:p>
        </w:tc>
        <w:tc>
          <w:tcPr>
            <w:tcW w:w="4505" w:type="pct"/>
            <w:vAlign w:val="center"/>
          </w:tcPr>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甲方应当以</w:t>
            </w:r>
            <w:r>
              <w:rPr>
                <w:rFonts w:hint="eastAsia" w:ascii="仿宋" w:hAnsi="仿宋" w:eastAsia="仿宋" w:cs="仿宋"/>
                <w:sz w:val="24"/>
                <w:u w:val="single"/>
                <w:lang w:val="zh-CN"/>
              </w:rPr>
              <w:t xml:space="preserve">   银行转帐    </w:t>
            </w:r>
            <w:r>
              <w:rPr>
                <w:rFonts w:hint="eastAsia" w:ascii="仿宋" w:hAnsi="仿宋" w:eastAsia="仿宋" w:cs="仿宋"/>
                <w:sz w:val="24"/>
                <w:lang w:val="zh-CN"/>
              </w:rPr>
              <w:t>（现金/银行转帐/银行托收）方式向乙方支付前条所约定之电路月租费。</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注：1、甲方在收到乙方开具的相应金额的、符合国家规定的发票后支付合同费用（发票抬头：杭州市滨江区人民政府办公室），税号：</w:t>
            </w:r>
            <w:r>
              <w:rPr>
                <w:rFonts w:ascii="仿宋" w:hAnsi="仿宋" w:eastAsia="仿宋" w:cs="仿宋"/>
                <w:sz w:val="24"/>
                <w:lang w:val="zh-CN"/>
              </w:rPr>
              <w:t>11330108MB16043327</w:t>
            </w:r>
            <w:r>
              <w:rPr>
                <w:rFonts w:hint="eastAsia" w:ascii="仿宋" w:hAnsi="仿宋" w:eastAsia="仿宋" w:cs="仿宋"/>
                <w:sz w:val="24"/>
                <w:lang w:val="zh-CN"/>
              </w:rPr>
              <w:t>）；2、每年服务期开始后5个工作日内，支付当年服务合同金额的60%；每年服务期满半年后5个工作日内，支付当年服务合同金额的20%；每年验收合格后5个工作日内，按照实际点位租用情况支付当年剩余款项。3、每年新增的裸光纤点位在整体点位数的5%以内，新增点位资费按照本合同单价执行，同时所有裸光纤点位新增和移机不额外收取一次性装机费和一次性移机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ascii="仿宋" w:hAnsi="仿宋" w:eastAsia="仿宋" w:cs="宋体"/>
                <w:kern w:val="0"/>
                <w:sz w:val="24"/>
              </w:rPr>
              <w:t>1.</w:t>
            </w:r>
            <w:r>
              <w:rPr>
                <w:rFonts w:hint="eastAsia" w:ascii="仿宋" w:hAnsi="仿宋" w:eastAsia="仿宋" w:cs="宋体"/>
                <w:kern w:val="0"/>
                <w:sz w:val="24"/>
              </w:rPr>
              <w:t>7</w:t>
            </w:r>
            <w:r>
              <w:rPr>
                <w:rFonts w:ascii="仿宋" w:hAnsi="仿宋" w:eastAsia="仿宋" w:cs="宋体"/>
                <w:kern w:val="0"/>
                <w:sz w:val="24"/>
              </w:rPr>
              <w:t xml:space="preserve">.1 </w:t>
            </w:r>
          </w:p>
        </w:tc>
        <w:tc>
          <w:tcPr>
            <w:tcW w:w="4505" w:type="pct"/>
            <w:vAlign w:val="center"/>
          </w:tcPr>
          <w:p>
            <w:pPr>
              <w:spacing w:line="360" w:lineRule="auto"/>
              <w:rPr>
                <w:rFonts w:ascii="仿宋" w:hAnsi="仿宋" w:eastAsia="仿宋"/>
                <w:sz w:val="24"/>
              </w:rPr>
            </w:pPr>
            <w:r>
              <w:rPr>
                <w:rFonts w:ascii="仿宋" w:hAnsi="仿宋" w:eastAsia="仿宋"/>
                <w:sz w:val="24"/>
              </w:rPr>
              <w:t>7</w:t>
            </w:r>
            <w:r>
              <w:rPr>
                <w:rFonts w:hint="eastAsia" w:ascii="仿宋" w:hAnsi="仿宋" w:eastAsia="仿宋"/>
                <w:sz w:val="24"/>
              </w:rPr>
              <w:t>个自然日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ascii="仿宋" w:hAnsi="仿宋" w:eastAsia="仿宋" w:cs="宋体"/>
                <w:kern w:val="0"/>
                <w:sz w:val="24"/>
              </w:rPr>
              <w:t>1.</w:t>
            </w:r>
            <w:r>
              <w:rPr>
                <w:rFonts w:hint="eastAsia" w:ascii="仿宋" w:hAnsi="仿宋" w:eastAsia="仿宋" w:cs="宋体"/>
                <w:kern w:val="0"/>
                <w:sz w:val="24"/>
              </w:rPr>
              <w:t>7</w:t>
            </w:r>
            <w:r>
              <w:rPr>
                <w:rFonts w:ascii="仿宋" w:hAnsi="仿宋" w:eastAsia="仿宋" w:cs="宋体"/>
                <w:kern w:val="0"/>
                <w:sz w:val="24"/>
              </w:rPr>
              <w:t xml:space="preserve">.2 </w:t>
            </w:r>
          </w:p>
        </w:tc>
        <w:tc>
          <w:tcPr>
            <w:tcW w:w="4505" w:type="pct"/>
            <w:vAlign w:val="center"/>
          </w:tcPr>
          <w:p>
            <w:pPr>
              <w:spacing w:line="360" w:lineRule="auto"/>
              <w:rPr>
                <w:rFonts w:ascii="仿宋" w:hAnsi="仿宋" w:eastAsia="仿宋"/>
                <w:sz w:val="24"/>
              </w:rPr>
            </w:pPr>
            <w:r>
              <w:rPr>
                <w:rFonts w:hint="eastAsia" w:ascii="仿宋" w:hAnsi="仿宋" w:eastAsia="仿宋"/>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ascii="仿宋" w:hAnsi="仿宋" w:eastAsia="仿宋" w:cs="宋体"/>
                <w:kern w:val="0"/>
                <w:sz w:val="24"/>
              </w:rPr>
              <w:t>1.</w:t>
            </w:r>
            <w:r>
              <w:rPr>
                <w:rFonts w:hint="eastAsia" w:ascii="仿宋" w:hAnsi="仿宋" w:eastAsia="仿宋" w:cs="宋体"/>
                <w:kern w:val="0"/>
                <w:sz w:val="24"/>
              </w:rPr>
              <w:t>7</w:t>
            </w:r>
            <w:r>
              <w:rPr>
                <w:rFonts w:ascii="仿宋" w:hAnsi="仿宋" w:eastAsia="仿宋" w:cs="宋体"/>
                <w:kern w:val="0"/>
                <w:sz w:val="24"/>
              </w:rPr>
              <w:t>.3</w:t>
            </w:r>
          </w:p>
        </w:tc>
        <w:tc>
          <w:tcPr>
            <w:tcW w:w="4505" w:type="pct"/>
            <w:vAlign w:val="center"/>
          </w:tcPr>
          <w:p>
            <w:pPr>
              <w:spacing w:line="360" w:lineRule="auto"/>
              <w:rPr>
                <w:rFonts w:ascii="仿宋" w:hAnsi="仿宋" w:eastAsia="仿宋"/>
                <w:sz w:val="24"/>
              </w:rPr>
            </w:pPr>
            <w:r>
              <w:rPr>
                <w:rFonts w:hint="eastAsia" w:ascii="仿宋" w:hAnsi="仿宋" w:eastAsia="仿宋"/>
                <w:sz w:val="24"/>
              </w:rPr>
              <w:t>本合同中的服务交付是指甲乙双方商定的接口点外侧，本地端到端的电路，接口点是指甲方设备和乙方设备的连接点。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495" w:type="pct"/>
            <w:tcBorders>
              <w:left w:val="single" w:color="auto" w:sz="4" w:space="0"/>
            </w:tcBorders>
          </w:tcPr>
          <w:p>
            <w:pPr>
              <w:spacing w:line="360" w:lineRule="auto"/>
              <w:rPr>
                <w:rFonts w:ascii="仿宋" w:hAnsi="仿宋" w:eastAsia="仿宋"/>
                <w:sz w:val="24"/>
              </w:rPr>
            </w:pPr>
            <w:r>
              <w:rPr>
                <w:rFonts w:hint="eastAsia" w:ascii="仿宋" w:hAnsi="仿宋" w:eastAsia="仿宋" w:cs="宋体"/>
                <w:sz w:val="24"/>
              </w:rPr>
              <w:t>1.8.</w:t>
            </w:r>
            <w:r>
              <w:rPr>
                <w:rFonts w:ascii="仿宋" w:hAnsi="仿宋" w:eastAsia="仿宋" w:cs="宋体"/>
                <w:sz w:val="24"/>
              </w:rPr>
              <w:t>7</w:t>
            </w:r>
          </w:p>
        </w:tc>
        <w:tc>
          <w:tcPr>
            <w:tcW w:w="4505" w:type="pct"/>
          </w:tcPr>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甲方不得将上述电路与设备用于进行经营性活动、非法活动以及本合同约定之外的用途，如VOIP业务、为其它运营商或ISP提供转接（穿透）服务等，</w:t>
            </w:r>
            <w:r>
              <w:rPr>
                <w:rFonts w:hint="eastAsia" w:ascii="仿宋" w:hAnsi="仿宋" w:eastAsia="仿宋" w:cs="仿宋"/>
                <w:sz w:val="24"/>
              </w:rPr>
              <w:t>若违反</w:t>
            </w:r>
            <w:r>
              <w:rPr>
                <w:rFonts w:hint="eastAsia" w:ascii="仿宋" w:hAnsi="仿宋" w:eastAsia="仿宋" w:cs="仿宋"/>
                <w:sz w:val="24"/>
                <w:lang w:val="zh-CN"/>
              </w:rPr>
              <w:t>则乙方有权单方面解除本合同，并且有权要求甲方支付上述电路月租费总额3倍的违约金。</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甲方应依照合同约定向乙方支付电路租用费用。如有逾期，甲方应及时向乙方补缴所欠费用，并且每逾期1日，甲方则应向乙方支付所欠金额3‰的迟延违约金。若甲方逾期超过60日仍未足额支付所欠电路租用费以及迟延违约金，则乙方有权单方面解除合同，并且有权要求甲方支付上述电路月租费总额3倍的违约金。</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如因乙方之过错导致不能按合同约定时间开通电路，并且在合同约定期限届满后15日内仍未能予以纠正的，甲方有权拒绝支付电路租用费并终止合同，同时乙方应向甲方支付相当于上述电路月租费总额的3倍违约金。如因甲方之过错延误电路开通的，乙方有权向甲方收取电路约定开通日至实际开通日期间的电路月租费总额作为迟延违约金。</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乙方应按照合同约定及时修复甲方故障电路。</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因不可抗力导致合同一方不能履行或不能完全履行本合同约定之有关义务时，不承担违约责任。但遇有不可抗力的一方应于不可抗力发生后15日内告知对方。在不可抗力影响消除后的合理时间内，合同</w:t>
            </w:r>
            <w:r>
              <w:rPr>
                <w:rFonts w:hint="eastAsia" w:ascii="仿宋" w:hAnsi="仿宋" w:eastAsia="仿宋" w:cs="仿宋"/>
                <w:sz w:val="24"/>
              </w:rPr>
              <w:t>三</w:t>
            </w:r>
            <w:r>
              <w:rPr>
                <w:rFonts w:hint="eastAsia" w:ascii="仿宋" w:hAnsi="仿宋" w:eastAsia="仿宋" w:cs="仿宋"/>
                <w:sz w:val="24"/>
                <w:lang w:val="zh-CN"/>
              </w:rPr>
              <w:t>方应当继续履行合同。由于不可抗力导致合同不能或者没有必要继续履行的，</w:t>
            </w:r>
            <w:r>
              <w:rPr>
                <w:rFonts w:hint="eastAsia" w:ascii="仿宋" w:hAnsi="仿宋" w:eastAsia="仿宋" w:cs="仿宋"/>
                <w:sz w:val="24"/>
              </w:rPr>
              <w:t>三</w:t>
            </w:r>
            <w:r>
              <w:rPr>
                <w:rFonts w:hint="eastAsia" w:ascii="仿宋" w:hAnsi="仿宋" w:eastAsia="仿宋" w:cs="仿宋"/>
                <w:sz w:val="24"/>
                <w:lang w:val="zh-CN"/>
              </w:rPr>
              <w:t>方可协商提前解除本合同。</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如因合同一方或者第三方之过错导致另一方不能履行或不能完全履行本合同约定之有关义务时，另一方不承担任何违约责任。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cs="宋体"/>
                <w:sz w:val="24"/>
              </w:rPr>
              <w:t>1.9.1</w:t>
            </w:r>
          </w:p>
        </w:tc>
        <w:tc>
          <w:tcPr>
            <w:tcW w:w="4505" w:type="pct"/>
            <w:vAlign w:val="center"/>
          </w:tcPr>
          <w:p>
            <w:pPr>
              <w:spacing w:line="360" w:lineRule="auto"/>
              <w:rPr>
                <w:rFonts w:ascii="仿宋" w:hAnsi="仿宋" w:eastAsia="仿宋"/>
                <w:sz w:val="24"/>
              </w:rPr>
            </w:pPr>
            <w:r>
              <w:rPr>
                <w:rFonts w:hint="eastAsia" w:ascii="仿宋" w:hAnsi="仿宋" w:eastAsia="仿宋"/>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cs="宋体"/>
                <w:sz w:val="24"/>
              </w:rPr>
              <w:t>1.9.2</w:t>
            </w:r>
          </w:p>
        </w:tc>
        <w:tc>
          <w:tcPr>
            <w:tcW w:w="4505" w:type="pct"/>
            <w:vAlign w:val="center"/>
          </w:tcPr>
          <w:p>
            <w:pPr>
              <w:spacing w:line="360" w:lineRule="auto"/>
              <w:rPr>
                <w:rFonts w:ascii="仿宋" w:hAnsi="仿宋" w:eastAsia="仿宋"/>
                <w:sz w:val="24"/>
              </w:rPr>
            </w:pPr>
            <w:r>
              <w:rPr>
                <w:rFonts w:hint="eastAsia" w:ascii="仿宋" w:hAnsi="仿宋" w:eastAsia="仿宋"/>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2.3.2</w:t>
            </w:r>
          </w:p>
        </w:tc>
        <w:tc>
          <w:tcPr>
            <w:tcW w:w="4505" w:type="pct"/>
            <w:vAlign w:val="center"/>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5" w:type="pct"/>
            <w:tcBorders>
              <w:left w:val="single" w:color="auto" w:sz="4" w:space="0"/>
            </w:tcBorders>
            <w:vAlign w:val="center"/>
          </w:tcPr>
          <w:p>
            <w:pPr>
              <w:spacing w:line="360" w:lineRule="auto"/>
              <w:rPr>
                <w:rFonts w:ascii="仿宋" w:hAnsi="仿宋" w:eastAsia="仿宋"/>
                <w:sz w:val="24"/>
              </w:rPr>
            </w:pPr>
            <w:r>
              <w:rPr>
                <w:rFonts w:ascii="仿宋" w:hAnsi="仿宋" w:eastAsia="仿宋"/>
                <w:b/>
                <w:sz w:val="24"/>
              </w:rPr>
              <w:t>2.5</w:t>
            </w:r>
          </w:p>
        </w:tc>
        <w:tc>
          <w:tcPr>
            <w:tcW w:w="4505" w:type="pct"/>
            <w:shd w:val="clear" w:color="auto" w:fill="auto"/>
            <w:vAlign w:val="center"/>
          </w:tcPr>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甲方应当以</w:t>
            </w:r>
            <w:r>
              <w:rPr>
                <w:rFonts w:hint="eastAsia" w:ascii="仿宋" w:hAnsi="仿宋" w:eastAsia="仿宋" w:cs="仿宋"/>
                <w:sz w:val="24"/>
                <w:u w:val="single"/>
                <w:lang w:val="zh-CN"/>
              </w:rPr>
              <w:t xml:space="preserve">   银行转帐    </w:t>
            </w:r>
            <w:r>
              <w:rPr>
                <w:rFonts w:hint="eastAsia" w:ascii="仿宋" w:hAnsi="仿宋" w:eastAsia="仿宋" w:cs="仿宋"/>
                <w:sz w:val="24"/>
                <w:lang w:val="zh-CN"/>
              </w:rPr>
              <w:t>（现金/银行转帐/银行托收）方式向乙方支付前条所约定之电路月租费。</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注：1、见证方在收到乙方开具的相应金额的、符合国家规定的发票后支付合同费用（发票抬头：杭州市滨江区人民政府办公室，税号：</w:t>
            </w:r>
            <w:r>
              <w:rPr>
                <w:rFonts w:ascii="仿宋" w:hAnsi="仿宋" w:eastAsia="仿宋" w:cs="仿宋"/>
                <w:sz w:val="24"/>
                <w:lang w:val="zh-CN"/>
              </w:rPr>
              <w:t>11330108MB16043327</w:t>
            </w:r>
            <w:r>
              <w:rPr>
                <w:rFonts w:hint="eastAsia" w:ascii="仿宋" w:hAnsi="仿宋" w:eastAsia="仿宋" w:cs="仿宋"/>
                <w:sz w:val="24"/>
                <w:lang w:val="zh-CN"/>
              </w:rPr>
              <w:t>）；2、每年服务期开始后5个工作日内，支付当年服务合同金额的60%；每年服务期满半年后5个工作日内，支付当年服务合同金额的20%；每年验收合格后5个工作日内，按照实际点位租用情况支付当年剩余款项。</w:t>
            </w:r>
          </w:p>
          <w:p>
            <w:pPr>
              <w:tabs>
                <w:tab w:val="left" w:pos="0"/>
                <w:tab w:val="left" w:pos="360"/>
                <w:tab w:val="left" w:pos="1080"/>
                <w:tab w:val="left" w:pos="1800"/>
                <w:tab w:val="left" w:pos="2520"/>
                <w:tab w:val="left" w:pos="3240"/>
                <w:tab w:val="left" w:pos="3960"/>
                <w:tab w:val="left" w:pos="4680"/>
              </w:tabs>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3、每年新增的裸光纤点位在整体点位数的5%以内，新增点位资费按照本合同单价执行，同时所有裸光纤点位新增和移机不额外收取一次性装机费和一次性移机费用。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5"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2.11.3</w:t>
            </w:r>
          </w:p>
        </w:tc>
        <w:tc>
          <w:tcPr>
            <w:tcW w:w="4505" w:type="pct"/>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5"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2.11.4</w:t>
            </w:r>
          </w:p>
        </w:tc>
        <w:tc>
          <w:tcPr>
            <w:tcW w:w="4505" w:type="pct"/>
            <w:vAlign w:val="center"/>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5" w:type="pct"/>
            <w:tcBorders>
              <w:left w:val="single" w:color="auto" w:sz="4" w:space="0"/>
            </w:tcBorders>
            <w:vAlign w:val="center"/>
          </w:tcPr>
          <w:p>
            <w:pPr>
              <w:spacing w:line="360" w:lineRule="auto"/>
              <w:ind w:right="-420" w:rightChars="-200"/>
              <w:outlineLvl w:val="0"/>
              <w:rPr>
                <w:rFonts w:ascii="仿宋" w:hAnsi="仿宋" w:eastAsia="仿宋"/>
                <w:sz w:val="24"/>
              </w:rPr>
            </w:pPr>
            <w:r>
              <w:rPr>
                <w:rFonts w:hint="eastAsia" w:ascii="仿宋" w:hAnsi="仿宋" w:eastAsia="仿宋"/>
                <w:sz w:val="24"/>
              </w:rPr>
              <w:t>2.15.1</w:t>
            </w:r>
          </w:p>
        </w:tc>
        <w:tc>
          <w:tcPr>
            <w:tcW w:w="4505" w:type="pct"/>
            <w:vAlign w:val="center"/>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5" w:type="pct"/>
            <w:tcBorders>
              <w:left w:val="single" w:color="auto" w:sz="4" w:space="0"/>
            </w:tcBorders>
            <w:vAlign w:val="center"/>
          </w:tcPr>
          <w:p>
            <w:pPr>
              <w:spacing w:line="360" w:lineRule="auto"/>
              <w:ind w:right="-420" w:rightChars="-200"/>
              <w:outlineLvl w:val="0"/>
              <w:rPr>
                <w:rFonts w:ascii="仿宋" w:hAnsi="仿宋" w:eastAsia="仿宋"/>
                <w:sz w:val="24"/>
              </w:rPr>
            </w:pPr>
            <w:r>
              <w:rPr>
                <w:rFonts w:hint="eastAsia" w:ascii="仿宋" w:hAnsi="仿宋" w:eastAsia="仿宋"/>
                <w:sz w:val="24"/>
              </w:rPr>
              <w:t>2.15.3</w:t>
            </w:r>
          </w:p>
        </w:tc>
        <w:tc>
          <w:tcPr>
            <w:tcW w:w="4505" w:type="pct"/>
            <w:vAlign w:val="center"/>
          </w:tcPr>
          <w:p>
            <w:pPr>
              <w:spacing w:line="360" w:lineRule="auto"/>
              <w:rPr>
                <w:rFonts w:ascii="仿宋" w:hAnsi="仿宋" w:eastAsia="仿宋"/>
                <w:sz w:val="24"/>
              </w:rPr>
            </w:pPr>
            <w:r>
              <w:rPr>
                <w:rFonts w:hint="eastAsia" w:ascii="仿宋" w:hAnsi="仿宋"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5"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hint="eastAsia" w:ascii="仿宋" w:hAnsi="仿宋" w:eastAsia="仿宋"/>
                <w:sz w:val="24"/>
              </w:rPr>
              <w:t>2.19</w:t>
            </w:r>
          </w:p>
        </w:tc>
        <w:tc>
          <w:tcPr>
            <w:tcW w:w="4505" w:type="pct"/>
            <w:vAlign w:val="center"/>
          </w:tcPr>
          <w:p>
            <w:pPr>
              <w:spacing w:line="360" w:lineRule="auto"/>
              <w:rPr>
                <w:rFonts w:ascii="仿宋" w:hAnsi="仿宋" w:eastAsia="仿宋"/>
                <w:sz w:val="24"/>
              </w:rPr>
            </w:pPr>
            <w:r>
              <w:rPr>
                <w:rFonts w:hint="eastAsia" w:ascii="仿宋" w:hAnsi="仿宋" w:eastAsia="仿宋" w:cs="仿宋"/>
                <w:sz w:val="24"/>
                <w:lang w:val="zh-CN"/>
              </w:rPr>
              <w:t>本合同一式肆份，甲方持贰份，乙方持贰份，具有同等法律效力。</w:t>
            </w:r>
          </w:p>
        </w:tc>
      </w:tr>
    </w:tbl>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0" w:type="default"/>
          <w:pgSz w:w="11906" w:h="16838"/>
          <w:pgMar w:top="777" w:right="1418" w:bottom="471" w:left="1418" w:header="851" w:footer="567" w:gutter="0"/>
          <w:cols w:space="720" w:num="1"/>
        </w:sectPr>
      </w:pPr>
    </w:p>
    <w:bookmarkEnd w:id="411"/>
    <w:bookmarkEnd w:id="412"/>
    <w:bookmarkEnd w:id="413"/>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sz w:val="24"/>
        </w:rPr>
        <w:t>（一</w:t>
      </w:r>
      <w:r>
        <w:rPr>
          <w:rFonts w:hint="eastAsia" w:ascii="仿宋" w:hAnsi="仿宋" w:eastAsia="仿宋" w:cs="仿宋_GB2312"/>
          <w:color w:val="000000" w:themeColor="text1"/>
          <w:sz w:val="24"/>
          <w14:textFill>
            <w14:solidFill>
              <w14:schemeClr w14:val="tx1"/>
            </w14:solidFill>
          </w14:textFill>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（二）未被信用中国（</w:t>
      </w:r>
      <w:r>
        <w:rPr>
          <w:rFonts w:ascii="仿宋" w:hAnsi="仿宋" w:eastAsia="仿宋"/>
          <w:color w:val="000000" w:themeColor="text1"/>
          <w:sz w:val="24"/>
          <w14:textFill>
            <w14:solidFill>
              <w14:schemeClr w14:val="tx1"/>
            </w14:solidFill>
          </w14:textFill>
        </w:rPr>
        <w:t>www.creditchina.gov.cn)、中国政府采购网（www.ccgp.gov.cn）列入失信被执行人</w:t>
      </w:r>
      <w:r>
        <w:rPr>
          <w:rFonts w:hint="eastAsia" w:ascii="仿宋" w:hAnsi="仿宋" w:eastAsia="仿宋"/>
          <w:color w:val="000000" w:themeColor="text1"/>
          <w:sz w:val="24"/>
          <w14:textFill>
            <w14:solidFill>
              <w14:schemeClr w14:val="tx1"/>
            </w14:solidFill>
          </w14:textFill>
        </w:rPr>
        <w:t>名单</w:t>
      </w:r>
      <w:r>
        <w:rPr>
          <w:rFonts w:ascii="仿宋" w:hAnsi="仿宋" w:eastAsia="仿宋"/>
          <w:color w:val="000000" w:themeColor="text1"/>
          <w:sz w:val="24"/>
          <w14:textFill>
            <w14:solidFill>
              <w14:schemeClr w14:val="tx1"/>
            </w14:solidFill>
          </w14:textFill>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2"/>
      </w:pPr>
    </w:p>
    <w:p>
      <w:pPr>
        <w:snapToGrid w:val="0"/>
        <w:spacing w:line="360" w:lineRule="auto"/>
        <w:ind w:right="480" w:firstLine="480" w:firstLineChars="200"/>
        <w:jc w:val="left"/>
        <w:rPr>
          <w:rFonts w:ascii="仿宋" w:hAnsi="仿宋" w:eastAsia="仿宋" w:cs="仿宋_GB2312"/>
          <w:b/>
          <w:sz w:val="24"/>
          <w:u w:val="single"/>
        </w:rPr>
      </w:pPr>
      <w:r>
        <w:rPr>
          <w:rFonts w:hint="eastAsia" w:ascii="仿宋" w:hAnsi="仿宋" w:eastAsia="仿宋" w:cs="仿宋_GB2312"/>
          <w:sz w:val="24"/>
        </w:rPr>
        <w:t>注：根据《</w:t>
      </w:r>
      <w:r>
        <w:rPr>
          <w:rFonts w:ascii="仿宋" w:hAnsi="仿宋" w:eastAsia="仿宋" w:cs="仿宋_GB2312"/>
          <w:sz w:val="24"/>
        </w:rPr>
        <w:t>关于规范政府采购供应商资格设定及资格审查的通知</w:t>
      </w:r>
      <w:r>
        <w:rPr>
          <w:rFonts w:hint="eastAsia" w:ascii="仿宋" w:hAnsi="仿宋" w:eastAsia="仿宋" w:cs="仿宋_GB2312"/>
          <w:sz w:val="24"/>
        </w:rPr>
        <w:t>》（</w:t>
      </w:r>
      <w:r>
        <w:rPr>
          <w:rFonts w:ascii="仿宋" w:hAnsi="仿宋" w:eastAsia="仿宋" w:cs="仿宋_GB2312"/>
          <w:sz w:val="24"/>
        </w:rPr>
        <w:t>浙财采监[2013]24号</w:t>
      </w:r>
      <w:r>
        <w:rPr>
          <w:rFonts w:hint="eastAsia" w:ascii="仿宋" w:hAnsi="仿宋" w:eastAsia="仿宋"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专门面向中小企业，服务全部由符合政策要求的中小企业（或小微企业）承接的，提供相应的中小企业声明函（附件6）。</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附件4）和中小企业声明函（附件6），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5）和中小企业声明函（附件6），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firstLine="3054" w:firstLineChars="845"/>
        <w:rPr>
          <w:rFonts w:ascii="仿宋" w:hAnsi="仿宋" w:eastAsia="仿宋" w:cs="仿宋_GB2312"/>
          <w:b/>
          <w:kern w:val="0"/>
          <w:sz w:val="36"/>
          <w:szCs w:val="36"/>
        </w:rPr>
      </w:pPr>
    </w:p>
    <w:p>
      <w:pPr>
        <w:spacing w:line="360" w:lineRule="auto"/>
        <w:ind w:right="420" w:firstLine="3054" w:firstLineChars="845"/>
        <w:rPr>
          <w:rFonts w:ascii="仿宋" w:hAnsi="仿宋" w:eastAsia="仿宋" w:cs="仿宋_GB2312"/>
          <w:b/>
          <w:kern w:val="0"/>
          <w:sz w:val="36"/>
          <w:szCs w:val="36"/>
        </w:rPr>
      </w:pPr>
    </w:p>
    <w:p>
      <w:pPr>
        <w:pStyle w:val="2"/>
        <w:rPr>
          <w:lang w:val="en-US"/>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jc w:val="center"/>
        <w:rPr>
          <w:rFonts w:ascii="仿宋" w:hAnsi="仿宋" w:eastAsia="仿宋" w:cs="仿宋_GB2312"/>
          <w:b/>
          <w:kern w:val="0"/>
          <w:sz w:val="32"/>
          <w:szCs w:val="32"/>
          <w:lang w:val="zh-CN"/>
        </w:rPr>
      </w:pPr>
    </w:p>
    <w:p>
      <w:pPr>
        <w:pStyle w:val="2"/>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pStyle w:val="2"/>
        <w:rPr>
          <w:rFonts w:ascii="仿宋" w:eastAsia="仿宋" w:cs="仿宋_GB2312"/>
          <w:b w:val="0"/>
          <w:bCs w:val="0"/>
          <w:kern w:val="0"/>
          <w:sz w:val="24"/>
          <w:szCs w:val="24"/>
        </w:rPr>
      </w:pPr>
    </w:p>
    <w:p>
      <w:pPr>
        <w:rPr>
          <w:rFonts w:ascii="仿宋" w:hAnsi="仿宋" w:eastAsia="仿宋" w:cs="仿宋_GB2312"/>
          <w:kern w:val="0"/>
          <w:sz w:val="24"/>
          <w:lang w:val="zh-CN"/>
        </w:rPr>
      </w:pP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注：▲供应商委派不在本单位缴纳社保的人员作为授权代表（代理人）的，应当在投标（响应）文件中，说明具体原因、授权代表缴纳社保的单位，并附列该授权代表缴纳社保清单。</w:t>
      </w:r>
    </w:p>
    <w:p>
      <w:pPr>
        <w:pStyle w:val="2"/>
      </w:pPr>
    </w:p>
    <w:p>
      <w:pPr>
        <w:rPr>
          <w:lang w:val="zh-CN"/>
        </w:rPr>
      </w:pPr>
    </w:p>
    <w:p>
      <w:pPr>
        <w:pStyle w:val="2"/>
      </w:pPr>
    </w:p>
    <w:p>
      <w:pPr>
        <w:rPr>
          <w:lang w:val="zh-CN"/>
        </w:rPr>
      </w:pPr>
    </w:p>
    <w:p>
      <w:pPr>
        <w:autoSpaceDE w:val="0"/>
        <w:autoSpaceDN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722"/>
        <w:spacing w:line="360" w:lineRule="auto"/>
        <w:rPr>
          <w:rFonts w:ascii="仿宋" w:hAnsi="仿宋" w:eastAsia="仿宋"/>
          <w:bCs/>
          <w:sz w:val="24"/>
        </w:rPr>
      </w:pPr>
      <w:r>
        <w:rPr>
          <w:rFonts w:hint="eastAsia" w:ascii="仿宋" w:hAnsi="仿宋" w:eastAsia="仿宋"/>
          <w:bCs/>
          <w:sz w:val="24"/>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2"/>
              <w:adjustRightInd w:val="0"/>
              <w:spacing w:line="360" w:lineRule="auto"/>
              <w:rPr>
                <w:rFonts w:ascii="仿宋" w:hAnsi="仿宋" w:eastAsia="仿宋"/>
                <w:bCs/>
                <w:sz w:val="24"/>
              </w:rPr>
            </w:pPr>
            <w:r>
              <w:rPr>
                <w:rFonts w:hint="eastAsia" w:ascii="仿宋" w:hAnsi="仿宋" w:eastAsia="仿宋"/>
                <w:bCs/>
                <w:sz w:val="24"/>
              </w:rPr>
              <w:t>正面：反面：</w:t>
            </w:r>
          </w:p>
          <w:p>
            <w:pPr>
              <w:pStyle w:val="722"/>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566"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66"/>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1" w:type="firs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4991" w:type="dxa"/>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rFonts w:ascii="仿宋" w:eastAsia="仿宋"/>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见投标文件第页</w:t>
            </w:r>
          </w:p>
        </w:tc>
      </w:tr>
    </w:tbl>
    <w:p>
      <w:pP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五、评标标准相应的商务技术资料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4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2"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3"/>
        <w:keepNext w:val="0"/>
        <w:pageBreakBefore w:val="0"/>
        <w:tabs>
          <w:tab w:val="clear" w:pos="720"/>
        </w:tabs>
        <w:snapToGrid w:val="0"/>
        <w:spacing w:before="120" w:after="12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4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055"/>
        <w:gridCol w:w="71"/>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99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2268"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2410"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26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2126" w:type="dxa"/>
            <w:gridSpan w:val="2"/>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2127"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服务人数</w:t>
            </w:r>
          </w:p>
        </w:tc>
        <w:tc>
          <w:tcPr>
            <w:tcW w:w="2126"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992"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2268" w:type="dxa"/>
            <w:vAlign w:val="center"/>
          </w:tcPr>
          <w:p>
            <w:pPr>
              <w:snapToGrid w:val="0"/>
              <w:spacing w:line="360" w:lineRule="auto"/>
              <w:jc w:val="center"/>
              <w:rPr>
                <w:rFonts w:ascii="仿宋" w:hAnsi="仿宋" w:eastAsia="仿宋" w:cs="宋体"/>
                <w:sz w:val="24"/>
              </w:rPr>
            </w:pPr>
          </w:p>
        </w:tc>
        <w:tc>
          <w:tcPr>
            <w:tcW w:w="2410"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126" w:type="dxa"/>
            <w:gridSpan w:val="2"/>
            <w:vAlign w:val="center"/>
          </w:tcPr>
          <w:p>
            <w:pPr>
              <w:spacing w:line="360" w:lineRule="auto"/>
              <w:jc w:val="center"/>
              <w:rPr>
                <w:rFonts w:ascii="仿宋" w:hAnsi="仿宋" w:eastAsia="仿宋" w:cs="宋体"/>
                <w:sz w:val="24"/>
              </w:rPr>
            </w:pPr>
          </w:p>
        </w:tc>
        <w:tc>
          <w:tcPr>
            <w:tcW w:w="2127" w:type="dxa"/>
          </w:tcPr>
          <w:p>
            <w:pPr>
              <w:spacing w:line="360" w:lineRule="auto"/>
              <w:jc w:val="center"/>
              <w:rPr>
                <w:rFonts w:ascii="仿宋" w:hAnsi="仿宋" w:eastAsia="仿宋" w:cs="宋体"/>
                <w:sz w:val="24"/>
              </w:rPr>
            </w:pPr>
          </w:p>
        </w:tc>
        <w:tc>
          <w:tcPr>
            <w:tcW w:w="2126"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992"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2268" w:type="dxa"/>
            <w:vAlign w:val="center"/>
          </w:tcPr>
          <w:p>
            <w:pPr>
              <w:snapToGrid w:val="0"/>
              <w:spacing w:line="360" w:lineRule="auto"/>
              <w:jc w:val="center"/>
              <w:rPr>
                <w:rFonts w:ascii="仿宋" w:hAnsi="仿宋" w:eastAsia="仿宋" w:cs="宋体"/>
                <w:sz w:val="24"/>
              </w:rPr>
            </w:pPr>
          </w:p>
        </w:tc>
        <w:tc>
          <w:tcPr>
            <w:tcW w:w="2410"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126" w:type="dxa"/>
            <w:gridSpan w:val="2"/>
            <w:vAlign w:val="center"/>
          </w:tcPr>
          <w:p>
            <w:pPr>
              <w:spacing w:line="360" w:lineRule="auto"/>
              <w:jc w:val="center"/>
              <w:rPr>
                <w:rFonts w:ascii="仿宋" w:hAnsi="仿宋" w:eastAsia="仿宋" w:cs="宋体"/>
                <w:sz w:val="24"/>
              </w:rPr>
            </w:pPr>
          </w:p>
        </w:tc>
        <w:tc>
          <w:tcPr>
            <w:tcW w:w="2127" w:type="dxa"/>
          </w:tcPr>
          <w:p>
            <w:pPr>
              <w:spacing w:line="360" w:lineRule="auto"/>
              <w:jc w:val="center"/>
              <w:rPr>
                <w:rFonts w:ascii="仿宋" w:hAnsi="仿宋" w:eastAsia="仿宋" w:cs="宋体"/>
                <w:sz w:val="24"/>
              </w:rPr>
            </w:pPr>
          </w:p>
        </w:tc>
        <w:tc>
          <w:tcPr>
            <w:tcW w:w="2126"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992"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410"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126" w:type="dxa"/>
            <w:gridSpan w:val="2"/>
            <w:vAlign w:val="center"/>
          </w:tcPr>
          <w:p>
            <w:pPr>
              <w:spacing w:line="360" w:lineRule="auto"/>
              <w:jc w:val="center"/>
              <w:rPr>
                <w:rFonts w:ascii="仿宋" w:hAnsi="仿宋" w:eastAsia="仿宋" w:cs="宋体"/>
                <w:sz w:val="24"/>
              </w:rPr>
            </w:pPr>
          </w:p>
        </w:tc>
        <w:tc>
          <w:tcPr>
            <w:tcW w:w="2127" w:type="dxa"/>
          </w:tcPr>
          <w:p>
            <w:pPr>
              <w:spacing w:line="360" w:lineRule="auto"/>
              <w:jc w:val="center"/>
              <w:rPr>
                <w:rFonts w:ascii="仿宋" w:hAnsi="仿宋" w:eastAsia="仿宋" w:cs="宋体"/>
                <w:sz w:val="24"/>
              </w:rPr>
            </w:pPr>
          </w:p>
        </w:tc>
        <w:tc>
          <w:tcPr>
            <w:tcW w:w="2126"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宋体"/>
                <w:sz w:val="24"/>
              </w:rPr>
            </w:pPr>
          </w:p>
        </w:tc>
        <w:tc>
          <w:tcPr>
            <w:tcW w:w="992"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410"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126" w:type="dxa"/>
            <w:gridSpan w:val="2"/>
            <w:vAlign w:val="center"/>
          </w:tcPr>
          <w:p>
            <w:pPr>
              <w:spacing w:line="360" w:lineRule="auto"/>
              <w:jc w:val="center"/>
              <w:rPr>
                <w:rFonts w:ascii="仿宋" w:hAnsi="仿宋" w:eastAsia="仿宋" w:cs="宋体"/>
                <w:sz w:val="24"/>
              </w:rPr>
            </w:pPr>
          </w:p>
        </w:tc>
        <w:tc>
          <w:tcPr>
            <w:tcW w:w="2127" w:type="dxa"/>
          </w:tcPr>
          <w:p>
            <w:pPr>
              <w:spacing w:line="360" w:lineRule="auto"/>
              <w:jc w:val="center"/>
              <w:rPr>
                <w:rFonts w:ascii="仿宋" w:hAnsi="仿宋" w:eastAsia="仿宋" w:cs="宋体"/>
                <w:sz w:val="24"/>
              </w:rPr>
            </w:pPr>
          </w:p>
        </w:tc>
        <w:tc>
          <w:tcPr>
            <w:tcW w:w="2126"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宋体"/>
                <w:sz w:val="24"/>
              </w:rPr>
            </w:pPr>
          </w:p>
        </w:tc>
        <w:tc>
          <w:tcPr>
            <w:tcW w:w="992"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410" w:type="dxa"/>
            <w:vAlign w:val="center"/>
          </w:tcPr>
          <w:p>
            <w:pPr>
              <w:snapToGrid w:val="0"/>
              <w:spacing w:line="360" w:lineRule="auto"/>
              <w:jc w:val="center"/>
              <w:rPr>
                <w:rFonts w:ascii="仿宋" w:hAnsi="仿宋" w:eastAsia="仿宋" w:cs="宋体"/>
                <w:sz w:val="24"/>
              </w:rPr>
            </w:pPr>
          </w:p>
        </w:tc>
        <w:tc>
          <w:tcPr>
            <w:tcW w:w="2268" w:type="dxa"/>
            <w:vAlign w:val="center"/>
          </w:tcPr>
          <w:p>
            <w:pPr>
              <w:snapToGrid w:val="0"/>
              <w:spacing w:line="360" w:lineRule="auto"/>
              <w:jc w:val="center"/>
              <w:rPr>
                <w:rFonts w:ascii="仿宋" w:hAnsi="仿宋" w:eastAsia="仿宋" w:cs="宋体"/>
                <w:sz w:val="24"/>
              </w:rPr>
            </w:pPr>
          </w:p>
        </w:tc>
        <w:tc>
          <w:tcPr>
            <w:tcW w:w="2126" w:type="dxa"/>
            <w:gridSpan w:val="2"/>
            <w:vAlign w:val="center"/>
          </w:tcPr>
          <w:p>
            <w:pPr>
              <w:spacing w:line="360" w:lineRule="auto"/>
              <w:jc w:val="center"/>
              <w:rPr>
                <w:rFonts w:ascii="仿宋" w:hAnsi="仿宋" w:eastAsia="仿宋" w:cs="宋体"/>
                <w:sz w:val="24"/>
              </w:rPr>
            </w:pPr>
          </w:p>
        </w:tc>
        <w:tc>
          <w:tcPr>
            <w:tcW w:w="2127" w:type="dxa"/>
          </w:tcPr>
          <w:p>
            <w:pPr>
              <w:spacing w:line="360" w:lineRule="auto"/>
              <w:jc w:val="center"/>
              <w:rPr>
                <w:rFonts w:ascii="仿宋" w:hAnsi="仿宋" w:eastAsia="仿宋" w:cs="宋体"/>
                <w:sz w:val="24"/>
              </w:rPr>
            </w:pPr>
          </w:p>
        </w:tc>
        <w:tc>
          <w:tcPr>
            <w:tcW w:w="2126"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4323" w:type="dxa"/>
            <w:gridSpan w:val="2"/>
            <w:vAlign w:val="top"/>
          </w:tcPr>
          <w:p>
            <w:pPr>
              <w:spacing w:line="360" w:lineRule="auto"/>
              <w:jc w:val="left"/>
              <w:rPr>
                <w:rFonts w:ascii="仿宋" w:hAnsi="仿宋" w:eastAsia="仿宋" w:cs="宋体"/>
                <w:b/>
                <w:kern w:val="2"/>
                <w:sz w:val="24"/>
                <w:szCs w:val="24"/>
                <w:lang w:val="en-US" w:eastAsia="zh-CN" w:bidi="ar-SA"/>
              </w:rPr>
            </w:pPr>
            <w:r>
              <w:rPr>
                <w:rFonts w:ascii="仿宋" w:hAnsi="仿宋" w:eastAsia="仿宋" w:cs="宋体"/>
                <w:b/>
                <w:sz w:val="24"/>
              </w:rPr>
              <w:t>平均每年报价</w:t>
            </w:r>
            <w:r>
              <w:rPr>
                <w:rFonts w:hint="eastAsia" w:ascii="仿宋" w:hAnsi="仿宋" w:eastAsia="仿宋" w:cs="宋体"/>
                <w:b/>
                <w:sz w:val="24"/>
              </w:rPr>
              <w:t>(小写)</w:t>
            </w:r>
            <w:r>
              <w:rPr>
                <w:rFonts w:ascii="仿宋" w:hAnsi="仿宋" w:eastAsia="仿宋" w:cs="宋体"/>
                <w:b/>
                <w:sz w:val="24"/>
              </w:rPr>
              <w:t>：</w:t>
            </w:r>
          </w:p>
        </w:tc>
        <w:tc>
          <w:tcPr>
            <w:tcW w:w="4324" w:type="dxa"/>
            <w:gridSpan w:val="3"/>
            <w:vAlign w:val="top"/>
          </w:tcPr>
          <w:p>
            <w:pPr>
              <w:spacing w:line="360" w:lineRule="auto"/>
              <w:jc w:val="left"/>
              <w:rPr>
                <w:rFonts w:ascii="仿宋" w:hAnsi="仿宋" w:eastAsia="仿宋" w:cs="宋体"/>
                <w:b/>
                <w:kern w:val="2"/>
                <w:sz w:val="24"/>
                <w:szCs w:val="24"/>
                <w:lang w:val="en-US" w:eastAsia="zh-CN" w:bidi="ar-SA"/>
              </w:rPr>
            </w:pPr>
            <w:r>
              <w:rPr>
                <w:rFonts w:hint="eastAsia" w:ascii="仿宋" w:hAnsi="仿宋" w:eastAsia="仿宋" w:cs="宋体"/>
                <w:b/>
                <w:sz w:val="24"/>
              </w:rPr>
              <w:t>3年合计报价（小写）：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4323" w:type="dxa"/>
            <w:gridSpan w:val="2"/>
            <w:vAlign w:val="top"/>
          </w:tcPr>
          <w:p>
            <w:pPr>
              <w:spacing w:line="360" w:lineRule="auto"/>
              <w:jc w:val="left"/>
              <w:rPr>
                <w:rFonts w:ascii="仿宋" w:hAnsi="仿宋" w:eastAsia="仿宋" w:cs="宋体"/>
                <w:b/>
                <w:kern w:val="2"/>
                <w:sz w:val="24"/>
                <w:szCs w:val="24"/>
                <w:lang w:val="en-US" w:eastAsia="zh-CN" w:bidi="ar-SA"/>
              </w:rPr>
            </w:pPr>
            <w:r>
              <w:rPr>
                <w:rFonts w:ascii="仿宋" w:hAnsi="仿宋" w:eastAsia="仿宋" w:cs="宋体"/>
                <w:b/>
                <w:sz w:val="24"/>
              </w:rPr>
              <w:t>平均每年报价（大写）：</w:t>
            </w:r>
          </w:p>
        </w:tc>
        <w:tc>
          <w:tcPr>
            <w:tcW w:w="4324" w:type="dxa"/>
            <w:gridSpan w:val="3"/>
            <w:vAlign w:val="top"/>
          </w:tcPr>
          <w:p>
            <w:pPr>
              <w:spacing w:line="360" w:lineRule="auto"/>
              <w:jc w:val="left"/>
              <w:rPr>
                <w:rFonts w:ascii="仿宋" w:hAnsi="仿宋" w:eastAsia="仿宋" w:cs="宋体"/>
                <w:b/>
                <w:kern w:val="2"/>
                <w:sz w:val="24"/>
                <w:szCs w:val="24"/>
                <w:lang w:val="en-US" w:eastAsia="zh-CN" w:bidi="ar-SA"/>
              </w:rPr>
            </w:pPr>
            <w:r>
              <w:rPr>
                <w:rFonts w:hint="eastAsia" w:ascii="仿宋" w:hAnsi="仿宋" w:eastAsia="仿宋" w:cs="宋体"/>
                <w:b/>
                <w:sz w:val="24"/>
              </w:rPr>
              <w:t>3年合计报价（大写）：</w:t>
            </w: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否则视为投标文件含有采购人不能接受的附加条件，投标无效。</w:t>
      </w:r>
    </w:p>
    <w:p>
      <w:pPr>
        <w:spacing w:line="360" w:lineRule="auto"/>
        <w:ind w:firstLine="480" w:firstLineChars="200"/>
        <w:rPr>
          <w:rFonts w:ascii="仿宋" w:hAnsi="仿宋" w:eastAsia="仿宋" w:cs="宋体"/>
          <w:b/>
          <w:kern w:val="0"/>
          <w:sz w:val="24"/>
          <w:lang w:val="zh-CN"/>
        </w:rPr>
      </w:pPr>
      <w:r>
        <w:rPr>
          <w:rFonts w:hint="eastAsia" w:ascii="仿宋" w:hAnsi="仿宋" w:eastAsia="仿宋" w:cs="宋体"/>
          <w:kern w:val="0"/>
          <w:sz w:val="24"/>
          <w:lang w:val="zh-CN"/>
        </w:rPr>
        <w:t>2、有关本项目实施所涉及的一切费用均计入报价。合同总价不为零，报价明细表中部分产品、服务单价为零的，视作已包含在总价中。</w:t>
      </w:r>
      <w:r>
        <w:rPr>
          <w:rFonts w:hint="eastAsia" w:ascii="仿宋" w:hAnsi="仿宋" w:eastAsia="仿宋"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lang w:val="zh-CN"/>
        </w:rPr>
        <w:t>4</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kern w:val="0"/>
          <w:sz w:val="24"/>
          <w:lang w:val="zh-CN"/>
        </w:rPr>
      </w:pPr>
      <w:r>
        <w:rPr>
          <w:rFonts w:hint="eastAsia" w:ascii="仿宋" w:hAnsi="仿宋" w:eastAsia="仿宋" w:cs="宋体"/>
          <w:b/>
          <w:kern w:val="0"/>
          <w:sz w:val="24"/>
          <w:lang w:val="zh-CN"/>
        </w:rPr>
        <w:t>5、特别说明：▲供应商报价低于项目预算50%的，应当在报价文件中详细阐述不影响产品质量或者诚信履约的具体原因。</w:t>
      </w:r>
    </w:p>
    <w:p>
      <w:pPr>
        <w:pStyle w:val="67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spacing w:line="360" w:lineRule="auto"/>
        <w:ind w:firstLine="4680" w:firstLineChars="195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hint="eastAsia" w:ascii="仿宋" w:hAnsi="仿宋" w:eastAsia="仿宋" w:cs="仿宋_GB2312"/>
          <w:sz w:val="24"/>
        </w:rPr>
        <w:t xml:space="preserve">     日期：  年   月   日</w:t>
      </w:r>
    </w:p>
    <w:p>
      <w:pPr>
        <w:pStyle w:val="67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7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pStyle w:val="673"/>
        <w:keepNext w:val="0"/>
        <w:pageBreakBefore w:val="0"/>
        <w:tabs>
          <w:tab w:val="clear" w:pos="720"/>
        </w:tabs>
        <w:snapToGrid w:val="0"/>
        <w:spacing w:before="120" w:after="120"/>
        <w:ind w:firstLine="643"/>
        <w:outlineLvl w:val="9"/>
        <w:rPr>
          <w:rFonts w:ascii="仿宋" w:hAnsi="仿宋" w:eastAsia="仿宋" w:cs="仿宋_GB2312"/>
          <w:kern w:val="2"/>
          <w:sz w:val="32"/>
          <w:szCs w:val="32"/>
        </w:rPr>
      </w:pPr>
    </w:p>
    <w:p>
      <w:pPr>
        <w:widowControl/>
        <w:adjustRightInd/>
        <w:jc w:val="left"/>
        <w:rPr>
          <w:rFonts w:ascii="仿宋" w:hAnsi="仿宋" w:eastAsia="仿宋" w:cs="仿宋_GB2312"/>
          <w:sz w:val="32"/>
          <w:szCs w:val="32"/>
        </w:rPr>
        <w:sectPr>
          <w:pgSz w:w="16838" w:h="11906" w:orient="landscape"/>
          <w:pgMar w:top="1418" w:right="765" w:bottom="1418" w:left="471" w:header="851" w:footer="992" w:gutter="0"/>
          <w:cols w:space="720" w:num="1"/>
          <w:titlePg/>
          <w:docGrid w:linePitch="312" w:charSpace="0"/>
        </w:sectPr>
      </w:pPr>
      <w:r>
        <w:rPr>
          <w:rFonts w:ascii="仿宋" w:hAnsi="仿宋" w:eastAsia="仿宋" w:cs="仿宋_GB2312"/>
          <w:sz w:val="32"/>
          <w:szCs w:val="32"/>
        </w:rPr>
        <w:br w:type="page"/>
      </w:r>
    </w:p>
    <w:p>
      <w:pPr>
        <w:widowControl/>
        <w:adjustRightInd/>
        <w:jc w:val="left"/>
        <w:rPr>
          <w:rFonts w:ascii="仿宋" w:hAnsi="仿宋" w:eastAsia="仿宋" w:cs="仿宋_GB2312"/>
          <w:b/>
          <w:sz w:val="32"/>
          <w:szCs w:val="32"/>
        </w:rPr>
      </w:pPr>
    </w:p>
    <w:p>
      <w:pPr>
        <w:pStyle w:val="673"/>
        <w:keepNext w:val="0"/>
        <w:pageBreakBefore w:val="0"/>
        <w:tabs>
          <w:tab w:val="clear" w:pos="720"/>
        </w:tabs>
        <w:snapToGrid w:val="0"/>
        <w:spacing w:before="120" w:after="120"/>
        <w:jc w:val="both"/>
        <w:outlineLvl w:val="9"/>
        <w:rPr>
          <w:rFonts w:ascii="仿宋" w:hAnsi="仿宋" w:eastAsia="仿宋" w:cs="仿宋_GB2312"/>
          <w:kern w:val="2"/>
          <w:sz w:val="32"/>
          <w:szCs w:val="32"/>
        </w:rPr>
      </w:pPr>
    </w:p>
    <w:p>
      <w:pPr>
        <w:pStyle w:val="673"/>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567" w:name="_Toc465665161"/>
      <w:r>
        <w:rPr>
          <w:rFonts w:hint="eastAsia" w:ascii="仿宋" w:hAnsi="仿宋" w:eastAsia="仿宋"/>
          <w:color w:val="000000"/>
        </w:rPr>
        <w:t>附件</w:t>
      </w:r>
      <w:bookmarkEnd w:id="567"/>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568" w:name="OLE_LINK14"/>
      <w:bookmarkStart w:id="569" w:name="OLE_LINK13"/>
      <w:r>
        <w:rPr>
          <w:rFonts w:hint="eastAsia" w:ascii="仿宋" w:hAnsi="仿宋" w:eastAsia="仿宋"/>
          <w:b/>
          <w:color w:val="000000"/>
          <w:spacing w:val="6"/>
          <w:sz w:val="32"/>
          <w:szCs w:val="32"/>
        </w:rPr>
        <w:t>残疾人福利性单位声明函</w:t>
      </w:r>
    </w:p>
    <w:bookmarkEnd w:id="568"/>
    <w:bookmarkEnd w:id="569"/>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olor w:val="000000"/>
          <w:sz w:val="24"/>
        </w:rPr>
      </w:pPr>
      <w:r>
        <w:rPr>
          <w:rFonts w:ascii="仿宋" w:hAnsi="仿宋" w:eastAsia="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附件4：</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570"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570"/>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附件5：</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2"/>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w:t>
      </w:r>
      <w:r>
        <w:rPr>
          <w:rFonts w:hint="eastAsia" w:ascii="仿宋" w:hAnsi="仿宋" w:eastAsia="仿宋" w:cs="宋体"/>
          <w:b/>
          <w:sz w:val="24"/>
        </w:rPr>
        <w:t>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71"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57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附件6：</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ascii="仿宋" w:hAnsi="仿宋" w:eastAsia="仿宋"/>
          <w:color w:val="000000"/>
          <w:sz w:val="24"/>
        </w:rPr>
      </w:pPr>
    </w:p>
    <w:sectPr>
      <w:headerReference r:id="rId14" w:type="first"/>
      <w:footerReference r:id="rId15" w:type="first"/>
      <w:headerReference r:id="rId13"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Segoe Print"/>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Segoe Print"/>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Times New Roman"/>
    <w:panose1 w:val="00000000000000000000"/>
    <w:charset w:val="00"/>
    <w:family w:val="roman"/>
    <w:pitch w:val="default"/>
    <w:sig w:usb0="00000000" w:usb1="00000000" w:usb2="00000000" w:usb3="00000000" w:csb0="00000000" w:csb1="00000000"/>
  </w:font>
  <w:font w:name="Vrinda">
    <w:altName w:val="Segoe UI Symbol"/>
    <w:panose1 w:val="020B0502040204020203"/>
    <w:charset w:val="01"/>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仿宋_GB2312" w:eastAsia="仿宋_GB2312"/>
        <w:kern w:val="0"/>
      </w:rPr>
      <w:t xml:space="preserve">第 </w:t>
    </w:r>
    <w:r>
      <w:rPr>
        <w:rFonts w:hint="eastAsia" w:ascii="仿宋_GB2312" w:eastAsia="仿宋_GB2312"/>
        <w:kern w:val="0"/>
        <w:sz w:val="18"/>
        <w:szCs w:val="18"/>
      </w:rPr>
      <w:fldChar w:fldCharType="begin"/>
    </w:r>
    <w:r>
      <w:rPr>
        <w:rFonts w:hint="eastAsia" w:ascii="仿宋_GB2312" w:eastAsia="仿宋_GB2312"/>
        <w:kern w:val="0"/>
      </w:rPr>
      <w:instrText xml:space="preserve"> PAGE </w:instrText>
    </w:r>
    <w:r>
      <w:rPr>
        <w:rFonts w:hint="eastAsia" w:ascii="仿宋_GB2312" w:eastAsia="仿宋_GB2312"/>
        <w:kern w:val="0"/>
        <w:sz w:val="18"/>
        <w:szCs w:val="18"/>
      </w:rPr>
      <w:fldChar w:fldCharType="separate"/>
    </w:r>
    <w:r>
      <w:rPr>
        <w:rFonts w:ascii="仿宋_GB2312" w:eastAsia="仿宋_GB2312"/>
        <w:kern w:val="0"/>
      </w:rPr>
      <w:t>70</w:t>
    </w:r>
    <w:r>
      <w:rPr>
        <w:rFonts w:hint="eastAsia" w:ascii="仿宋_GB2312" w:eastAsia="仿宋_GB2312"/>
        <w:kern w:val="0"/>
        <w:sz w:val="18"/>
        <w:szCs w:val="18"/>
      </w:rPr>
      <w:fldChar w:fldCharType="end"/>
    </w:r>
    <w:r>
      <w:rPr>
        <w:rFonts w:hint="eastAsia" w:ascii="仿宋_GB2312" w:eastAsia="仿宋_GB2312"/>
        <w:kern w:val="0"/>
      </w:rPr>
      <w:t xml:space="preserve"> 页 共 </w:t>
    </w:r>
    <w:r>
      <w:rPr>
        <w:rFonts w:hint="eastAsia" w:ascii="仿宋_GB2312" w:eastAsia="仿宋_GB2312"/>
        <w:kern w:val="0"/>
        <w:sz w:val="18"/>
        <w:szCs w:val="18"/>
      </w:rPr>
      <w:fldChar w:fldCharType="begin"/>
    </w:r>
    <w:r>
      <w:rPr>
        <w:rFonts w:hint="eastAsia" w:ascii="仿宋_GB2312" w:eastAsia="仿宋_GB2312"/>
        <w:kern w:val="0"/>
      </w:rPr>
      <w:instrText xml:space="preserve"> NUMPAGES </w:instrText>
    </w:r>
    <w:r>
      <w:rPr>
        <w:rFonts w:hint="eastAsia" w:ascii="仿宋_GB2312" w:eastAsia="仿宋_GB2312"/>
        <w:kern w:val="0"/>
        <w:sz w:val="18"/>
        <w:szCs w:val="18"/>
      </w:rPr>
      <w:fldChar w:fldCharType="separate"/>
    </w:r>
    <w:r>
      <w:rPr>
        <w:rFonts w:ascii="仿宋_GB2312" w:eastAsia="仿宋_GB2312"/>
        <w:kern w:val="0"/>
      </w:rPr>
      <w:t>78</w:t>
    </w:r>
    <w:r>
      <w:rPr>
        <w:rFonts w:hint="eastAsia" w:ascii="仿宋_GB2312" w:eastAsia="仿宋_GB2312"/>
        <w:kern w:val="0"/>
        <w:sz w:val="18"/>
        <w:szCs w:val="18"/>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jc w:val="center"/>
      <w:rPr>
        <w:rFonts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ascii="Arial" w:hAnsi="Arial" w:eastAsia="黑体"/>
      </w:rPr>
    </w:pPr>
    <w:r>
      <w:rPr>
        <w:rFonts w:hint="eastAsia"/>
      </w:rPr>
      <w:t>杭州高新区（滨江）政府采购公开招标文件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85C7B"/>
    <w:multiLevelType w:val="singleLevel"/>
    <w:tmpl w:val="F9285C7B"/>
    <w:lvl w:ilvl="0" w:tentative="0">
      <w:start w:val="1"/>
      <w:numFmt w:val="decimalEnclosedCircleChinese"/>
      <w:suff w:val="space"/>
      <w:lvlText w:val="%1"/>
      <w:lvlJc w:val="left"/>
      <w:pPr>
        <w:ind w:left="0" w:firstLine="403"/>
      </w:pPr>
      <w:rPr>
        <w:rFonts w:hint="eastAsia" w:eastAsia="Times New Roman"/>
      </w:r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MmM5ZDgxYjQ3YmE0ODFmYTAyN2Y4MGEwOGEyZDIifQ=="/>
  </w:docVars>
  <w:rsids>
    <w:rsidRoot w:val="00E1616D"/>
    <w:rsid w:val="0000035B"/>
    <w:rsid w:val="00000759"/>
    <w:rsid w:val="00001A22"/>
    <w:rsid w:val="0000267F"/>
    <w:rsid w:val="000047AF"/>
    <w:rsid w:val="000062B9"/>
    <w:rsid w:val="00011EDE"/>
    <w:rsid w:val="0002280B"/>
    <w:rsid w:val="000253AB"/>
    <w:rsid w:val="000263FD"/>
    <w:rsid w:val="00030D4F"/>
    <w:rsid w:val="000351FB"/>
    <w:rsid w:val="00036306"/>
    <w:rsid w:val="00040B07"/>
    <w:rsid w:val="00040E53"/>
    <w:rsid w:val="0004425F"/>
    <w:rsid w:val="00046747"/>
    <w:rsid w:val="000475A5"/>
    <w:rsid w:val="000600EB"/>
    <w:rsid w:val="00063D28"/>
    <w:rsid w:val="00064A6E"/>
    <w:rsid w:val="00066C71"/>
    <w:rsid w:val="00066E8D"/>
    <w:rsid w:val="00075A03"/>
    <w:rsid w:val="00076120"/>
    <w:rsid w:val="00076357"/>
    <w:rsid w:val="0008360C"/>
    <w:rsid w:val="000948E5"/>
    <w:rsid w:val="000A5D6A"/>
    <w:rsid w:val="000B1252"/>
    <w:rsid w:val="000B6BE9"/>
    <w:rsid w:val="000C1EC7"/>
    <w:rsid w:val="000C68FA"/>
    <w:rsid w:val="000D0EDB"/>
    <w:rsid w:val="000D52AD"/>
    <w:rsid w:val="000D68FB"/>
    <w:rsid w:val="000D705C"/>
    <w:rsid w:val="000E4557"/>
    <w:rsid w:val="000E58C7"/>
    <w:rsid w:val="000F430D"/>
    <w:rsid w:val="000F548B"/>
    <w:rsid w:val="000F7EFF"/>
    <w:rsid w:val="00111211"/>
    <w:rsid w:val="00112DB9"/>
    <w:rsid w:val="0011665B"/>
    <w:rsid w:val="00124100"/>
    <w:rsid w:val="00125396"/>
    <w:rsid w:val="0012565B"/>
    <w:rsid w:val="00125E20"/>
    <w:rsid w:val="001264AE"/>
    <w:rsid w:val="00126CC7"/>
    <w:rsid w:val="00131617"/>
    <w:rsid w:val="00135E9F"/>
    <w:rsid w:val="00142C7C"/>
    <w:rsid w:val="001510D0"/>
    <w:rsid w:val="001511EB"/>
    <w:rsid w:val="00151562"/>
    <w:rsid w:val="00153C12"/>
    <w:rsid w:val="00155AB9"/>
    <w:rsid w:val="001624C6"/>
    <w:rsid w:val="0016396E"/>
    <w:rsid w:val="00164F9E"/>
    <w:rsid w:val="00175C6F"/>
    <w:rsid w:val="00181F2D"/>
    <w:rsid w:val="00182976"/>
    <w:rsid w:val="00183043"/>
    <w:rsid w:val="00194C63"/>
    <w:rsid w:val="00195497"/>
    <w:rsid w:val="001B5EE8"/>
    <w:rsid w:val="001C1850"/>
    <w:rsid w:val="001C2284"/>
    <w:rsid w:val="001C33BC"/>
    <w:rsid w:val="001C685D"/>
    <w:rsid w:val="001D253D"/>
    <w:rsid w:val="001D5AB9"/>
    <w:rsid w:val="001E0643"/>
    <w:rsid w:val="001E309F"/>
    <w:rsid w:val="00205FA0"/>
    <w:rsid w:val="002114D6"/>
    <w:rsid w:val="00212AD8"/>
    <w:rsid w:val="00215BF4"/>
    <w:rsid w:val="00215E3A"/>
    <w:rsid w:val="00221A79"/>
    <w:rsid w:val="0022217A"/>
    <w:rsid w:val="00226F80"/>
    <w:rsid w:val="00231537"/>
    <w:rsid w:val="002347C9"/>
    <w:rsid w:val="00234D6F"/>
    <w:rsid w:val="00242A7E"/>
    <w:rsid w:val="00243805"/>
    <w:rsid w:val="00250B2A"/>
    <w:rsid w:val="002522EA"/>
    <w:rsid w:val="00252322"/>
    <w:rsid w:val="00252CFE"/>
    <w:rsid w:val="0026525D"/>
    <w:rsid w:val="0026648D"/>
    <w:rsid w:val="002854F0"/>
    <w:rsid w:val="002920CE"/>
    <w:rsid w:val="002B431E"/>
    <w:rsid w:val="002B54B7"/>
    <w:rsid w:val="002B5A6B"/>
    <w:rsid w:val="002B7244"/>
    <w:rsid w:val="002C0A55"/>
    <w:rsid w:val="002C39E1"/>
    <w:rsid w:val="002C3EC4"/>
    <w:rsid w:val="002C563E"/>
    <w:rsid w:val="002C77B0"/>
    <w:rsid w:val="002D0DCC"/>
    <w:rsid w:val="002D2187"/>
    <w:rsid w:val="002D37CB"/>
    <w:rsid w:val="002D4132"/>
    <w:rsid w:val="002D51F4"/>
    <w:rsid w:val="002D7AFE"/>
    <w:rsid w:val="002E7EDB"/>
    <w:rsid w:val="002F12C3"/>
    <w:rsid w:val="002F4E51"/>
    <w:rsid w:val="002F5F1F"/>
    <w:rsid w:val="002F7FF3"/>
    <w:rsid w:val="00303BE7"/>
    <w:rsid w:val="0030770D"/>
    <w:rsid w:val="00307959"/>
    <w:rsid w:val="00313EA6"/>
    <w:rsid w:val="00315009"/>
    <w:rsid w:val="00320180"/>
    <w:rsid w:val="003263B8"/>
    <w:rsid w:val="00335E22"/>
    <w:rsid w:val="00337FA7"/>
    <w:rsid w:val="00344582"/>
    <w:rsid w:val="003450E0"/>
    <w:rsid w:val="00347F7E"/>
    <w:rsid w:val="0035075A"/>
    <w:rsid w:val="00351448"/>
    <w:rsid w:val="00361006"/>
    <w:rsid w:val="00361DB1"/>
    <w:rsid w:val="00362E89"/>
    <w:rsid w:val="0036578E"/>
    <w:rsid w:val="00371340"/>
    <w:rsid w:val="0037153C"/>
    <w:rsid w:val="003744F5"/>
    <w:rsid w:val="0038004C"/>
    <w:rsid w:val="003841E3"/>
    <w:rsid w:val="00385396"/>
    <w:rsid w:val="00393193"/>
    <w:rsid w:val="00394BBB"/>
    <w:rsid w:val="003A0A01"/>
    <w:rsid w:val="003A4370"/>
    <w:rsid w:val="003A4994"/>
    <w:rsid w:val="003A5D7C"/>
    <w:rsid w:val="003B0438"/>
    <w:rsid w:val="003B6AA0"/>
    <w:rsid w:val="003C0881"/>
    <w:rsid w:val="003C164E"/>
    <w:rsid w:val="003C49BD"/>
    <w:rsid w:val="003C7C19"/>
    <w:rsid w:val="003D5391"/>
    <w:rsid w:val="003D613E"/>
    <w:rsid w:val="003D71D0"/>
    <w:rsid w:val="003E0EAB"/>
    <w:rsid w:val="003E3919"/>
    <w:rsid w:val="003E66B5"/>
    <w:rsid w:val="003E73B0"/>
    <w:rsid w:val="003F2D26"/>
    <w:rsid w:val="003F4517"/>
    <w:rsid w:val="004058AD"/>
    <w:rsid w:val="00411B8D"/>
    <w:rsid w:val="004161F7"/>
    <w:rsid w:val="00420B4D"/>
    <w:rsid w:val="00422113"/>
    <w:rsid w:val="00422BC2"/>
    <w:rsid w:val="00427D37"/>
    <w:rsid w:val="00435DC6"/>
    <w:rsid w:val="00441C08"/>
    <w:rsid w:val="00441CAF"/>
    <w:rsid w:val="00442268"/>
    <w:rsid w:val="004424A3"/>
    <w:rsid w:val="00443816"/>
    <w:rsid w:val="00443ABF"/>
    <w:rsid w:val="00450E95"/>
    <w:rsid w:val="00451DB9"/>
    <w:rsid w:val="00452660"/>
    <w:rsid w:val="004541AB"/>
    <w:rsid w:val="0045506D"/>
    <w:rsid w:val="004556D2"/>
    <w:rsid w:val="0045790E"/>
    <w:rsid w:val="00461257"/>
    <w:rsid w:val="00463684"/>
    <w:rsid w:val="004663EC"/>
    <w:rsid w:val="00466A65"/>
    <w:rsid w:val="00472BDF"/>
    <w:rsid w:val="00473316"/>
    <w:rsid w:val="00474CF4"/>
    <w:rsid w:val="00484187"/>
    <w:rsid w:val="004853E0"/>
    <w:rsid w:val="00494665"/>
    <w:rsid w:val="004A0B7B"/>
    <w:rsid w:val="004A5577"/>
    <w:rsid w:val="004A7A02"/>
    <w:rsid w:val="004B28EC"/>
    <w:rsid w:val="004B70F7"/>
    <w:rsid w:val="004C0326"/>
    <w:rsid w:val="004C249E"/>
    <w:rsid w:val="004C2CE0"/>
    <w:rsid w:val="004D1759"/>
    <w:rsid w:val="004D187E"/>
    <w:rsid w:val="004D1AEB"/>
    <w:rsid w:val="004D5652"/>
    <w:rsid w:val="004E364C"/>
    <w:rsid w:val="004E426F"/>
    <w:rsid w:val="004E712C"/>
    <w:rsid w:val="004F2279"/>
    <w:rsid w:val="004F29EA"/>
    <w:rsid w:val="004F6D43"/>
    <w:rsid w:val="0050098C"/>
    <w:rsid w:val="005034ED"/>
    <w:rsid w:val="00504E56"/>
    <w:rsid w:val="00506395"/>
    <w:rsid w:val="00506C58"/>
    <w:rsid w:val="00514D8A"/>
    <w:rsid w:val="0052005D"/>
    <w:rsid w:val="005227FF"/>
    <w:rsid w:val="00522DD7"/>
    <w:rsid w:val="00523BA9"/>
    <w:rsid w:val="00523E5E"/>
    <w:rsid w:val="00531763"/>
    <w:rsid w:val="00536354"/>
    <w:rsid w:val="00537ADA"/>
    <w:rsid w:val="005415BC"/>
    <w:rsid w:val="005546F0"/>
    <w:rsid w:val="00555116"/>
    <w:rsid w:val="0056017E"/>
    <w:rsid w:val="00560234"/>
    <w:rsid w:val="00562271"/>
    <w:rsid w:val="0056592B"/>
    <w:rsid w:val="00565BBB"/>
    <w:rsid w:val="005663EC"/>
    <w:rsid w:val="00567750"/>
    <w:rsid w:val="00570683"/>
    <w:rsid w:val="00570F0B"/>
    <w:rsid w:val="00574C5F"/>
    <w:rsid w:val="00575386"/>
    <w:rsid w:val="00575DBA"/>
    <w:rsid w:val="00580E18"/>
    <w:rsid w:val="005817DC"/>
    <w:rsid w:val="00583384"/>
    <w:rsid w:val="00584C44"/>
    <w:rsid w:val="00587E1C"/>
    <w:rsid w:val="00595308"/>
    <w:rsid w:val="00595FF5"/>
    <w:rsid w:val="00596395"/>
    <w:rsid w:val="00596576"/>
    <w:rsid w:val="0059738F"/>
    <w:rsid w:val="005A073D"/>
    <w:rsid w:val="005A0A61"/>
    <w:rsid w:val="005A141C"/>
    <w:rsid w:val="005A168F"/>
    <w:rsid w:val="005A1A6A"/>
    <w:rsid w:val="005A2CBD"/>
    <w:rsid w:val="005A552D"/>
    <w:rsid w:val="005A701D"/>
    <w:rsid w:val="005B0C20"/>
    <w:rsid w:val="005B1D35"/>
    <w:rsid w:val="005B3E72"/>
    <w:rsid w:val="005B5150"/>
    <w:rsid w:val="005B787D"/>
    <w:rsid w:val="005C03F3"/>
    <w:rsid w:val="005C0D58"/>
    <w:rsid w:val="005D0857"/>
    <w:rsid w:val="005D260B"/>
    <w:rsid w:val="005D4EC0"/>
    <w:rsid w:val="005D6DCF"/>
    <w:rsid w:val="005E063C"/>
    <w:rsid w:val="005E1D6A"/>
    <w:rsid w:val="005E3BE7"/>
    <w:rsid w:val="00600B21"/>
    <w:rsid w:val="00601C2F"/>
    <w:rsid w:val="00602D01"/>
    <w:rsid w:val="00603B32"/>
    <w:rsid w:val="00606FC2"/>
    <w:rsid w:val="00607CFB"/>
    <w:rsid w:val="0061048C"/>
    <w:rsid w:val="006117B5"/>
    <w:rsid w:val="00612EB1"/>
    <w:rsid w:val="00614D54"/>
    <w:rsid w:val="00615305"/>
    <w:rsid w:val="00616A30"/>
    <w:rsid w:val="00623D60"/>
    <w:rsid w:val="00624B12"/>
    <w:rsid w:val="00627B73"/>
    <w:rsid w:val="00633154"/>
    <w:rsid w:val="00633F12"/>
    <w:rsid w:val="0063595A"/>
    <w:rsid w:val="00637D72"/>
    <w:rsid w:val="006405AC"/>
    <w:rsid w:val="006418A8"/>
    <w:rsid w:val="0064699F"/>
    <w:rsid w:val="00650464"/>
    <w:rsid w:val="00651180"/>
    <w:rsid w:val="006511DC"/>
    <w:rsid w:val="0066013C"/>
    <w:rsid w:val="006618B3"/>
    <w:rsid w:val="006620BF"/>
    <w:rsid w:val="006627E0"/>
    <w:rsid w:val="00663843"/>
    <w:rsid w:val="006645D1"/>
    <w:rsid w:val="006672E9"/>
    <w:rsid w:val="0067125B"/>
    <w:rsid w:val="006715C4"/>
    <w:rsid w:val="006731C2"/>
    <w:rsid w:val="00675855"/>
    <w:rsid w:val="00676663"/>
    <w:rsid w:val="00680864"/>
    <w:rsid w:val="006811A6"/>
    <w:rsid w:val="00683831"/>
    <w:rsid w:val="00686064"/>
    <w:rsid w:val="006968A1"/>
    <w:rsid w:val="0069755C"/>
    <w:rsid w:val="006B381E"/>
    <w:rsid w:val="006B5686"/>
    <w:rsid w:val="006B7E53"/>
    <w:rsid w:val="006C6D6C"/>
    <w:rsid w:val="006D1721"/>
    <w:rsid w:val="006E0E44"/>
    <w:rsid w:val="006E22FC"/>
    <w:rsid w:val="006E51F1"/>
    <w:rsid w:val="006E7AA3"/>
    <w:rsid w:val="006E7FB6"/>
    <w:rsid w:val="006F3D87"/>
    <w:rsid w:val="006F41F1"/>
    <w:rsid w:val="007032FC"/>
    <w:rsid w:val="00705080"/>
    <w:rsid w:val="00710879"/>
    <w:rsid w:val="00724D10"/>
    <w:rsid w:val="007359F2"/>
    <w:rsid w:val="00736C2E"/>
    <w:rsid w:val="00742A22"/>
    <w:rsid w:val="00743960"/>
    <w:rsid w:val="007459B1"/>
    <w:rsid w:val="00746411"/>
    <w:rsid w:val="007502EB"/>
    <w:rsid w:val="00753986"/>
    <w:rsid w:val="00762651"/>
    <w:rsid w:val="007632BA"/>
    <w:rsid w:val="0076460E"/>
    <w:rsid w:val="00766E81"/>
    <w:rsid w:val="00767334"/>
    <w:rsid w:val="00773184"/>
    <w:rsid w:val="00773325"/>
    <w:rsid w:val="00775DB7"/>
    <w:rsid w:val="00782191"/>
    <w:rsid w:val="0078732E"/>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1F9F"/>
    <w:rsid w:val="007D388C"/>
    <w:rsid w:val="007D6687"/>
    <w:rsid w:val="007D7699"/>
    <w:rsid w:val="007E1B95"/>
    <w:rsid w:val="007F1B70"/>
    <w:rsid w:val="007F3433"/>
    <w:rsid w:val="00800459"/>
    <w:rsid w:val="0080236B"/>
    <w:rsid w:val="008027C6"/>
    <w:rsid w:val="00806CDA"/>
    <w:rsid w:val="00807906"/>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54FBE"/>
    <w:rsid w:val="00860E55"/>
    <w:rsid w:val="008623F6"/>
    <w:rsid w:val="00862643"/>
    <w:rsid w:val="008647C1"/>
    <w:rsid w:val="00866A00"/>
    <w:rsid w:val="00866FDC"/>
    <w:rsid w:val="00872667"/>
    <w:rsid w:val="00885ADC"/>
    <w:rsid w:val="00895A87"/>
    <w:rsid w:val="008A015B"/>
    <w:rsid w:val="008B2E65"/>
    <w:rsid w:val="008B6087"/>
    <w:rsid w:val="008B63A5"/>
    <w:rsid w:val="008C0D38"/>
    <w:rsid w:val="008C3B8C"/>
    <w:rsid w:val="008C6542"/>
    <w:rsid w:val="008D00C8"/>
    <w:rsid w:val="008D049B"/>
    <w:rsid w:val="008D04FB"/>
    <w:rsid w:val="008D3308"/>
    <w:rsid w:val="008F249C"/>
    <w:rsid w:val="008F7009"/>
    <w:rsid w:val="00914EC8"/>
    <w:rsid w:val="009160B3"/>
    <w:rsid w:val="009218EA"/>
    <w:rsid w:val="0092261B"/>
    <w:rsid w:val="0092340A"/>
    <w:rsid w:val="009263BF"/>
    <w:rsid w:val="00926970"/>
    <w:rsid w:val="00931ABA"/>
    <w:rsid w:val="00946565"/>
    <w:rsid w:val="009537C0"/>
    <w:rsid w:val="0095606D"/>
    <w:rsid w:val="00960A61"/>
    <w:rsid w:val="00961D71"/>
    <w:rsid w:val="0096269F"/>
    <w:rsid w:val="00962B8B"/>
    <w:rsid w:val="00967775"/>
    <w:rsid w:val="009760E9"/>
    <w:rsid w:val="00977A38"/>
    <w:rsid w:val="00982C44"/>
    <w:rsid w:val="00983401"/>
    <w:rsid w:val="00984BC8"/>
    <w:rsid w:val="0098569F"/>
    <w:rsid w:val="00986E66"/>
    <w:rsid w:val="0098775F"/>
    <w:rsid w:val="00993137"/>
    <w:rsid w:val="00996DC3"/>
    <w:rsid w:val="009A0253"/>
    <w:rsid w:val="009A3225"/>
    <w:rsid w:val="009A4A1D"/>
    <w:rsid w:val="009A4ADA"/>
    <w:rsid w:val="009A71C8"/>
    <w:rsid w:val="009B7E95"/>
    <w:rsid w:val="009C177B"/>
    <w:rsid w:val="009C21D6"/>
    <w:rsid w:val="009C2C6C"/>
    <w:rsid w:val="009C4A4C"/>
    <w:rsid w:val="009D158B"/>
    <w:rsid w:val="009D17DD"/>
    <w:rsid w:val="009D253B"/>
    <w:rsid w:val="009D395A"/>
    <w:rsid w:val="009D4ECA"/>
    <w:rsid w:val="009E61D3"/>
    <w:rsid w:val="009F04BF"/>
    <w:rsid w:val="009F14F6"/>
    <w:rsid w:val="009F1D13"/>
    <w:rsid w:val="009F439F"/>
    <w:rsid w:val="00A00788"/>
    <w:rsid w:val="00A01BB9"/>
    <w:rsid w:val="00A1481A"/>
    <w:rsid w:val="00A24816"/>
    <w:rsid w:val="00A251B4"/>
    <w:rsid w:val="00A30304"/>
    <w:rsid w:val="00A32D2B"/>
    <w:rsid w:val="00A458CA"/>
    <w:rsid w:val="00A5489E"/>
    <w:rsid w:val="00A55B46"/>
    <w:rsid w:val="00A573F6"/>
    <w:rsid w:val="00A62D9B"/>
    <w:rsid w:val="00A67757"/>
    <w:rsid w:val="00A70980"/>
    <w:rsid w:val="00A750BA"/>
    <w:rsid w:val="00A817E3"/>
    <w:rsid w:val="00A8323C"/>
    <w:rsid w:val="00A86D0B"/>
    <w:rsid w:val="00A90869"/>
    <w:rsid w:val="00A921CB"/>
    <w:rsid w:val="00A9431F"/>
    <w:rsid w:val="00A95895"/>
    <w:rsid w:val="00A95EE9"/>
    <w:rsid w:val="00A97018"/>
    <w:rsid w:val="00AA1A5F"/>
    <w:rsid w:val="00AA31B8"/>
    <w:rsid w:val="00AA49E9"/>
    <w:rsid w:val="00AA7969"/>
    <w:rsid w:val="00AA7A0B"/>
    <w:rsid w:val="00AB0FE8"/>
    <w:rsid w:val="00AB454E"/>
    <w:rsid w:val="00AB68EB"/>
    <w:rsid w:val="00AC3D46"/>
    <w:rsid w:val="00AD1227"/>
    <w:rsid w:val="00AE6341"/>
    <w:rsid w:val="00AF09BB"/>
    <w:rsid w:val="00AF6378"/>
    <w:rsid w:val="00B019FA"/>
    <w:rsid w:val="00B03937"/>
    <w:rsid w:val="00B06C62"/>
    <w:rsid w:val="00B10F32"/>
    <w:rsid w:val="00B1269D"/>
    <w:rsid w:val="00B13A9D"/>
    <w:rsid w:val="00B14C5A"/>
    <w:rsid w:val="00B156DB"/>
    <w:rsid w:val="00B16D24"/>
    <w:rsid w:val="00B27A9E"/>
    <w:rsid w:val="00B3501D"/>
    <w:rsid w:val="00B35E84"/>
    <w:rsid w:val="00B36F2A"/>
    <w:rsid w:val="00B3706C"/>
    <w:rsid w:val="00B37657"/>
    <w:rsid w:val="00B41E1F"/>
    <w:rsid w:val="00B507B6"/>
    <w:rsid w:val="00B545D6"/>
    <w:rsid w:val="00B55927"/>
    <w:rsid w:val="00B567B1"/>
    <w:rsid w:val="00B609DD"/>
    <w:rsid w:val="00B638EC"/>
    <w:rsid w:val="00B645BD"/>
    <w:rsid w:val="00B64CBE"/>
    <w:rsid w:val="00B65D0F"/>
    <w:rsid w:val="00B70D08"/>
    <w:rsid w:val="00B71969"/>
    <w:rsid w:val="00B7277E"/>
    <w:rsid w:val="00B85FED"/>
    <w:rsid w:val="00B9167F"/>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07B60"/>
    <w:rsid w:val="00C114A0"/>
    <w:rsid w:val="00C12949"/>
    <w:rsid w:val="00C157E9"/>
    <w:rsid w:val="00C23049"/>
    <w:rsid w:val="00C23A0B"/>
    <w:rsid w:val="00C24824"/>
    <w:rsid w:val="00C24E8A"/>
    <w:rsid w:val="00C32E09"/>
    <w:rsid w:val="00C330EA"/>
    <w:rsid w:val="00C3678B"/>
    <w:rsid w:val="00C376D7"/>
    <w:rsid w:val="00C40958"/>
    <w:rsid w:val="00C40B38"/>
    <w:rsid w:val="00C422D2"/>
    <w:rsid w:val="00C429A2"/>
    <w:rsid w:val="00C42AF5"/>
    <w:rsid w:val="00C45328"/>
    <w:rsid w:val="00C501FD"/>
    <w:rsid w:val="00C5223D"/>
    <w:rsid w:val="00C52497"/>
    <w:rsid w:val="00C56663"/>
    <w:rsid w:val="00C56BFC"/>
    <w:rsid w:val="00C5749B"/>
    <w:rsid w:val="00C617B9"/>
    <w:rsid w:val="00C6254A"/>
    <w:rsid w:val="00C6277F"/>
    <w:rsid w:val="00C6473E"/>
    <w:rsid w:val="00C81AF6"/>
    <w:rsid w:val="00C81EA7"/>
    <w:rsid w:val="00C8217C"/>
    <w:rsid w:val="00C87B3A"/>
    <w:rsid w:val="00C87F71"/>
    <w:rsid w:val="00C90EF3"/>
    <w:rsid w:val="00C91E50"/>
    <w:rsid w:val="00C947CE"/>
    <w:rsid w:val="00C96169"/>
    <w:rsid w:val="00C965D2"/>
    <w:rsid w:val="00CA1D78"/>
    <w:rsid w:val="00CA2384"/>
    <w:rsid w:val="00CA3754"/>
    <w:rsid w:val="00CA3C72"/>
    <w:rsid w:val="00CA7DC1"/>
    <w:rsid w:val="00CB4460"/>
    <w:rsid w:val="00CB6099"/>
    <w:rsid w:val="00CB7272"/>
    <w:rsid w:val="00CC504C"/>
    <w:rsid w:val="00CC7CB0"/>
    <w:rsid w:val="00CD0437"/>
    <w:rsid w:val="00CD612B"/>
    <w:rsid w:val="00CD7143"/>
    <w:rsid w:val="00CE0842"/>
    <w:rsid w:val="00CE2C9C"/>
    <w:rsid w:val="00CE3A99"/>
    <w:rsid w:val="00CE46E3"/>
    <w:rsid w:val="00CF3B6F"/>
    <w:rsid w:val="00CF7B8F"/>
    <w:rsid w:val="00D04EC6"/>
    <w:rsid w:val="00D10D75"/>
    <w:rsid w:val="00D14B45"/>
    <w:rsid w:val="00D207B7"/>
    <w:rsid w:val="00D27C16"/>
    <w:rsid w:val="00D4333B"/>
    <w:rsid w:val="00D446C8"/>
    <w:rsid w:val="00D56824"/>
    <w:rsid w:val="00D5761C"/>
    <w:rsid w:val="00D60825"/>
    <w:rsid w:val="00D62698"/>
    <w:rsid w:val="00D65FD1"/>
    <w:rsid w:val="00D82D30"/>
    <w:rsid w:val="00D83812"/>
    <w:rsid w:val="00D87201"/>
    <w:rsid w:val="00D875BC"/>
    <w:rsid w:val="00D90795"/>
    <w:rsid w:val="00D921CE"/>
    <w:rsid w:val="00D92503"/>
    <w:rsid w:val="00D9319D"/>
    <w:rsid w:val="00D95F60"/>
    <w:rsid w:val="00DA33AB"/>
    <w:rsid w:val="00DA501C"/>
    <w:rsid w:val="00DA68D9"/>
    <w:rsid w:val="00DB5A81"/>
    <w:rsid w:val="00DC1D8F"/>
    <w:rsid w:val="00DC6FA8"/>
    <w:rsid w:val="00DD1F5C"/>
    <w:rsid w:val="00DD46B1"/>
    <w:rsid w:val="00DD5BB7"/>
    <w:rsid w:val="00DD675A"/>
    <w:rsid w:val="00DE1552"/>
    <w:rsid w:val="00DE3508"/>
    <w:rsid w:val="00DE3535"/>
    <w:rsid w:val="00DE5085"/>
    <w:rsid w:val="00DE6355"/>
    <w:rsid w:val="00DE7C3A"/>
    <w:rsid w:val="00DF016E"/>
    <w:rsid w:val="00DF170F"/>
    <w:rsid w:val="00DF4C58"/>
    <w:rsid w:val="00DF664B"/>
    <w:rsid w:val="00DF6E0D"/>
    <w:rsid w:val="00DF6E8F"/>
    <w:rsid w:val="00DF78B3"/>
    <w:rsid w:val="00E017AA"/>
    <w:rsid w:val="00E027B6"/>
    <w:rsid w:val="00E02BE4"/>
    <w:rsid w:val="00E05B49"/>
    <w:rsid w:val="00E05C63"/>
    <w:rsid w:val="00E079D5"/>
    <w:rsid w:val="00E124FD"/>
    <w:rsid w:val="00E15080"/>
    <w:rsid w:val="00E1616D"/>
    <w:rsid w:val="00E163AF"/>
    <w:rsid w:val="00E27688"/>
    <w:rsid w:val="00E30A1E"/>
    <w:rsid w:val="00E337FD"/>
    <w:rsid w:val="00E34BD9"/>
    <w:rsid w:val="00E3531D"/>
    <w:rsid w:val="00E35AA8"/>
    <w:rsid w:val="00E3741F"/>
    <w:rsid w:val="00E41D39"/>
    <w:rsid w:val="00E50368"/>
    <w:rsid w:val="00E515F9"/>
    <w:rsid w:val="00E52C72"/>
    <w:rsid w:val="00E533CB"/>
    <w:rsid w:val="00E538D0"/>
    <w:rsid w:val="00E53DD3"/>
    <w:rsid w:val="00E63AEA"/>
    <w:rsid w:val="00E664B4"/>
    <w:rsid w:val="00E7155B"/>
    <w:rsid w:val="00E71E70"/>
    <w:rsid w:val="00E726E9"/>
    <w:rsid w:val="00E72E5F"/>
    <w:rsid w:val="00E75E27"/>
    <w:rsid w:val="00E8221C"/>
    <w:rsid w:val="00E8457C"/>
    <w:rsid w:val="00E86D6C"/>
    <w:rsid w:val="00E9770D"/>
    <w:rsid w:val="00EA2190"/>
    <w:rsid w:val="00EA569F"/>
    <w:rsid w:val="00EB7CB7"/>
    <w:rsid w:val="00EC189D"/>
    <w:rsid w:val="00EC1FEA"/>
    <w:rsid w:val="00EC690D"/>
    <w:rsid w:val="00EC7414"/>
    <w:rsid w:val="00ED0476"/>
    <w:rsid w:val="00ED1FAA"/>
    <w:rsid w:val="00ED5543"/>
    <w:rsid w:val="00EE44FE"/>
    <w:rsid w:val="00EE475E"/>
    <w:rsid w:val="00EE4B24"/>
    <w:rsid w:val="00EE6A18"/>
    <w:rsid w:val="00EE74E9"/>
    <w:rsid w:val="00EF0334"/>
    <w:rsid w:val="00EF06D0"/>
    <w:rsid w:val="00EF12CD"/>
    <w:rsid w:val="00EF4207"/>
    <w:rsid w:val="00EF6031"/>
    <w:rsid w:val="00F0236F"/>
    <w:rsid w:val="00F029A8"/>
    <w:rsid w:val="00F06920"/>
    <w:rsid w:val="00F11579"/>
    <w:rsid w:val="00F22CF5"/>
    <w:rsid w:val="00F24F83"/>
    <w:rsid w:val="00F25B41"/>
    <w:rsid w:val="00F31024"/>
    <w:rsid w:val="00F31291"/>
    <w:rsid w:val="00F32BAD"/>
    <w:rsid w:val="00F47A4D"/>
    <w:rsid w:val="00F51DE3"/>
    <w:rsid w:val="00F60AA5"/>
    <w:rsid w:val="00F654CD"/>
    <w:rsid w:val="00F743A8"/>
    <w:rsid w:val="00F746EA"/>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13EE"/>
    <w:rsid w:val="00FC38E5"/>
    <w:rsid w:val="00FC3BEC"/>
    <w:rsid w:val="00FD0D96"/>
    <w:rsid w:val="00FD3C51"/>
    <w:rsid w:val="00FD6B77"/>
    <w:rsid w:val="00FE0A98"/>
    <w:rsid w:val="00FE2F6B"/>
    <w:rsid w:val="00FE329C"/>
    <w:rsid w:val="00FF0DEB"/>
    <w:rsid w:val="00FF1620"/>
    <w:rsid w:val="00FF17B6"/>
    <w:rsid w:val="00FF240C"/>
    <w:rsid w:val="00FF3E26"/>
    <w:rsid w:val="00FF7915"/>
    <w:rsid w:val="00FF7A18"/>
    <w:rsid w:val="013F16F5"/>
    <w:rsid w:val="017D2EB8"/>
    <w:rsid w:val="03EA3A7E"/>
    <w:rsid w:val="07883367"/>
    <w:rsid w:val="08913C8D"/>
    <w:rsid w:val="097D7E2E"/>
    <w:rsid w:val="0AFA761E"/>
    <w:rsid w:val="0C7005A3"/>
    <w:rsid w:val="0EAD0241"/>
    <w:rsid w:val="0FAA6444"/>
    <w:rsid w:val="109126B4"/>
    <w:rsid w:val="11270A41"/>
    <w:rsid w:val="13AD6D0D"/>
    <w:rsid w:val="1835289B"/>
    <w:rsid w:val="18D43FED"/>
    <w:rsid w:val="1AAE493F"/>
    <w:rsid w:val="1B471160"/>
    <w:rsid w:val="1D9F6199"/>
    <w:rsid w:val="1DE3231C"/>
    <w:rsid w:val="235E23A0"/>
    <w:rsid w:val="236C3276"/>
    <w:rsid w:val="24CB44E0"/>
    <w:rsid w:val="252C2672"/>
    <w:rsid w:val="26D55305"/>
    <w:rsid w:val="288029BC"/>
    <w:rsid w:val="2A1C7B77"/>
    <w:rsid w:val="2D2500D2"/>
    <w:rsid w:val="2D3661BD"/>
    <w:rsid w:val="2EBE74D1"/>
    <w:rsid w:val="2FDC70E7"/>
    <w:rsid w:val="30873227"/>
    <w:rsid w:val="31A06275"/>
    <w:rsid w:val="33616C57"/>
    <w:rsid w:val="36B76CCE"/>
    <w:rsid w:val="39BC1DBE"/>
    <w:rsid w:val="3AA12D62"/>
    <w:rsid w:val="3AE73994"/>
    <w:rsid w:val="3DC079A3"/>
    <w:rsid w:val="455E0064"/>
    <w:rsid w:val="4588349D"/>
    <w:rsid w:val="458D2BAE"/>
    <w:rsid w:val="4691012F"/>
    <w:rsid w:val="489839F7"/>
    <w:rsid w:val="49425841"/>
    <w:rsid w:val="49B27E76"/>
    <w:rsid w:val="49F30BFE"/>
    <w:rsid w:val="4A6B0275"/>
    <w:rsid w:val="4A6C4D26"/>
    <w:rsid w:val="4D9F7EA1"/>
    <w:rsid w:val="4E345F70"/>
    <w:rsid w:val="4ECB07CD"/>
    <w:rsid w:val="4FB423D2"/>
    <w:rsid w:val="5056318B"/>
    <w:rsid w:val="507F3FDE"/>
    <w:rsid w:val="51125306"/>
    <w:rsid w:val="511C407A"/>
    <w:rsid w:val="51CC64BF"/>
    <w:rsid w:val="5684049D"/>
    <w:rsid w:val="5955699E"/>
    <w:rsid w:val="5AB75F5E"/>
    <w:rsid w:val="5C3D4D95"/>
    <w:rsid w:val="5E7A5C21"/>
    <w:rsid w:val="5F665E6C"/>
    <w:rsid w:val="608763D3"/>
    <w:rsid w:val="60C07B37"/>
    <w:rsid w:val="6223212B"/>
    <w:rsid w:val="68506899"/>
    <w:rsid w:val="6BCC7390"/>
    <w:rsid w:val="6C0134DD"/>
    <w:rsid w:val="6D8F71CE"/>
    <w:rsid w:val="6DCF760B"/>
    <w:rsid w:val="6EC7274E"/>
    <w:rsid w:val="7234104C"/>
    <w:rsid w:val="732F5F6C"/>
    <w:rsid w:val="73C02F8F"/>
    <w:rsid w:val="76820CD9"/>
    <w:rsid w:val="77076F46"/>
    <w:rsid w:val="777F175A"/>
    <w:rsid w:val="7A353A64"/>
    <w:rsid w:val="7CFC2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5"/>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3"/>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89"/>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6"/>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5"/>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4"/>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4"/>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link w:val="109"/>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link w:val="338"/>
    <w:qFormat/>
    <w:uiPriority w:val="0"/>
    <w:rPr>
      <w:b/>
      <w:sz w:val="28"/>
      <w:szCs w:val="20"/>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125"/>
    <w:qFormat/>
    <w:uiPriority w:val="6"/>
    <w:pPr>
      <w:shd w:val="clear" w:color="auto" w:fill="000080"/>
    </w:pPr>
    <w:rPr>
      <w:rFonts w:ascii="Arial" w:hAnsi="Arial" w:eastAsia="黑体"/>
      <w:snapToGrid w:val="0"/>
    </w:rPr>
  </w:style>
  <w:style w:type="paragraph" w:styleId="17">
    <w:name w:val="annotation text"/>
    <w:basedOn w:val="1"/>
    <w:link w:val="286"/>
    <w:qFormat/>
    <w:uiPriority w:val="99"/>
    <w:pPr>
      <w:jc w:val="left"/>
    </w:pPr>
  </w:style>
  <w:style w:type="paragraph" w:styleId="18">
    <w:name w:val="Salutation"/>
    <w:basedOn w:val="1"/>
    <w:next w:val="1"/>
    <w:link w:val="274"/>
    <w:qFormat/>
    <w:uiPriority w:val="0"/>
    <w:rPr>
      <w:rFonts w:ascii="仿宋_GB2312" w:eastAsia="仿宋_GB2312"/>
      <w:sz w:val="28"/>
      <w:szCs w:val="20"/>
    </w:rPr>
  </w:style>
  <w:style w:type="paragraph" w:styleId="19">
    <w:name w:val="Body Text 3"/>
    <w:basedOn w:val="1"/>
    <w:link w:val="268"/>
    <w:qFormat/>
    <w:uiPriority w:val="0"/>
    <w:pPr>
      <w:jc w:val="center"/>
    </w:pPr>
    <w:rPr>
      <w:szCs w:val="20"/>
    </w:rPr>
  </w:style>
  <w:style w:type="paragraph" w:styleId="20">
    <w:name w:val="Body Text"/>
    <w:basedOn w:val="1"/>
    <w:link w:val="81"/>
    <w:qFormat/>
    <w:uiPriority w:val="0"/>
    <w:pPr>
      <w:autoSpaceDE w:val="0"/>
      <w:autoSpaceDN w:val="0"/>
      <w:spacing w:line="360" w:lineRule="auto"/>
    </w:pPr>
    <w:rPr>
      <w:rFonts w:ascii="宋体" w:hAnsi="Arial" w:eastAsia="黑体"/>
      <w:snapToGrid w:val="0"/>
      <w:sz w:val="24"/>
      <w:szCs w:val="21"/>
      <w:lang w:val="zh-CN"/>
    </w:rPr>
  </w:style>
  <w:style w:type="paragraph" w:styleId="21">
    <w:name w:val="Body Text Indent"/>
    <w:basedOn w:val="1"/>
    <w:link w:val="206"/>
    <w:qFormat/>
    <w:uiPriority w:val="0"/>
    <w:pPr>
      <w:spacing w:line="480" w:lineRule="exact"/>
      <w:ind w:firstLine="480" w:firstLineChars="200"/>
    </w:pPr>
    <w:rPr>
      <w:rFonts w:ascii="宋体" w:hAnsi="宋体"/>
      <w:sz w:val="24"/>
    </w:rPr>
  </w:style>
  <w:style w:type="paragraph" w:styleId="2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3">
    <w:name w:val="List 2"/>
    <w:basedOn w:val="1"/>
    <w:qFormat/>
    <w:uiPriority w:val="0"/>
    <w:pPr>
      <w:adjustRightInd/>
      <w:spacing w:line="360" w:lineRule="auto"/>
      <w:ind w:left="100" w:leftChars="200" w:hanging="200" w:hangingChars="200"/>
    </w:pPr>
    <w:rPr>
      <w:rFonts w:eastAsia="微软雅黑"/>
    </w:rPr>
  </w:style>
  <w:style w:type="paragraph" w:styleId="2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5">
    <w:name w:val="List Bullet 2"/>
    <w:basedOn w:val="1"/>
    <w:qFormat/>
    <w:uiPriority w:val="0"/>
    <w:pPr>
      <w:autoSpaceDE w:val="0"/>
      <w:autoSpaceDN w:val="0"/>
      <w:ind w:left="420"/>
      <w:jc w:val="left"/>
    </w:pPr>
    <w:rPr>
      <w:rFonts w:ascii="宋体" w:hAnsi="宋体"/>
      <w:color w:val="000000"/>
      <w:kern w:val="0"/>
      <w:sz w:val="24"/>
      <w:szCs w:val="20"/>
    </w:rPr>
  </w:style>
  <w:style w:type="paragraph" w:styleId="26">
    <w:name w:val="HTML Address"/>
    <w:basedOn w:val="1"/>
    <w:link w:val="84"/>
    <w:qFormat/>
    <w:uiPriority w:val="0"/>
    <w:pPr>
      <w:widowControl/>
      <w:adjustRightInd/>
      <w:ind w:firstLine="200" w:firstLineChars="200"/>
      <w:jc w:val="left"/>
    </w:pPr>
    <w:rPr>
      <w:rFonts w:ascii="宋体" w:hAnsi="宋体"/>
      <w:i/>
      <w:iCs/>
      <w:kern w:val="0"/>
      <w:sz w:val="24"/>
    </w:rPr>
  </w:style>
  <w:style w:type="paragraph" w:styleId="27">
    <w:name w:val="Plain Text"/>
    <w:basedOn w:val="1"/>
    <w:link w:val="150"/>
    <w:qFormat/>
    <w:uiPriority w:val="0"/>
    <w:rPr>
      <w:rFonts w:ascii="宋体" w:hAnsi="Courier New" w:eastAsia="黑体"/>
      <w:snapToGrid w:val="0"/>
      <w:szCs w:val="21"/>
    </w:rPr>
  </w:style>
  <w:style w:type="paragraph" w:styleId="2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29">
    <w:name w:val="Date"/>
    <w:basedOn w:val="1"/>
    <w:next w:val="1"/>
    <w:link w:val="110"/>
    <w:qFormat/>
    <w:uiPriority w:val="0"/>
    <w:pPr>
      <w:ind w:left="100" w:leftChars="2500"/>
    </w:pPr>
    <w:rPr>
      <w:rFonts w:ascii="宋体"/>
      <w:sz w:val="24"/>
      <w:szCs w:val="21"/>
      <w:lang w:val="zh-CN"/>
    </w:rPr>
  </w:style>
  <w:style w:type="paragraph" w:styleId="30">
    <w:name w:val="Body Text Indent 2"/>
    <w:basedOn w:val="1"/>
    <w:link w:val="225"/>
    <w:qFormat/>
    <w:uiPriority w:val="0"/>
    <w:pPr>
      <w:spacing w:line="360" w:lineRule="auto"/>
      <w:ind w:firstLine="601"/>
      <w:textAlignment w:val="baseline"/>
    </w:pPr>
    <w:rPr>
      <w:rFonts w:ascii="宋体"/>
      <w:kern w:val="0"/>
      <w:sz w:val="28"/>
      <w:szCs w:val="20"/>
    </w:rPr>
  </w:style>
  <w:style w:type="paragraph" w:styleId="31">
    <w:name w:val="Balloon Text"/>
    <w:basedOn w:val="1"/>
    <w:link w:val="103"/>
    <w:qFormat/>
    <w:uiPriority w:val="99"/>
    <w:rPr>
      <w:sz w:val="18"/>
      <w:szCs w:val="18"/>
    </w:rPr>
  </w:style>
  <w:style w:type="paragraph" w:styleId="32">
    <w:name w:val="footer"/>
    <w:basedOn w:val="1"/>
    <w:link w:val="123"/>
    <w:qFormat/>
    <w:uiPriority w:val="99"/>
    <w:pPr>
      <w:tabs>
        <w:tab w:val="center" w:pos="4153"/>
        <w:tab w:val="right" w:pos="8306"/>
      </w:tabs>
      <w:snapToGrid w:val="0"/>
      <w:jc w:val="left"/>
    </w:pPr>
    <w:rPr>
      <w:sz w:val="18"/>
      <w:szCs w:val="18"/>
    </w:rPr>
  </w:style>
  <w:style w:type="paragraph" w:styleId="33">
    <w:name w:val="header"/>
    <w:basedOn w:val="1"/>
    <w:link w:val="163"/>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4">
    <w:name w:val="Signature"/>
    <w:basedOn w:val="1"/>
    <w:link w:val="282"/>
    <w:qFormat/>
    <w:uiPriority w:val="0"/>
    <w:pPr>
      <w:spacing w:after="600" w:line="312" w:lineRule="atLeast"/>
      <w:jc w:val="center"/>
      <w:textAlignment w:val="baseline"/>
    </w:pPr>
    <w:rPr>
      <w:rFonts w:eastAsia="仿宋_GB2312"/>
      <w:kern w:val="0"/>
      <w:sz w:val="24"/>
      <w:szCs w:val="20"/>
    </w:rPr>
  </w:style>
  <w:style w:type="paragraph" w:styleId="35">
    <w:name w:val="index heading"/>
    <w:basedOn w:val="1"/>
    <w:next w:val="36"/>
    <w:qFormat/>
    <w:uiPriority w:val="0"/>
    <w:pPr>
      <w:adjustRightInd/>
      <w:ind w:firstLine="200" w:firstLineChars="200"/>
    </w:pPr>
  </w:style>
  <w:style w:type="paragraph" w:styleId="36">
    <w:name w:val="index 1"/>
    <w:basedOn w:val="1"/>
    <w:next w:val="1"/>
    <w:qFormat/>
    <w:uiPriority w:val="0"/>
    <w:pPr>
      <w:adjustRightInd/>
      <w:spacing w:line="360" w:lineRule="auto"/>
      <w:ind w:firstLine="200" w:firstLineChars="200"/>
      <w:jc w:val="center"/>
    </w:pPr>
    <w:rPr>
      <w:sz w:val="24"/>
      <w:szCs w:val="20"/>
    </w:rPr>
  </w:style>
  <w:style w:type="paragraph" w:styleId="37">
    <w:name w:val="Subtitle"/>
    <w:link w:val="8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8">
    <w:name w:val="List Number 5"/>
    <w:basedOn w:val="1"/>
    <w:qFormat/>
    <w:uiPriority w:val="0"/>
    <w:pPr>
      <w:tabs>
        <w:tab w:val="left" w:pos="902"/>
      </w:tabs>
      <w:adjustRightInd/>
      <w:spacing w:line="400" w:lineRule="exact"/>
      <w:ind w:left="902" w:hanging="420"/>
    </w:pPr>
    <w:rPr>
      <w:sz w:val="24"/>
      <w:szCs w:val="20"/>
    </w:rPr>
  </w:style>
  <w:style w:type="paragraph" w:styleId="39">
    <w:name w:val="List"/>
    <w:basedOn w:val="1"/>
    <w:qFormat/>
    <w:uiPriority w:val="0"/>
    <w:pPr>
      <w:ind w:left="200" w:hanging="200" w:hangingChars="200"/>
    </w:pPr>
  </w:style>
  <w:style w:type="paragraph" w:styleId="40">
    <w:name w:val="footnote text"/>
    <w:basedOn w:val="13"/>
    <w:link w:val="69"/>
    <w:qFormat/>
    <w:uiPriority w:val="0"/>
    <w:pPr>
      <w:adjustRightInd/>
      <w:snapToGrid/>
      <w:spacing w:before="60" w:after="60" w:line="300" w:lineRule="exact"/>
      <w:ind w:firstLine="0"/>
    </w:pPr>
    <w:rPr>
      <w:rFonts w:ascii="Times New Roman"/>
      <w:snapToGrid/>
      <w:color w:val="0000FF"/>
      <w:kern w:val="0"/>
      <w:sz w:val="21"/>
    </w:rPr>
  </w:style>
  <w:style w:type="paragraph" w:styleId="41">
    <w:name w:val="List 5"/>
    <w:basedOn w:val="1"/>
    <w:qFormat/>
    <w:uiPriority w:val="0"/>
    <w:pPr>
      <w:adjustRightInd/>
      <w:ind w:left="100" w:leftChars="800" w:hanging="200" w:hangingChars="200"/>
    </w:pPr>
  </w:style>
  <w:style w:type="paragraph" w:styleId="42">
    <w:name w:val="Body Text Indent 3"/>
    <w:basedOn w:val="1"/>
    <w:link w:val="132"/>
    <w:qFormat/>
    <w:uiPriority w:val="0"/>
    <w:pPr>
      <w:spacing w:line="360" w:lineRule="auto"/>
      <w:ind w:firstLine="420"/>
    </w:pPr>
    <w:rPr>
      <w:sz w:val="24"/>
      <w:szCs w:val="20"/>
    </w:rPr>
  </w:style>
  <w:style w:type="paragraph" w:styleId="43">
    <w:name w:val="Body Text 2"/>
    <w:basedOn w:val="1"/>
    <w:link w:val="238"/>
    <w:qFormat/>
    <w:uiPriority w:val="6"/>
    <w:pPr>
      <w:spacing w:after="120" w:line="480" w:lineRule="auto"/>
    </w:pPr>
    <w:rPr>
      <w:rFonts w:ascii="Arial" w:hAnsi="Arial" w:eastAsia="黑体"/>
      <w:snapToGrid w:val="0"/>
    </w:rPr>
  </w:style>
  <w:style w:type="paragraph" w:styleId="44">
    <w:name w:val="HTML Preformatted"/>
    <w:basedOn w:val="1"/>
    <w:link w:val="2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link w:val="67"/>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7">
    <w:name w:val="annotation subject"/>
    <w:basedOn w:val="17"/>
    <w:next w:val="17"/>
    <w:link w:val="219"/>
    <w:qFormat/>
    <w:uiPriority w:val="99"/>
    <w:rPr>
      <w:b/>
      <w:bCs/>
      <w:snapToGrid w:val="0"/>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qFormat/>
    <w:uiPriority w:val="0"/>
    <w:rPr>
      <w:color w:val="CC0033"/>
    </w:rPr>
  </w:style>
  <w:style w:type="character" w:styleId="55">
    <w:name w:val="line number"/>
    <w:basedOn w:val="50"/>
    <w:qFormat/>
    <w:uiPriority w:val="0"/>
  </w:style>
  <w:style w:type="character" w:styleId="56">
    <w:name w:val="Hyperlink"/>
    <w:qFormat/>
    <w:uiPriority w:val="99"/>
    <w:rPr>
      <w:color w:val="0000FF"/>
      <w:u w:val="single"/>
    </w:rPr>
  </w:style>
  <w:style w:type="character" w:styleId="57">
    <w:name w:val="HTML Code"/>
    <w:qFormat/>
    <w:uiPriority w:val="0"/>
    <w:rPr>
      <w:rFonts w:ascii="黑体" w:hAnsi="Courier New" w:eastAsia="黑体" w:cs="楷体_GB2312"/>
      <w:sz w:val="20"/>
      <w:szCs w:val="20"/>
    </w:rPr>
  </w:style>
  <w:style w:type="character" w:styleId="58">
    <w:name w:val="annotation reference"/>
    <w:qFormat/>
    <w:uiPriority w:val="99"/>
    <w:rPr>
      <w:sz w:val="21"/>
      <w:szCs w:val="21"/>
    </w:rPr>
  </w:style>
  <w:style w:type="character" w:customStyle="1" w:styleId="59">
    <w:name w:val="标题 1 Char"/>
    <w:qFormat/>
    <w:uiPriority w:val="9"/>
    <w:rPr>
      <w:b/>
      <w:bCs/>
      <w:kern w:val="44"/>
      <w:sz w:val="44"/>
      <w:szCs w:val="44"/>
    </w:rPr>
  </w:style>
  <w:style w:type="character" w:customStyle="1" w:styleId="60">
    <w:name w:val="文档结构图 Char"/>
    <w:link w:val="61"/>
    <w:qFormat/>
    <w:uiPriority w:val="0"/>
    <w:rPr>
      <w:rFonts w:eastAsia="宋体"/>
      <w:kern w:val="2"/>
      <w:sz w:val="21"/>
      <w:szCs w:val="24"/>
      <w:lang w:val="en-US" w:eastAsia="zh-CN" w:bidi="ar-SA"/>
    </w:rPr>
  </w:style>
  <w:style w:type="paragraph" w:customStyle="1" w:styleId="61">
    <w:name w:val="文档结构图1"/>
    <w:basedOn w:val="1"/>
    <w:link w:val="60"/>
    <w:qFormat/>
    <w:uiPriority w:val="0"/>
    <w:pPr>
      <w:shd w:val="clear" w:color="auto" w:fill="000080"/>
      <w:adjustRightInd/>
    </w:pPr>
  </w:style>
  <w:style w:type="character" w:customStyle="1" w:styleId="62">
    <w:name w:val="访问过的超链接1"/>
    <w:qFormat/>
    <w:uiPriority w:val="99"/>
    <w:rPr>
      <w:color w:val="800080"/>
      <w:u w:val="single"/>
    </w:rPr>
  </w:style>
  <w:style w:type="character" w:customStyle="1" w:styleId="63">
    <w:name w:val="dectext1"/>
    <w:qFormat/>
    <w:uiPriority w:val="0"/>
    <w:rPr>
      <w:rFonts w:ascii="宋体" w:hAnsi="宋体" w:eastAsia="宋体"/>
      <w:color w:val="333333"/>
      <w:sz w:val="21"/>
      <w:szCs w:val="21"/>
      <w:u w:val="none"/>
    </w:rPr>
  </w:style>
  <w:style w:type="character" w:customStyle="1" w:styleId="64">
    <w:name w:val="FA正文 Char Char"/>
    <w:qFormat/>
    <w:uiPriority w:val="0"/>
    <w:rPr>
      <w:rFonts w:hAnsi="宋体"/>
      <w:kern w:val="2"/>
      <w:sz w:val="24"/>
      <w:lang w:bidi="ar-SA"/>
    </w:rPr>
  </w:style>
  <w:style w:type="character" w:customStyle="1" w:styleId="65">
    <w:name w:val="样式 宋体"/>
    <w:qFormat/>
    <w:uiPriority w:val="0"/>
    <w:rPr>
      <w:rFonts w:ascii="宋体" w:hAnsi="宋体"/>
      <w:sz w:val="24"/>
    </w:rPr>
  </w:style>
  <w:style w:type="character" w:customStyle="1" w:styleId="66">
    <w:name w:val="zbggmain style9"/>
    <w:qFormat/>
    <w:uiPriority w:val="0"/>
  </w:style>
  <w:style w:type="character" w:customStyle="1" w:styleId="67">
    <w:name w:val="标题 字符"/>
    <w:link w:val="46"/>
    <w:qFormat/>
    <w:uiPriority w:val="10"/>
    <w:rPr>
      <w:rFonts w:ascii="Arial" w:hAnsi="Arial" w:eastAsia="黑体" w:cs="Arial"/>
      <w:b/>
      <w:snapToGrid w:val="0"/>
      <w:kern w:val="0"/>
      <w:sz w:val="24"/>
      <w:szCs w:val="21"/>
      <w:lang w:val="en-GB"/>
    </w:rPr>
  </w:style>
  <w:style w:type="character" w:customStyle="1" w:styleId="6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9">
    <w:name w:val="脚注文本 字符"/>
    <w:link w:val="40"/>
    <w:qFormat/>
    <w:uiPriority w:val="0"/>
    <w:rPr>
      <w:color w:val="0000FF"/>
      <w:sz w:val="21"/>
    </w:rPr>
  </w:style>
  <w:style w:type="character" w:customStyle="1" w:styleId="70">
    <w:name w:val="批注引用1"/>
    <w:qFormat/>
    <w:uiPriority w:val="0"/>
    <w:rPr>
      <w:sz w:val="21"/>
    </w:rPr>
  </w:style>
  <w:style w:type="character" w:customStyle="1" w:styleId="71">
    <w:name w:val="插图说明 Char"/>
    <w:qFormat/>
    <w:uiPriority w:val="0"/>
    <w:rPr>
      <w:rFonts w:eastAsia="黑体"/>
      <w:sz w:val="24"/>
      <w:lang w:val="en-US" w:eastAsia="zh-CN"/>
    </w:rPr>
  </w:style>
  <w:style w:type="character" w:customStyle="1" w:styleId="72">
    <w:name w:val="font21"/>
    <w:qFormat/>
    <w:uiPriority w:val="0"/>
    <w:rPr>
      <w:rFonts w:hint="eastAsia" w:ascii="宋体" w:hAnsi="宋体" w:eastAsia="宋体"/>
      <w:kern w:val="2"/>
      <w:sz w:val="28"/>
      <w:szCs w:val="28"/>
      <w:lang w:val="en-US" w:eastAsia="zh-CN" w:bidi="ar-SA"/>
    </w:rPr>
  </w:style>
  <w:style w:type="character" w:customStyle="1" w:styleId="73">
    <w:name w:val="Char Char Char Char Char"/>
    <w:link w:val="74"/>
    <w:qFormat/>
    <w:uiPriority w:val="0"/>
    <w:rPr>
      <w:rFonts w:ascii="仿宋_GB2312" w:eastAsia="仿宋_GB2312"/>
      <w:b/>
      <w:kern w:val="2"/>
      <w:sz w:val="32"/>
      <w:szCs w:val="32"/>
    </w:rPr>
  </w:style>
  <w:style w:type="paragraph" w:customStyle="1" w:styleId="74">
    <w:name w:val="Char"/>
    <w:basedOn w:val="1"/>
    <w:link w:val="73"/>
    <w:qFormat/>
    <w:uiPriority w:val="0"/>
    <w:rPr>
      <w:rFonts w:ascii="仿宋_GB2312" w:eastAsia="仿宋_GB2312"/>
      <w:b/>
      <w:sz w:val="32"/>
      <w:szCs w:val="32"/>
    </w:rPr>
  </w:style>
  <w:style w:type="character" w:customStyle="1" w:styleId="75">
    <w:name w:val="标题 7 字符"/>
    <w:link w:val="8"/>
    <w:qFormat/>
    <w:uiPriority w:val="9"/>
    <w:rPr>
      <w:b/>
      <w:bCs/>
      <w:kern w:val="2"/>
      <w:sz w:val="24"/>
      <w:szCs w:val="24"/>
    </w:rPr>
  </w:style>
  <w:style w:type="character" w:customStyle="1" w:styleId="76">
    <w:name w:val="样式3 Char"/>
    <w:basedOn w:val="77"/>
    <w:qFormat/>
    <w:uiPriority w:val="0"/>
    <w:rPr>
      <w:rFonts w:ascii="仿宋_GB2312" w:hAnsi="仿宋" w:eastAsia="仿宋_GB2312" w:cs="仿宋_GB2312"/>
      <w:sz w:val="32"/>
      <w:szCs w:val="30"/>
      <w:lang w:val="zh-CN"/>
    </w:rPr>
  </w:style>
  <w:style w:type="character" w:customStyle="1" w:styleId="77">
    <w:name w:val="样式2 Char"/>
    <w:qFormat/>
    <w:uiPriority w:val="0"/>
    <w:rPr>
      <w:rFonts w:ascii="仿宋_GB2312" w:hAnsi="仿宋" w:eastAsia="仿宋_GB2312" w:cs="仿宋_GB2312"/>
      <w:b/>
      <w:bCs/>
      <w:sz w:val="32"/>
      <w:szCs w:val="30"/>
      <w:lang w:val="zh-CN"/>
    </w:rPr>
  </w:style>
  <w:style w:type="character" w:customStyle="1" w:styleId="78">
    <w:name w:val="样式 样式 标题 4h4H4Fab-4T5Ref Heading 1rh1Heading sqlsect 1.2.3.... +... Char"/>
    <w:link w:val="79"/>
    <w:qFormat/>
    <w:uiPriority w:val="0"/>
    <w:rPr>
      <w:rFonts w:ascii="微软雅黑" w:hAnsi="微软雅黑" w:eastAsia="微软雅黑"/>
      <w:b/>
      <w:bCs/>
      <w:kern w:val="2"/>
      <w:sz w:val="24"/>
      <w:szCs w:val="28"/>
    </w:rPr>
  </w:style>
  <w:style w:type="paragraph" w:customStyle="1" w:styleId="79">
    <w:name w:val="样式 样式 标题 4h4H4Fab-4T5Ref Heading 1rh1Heading sqlsect 1.2.3.... +..."/>
    <w:basedOn w:val="80"/>
    <w:link w:val="78"/>
    <w:qFormat/>
    <w:uiPriority w:val="0"/>
    <w:pPr>
      <w:tabs>
        <w:tab w:val="left" w:pos="864"/>
        <w:tab w:val="left" w:pos="2356"/>
      </w:tabs>
    </w:pPr>
  </w:style>
  <w:style w:type="paragraph" w:customStyle="1" w:styleId="80">
    <w:name w:val="样式 标题 4h4H4Fab-4T5Ref Heading 1rh1Heading sqlsect 1.2.3...."/>
    <w:basedOn w:val="5"/>
    <w:link w:val="142"/>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1">
    <w:name w:val="正文文本 字符"/>
    <w:link w:val="20"/>
    <w:qFormat/>
    <w:uiPriority w:val="6"/>
    <w:rPr>
      <w:rFonts w:ascii="宋体" w:hAnsi="Arial" w:eastAsia="黑体" w:cs="Arial"/>
      <w:snapToGrid w:val="0"/>
      <w:kern w:val="2"/>
      <w:sz w:val="24"/>
      <w:szCs w:val="21"/>
      <w:lang w:val="zh-CN"/>
    </w:rPr>
  </w:style>
  <w:style w:type="character" w:customStyle="1" w:styleId="82">
    <w:name w:val="表正文 Char"/>
    <w:qFormat/>
    <w:uiPriority w:val="0"/>
    <w:rPr>
      <w:rFonts w:ascii="宋体" w:eastAsia="宋体"/>
      <w:snapToGrid w:val="0"/>
      <w:color w:val="000000"/>
      <w:kern w:val="28"/>
      <w:sz w:val="28"/>
      <w:lang w:val="en-US" w:eastAsia="zh-CN" w:bidi="ar-SA"/>
    </w:rPr>
  </w:style>
  <w:style w:type="character" w:customStyle="1" w:styleId="83">
    <w:name w:val="列出段落 Char"/>
    <w:qFormat/>
    <w:uiPriority w:val="34"/>
    <w:rPr>
      <w:rFonts w:eastAsia="楷体_GB2312" w:cs="Lucida Sans"/>
      <w:kern w:val="2"/>
      <w:sz w:val="24"/>
      <w:szCs w:val="24"/>
      <w:lang w:val="en-US" w:eastAsia="zh-CN" w:bidi="ar-SA"/>
    </w:rPr>
  </w:style>
  <w:style w:type="character" w:customStyle="1" w:styleId="84">
    <w:name w:val="HTML 地址 字符"/>
    <w:link w:val="26"/>
    <w:qFormat/>
    <w:uiPriority w:val="0"/>
    <w:rPr>
      <w:rFonts w:ascii="宋体" w:hAnsi="宋体"/>
      <w:i/>
      <w:iCs/>
      <w:sz w:val="24"/>
      <w:szCs w:val="24"/>
    </w:rPr>
  </w:style>
  <w:style w:type="character" w:customStyle="1" w:styleId="85">
    <w:name w:val="Normal Indent Char Char"/>
    <w:qFormat/>
    <w:uiPriority w:val="0"/>
    <w:rPr>
      <w:rFonts w:eastAsia="宋体"/>
      <w:kern w:val="2"/>
      <w:sz w:val="21"/>
      <w:lang w:val="en-US" w:eastAsia="zh-CN" w:bidi="ar-SA"/>
    </w:rPr>
  </w:style>
  <w:style w:type="character" w:customStyle="1" w:styleId="86">
    <w:name w:val="Char Char12"/>
    <w:qFormat/>
    <w:uiPriority w:val="0"/>
    <w:rPr>
      <w:rFonts w:ascii="仿宋_GB2312" w:eastAsia="仿宋_GB2312"/>
      <w:b/>
      <w:bCs/>
      <w:kern w:val="2"/>
      <w:sz w:val="24"/>
      <w:szCs w:val="24"/>
      <w:lang w:val="zh-CN"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Char Char41"/>
    <w:qFormat/>
    <w:uiPriority w:val="0"/>
    <w:rPr>
      <w:rFonts w:eastAsia="宋体"/>
      <w:b/>
      <w:sz w:val="24"/>
      <w:lang w:val="en-GB" w:eastAsia="zh-CN" w:bidi="ar-SA"/>
    </w:rPr>
  </w:style>
  <w:style w:type="character" w:customStyle="1" w:styleId="89">
    <w:name w:val="副标题 字符"/>
    <w:link w:val="37"/>
    <w:qFormat/>
    <w:uiPriority w:val="11"/>
    <w:rPr>
      <w:rFonts w:ascii="Arial" w:hAnsi="Arial" w:eastAsia="隶书"/>
      <w:b/>
      <w:bCs/>
      <w:kern w:val="28"/>
      <w:sz w:val="44"/>
      <w:szCs w:val="32"/>
      <w:lang w:val="en-US" w:eastAsia="zh-CN" w:bidi="ar-SA"/>
    </w:rPr>
  </w:style>
  <w:style w:type="character" w:customStyle="1" w:styleId="90">
    <w:name w:val="二级标题 Char Char"/>
    <w:qFormat/>
    <w:uiPriority w:val="0"/>
    <w:rPr>
      <w:rFonts w:ascii="宋体" w:hAnsi="宋体" w:eastAsia="宋体"/>
      <w:b/>
      <w:snapToGrid w:val="0"/>
      <w:kern w:val="2"/>
      <w:sz w:val="24"/>
      <w:szCs w:val="24"/>
      <w:lang w:val="en-US" w:eastAsia="zh-CN" w:bidi="ar-SA"/>
    </w:rPr>
  </w:style>
  <w:style w:type="character" w:customStyle="1" w:styleId="91">
    <w:name w:val="Document Map Char"/>
    <w:qFormat/>
    <w:uiPriority w:val="0"/>
    <w:rPr>
      <w:rFonts w:eastAsia="宋体"/>
      <w:kern w:val="2"/>
      <w:sz w:val="21"/>
      <w:szCs w:val="24"/>
      <w:lang w:val="en-US" w:eastAsia="zh-CN" w:bidi="ar-SA"/>
    </w:rPr>
  </w:style>
  <w:style w:type="character" w:customStyle="1" w:styleId="92">
    <w:name w:val="正文首行缩进两字 Char"/>
    <w:qFormat/>
    <w:uiPriority w:val="0"/>
    <w:rPr>
      <w:sz w:val="24"/>
      <w:szCs w:val="24"/>
      <w:lang w:val="en-US" w:eastAsia="zh-CN" w:bidi="ar-SA"/>
    </w:rPr>
  </w:style>
  <w:style w:type="character" w:customStyle="1" w:styleId="93">
    <w:name w:val="HTML 地址 Char1"/>
    <w:qFormat/>
    <w:uiPriority w:val="99"/>
    <w:rPr>
      <w:rFonts w:ascii="Times New Roman" w:hAnsi="Times New Roman" w:eastAsia="宋体" w:cs="Times New Roman"/>
      <w:i/>
      <w:iCs/>
      <w:szCs w:val="24"/>
    </w:rPr>
  </w:style>
  <w:style w:type="character" w:customStyle="1" w:styleId="94">
    <w:name w:val="正文2 Char Char"/>
    <w:link w:val="95"/>
    <w:qFormat/>
    <w:uiPriority w:val="0"/>
    <w:rPr>
      <w:rFonts w:eastAsia="宋体"/>
      <w:kern w:val="2"/>
      <w:sz w:val="24"/>
      <w:lang w:val="en-US" w:eastAsia="zh-CN" w:bidi="ar-SA"/>
    </w:rPr>
  </w:style>
  <w:style w:type="paragraph" w:customStyle="1" w:styleId="95">
    <w:name w:val="正文2"/>
    <w:basedOn w:val="1"/>
    <w:link w:val="94"/>
    <w:qFormat/>
    <w:uiPriority w:val="0"/>
    <w:pPr>
      <w:spacing w:before="156" w:line="360" w:lineRule="auto"/>
      <w:ind w:firstLine="510" w:firstLineChars="200"/>
    </w:pPr>
    <w:rPr>
      <w:sz w:val="24"/>
      <w:szCs w:val="20"/>
    </w:rPr>
  </w:style>
  <w:style w:type="character" w:customStyle="1" w:styleId="96">
    <w:name w:val="日期 Char1"/>
    <w:qFormat/>
    <w:uiPriority w:val="0"/>
    <w:rPr>
      <w:rFonts w:ascii="Times New Roman" w:hAnsi="Times New Roman" w:eastAsia="宋体" w:cs="Times New Roman"/>
      <w:szCs w:val="24"/>
    </w:rPr>
  </w:style>
  <w:style w:type="character" w:customStyle="1" w:styleId="97">
    <w:name w:val="哈哈正文 Char"/>
    <w:link w:val="98"/>
    <w:qFormat/>
    <w:uiPriority w:val="0"/>
    <w:rPr>
      <w:rFonts w:ascii="宋体" w:hAnsi="宋体" w:eastAsia="宋体"/>
      <w:kern w:val="2"/>
      <w:sz w:val="24"/>
      <w:lang w:bidi="ar-SA"/>
    </w:rPr>
  </w:style>
  <w:style w:type="paragraph" w:customStyle="1" w:styleId="98">
    <w:name w:val="哈哈正文"/>
    <w:basedOn w:val="1"/>
    <w:link w:val="97"/>
    <w:qFormat/>
    <w:uiPriority w:val="0"/>
    <w:pPr>
      <w:adjustRightInd/>
      <w:spacing w:line="360" w:lineRule="auto"/>
      <w:ind w:firstLine="200" w:firstLineChars="200"/>
    </w:pPr>
    <w:rPr>
      <w:rFonts w:ascii="宋体" w:hAnsi="宋体"/>
      <w:sz w:val="24"/>
      <w:szCs w:val="20"/>
    </w:rPr>
  </w:style>
  <w:style w:type="character" w:customStyle="1" w:styleId="99">
    <w:name w:val="HTML 预设格式 Char1"/>
    <w:qFormat/>
    <w:uiPriority w:val="0"/>
    <w:rPr>
      <w:rFonts w:ascii="Courier New" w:hAnsi="Courier New" w:eastAsia="宋体" w:cs="Courier New"/>
      <w:sz w:val="20"/>
      <w:szCs w:val="20"/>
    </w:rPr>
  </w:style>
  <w:style w:type="character" w:customStyle="1" w:styleId="100">
    <w:name w:val="tw4winJump"/>
    <w:qFormat/>
    <w:uiPriority w:val="0"/>
    <w:rPr>
      <w:rFonts w:ascii="Courier New" w:hAnsi="Courier New" w:cs="Courier New"/>
      <w:color w:val="008080"/>
      <w:lang w:val="en-US" w:eastAsia="zh-CN"/>
    </w:rPr>
  </w:style>
  <w:style w:type="character" w:customStyle="1" w:styleId="101">
    <w:name w:val="称呼 Char1"/>
    <w:qFormat/>
    <w:uiPriority w:val="99"/>
    <w:rPr>
      <w:rFonts w:ascii="Times New Roman" w:hAnsi="Times New Roman" w:eastAsia="宋体" w:cs="Times New Roman"/>
      <w:szCs w:val="24"/>
    </w:rPr>
  </w:style>
  <w:style w:type="character" w:customStyle="1" w:styleId="102">
    <w:name w:val="Char Char26"/>
    <w:qFormat/>
    <w:uiPriority w:val="6"/>
    <w:rPr>
      <w:kern w:val="1"/>
      <w:sz w:val="21"/>
      <w:szCs w:val="24"/>
    </w:rPr>
  </w:style>
  <w:style w:type="character" w:customStyle="1" w:styleId="103">
    <w:name w:val="批注框文本 字符"/>
    <w:link w:val="31"/>
    <w:qFormat/>
    <w:uiPriority w:val="99"/>
    <w:rPr>
      <w:kern w:val="2"/>
      <w:sz w:val="18"/>
      <w:szCs w:val="18"/>
    </w:rPr>
  </w:style>
  <w:style w:type="character" w:customStyle="1" w:styleId="104">
    <w:name w:val="正文段 Char"/>
    <w:link w:val="105"/>
    <w:qFormat/>
    <w:uiPriority w:val="0"/>
    <w:rPr>
      <w:sz w:val="24"/>
    </w:rPr>
  </w:style>
  <w:style w:type="paragraph" w:customStyle="1" w:styleId="105">
    <w:name w:val="正文段"/>
    <w:basedOn w:val="1"/>
    <w:link w:val="104"/>
    <w:qFormat/>
    <w:uiPriority w:val="0"/>
    <w:pPr>
      <w:widowControl/>
      <w:snapToGrid w:val="0"/>
      <w:spacing w:afterLines="50"/>
      <w:ind w:firstLine="200" w:firstLineChars="200"/>
    </w:pPr>
    <w:rPr>
      <w:kern w:val="0"/>
      <w:sz w:val="24"/>
      <w:szCs w:val="20"/>
    </w:rPr>
  </w:style>
  <w:style w:type="character" w:customStyle="1" w:styleId="106">
    <w:name w:val="仿宋正文 Char"/>
    <w:link w:val="107"/>
    <w:qFormat/>
    <w:uiPriority w:val="0"/>
    <w:rPr>
      <w:rFonts w:ascii="仿宋_GB2312" w:eastAsia="仿宋_GB2312"/>
      <w:kern w:val="2"/>
      <w:sz w:val="24"/>
      <w:lang w:val="en-US" w:eastAsia="zh-CN" w:bidi="ar-SA"/>
    </w:rPr>
  </w:style>
  <w:style w:type="paragraph" w:customStyle="1" w:styleId="107">
    <w:name w:val="仿宋正文"/>
    <w:basedOn w:val="1"/>
    <w:link w:val="106"/>
    <w:qFormat/>
    <w:uiPriority w:val="0"/>
    <w:pPr>
      <w:adjustRightInd/>
      <w:spacing w:line="360" w:lineRule="auto"/>
      <w:ind w:firstLine="480" w:firstLineChars="200"/>
    </w:pPr>
    <w:rPr>
      <w:rFonts w:ascii="仿宋_GB2312" w:eastAsia="仿宋_GB2312"/>
      <w:sz w:val="24"/>
      <w:szCs w:val="20"/>
    </w:rPr>
  </w:style>
  <w:style w:type="character" w:customStyle="1" w:styleId="108">
    <w:name w:val="Char Char14"/>
    <w:qFormat/>
    <w:uiPriority w:val="6"/>
    <w:rPr>
      <w:rFonts w:ascii="黑体" w:hAnsi="黑体" w:eastAsia="黑体"/>
    </w:rPr>
  </w:style>
  <w:style w:type="character" w:customStyle="1" w:styleId="109">
    <w:name w:val="正文缩进 字符"/>
    <w:link w:val="13"/>
    <w:qFormat/>
    <w:uiPriority w:val="0"/>
    <w:rPr>
      <w:rFonts w:ascii="宋体" w:eastAsia="宋体"/>
      <w:snapToGrid w:val="0"/>
      <w:color w:val="000000"/>
      <w:kern w:val="28"/>
      <w:sz w:val="28"/>
      <w:lang w:val="en-US" w:eastAsia="zh-CN" w:bidi="ar-SA"/>
    </w:rPr>
  </w:style>
  <w:style w:type="character" w:customStyle="1" w:styleId="110">
    <w:name w:val="日期 字符"/>
    <w:link w:val="29"/>
    <w:qFormat/>
    <w:uiPriority w:val="0"/>
    <w:rPr>
      <w:rFonts w:ascii="宋体"/>
      <w:kern w:val="2"/>
      <w:sz w:val="24"/>
      <w:szCs w:val="21"/>
      <w:lang w:val="zh-CN"/>
    </w:rPr>
  </w:style>
  <w:style w:type="character" w:customStyle="1" w:styleId="111">
    <w:name w:val="Char Char30"/>
    <w:qFormat/>
    <w:uiPriority w:val="6"/>
    <w:rPr>
      <w:rFonts w:ascii="Arial" w:hAnsi="Arial" w:eastAsia="黑体"/>
      <w:kern w:val="1"/>
      <w:sz w:val="21"/>
      <w:szCs w:val="21"/>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标题 4 字符"/>
    <w:link w:val="5"/>
    <w:qFormat/>
    <w:uiPriority w:val="9"/>
    <w:rPr>
      <w:rFonts w:ascii="Arial" w:hAnsi="Arial" w:eastAsia="黑体"/>
      <w:b/>
      <w:bCs/>
      <w:kern w:val="2"/>
      <w:sz w:val="28"/>
      <w:szCs w:val="28"/>
      <w:lang w:val="zh-CN"/>
    </w:rPr>
  </w:style>
  <w:style w:type="character" w:customStyle="1" w:styleId="114">
    <w:name w:val="标题 9 字符"/>
    <w:link w:val="10"/>
    <w:qFormat/>
    <w:uiPriority w:val="9"/>
    <w:rPr>
      <w:rFonts w:ascii="Arial" w:hAnsi="Arial" w:eastAsia="黑体"/>
      <w:kern w:val="2"/>
      <w:sz w:val="21"/>
      <w:szCs w:val="21"/>
    </w:rPr>
  </w:style>
  <w:style w:type="character" w:customStyle="1" w:styleId="115">
    <w:name w:val="普通文字 Char1"/>
    <w:qFormat/>
    <w:uiPriority w:val="0"/>
    <w:rPr>
      <w:rFonts w:ascii="宋体" w:hAnsi="Courier New" w:eastAsia="宋体"/>
      <w:kern w:val="2"/>
      <w:sz w:val="21"/>
      <w:lang w:val="en-US" w:eastAsia="zh-CN"/>
    </w:rPr>
  </w:style>
  <w:style w:type="character" w:customStyle="1" w:styleId="116">
    <w:name w:val="px14"/>
    <w:qFormat/>
    <w:uiPriority w:val="0"/>
    <w:rPr>
      <w:rFonts w:ascii="仿宋_GB2312" w:eastAsia="微软雅黑" w:cs="Times New Roman"/>
      <w:b/>
      <w:kern w:val="2"/>
      <w:sz w:val="32"/>
      <w:szCs w:val="32"/>
      <w:lang w:val="en-US" w:eastAsia="zh-CN" w:bidi="ar-SA"/>
    </w:rPr>
  </w:style>
  <w:style w:type="character" w:customStyle="1" w:styleId="117">
    <w:name w:val="myp1111"/>
    <w:qFormat/>
    <w:uiPriority w:val="0"/>
    <w:rPr>
      <w:rFonts w:hint="default" w:ascii="ˎ̥" w:hAnsi="ˎ̥"/>
      <w:color w:val="000000"/>
      <w:sz w:val="20"/>
      <w:szCs w:val="20"/>
      <w:u w:val="none"/>
    </w:rPr>
  </w:style>
  <w:style w:type="character" w:customStyle="1" w:styleId="118">
    <w:name w:val="正文首行缩进 Char Char Char Char Char Char"/>
    <w:qFormat/>
    <w:uiPriority w:val="0"/>
    <w:rPr>
      <w:rFonts w:ascii="宋体" w:eastAsia="宋体"/>
      <w:kern w:val="2"/>
      <w:sz w:val="24"/>
      <w:lang w:val="zh-CN" w:bidi="ar-SA"/>
    </w:rPr>
  </w:style>
  <w:style w:type="character" w:customStyle="1" w:styleId="119">
    <w:name w:val="tw4winMark"/>
    <w:qFormat/>
    <w:uiPriority w:val="0"/>
    <w:rPr>
      <w:rFonts w:ascii="Courier New" w:hAnsi="Courier New" w:cs="Courier New"/>
      <w:vanish/>
      <w:color w:val="800080"/>
      <w:sz w:val="24"/>
      <w:szCs w:val="24"/>
      <w:vertAlign w:val="subscript"/>
    </w:rPr>
  </w:style>
  <w:style w:type="character" w:customStyle="1" w:styleId="120">
    <w:name w:val="正文文本首行缩进 2 字符"/>
    <w:link w:val="121"/>
    <w:qFormat/>
    <w:uiPriority w:val="0"/>
    <w:rPr>
      <w:rFonts w:ascii="宋体" w:hAnsi="宋体"/>
      <w:kern w:val="2"/>
      <w:sz w:val="21"/>
      <w:szCs w:val="24"/>
    </w:rPr>
  </w:style>
  <w:style w:type="paragraph" w:customStyle="1" w:styleId="121">
    <w:name w:val="正文文本首行缩进 21"/>
    <w:basedOn w:val="21"/>
    <w:link w:val="120"/>
    <w:qFormat/>
    <w:uiPriority w:val="0"/>
    <w:pPr>
      <w:adjustRightInd/>
      <w:spacing w:after="120" w:line="240" w:lineRule="auto"/>
      <w:ind w:left="420" w:leftChars="200" w:firstLine="210"/>
    </w:pPr>
    <w:rPr>
      <w:sz w:val="21"/>
    </w:rPr>
  </w:style>
  <w:style w:type="character" w:customStyle="1" w:styleId="122">
    <w:name w:val="Char Char51"/>
    <w:qFormat/>
    <w:uiPriority w:val="0"/>
    <w:rPr>
      <w:rFonts w:ascii="宋体" w:hAnsi="Courier New" w:eastAsia="宋体"/>
      <w:kern w:val="2"/>
      <w:sz w:val="21"/>
      <w:lang w:val="en-US" w:eastAsia="zh-CN"/>
    </w:rPr>
  </w:style>
  <w:style w:type="character" w:customStyle="1" w:styleId="123">
    <w:name w:val="页脚 字符"/>
    <w:link w:val="32"/>
    <w:qFormat/>
    <w:uiPriority w:val="99"/>
    <w:rPr>
      <w:rFonts w:eastAsia="宋体"/>
      <w:kern w:val="2"/>
      <w:sz w:val="18"/>
      <w:szCs w:val="18"/>
      <w:lang w:val="en-US" w:eastAsia="zh-CN" w:bidi="ar-SA"/>
    </w:rPr>
  </w:style>
  <w:style w:type="character" w:customStyle="1" w:styleId="124">
    <w:name w:val="样式4 Char"/>
    <w:qFormat/>
    <w:uiPriority w:val="0"/>
    <w:rPr>
      <w:rFonts w:ascii="仿宋_GB2312" w:hAnsi="仿宋" w:eastAsia="仿宋_GB2312"/>
      <w:b/>
      <w:kern w:val="2"/>
      <w:sz w:val="32"/>
      <w:szCs w:val="32"/>
      <w:lang w:bidi="ar-SA"/>
    </w:rPr>
  </w:style>
  <w:style w:type="character" w:customStyle="1" w:styleId="125">
    <w:name w:val="文档结构图 字符"/>
    <w:link w:val="16"/>
    <w:qFormat/>
    <w:uiPriority w:val="6"/>
    <w:rPr>
      <w:rFonts w:ascii="Arial" w:hAnsi="Arial" w:eastAsia="黑体" w:cs="Arial"/>
      <w:snapToGrid w:val="0"/>
      <w:kern w:val="2"/>
      <w:sz w:val="21"/>
      <w:szCs w:val="24"/>
      <w:shd w:val="clear" w:color="auto" w:fill="000080"/>
    </w:rPr>
  </w:style>
  <w:style w:type="character" w:customStyle="1" w:styleId="126">
    <w:name w:val="b11_01b Char"/>
    <w:link w:val="127"/>
    <w:qFormat/>
    <w:uiPriority w:val="0"/>
    <w:rPr>
      <w:rFonts w:ascii="Verdana" w:hAnsi="Verdana"/>
      <w:b/>
      <w:bCs/>
      <w:color w:val="4A82CA"/>
      <w:sz w:val="17"/>
      <w:szCs w:val="17"/>
    </w:rPr>
  </w:style>
  <w:style w:type="paragraph" w:customStyle="1" w:styleId="127">
    <w:name w:val="b11_01b"/>
    <w:basedOn w:val="1"/>
    <w:next w:val="1"/>
    <w:link w:val="12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8">
    <w:name w:val="t21"/>
    <w:qFormat/>
    <w:uiPriority w:val="0"/>
    <w:rPr>
      <w:rFonts w:ascii="仿宋_GB2312" w:eastAsia="微软雅黑"/>
      <w:b/>
      <w:kern w:val="2"/>
      <w:sz w:val="23"/>
      <w:szCs w:val="23"/>
      <w:lang w:val="en-US" w:eastAsia="zh-CN" w:bidi="ar-SA"/>
    </w:rPr>
  </w:style>
  <w:style w:type="character" w:customStyle="1" w:styleId="129">
    <w:name w:val="正文缩进 Char1"/>
    <w:qFormat/>
    <w:uiPriority w:val="0"/>
    <w:rPr>
      <w:rFonts w:ascii="宋体" w:eastAsia="宋体"/>
      <w:snapToGrid w:val="0"/>
      <w:color w:val="000000"/>
      <w:kern w:val="28"/>
      <w:sz w:val="28"/>
      <w:lang w:val="en-US" w:eastAsia="zh-CN" w:bidi="ar-SA"/>
    </w:rPr>
  </w:style>
  <w:style w:type="character" w:customStyle="1" w:styleId="130">
    <w:name w:val="正文文本首行缩进 字符"/>
    <w:link w:val="131"/>
    <w:qFormat/>
    <w:uiPriority w:val="0"/>
    <w:rPr>
      <w:rFonts w:ascii="宋体"/>
      <w:kern w:val="2"/>
      <w:sz w:val="24"/>
      <w:lang w:val="zh-CN"/>
    </w:rPr>
  </w:style>
  <w:style w:type="paragraph" w:customStyle="1" w:styleId="131">
    <w:name w:val="正文文本首行缩进1"/>
    <w:basedOn w:val="20"/>
    <w:link w:val="130"/>
    <w:qFormat/>
    <w:uiPriority w:val="0"/>
    <w:pPr>
      <w:ind w:firstLine="420"/>
    </w:pPr>
    <w:rPr>
      <w:rFonts w:hAnsi="Times New Roman" w:eastAsia="宋体"/>
      <w:snapToGrid/>
      <w:szCs w:val="20"/>
    </w:rPr>
  </w:style>
  <w:style w:type="character" w:customStyle="1" w:styleId="132">
    <w:name w:val="正文文本缩进 3 字符"/>
    <w:link w:val="42"/>
    <w:qFormat/>
    <w:uiPriority w:val="0"/>
    <w:rPr>
      <w:kern w:val="2"/>
      <w:sz w:val="24"/>
    </w:rPr>
  </w:style>
  <w:style w:type="character" w:customStyle="1" w:styleId="133">
    <w:name w:val="Char Char311"/>
    <w:qFormat/>
    <w:uiPriority w:val="0"/>
    <w:rPr>
      <w:rFonts w:eastAsia="宋体"/>
      <w:kern w:val="2"/>
      <w:sz w:val="21"/>
      <w:szCs w:val="24"/>
      <w:lang w:val="en-US" w:eastAsia="zh-CN" w:bidi="ar-SA"/>
    </w:rPr>
  </w:style>
  <w:style w:type="character" w:customStyle="1" w:styleId="134">
    <w:name w:val="Used by Word for text of Help footnotes Char Char"/>
    <w:qFormat/>
    <w:uiPriority w:val="0"/>
    <w:rPr>
      <w:rFonts w:ascii="Times New Roman" w:hAnsi="Times New Roman" w:eastAsia="宋体" w:cs="Times New Roman"/>
      <w:sz w:val="20"/>
      <w:szCs w:val="20"/>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Char Char33"/>
    <w:qFormat/>
    <w:uiPriority w:val="6"/>
    <w:rPr>
      <w:rFonts w:ascii="Arial" w:hAnsi="Arial" w:eastAsia="黑体"/>
      <w:b/>
      <w:kern w:val="1"/>
      <w:sz w:val="24"/>
      <w:szCs w:val="24"/>
    </w:rPr>
  </w:style>
  <w:style w:type="character" w:customStyle="1" w:styleId="137">
    <w:name w:val="Bold"/>
    <w:qFormat/>
    <w:uiPriority w:val="0"/>
    <w:rPr>
      <w:rFonts w:ascii="Arial" w:hAnsi="Arial" w:eastAsia="黑体" w:cs="Times New Roman"/>
      <w:b/>
      <w:kern w:val="2"/>
      <w:sz w:val="32"/>
      <w:szCs w:val="32"/>
      <w:lang w:val="en-US" w:eastAsia="zh-CN" w:bidi="ar-SA"/>
    </w:rPr>
  </w:style>
  <w:style w:type="character" w:customStyle="1" w:styleId="138">
    <w:name w:val="批注文字 Char1"/>
    <w:qFormat/>
    <w:uiPriority w:val="99"/>
    <w:rPr>
      <w:rFonts w:ascii="Times New Roman" w:hAnsi="Times New Roman" w:eastAsia="宋体" w:cs="Times New Roman"/>
      <w:snapToGrid w:val="0"/>
      <w:kern w:val="0"/>
      <w:szCs w:val="24"/>
    </w:rPr>
  </w:style>
  <w:style w:type="character" w:customStyle="1" w:styleId="139">
    <w:name w:val="Ò³Ã¼ Char Char1"/>
    <w:qFormat/>
    <w:uiPriority w:val="0"/>
    <w:rPr>
      <w:rFonts w:eastAsia="宋体"/>
      <w:kern w:val="2"/>
      <w:sz w:val="18"/>
      <w:szCs w:val="18"/>
      <w:lang w:val="en-US" w:eastAsia="zh-CN" w:bidi="ar-SA"/>
    </w:rPr>
  </w:style>
  <w:style w:type="character" w:customStyle="1" w:styleId="140">
    <w:name w:val="md"/>
    <w:basedOn w:val="50"/>
    <w:qFormat/>
    <w:uiPriority w:val="0"/>
  </w:style>
  <w:style w:type="character" w:customStyle="1" w:styleId="141">
    <w:name w:val="Char Char37"/>
    <w:qFormat/>
    <w:uiPriority w:val="6"/>
    <w:rPr>
      <w:b/>
      <w:kern w:val="1"/>
      <w:sz w:val="44"/>
      <w:szCs w:val="44"/>
    </w:rPr>
  </w:style>
  <w:style w:type="character" w:customStyle="1" w:styleId="142">
    <w:name w:val="样式 标题 4h4H4Fab-4T5Ref Heading 1rh1Heading sqlsect 1.2.3.... Char"/>
    <w:link w:val="80"/>
    <w:qFormat/>
    <w:uiPriority w:val="0"/>
    <w:rPr>
      <w:rFonts w:ascii="微软雅黑" w:hAnsi="微软雅黑" w:eastAsia="微软雅黑"/>
      <w:b/>
      <w:bCs/>
      <w:kern w:val="2"/>
      <w:sz w:val="24"/>
      <w:szCs w:val="28"/>
    </w:rPr>
  </w:style>
  <w:style w:type="character" w:customStyle="1" w:styleId="143">
    <w:name w:val="样式6 Char"/>
    <w:qFormat/>
    <w:uiPriority w:val="0"/>
    <w:rPr>
      <w:rFonts w:ascii="仿宋_GB2312" w:hAnsi="宋体" w:eastAsia="仿宋_GB2312"/>
      <w:b/>
      <w:bCs/>
      <w:kern w:val="2"/>
      <w:sz w:val="24"/>
      <w:szCs w:val="24"/>
      <w:lang w:val="en-US" w:eastAsia="zh-CN" w:bidi="ar-SA"/>
    </w:rPr>
  </w:style>
  <w:style w:type="character" w:customStyle="1" w:styleId="144">
    <w:name w:val="样式8 Char"/>
    <w:qFormat/>
    <w:uiPriority w:val="0"/>
    <w:rPr>
      <w:rFonts w:ascii="仿宋_GB2312" w:hAnsi="宋体" w:eastAsia="仿宋_GB2312"/>
      <w:b/>
      <w:bCs/>
      <w:kern w:val="2"/>
      <w:sz w:val="24"/>
      <w:szCs w:val="24"/>
    </w:rPr>
  </w:style>
  <w:style w:type="character" w:customStyle="1" w:styleId="145">
    <w:name w:val="标题 3 字符"/>
    <w:link w:val="4"/>
    <w:qFormat/>
    <w:uiPriority w:val="9"/>
    <w:rPr>
      <w:b/>
      <w:bCs/>
      <w:kern w:val="2"/>
      <w:sz w:val="32"/>
      <w:szCs w:val="32"/>
    </w:rPr>
  </w:style>
  <w:style w:type="character" w:customStyle="1" w:styleId="146">
    <w:name w:val="c7 style3"/>
    <w:qFormat/>
    <w:uiPriority w:val="0"/>
  </w:style>
  <w:style w:type="character" w:customStyle="1" w:styleId="147">
    <w:name w:val="Char Char5"/>
    <w:qFormat/>
    <w:uiPriority w:val="0"/>
    <w:rPr>
      <w:rFonts w:ascii="宋体" w:hAnsi="Courier New" w:eastAsia="宋体"/>
      <w:kern w:val="2"/>
      <w:sz w:val="21"/>
      <w:lang w:val="en-US" w:eastAsia="zh-CN"/>
    </w:rPr>
  </w:style>
  <w:style w:type="character" w:customStyle="1" w:styleId="148">
    <w:name w:val="Font Style82"/>
    <w:qFormat/>
    <w:uiPriority w:val="99"/>
    <w:rPr>
      <w:rFonts w:ascii="宋体" w:eastAsia="宋体" w:cs="宋体"/>
      <w:color w:val="000000"/>
      <w:sz w:val="14"/>
      <w:szCs w:val="14"/>
    </w:rPr>
  </w:style>
  <w:style w:type="character" w:customStyle="1" w:styleId="149">
    <w:name w:val="tw4winInternal"/>
    <w:qFormat/>
    <w:uiPriority w:val="0"/>
    <w:rPr>
      <w:rFonts w:ascii="Courier New" w:hAnsi="Courier New" w:cs="Courier New"/>
      <w:color w:val="FF0000"/>
      <w:lang w:val="en-US" w:eastAsia="zh-CN"/>
    </w:rPr>
  </w:style>
  <w:style w:type="character" w:customStyle="1" w:styleId="150">
    <w:name w:val="纯文本 字符1"/>
    <w:link w:val="27"/>
    <w:qFormat/>
    <w:uiPriority w:val="0"/>
    <w:rPr>
      <w:rFonts w:ascii="宋体" w:hAnsi="Courier New" w:eastAsia="黑体" w:cs="Arial"/>
      <w:snapToGrid w:val="0"/>
      <w:kern w:val="2"/>
      <w:sz w:val="21"/>
      <w:szCs w:val="21"/>
    </w:rPr>
  </w:style>
  <w:style w:type="character" w:customStyle="1" w:styleId="151">
    <w:name w:val="正文1 Char"/>
    <w:qFormat/>
    <w:uiPriority w:val="0"/>
    <w:rPr>
      <w:rFonts w:ascii="宋体" w:eastAsia="宋体"/>
      <w:snapToGrid w:val="0"/>
      <w:color w:val="000000"/>
      <w:kern w:val="28"/>
      <w:sz w:val="28"/>
      <w:lang w:val="en-US" w:eastAsia="zh-CN" w:bidi="ar-SA"/>
    </w:rPr>
  </w:style>
  <w:style w:type="character" w:customStyle="1" w:styleId="152">
    <w:name w:val="shadow11"/>
    <w:qFormat/>
    <w:uiPriority w:val="0"/>
    <w:rPr>
      <w:color w:val="000000"/>
      <w:sz w:val="21"/>
    </w:rPr>
  </w:style>
  <w:style w:type="character" w:customStyle="1" w:styleId="153">
    <w:name w:val="Char Char71"/>
    <w:qFormat/>
    <w:uiPriority w:val="0"/>
    <w:rPr>
      <w:rFonts w:eastAsia="宋体"/>
      <w:kern w:val="2"/>
      <w:sz w:val="21"/>
      <w:szCs w:val="24"/>
      <w:lang w:val="en-US" w:eastAsia="zh-CN" w:bidi="ar-SA"/>
    </w:rPr>
  </w:style>
  <w:style w:type="character" w:customStyle="1" w:styleId="154">
    <w:name w:val="tw4winError"/>
    <w:qFormat/>
    <w:uiPriority w:val="0"/>
    <w:rPr>
      <w:rFonts w:ascii="Courier New" w:hAnsi="Courier New" w:cs="Courier New"/>
      <w:color w:val="00FF00"/>
      <w:sz w:val="40"/>
      <w:szCs w:val="40"/>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Char Char19"/>
    <w:qFormat/>
    <w:uiPriority w:val="6"/>
    <w:rPr>
      <w:rFonts w:ascii="宋体" w:hAnsi="宋体"/>
      <w:i/>
      <w:sz w:val="24"/>
      <w:szCs w:val="24"/>
    </w:rPr>
  </w:style>
  <w:style w:type="character" w:customStyle="1" w:styleId="157">
    <w:name w:val="Char Char28"/>
    <w:qFormat/>
    <w:uiPriority w:val="6"/>
    <w:rPr>
      <w:rFonts w:ascii="仿宋_GB2312" w:hAnsi="仿宋_GB2312" w:eastAsia="仿宋_GB2312"/>
      <w:kern w:val="1"/>
      <w:sz w:val="28"/>
    </w:rPr>
  </w:style>
  <w:style w:type="character" w:customStyle="1" w:styleId="158">
    <w:name w:val="pt9"/>
    <w:qFormat/>
    <w:uiPriority w:val="0"/>
    <w:rPr>
      <w:rFonts w:ascii="仿宋_GB2312" w:eastAsia="微软雅黑"/>
      <w:b/>
      <w:kern w:val="2"/>
      <w:sz w:val="32"/>
      <w:szCs w:val="32"/>
      <w:lang w:val="en-US" w:eastAsia="zh-CN" w:bidi="ar-SA"/>
    </w:rPr>
  </w:style>
  <w:style w:type="character" w:customStyle="1" w:styleId="159">
    <w:name w:val="标题 1 字符"/>
    <w:link w:val="3"/>
    <w:qFormat/>
    <w:uiPriority w:val="9"/>
    <w:rPr>
      <w:b/>
      <w:bCs/>
      <w:kern w:val="44"/>
      <w:sz w:val="44"/>
      <w:szCs w:val="44"/>
    </w:rPr>
  </w:style>
  <w:style w:type="character" w:customStyle="1" w:styleId="160">
    <w:name w:val="正文2 Char"/>
    <w:qFormat/>
    <w:uiPriority w:val="0"/>
    <w:rPr>
      <w:rFonts w:eastAsia="宋体"/>
      <w:kern w:val="2"/>
      <w:sz w:val="24"/>
      <w:lang w:val="en-US" w:eastAsia="zh-CN" w:bidi="ar-SA"/>
    </w:rPr>
  </w:style>
  <w:style w:type="character" w:customStyle="1" w:styleId="161">
    <w:name w:val="普通文字 Char3"/>
    <w:qFormat/>
    <w:uiPriority w:val="0"/>
    <w:rPr>
      <w:rFonts w:ascii="宋体" w:hAnsi="Courier New" w:eastAsia="宋体"/>
      <w:kern w:val="2"/>
      <w:sz w:val="21"/>
      <w:lang w:val="en-US" w:eastAsia="zh-CN" w:bidi="ar-SA"/>
    </w:rPr>
  </w:style>
  <w:style w:type="character" w:customStyle="1" w:styleId="162">
    <w:name w:val="h Char Char"/>
    <w:qFormat/>
    <w:uiPriority w:val="0"/>
    <w:rPr>
      <w:rFonts w:eastAsia="宋体"/>
      <w:kern w:val="2"/>
      <w:sz w:val="18"/>
      <w:lang w:val="en-US" w:eastAsia="zh-CN" w:bidi="ar-SA"/>
    </w:rPr>
  </w:style>
  <w:style w:type="character" w:customStyle="1" w:styleId="163">
    <w:name w:val="页眉 字符"/>
    <w:link w:val="33"/>
    <w:qFormat/>
    <w:uiPriority w:val="99"/>
    <w:rPr>
      <w:rFonts w:ascii="仿宋" w:hAnsi="仿宋" w:eastAsia="仿宋"/>
      <w:i/>
      <w:snapToGrid w:val="0"/>
      <w:kern w:val="2"/>
      <w:sz w:val="18"/>
      <w:szCs w:val="18"/>
      <w:u w:val="single"/>
      <w:lang w:val="en-GB"/>
    </w:rPr>
  </w:style>
  <w:style w:type="character" w:customStyle="1" w:styleId="164">
    <w:name w:val="mdeck"/>
    <w:qFormat/>
    <w:uiPriority w:val="0"/>
    <w:rPr>
      <w:rFonts w:ascii="仿宋_GB2312" w:eastAsia="微软雅黑"/>
      <w:b/>
      <w:kern w:val="2"/>
      <w:sz w:val="32"/>
      <w:szCs w:val="32"/>
      <w:lang w:val="en-US" w:eastAsia="zh-CN" w:bidi="ar-SA"/>
    </w:rPr>
  </w:style>
  <w:style w:type="character" w:customStyle="1" w:styleId="165">
    <w:name w:val="标题4-dyf Char"/>
    <w:link w:val="166"/>
    <w:qFormat/>
    <w:uiPriority w:val="0"/>
    <w:rPr>
      <w:rFonts w:ascii="Cambria" w:hAnsi="Cambria"/>
      <w:b/>
      <w:bCs/>
      <w:color w:val="000000"/>
      <w:kern w:val="2"/>
      <w:sz w:val="21"/>
      <w:szCs w:val="21"/>
    </w:rPr>
  </w:style>
  <w:style w:type="paragraph" w:customStyle="1" w:styleId="166">
    <w:name w:val="标题4-dyf"/>
    <w:basedOn w:val="5"/>
    <w:link w:val="16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7">
    <w:name w:val="style91"/>
    <w:qFormat/>
    <w:uiPriority w:val="0"/>
    <w:rPr>
      <w:color w:val="333333"/>
    </w:rPr>
  </w:style>
  <w:style w:type="character" w:customStyle="1" w:styleId="168">
    <w:name w:val="公文正文 Char"/>
    <w:qFormat/>
    <w:uiPriority w:val="0"/>
    <w:rPr>
      <w:rFonts w:ascii="仿宋_GB2312" w:eastAsia="仿宋_GB2312"/>
      <w:kern w:val="2"/>
      <w:sz w:val="24"/>
      <w:szCs w:val="24"/>
      <w:lang w:val="en-US" w:eastAsia="zh-CN" w:bidi="ar-SA"/>
    </w:rPr>
  </w:style>
  <w:style w:type="character" w:customStyle="1" w:styleId="169">
    <w:name w:val="正文 项目 Char"/>
    <w:qFormat/>
    <w:uiPriority w:val="0"/>
    <w:rPr>
      <w:rFonts w:ascii="仿宋_GB2312" w:hAnsi="仿宋_GB2312" w:eastAsia="仿宋_GB2312"/>
      <w:kern w:val="2"/>
      <w:sz w:val="24"/>
      <w:lang w:bidi="ar-SA"/>
    </w:rPr>
  </w:style>
  <w:style w:type="character" w:customStyle="1" w:styleId="170">
    <w:name w:val="f141"/>
    <w:qFormat/>
    <w:uiPriority w:val="0"/>
    <w:rPr>
      <w:rFonts w:ascii="Tahoma" w:hAnsi="Tahoma" w:eastAsia="宋体"/>
      <w:b/>
      <w:kern w:val="2"/>
      <w:sz w:val="21"/>
      <w:szCs w:val="21"/>
      <w:lang w:val="en-US" w:eastAsia="zh-CN" w:bidi="ar-SA"/>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Char Char17"/>
    <w:qFormat/>
    <w:uiPriority w:val="6"/>
    <w:rPr>
      <w:rFonts w:eastAsia="仿宋_GB2312"/>
      <w:sz w:val="24"/>
    </w:rPr>
  </w:style>
  <w:style w:type="character" w:customStyle="1" w:styleId="174">
    <w:name w:val="页眉 Char"/>
    <w:qFormat/>
    <w:uiPriority w:val="99"/>
    <w:rPr>
      <w:rFonts w:eastAsia="仿宋_GB2312"/>
      <w:kern w:val="2"/>
      <w:sz w:val="18"/>
      <w:lang w:val="en-US" w:eastAsia="zh-CN"/>
    </w:rPr>
  </w:style>
  <w:style w:type="character" w:customStyle="1" w:styleId="175">
    <w:name w:val="Header Char_d4b1c253-a30e-432c-adeb-63682d892f75"/>
    <w:qFormat/>
    <w:uiPriority w:val="0"/>
    <w:rPr>
      <w:rFonts w:eastAsia="宋体"/>
      <w:kern w:val="2"/>
      <w:sz w:val="18"/>
      <w:szCs w:val="18"/>
      <w:lang w:val="en-US" w:eastAsia="zh-CN" w:bidi="ar-SA"/>
    </w:rPr>
  </w:style>
  <w:style w:type="character" w:customStyle="1" w:styleId="176">
    <w:name w:val="标题 6 字符"/>
    <w:link w:val="7"/>
    <w:qFormat/>
    <w:uiPriority w:val="9"/>
    <w:rPr>
      <w:rFonts w:ascii="Arial" w:hAnsi="Arial" w:eastAsia="黑体"/>
      <w:b/>
      <w:bCs/>
      <w:kern w:val="2"/>
      <w:sz w:val="24"/>
      <w:szCs w:val="24"/>
    </w:rPr>
  </w:style>
  <w:style w:type="character" w:customStyle="1" w:styleId="177">
    <w:name w:val="Char Char18"/>
    <w:qFormat/>
    <w:uiPriority w:val="6"/>
    <w:rPr>
      <w:rFonts w:ascii="宋体" w:hAnsi="宋体"/>
      <w:sz w:val="28"/>
    </w:rPr>
  </w:style>
  <w:style w:type="character" w:customStyle="1" w:styleId="178">
    <w:name w:val="Char Char16"/>
    <w:qFormat/>
    <w:uiPriority w:val="6"/>
    <w:rPr>
      <w:kern w:val="1"/>
      <w:sz w:val="18"/>
      <w:szCs w:val="18"/>
    </w:rPr>
  </w:style>
  <w:style w:type="character" w:customStyle="1" w:styleId="179">
    <w:name w:val="标准正文格式 Char"/>
    <w:qFormat/>
    <w:uiPriority w:val="0"/>
    <w:rPr>
      <w:rFonts w:ascii="宋体" w:eastAsia="仿宋_GB2312" w:cs="宋体"/>
      <w:color w:val="000000"/>
      <w:sz w:val="24"/>
      <w:lang w:val="en-US" w:eastAsia="zh-CN" w:bidi="ar-SA"/>
    </w:rPr>
  </w:style>
  <w:style w:type="character" w:customStyle="1" w:styleId="180">
    <w:name w:val="标题 Char"/>
    <w:qFormat/>
    <w:uiPriority w:val="0"/>
    <w:rPr>
      <w:rFonts w:eastAsia="宋体"/>
      <w:b/>
      <w:sz w:val="24"/>
      <w:lang w:val="en-GB" w:eastAsia="zh-CN" w:bidi="ar-SA"/>
    </w:rPr>
  </w:style>
  <w:style w:type="character" w:customStyle="1" w:styleId="181">
    <w:name w:val="tw4winTerm"/>
    <w:qFormat/>
    <w:uiPriority w:val="0"/>
    <w:rPr>
      <w:color w:val="0000FF"/>
    </w:rPr>
  </w:style>
  <w:style w:type="character" w:customStyle="1" w:styleId="182">
    <w:name w:val="h3 Char"/>
    <w:qFormat/>
    <w:uiPriority w:val="0"/>
    <w:rPr>
      <w:rFonts w:eastAsia="宋体"/>
      <w:b/>
      <w:kern w:val="2"/>
      <w:sz w:val="32"/>
      <w:lang w:val="en-US" w:eastAsia="zh-CN" w:bidi="ar-SA"/>
    </w:rPr>
  </w:style>
  <w:style w:type="character" w:customStyle="1" w:styleId="183">
    <w:name w:val="Balloon Text Char"/>
    <w:qFormat/>
    <w:uiPriority w:val="0"/>
    <w:rPr>
      <w:rFonts w:eastAsia="宋体"/>
      <w:kern w:val="2"/>
      <w:sz w:val="18"/>
      <w:szCs w:val="18"/>
      <w:lang w:val="en-US" w:eastAsia="zh-CN" w:bidi="ar-SA"/>
    </w:rPr>
  </w:style>
  <w:style w:type="character" w:customStyle="1" w:styleId="184">
    <w:name w:val="unnamed11"/>
    <w:qFormat/>
    <w:uiPriority w:val="0"/>
    <w:rPr>
      <w:sz w:val="20"/>
      <w:szCs w:val="20"/>
    </w:rPr>
  </w:style>
  <w:style w:type="character" w:customStyle="1" w:styleId="185">
    <w:name w:val="样式 正文缩进 + 首行缩进:  2 字符 Char Char"/>
    <w:link w:val="186"/>
    <w:qFormat/>
    <w:uiPriority w:val="0"/>
    <w:rPr>
      <w:rFonts w:ascii="Arial" w:hAnsi="Arial" w:eastAsia="黑体" w:cs="宋体"/>
      <w:snapToGrid w:val="0"/>
      <w:kern w:val="2"/>
      <w:sz w:val="24"/>
      <w:szCs w:val="21"/>
    </w:rPr>
  </w:style>
  <w:style w:type="paragraph" w:customStyle="1" w:styleId="186">
    <w:name w:val="样式 正文缩进 + 首行缩进:  2 字符"/>
    <w:basedOn w:val="13"/>
    <w:link w:val="185"/>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7">
    <w:name w:val="带编号样式 Char"/>
    <w:qFormat/>
    <w:uiPriority w:val="0"/>
    <w:rPr>
      <w:rFonts w:ascii="仿宋_GB2312" w:eastAsia="仿宋_GB2312"/>
      <w:color w:val="000000"/>
      <w:sz w:val="24"/>
      <w:lang w:bidi="ar-SA"/>
    </w:rPr>
  </w:style>
  <w:style w:type="character" w:customStyle="1" w:styleId="188">
    <w:name w:val="Footer-Even Char"/>
    <w:qFormat/>
    <w:uiPriority w:val="0"/>
    <w:rPr>
      <w:rFonts w:eastAsia="宋体"/>
      <w:kern w:val="2"/>
      <w:sz w:val="18"/>
      <w:lang w:val="en-US" w:eastAsia="zh-CN" w:bidi="ar-SA"/>
    </w:rPr>
  </w:style>
  <w:style w:type="character" w:customStyle="1" w:styleId="189">
    <w:name w:val="标题 5 字符"/>
    <w:link w:val="6"/>
    <w:qFormat/>
    <w:uiPriority w:val="9"/>
    <w:rPr>
      <w:b/>
      <w:bCs/>
      <w:kern w:val="2"/>
      <w:sz w:val="28"/>
      <w:szCs w:val="28"/>
    </w:rPr>
  </w:style>
  <w:style w:type="character" w:customStyle="1" w:styleId="190">
    <w:name w:val="Char Char31"/>
    <w:qFormat/>
    <w:uiPriority w:val="6"/>
    <w:rPr>
      <w:rFonts w:ascii="Arial" w:hAnsi="Arial" w:eastAsia="黑体"/>
      <w:kern w:val="1"/>
      <w:sz w:val="24"/>
      <w:szCs w:val="24"/>
    </w:rPr>
  </w:style>
  <w:style w:type="character" w:customStyle="1" w:styleId="191">
    <w:name w:val="链接"/>
    <w:qFormat/>
    <w:uiPriority w:val="0"/>
    <w:rPr>
      <w:color w:val="0000FF"/>
      <w:sz w:val="21"/>
      <w:szCs w:val="21"/>
      <w:u w:val="single"/>
    </w:rPr>
  </w:style>
  <w:style w:type="character" w:customStyle="1" w:styleId="192">
    <w:name w:val="style36"/>
    <w:basedOn w:val="50"/>
    <w:qFormat/>
    <w:uiPriority w:val="0"/>
  </w:style>
  <w:style w:type="character" w:customStyle="1" w:styleId="193">
    <w:name w:val="标题 4 Char1"/>
    <w:qFormat/>
    <w:uiPriority w:val="9"/>
    <w:rPr>
      <w:rFonts w:ascii="Cambria" w:hAnsi="Cambria" w:eastAsia="宋体" w:cs="Times New Roman"/>
      <w:b/>
      <w:bCs/>
      <w:kern w:val="2"/>
      <w:sz w:val="28"/>
      <w:szCs w:val="28"/>
    </w:rPr>
  </w:style>
  <w:style w:type="character" w:customStyle="1" w:styleId="194">
    <w:name w:val="标题 8 字符"/>
    <w:link w:val="9"/>
    <w:qFormat/>
    <w:uiPriority w:val="9"/>
    <w:rPr>
      <w:rFonts w:ascii="Arial" w:hAnsi="Arial" w:eastAsia="黑体"/>
      <w:kern w:val="2"/>
      <w:sz w:val="24"/>
      <w:szCs w:val="24"/>
    </w:rPr>
  </w:style>
  <w:style w:type="character" w:customStyle="1" w:styleId="195">
    <w:name w:val="首行缩进 Char"/>
    <w:qFormat/>
    <w:uiPriority w:val="0"/>
    <w:rPr>
      <w:rFonts w:ascii="宋体" w:eastAsia="宋体"/>
      <w:kern w:val="2"/>
      <w:sz w:val="24"/>
      <w:lang w:val="en-US" w:eastAsia="zh-CN" w:bidi="ar-SA"/>
    </w:rPr>
  </w:style>
  <w:style w:type="character" w:customStyle="1" w:styleId="196">
    <w:name w:val="unnamed31"/>
    <w:qFormat/>
    <w:uiPriority w:val="0"/>
    <w:rPr>
      <w:rFonts w:ascii="Tahoma" w:hAnsi="Tahoma" w:eastAsia="宋体"/>
      <w:b/>
      <w:kern w:val="2"/>
      <w:sz w:val="24"/>
      <w:szCs w:val="32"/>
      <w:u w:val="none"/>
      <w:lang w:val="en-US" w:eastAsia="zh-CN" w:bidi="ar-SA"/>
    </w:rPr>
  </w:style>
  <w:style w:type="character" w:customStyle="1" w:styleId="197">
    <w:name w:val="dandyren_title1"/>
    <w:qFormat/>
    <w:uiPriority w:val="0"/>
    <w:rPr>
      <w:b/>
      <w:bCs/>
      <w:color w:val="FF6633"/>
      <w:sz w:val="18"/>
      <w:szCs w:val="18"/>
    </w:rPr>
  </w:style>
  <w:style w:type="character" w:customStyle="1" w:styleId="198">
    <w:name w:val="Char Char61"/>
    <w:qFormat/>
    <w:uiPriority w:val="6"/>
    <w:rPr>
      <w:rFonts w:eastAsia="宋体"/>
      <w:kern w:val="2"/>
      <w:sz w:val="21"/>
      <w:szCs w:val="24"/>
      <w:lang w:val="en-US" w:eastAsia="zh-CN" w:bidi="ar-SA"/>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文本正文 Char Char"/>
    <w:qFormat/>
    <w:uiPriority w:val="0"/>
    <w:rPr>
      <w:sz w:val="24"/>
      <w:lang w:bidi="ar-SA"/>
    </w:rPr>
  </w:style>
  <w:style w:type="character" w:customStyle="1" w:styleId="201">
    <w:name w:val="DO_NOT_TRANSLATE"/>
    <w:qFormat/>
    <w:uiPriority w:val="0"/>
    <w:rPr>
      <w:rFonts w:ascii="Courier New" w:hAnsi="Courier New" w:cs="Courier New"/>
      <w:color w:val="800000"/>
      <w:lang w:val="en-US" w:eastAsia="zh-CN"/>
    </w:rPr>
  </w:style>
  <w:style w:type="character" w:customStyle="1" w:styleId="202">
    <w:name w:val="hui"/>
    <w:basedOn w:val="50"/>
    <w:qFormat/>
    <w:uiPriority w:val="0"/>
  </w:style>
  <w:style w:type="character" w:customStyle="1" w:styleId="203">
    <w:name w:val="Heading 1 Char_39036d89-f680-4e07-9d9e-aef03a1fa893"/>
    <w:qFormat/>
    <w:uiPriority w:val="6"/>
    <w:rPr>
      <w:rFonts w:ascii="Times New Roman" w:hAnsi="Times New Roman" w:eastAsia="黑体" w:cs="Times New Roman"/>
      <w:b/>
      <w:kern w:val="0"/>
      <w:sz w:val="24"/>
      <w:szCs w:val="24"/>
    </w:rPr>
  </w:style>
  <w:style w:type="character" w:customStyle="1" w:styleId="204">
    <w:name w:val="gray6"/>
    <w:basedOn w:val="50"/>
    <w:qFormat/>
    <w:uiPriority w:val="0"/>
  </w:style>
  <w:style w:type="character" w:customStyle="1" w:styleId="205">
    <w:name w:val="font12gray1"/>
    <w:qFormat/>
    <w:uiPriority w:val="0"/>
    <w:rPr>
      <w:rFonts w:ascii="仿宋_GB2312" w:eastAsia="微软雅黑"/>
      <w:b/>
      <w:spacing w:val="300"/>
      <w:kern w:val="2"/>
      <w:sz w:val="18"/>
      <w:szCs w:val="18"/>
      <w:lang w:val="en-US" w:eastAsia="zh-CN" w:bidi="ar-SA"/>
    </w:rPr>
  </w:style>
  <w:style w:type="character" w:customStyle="1" w:styleId="206">
    <w:name w:val="正文文本缩进 字符"/>
    <w:link w:val="21"/>
    <w:qFormat/>
    <w:uiPriority w:val="99"/>
    <w:rPr>
      <w:rFonts w:ascii="宋体" w:hAnsi="宋体"/>
      <w:kern w:val="2"/>
      <w:sz w:val="24"/>
      <w:szCs w:val="24"/>
    </w:rPr>
  </w:style>
  <w:style w:type="character" w:customStyle="1" w:styleId="207">
    <w:name w:val="apple-converted-space"/>
    <w:qFormat/>
    <w:uiPriority w:val="0"/>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书表格字体格式 Char"/>
    <w:qFormat/>
    <w:uiPriority w:val="0"/>
    <w:rPr>
      <w:kern w:val="2"/>
      <w:sz w:val="21"/>
      <w:szCs w:val="24"/>
      <w:lang w:bidi="ar-SA"/>
    </w:rPr>
  </w:style>
  <w:style w:type="character" w:customStyle="1" w:styleId="210">
    <w:name w:val="正文1 Char1"/>
    <w:qFormat/>
    <w:uiPriority w:val="0"/>
    <w:rPr>
      <w:rFonts w:ascii="仿宋_GB2312" w:hAnsi="Courier New" w:eastAsia="仿宋_GB2312"/>
      <w:kern w:val="28"/>
      <w:sz w:val="24"/>
      <w:szCs w:val="24"/>
      <w:lang w:val="en-US" w:eastAsia="zh-CN"/>
    </w:rPr>
  </w:style>
  <w:style w:type="character" w:customStyle="1" w:styleId="211">
    <w:name w:val="h Char Char1"/>
    <w:qFormat/>
    <w:uiPriority w:val="0"/>
    <w:rPr>
      <w:rFonts w:eastAsia="宋体"/>
      <w:kern w:val="2"/>
      <w:sz w:val="18"/>
      <w:szCs w:val="18"/>
      <w:lang w:val="en-US" w:eastAsia="zh-CN" w:bidi="ar-SA"/>
    </w:rPr>
  </w:style>
  <w:style w:type="character" w:customStyle="1" w:styleId="212">
    <w:name w:val="表格 Char Char"/>
    <w:qFormat/>
    <w:uiPriority w:val="0"/>
    <w:rPr>
      <w:rFonts w:ascii="宋体" w:hAnsi="宋体" w:eastAsia="宋体"/>
      <w:lang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Char Char4"/>
    <w:qFormat/>
    <w:uiPriority w:val="0"/>
    <w:rPr>
      <w:rFonts w:eastAsia="宋体"/>
      <w:b/>
      <w:sz w:val="24"/>
      <w:lang w:val="en-GB" w:eastAsia="zh-CN" w:bidi="ar-SA"/>
    </w:rPr>
  </w:style>
  <w:style w:type="character" w:customStyle="1" w:styleId="217">
    <w:name w:val="页脚 Char"/>
    <w:qFormat/>
    <w:uiPriority w:val="99"/>
    <w:rPr>
      <w:rFonts w:eastAsia="仿宋_GB2312"/>
      <w:kern w:val="2"/>
      <w:sz w:val="18"/>
      <w:lang w:val="en-US" w:eastAsia="zh-CN"/>
    </w:rPr>
  </w:style>
  <w:style w:type="character" w:customStyle="1" w:styleId="218">
    <w:name w:val="样式7 Char"/>
    <w:qFormat/>
    <w:uiPriority w:val="0"/>
    <w:rPr>
      <w:rFonts w:ascii="仿宋_GB2312" w:hAnsi="仿宋" w:eastAsia="仿宋_GB2312"/>
      <w:b/>
      <w:kern w:val="2"/>
      <w:sz w:val="24"/>
      <w:szCs w:val="24"/>
    </w:rPr>
  </w:style>
  <w:style w:type="character" w:customStyle="1" w:styleId="219">
    <w:name w:val="批注主题 字符"/>
    <w:link w:val="47"/>
    <w:qFormat/>
    <w:uiPriority w:val="6"/>
    <w:rPr>
      <w:rFonts w:ascii="Times New Roman" w:hAnsi="Times New Roman" w:eastAsia="宋体" w:cs="Times New Roman"/>
      <w:b/>
      <w:bCs/>
      <w:snapToGrid w:val="0"/>
      <w:kern w:val="2"/>
      <w:sz w:val="21"/>
      <w:szCs w:val="24"/>
    </w:rPr>
  </w:style>
  <w:style w:type="character" w:customStyle="1" w:styleId="220">
    <w:name w:val="Char Char81"/>
    <w:qFormat/>
    <w:uiPriority w:val="0"/>
    <w:rPr>
      <w:rFonts w:eastAsia="宋体"/>
      <w:b/>
      <w:sz w:val="24"/>
      <w:lang w:val="en-GB" w:eastAsia="zh-CN"/>
    </w:rPr>
  </w:style>
  <w:style w:type="character" w:customStyle="1" w:styleId="221">
    <w:name w:val="批注主题 Char"/>
    <w:qFormat/>
    <w:uiPriority w:val="99"/>
    <w:rPr>
      <w:rFonts w:eastAsia="宋体"/>
      <w:b/>
      <w:bCs/>
      <w:kern w:val="2"/>
      <w:sz w:val="21"/>
      <w:szCs w:val="24"/>
      <w:lang w:val="en-US" w:eastAsia="zh-CN" w:bidi="ar-SA"/>
    </w:rPr>
  </w:style>
  <w:style w:type="character" w:customStyle="1" w:styleId="222">
    <w:name w:val="纯文本 Char1"/>
    <w:link w:val="223"/>
    <w:qFormat/>
    <w:uiPriority w:val="0"/>
    <w:rPr>
      <w:rFonts w:ascii="宋体" w:hAnsi="宋体" w:cs="Courier New"/>
      <w:color w:val="000000"/>
      <w:kern w:val="1"/>
      <w:sz w:val="21"/>
    </w:rPr>
  </w:style>
  <w:style w:type="paragraph" w:customStyle="1" w:styleId="223">
    <w:name w:val="纯文本1"/>
    <w:basedOn w:val="1"/>
    <w:link w:val="222"/>
    <w:qFormat/>
    <w:uiPriority w:val="0"/>
    <w:pPr>
      <w:adjustRightInd/>
    </w:pPr>
    <w:rPr>
      <w:rFonts w:ascii="宋体" w:hAnsi="宋体"/>
      <w:color w:val="000000"/>
      <w:kern w:val="1"/>
      <w:szCs w:val="20"/>
    </w:rPr>
  </w:style>
  <w:style w:type="character" w:customStyle="1" w:styleId="224">
    <w:name w:val="Char Char2"/>
    <w:qFormat/>
    <w:uiPriority w:val="6"/>
    <w:rPr>
      <w:rFonts w:eastAsia="宋体"/>
      <w:b/>
      <w:bCs/>
      <w:kern w:val="2"/>
      <w:sz w:val="21"/>
      <w:szCs w:val="24"/>
      <w:lang w:val="en-US" w:eastAsia="zh-CN" w:bidi="ar-SA"/>
    </w:rPr>
  </w:style>
  <w:style w:type="character" w:customStyle="1" w:styleId="225">
    <w:name w:val="正文文本缩进 2 字符"/>
    <w:link w:val="30"/>
    <w:qFormat/>
    <w:uiPriority w:val="0"/>
    <w:rPr>
      <w:rFonts w:ascii="宋体"/>
      <w:sz w:val="28"/>
    </w:rPr>
  </w:style>
  <w:style w:type="character" w:customStyle="1" w:styleId="226">
    <w:name w:val="标题 3 Char2"/>
    <w:qFormat/>
    <w:uiPriority w:val="0"/>
    <w:rPr>
      <w:rFonts w:eastAsia="宋体"/>
      <w:b/>
      <w:bCs/>
      <w:kern w:val="2"/>
      <w:sz w:val="32"/>
      <w:szCs w:val="32"/>
      <w:lang w:val="en-US" w:eastAsia="zh-CN" w:bidi="ar-SA"/>
    </w:rPr>
  </w:style>
  <w:style w:type="character" w:customStyle="1" w:styleId="227">
    <w:name w:val="样式5 Char"/>
    <w:qFormat/>
    <w:uiPriority w:val="0"/>
    <w:rPr>
      <w:rFonts w:ascii="仿宋_GB2312" w:hAnsi="仿宋" w:eastAsia="仿宋_GB2312"/>
      <w:kern w:val="2"/>
      <w:sz w:val="24"/>
      <w:szCs w:val="24"/>
    </w:rPr>
  </w:style>
  <w:style w:type="character" w:customStyle="1" w:styleId="228">
    <w:name w:val="Char Char11"/>
    <w:qFormat/>
    <w:uiPriority w:val="0"/>
    <w:rPr>
      <w:rFonts w:ascii="宋体" w:hAnsi="宋体" w:eastAsia="宋体"/>
      <w:b/>
      <w:kern w:val="2"/>
      <w:sz w:val="24"/>
      <w:szCs w:val="24"/>
      <w:lang w:val="en-US" w:eastAsia="zh-CN" w:bidi="ar-SA"/>
    </w:rPr>
  </w:style>
  <w:style w:type="character" w:customStyle="1" w:styleId="229">
    <w:name w:val="Char Char7"/>
    <w:qFormat/>
    <w:uiPriority w:val="6"/>
    <w:rPr>
      <w:rFonts w:eastAsia="宋体"/>
      <w:kern w:val="2"/>
      <w:sz w:val="21"/>
      <w:szCs w:val="24"/>
      <w:lang w:val="en-US" w:eastAsia="zh-CN" w:bidi="ar-SA"/>
    </w:rPr>
  </w:style>
  <w:style w:type="character" w:customStyle="1" w:styleId="230">
    <w:name w:val="Body Text(ch) Char Char"/>
    <w:qFormat/>
    <w:uiPriority w:val="0"/>
    <w:rPr>
      <w:rFonts w:ascii="宋体"/>
      <w:kern w:val="2"/>
      <w:sz w:val="24"/>
      <w:szCs w:val="21"/>
      <w:lang w:val="zh-CN"/>
    </w:rPr>
  </w:style>
  <w:style w:type="character" w:customStyle="1" w:styleId="231">
    <w:name w:val="Footer Char_f5b9630e-b41e-4b5d-8a12-31c7e071b29f"/>
    <w:qFormat/>
    <w:uiPriority w:val="0"/>
    <w:rPr>
      <w:rFonts w:eastAsia="宋体"/>
      <w:kern w:val="2"/>
      <w:sz w:val="18"/>
      <w:lang w:val="en-US" w:eastAsia="zh-CN" w:bidi="ar-SA"/>
    </w:rPr>
  </w:style>
  <w:style w:type="character" w:customStyle="1" w:styleId="232">
    <w:name w:val="标书正文格式 Char"/>
    <w:qFormat/>
    <w:uiPriority w:val="0"/>
    <w:rPr>
      <w:rFonts w:eastAsia="楷体_GB2312"/>
      <w:kern w:val="2"/>
      <w:sz w:val="24"/>
      <w:szCs w:val="24"/>
      <w:lang w:bidi="ar-SA"/>
    </w:rPr>
  </w:style>
  <w:style w:type="character" w:customStyle="1" w:styleId="233">
    <w:name w:val="message1"/>
    <w:qFormat/>
    <w:uiPriority w:val="0"/>
    <w:rPr>
      <w:rFonts w:hint="default" w:ascii="Tahoma" w:hAnsi="Tahoma" w:cs="Tahoma"/>
      <w:sz w:val="18"/>
      <w:szCs w:val="18"/>
    </w:rPr>
  </w:style>
  <w:style w:type="character" w:customStyle="1" w:styleId="234">
    <w:name w:val="myp11"/>
    <w:qFormat/>
    <w:uiPriority w:val="0"/>
    <w:rPr>
      <w:rFonts w:ascii="仿宋_GB2312" w:eastAsia="微软雅黑"/>
      <w:b/>
      <w:kern w:val="2"/>
      <w:sz w:val="32"/>
      <w:szCs w:val="32"/>
      <w:lang w:val="en-US" w:eastAsia="zh-CN" w:bidi="ar-SA"/>
    </w:rPr>
  </w:style>
  <w:style w:type="character" w:customStyle="1" w:styleId="235">
    <w:name w:val="pt141"/>
    <w:qFormat/>
    <w:uiPriority w:val="0"/>
    <w:rPr>
      <w:color w:val="330066"/>
      <w:sz w:val="22"/>
      <w:szCs w:val="22"/>
    </w:rPr>
  </w:style>
  <w:style w:type="character" w:customStyle="1" w:styleId="236">
    <w:name w:val="Char Char101"/>
    <w:qFormat/>
    <w:uiPriority w:val="6"/>
    <w:rPr>
      <w:rFonts w:ascii="宋体" w:hAnsi="宋体"/>
      <w:kern w:val="2"/>
      <w:sz w:val="21"/>
      <w:szCs w:val="24"/>
      <w:lang w:val="en-US" w:eastAsia="zh-CN"/>
    </w:rPr>
  </w:style>
  <w:style w:type="character" w:customStyle="1" w:styleId="237">
    <w:name w:val="txt"/>
    <w:qFormat/>
    <w:uiPriority w:val="0"/>
    <w:rPr>
      <w:rFonts w:ascii="仿宋_GB2312" w:eastAsia="微软雅黑"/>
      <w:b/>
      <w:kern w:val="2"/>
      <w:sz w:val="32"/>
      <w:szCs w:val="32"/>
      <w:lang w:val="en-US" w:eastAsia="zh-CN" w:bidi="ar-SA"/>
    </w:rPr>
  </w:style>
  <w:style w:type="character" w:customStyle="1" w:styleId="238">
    <w:name w:val="正文文本 2 字符"/>
    <w:link w:val="43"/>
    <w:qFormat/>
    <w:uiPriority w:val="6"/>
    <w:rPr>
      <w:rFonts w:ascii="Arial" w:hAnsi="Arial" w:eastAsia="黑体" w:cs="Arial"/>
      <w:snapToGrid w:val="0"/>
      <w:kern w:val="2"/>
      <w:sz w:val="21"/>
      <w:szCs w:val="24"/>
    </w:rPr>
  </w:style>
  <w:style w:type="character" w:customStyle="1" w:styleId="239">
    <w:name w:val="solutionfonts"/>
    <w:qFormat/>
    <w:uiPriority w:val="0"/>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标题 2 Char Char"/>
    <w:qFormat/>
    <w:uiPriority w:val="0"/>
    <w:rPr>
      <w:rFonts w:ascii="楷体_GB2312" w:hAnsi="Arial" w:eastAsia="楷体_GB2312"/>
      <w:b/>
      <w:bCs/>
      <w:kern w:val="2"/>
      <w:sz w:val="24"/>
      <w:szCs w:val="32"/>
      <w:lang w:val="en-US" w:eastAsia="zh-CN" w:bidi="ar-SA"/>
    </w:rPr>
  </w:style>
  <w:style w:type="character" w:customStyle="1" w:styleId="242">
    <w:name w:val="正文文本 Char"/>
    <w:qFormat/>
    <w:uiPriority w:val="0"/>
    <w:rPr>
      <w:rFonts w:eastAsia="宋体"/>
      <w:kern w:val="2"/>
      <w:sz w:val="24"/>
      <w:szCs w:val="24"/>
      <w:lang w:val="en-US" w:eastAsia="zh-CN" w:bidi="ar-SA"/>
    </w:rPr>
  </w:style>
  <w:style w:type="character" w:customStyle="1" w:styleId="243">
    <w:name w:val="Char Char10"/>
    <w:qFormat/>
    <w:uiPriority w:val="6"/>
    <w:rPr>
      <w:rFonts w:ascii="宋体" w:hAnsi="宋体"/>
      <w:kern w:val="2"/>
      <w:sz w:val="21"/>
      <w:szCs w:val="24"/>
      <w:lang w:val="en-US" w:eastAsia="zh-CN"/>
    </w:rPr>
  </w:style>
  <w:style w:type="character" w:customStyle="1" w:styleId="244">
    <w:name w:val="blue1"/>
    <w:basedOn w:val="50"/>
    <w:qFormat/>
    <w:uiPriority w:val="0"/>
  </w:style>
  <w:style w:type="character" w:customStyle="1" w:styleId="245">
    <w:name w:val="large1"/>
    <w:qFormat/>
    <w:uiPriority w:val="0"/>
    <w:rPr>
      <w:rFonts w:hint="eastAsia" w:ascii="宋体" w:hAnsi="宋体" w:eastAsia="宋体"/>
      <w:sz w:val="21"/>
      <w:szCs w:val="21"/>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tw4winExternal"/>
    <w:qFormat/>
    <w:uiPriority w:val="0"/>
    <w:rPr>
      <w:rFonts w:ascii="Courier New" w:hAnsi="Courier New" w:cs="Courier New"/>
      <w:color w:val="808080"/>
      <w:lang w:val="en-US" w:eastAsia="zh-CN"/>
    </w:rPr>
  </w:style>
  <w:style w:type="character" w:customStyle="1" w:styleId="248">
    <w:name w:val="表格名称{858D7CFB-ED40-4347-BF05-701D383B685F}"/>
    <w:link w:val="249"/>
    <w:qFormat/>
    <w:uiPriority w:val="0"/>
    <w:rPr>
      <w:sz w:val="32"/>
    </w:rPr>
  </w:style>
  <w:style w:type="paragraph" w:customStyle="1" w:styleId="249">
    <w:name w:val="表格名称"/>
    <w:basedOn w:val="2"/>
    <w:link w:val="248"/>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0">
    <w:name w:val="Char Char3"/>
    <w:qFormat/>
    <w:uiPriority w:val="0"/>
    <w:rPr>
      <w:rFonts w:ascii="Times New Roman" w:hAnsi="Times New Roman" w:eastAsia="宋体" w:cs="Times New Roman"/>
      <w:b/>
      <w:kern w:val="2"/>
      <w:sz w:val="32"/>
      <w:szCs w:val="24"/>
      <w:lang w:val="en-US" w:eastAsia="zh-CN" w:bidi="ar-SA"/>
    </w:rPr>
  </w:style>
  <w:style w:type="character" w:customStyle="1" w:styleId="251">
    <w:name w:val="Char Char35"/>
    <w:qFormat/>
    <w:uiPriority w:val="6"/>
    <w:rPr>
      <w:rFonts w:ascii="Arial" w:hAnsi="Arial" w:eastAsia="黑体"/>
      <w:b/>
      <w:kern w:val="1"/>
      <w:sz w:val="28"/>
      <w:szCs w:val="28"/>
      <w:lang w:val="zh-CN"/>
    </w:rPr>
  </w:style>
  <w:style w:type="character" w:customStyle="1" w:styleId="252">
    <w:name w:val="h3 Char1"/>
    <w:qFormat/>
    <w:uiPriority w:val="0"/>
    <w:rPr>
      <w:rFonts w:eastAsia="宋体"/>
      <w:b/>
      <w:bCs/>
      <w:kern w:val="2"/>
      <w:sz w:val="32"/>
      <w:szCs w:val="32"/>
      <w:lang w:bidi="ar-SA"/>
    </w:rPr>
  </w:style>
  <w:style w:type="character" w:customStyle="1" w:styleId="253">
    <w:name w:val="正文说明 Char"/>
    <w:link w:val="254"/>
    <w:qFormat/>
    <w:uiPriority w:val="0"/>
    <w:rPr>
      <w:sz w:val="24"/>
      <w:szCs w:val="24"/>
    </w:rPr>
  </w:style>
  <w:style w:type="paragraph" w:customStyle="1" w:styleId="254">
    <w:name w:val="正文说明"/>
    <w:basedOn w:val="1"/>
    <w:link w:val="253"/>
    <w:qFormat/>
    <w:uiPriority w:val="0"/>
    <w:pPr>
      <w:adjustRightInd/>
      <w:spacing w:line="360" w:lineRule="auto"/>
    </w:pPr>
    <w:rPr>
      <w:kern w:val="0"/>
      <w:sz w:val="24"/>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页眉 Char1"/>
    <w:qFormat/>
    <w:uiPriority w:val="0"/>
    <w:rPr>
      <w:rFonts w:eastAsia="宋体"/>
      <w:kern w:val="2"/>
      <w:sz w:val="18"/>
      <w:szCs w:val="18"/>
      <w:lang w:val="en-US" w:eastAsia="zh-CN" w:bidi="ar-SA"/>
    </w:rPr>
  </w:style>
  <w:style w:type="character" w:customStyle="1" w:styleId="257">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58">
    <w:name w:val="Char Char"/>
    <w:qFormat/>
    <w:uiPriority w:val="0"/>
    <w:rPr>
      <w:rFonts w:ascii="宋体" w:hAnsi="Courier New" w:eastAsia="宋体"/>
      <w:kern w:val="2"/>
      <w:sz w:val="21"/>
      <w:lang w:val="en-US" w:eastAsia="zh-CN" w:bidi="ar-SA"/>
    </w:rPr>
  </w:style>
  <w:style w:type="character" w:customStyle="1" w:styleId="259">
    <w:name w:val="javascript"/>
    <w:qFormat/>
    <w:uiPriority w:val="0"/>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Char Char6"/>
    <w:qFormat/>
    <w:uiPriority w:val="0"/>
    <w:rPr>
      <w:rFonts w:eastAsia="宋体"/>
      <w:kern w:val="2"/>
      <w:sz w:val="21"/>
      <w:szCs w:val="24"/>
      <w:lang w:val="en-US" w:eastAsia="zh-CN" w:bidi="ar-SA"/>
    </w:rPr>
  </w:style>
  <w:style w:type="character" w:customStyle="1" w:styleId="263">
    <w:name w:val="Comment Text Char"/>
    <w:qFormat/>
    <w:uiPriority w:val="0"/>
    <w:rPr>
      <w:rFonts w:ascii="宋体" w:hAnsi="宋体" w:eastAsia="宋体"/>
      <w:kern w:val="2"/>
      <w:sz w:val="24"/>
      <w:lang w:val="en-US" w:eastAsia="zh-CN" w:bidi="ar-SA"/>
    </w:rPr>
  </w:style>
  <w:style w:type="character" w:customStyle="1" w:styleId="264">
    <w:name w:val="Char Char8"/>
    <w:qFormat/>
    <w:uiPriority w:val="0"/>
    <w:rPr>
      <w:rFonts w:eastAsia="宋体"/>
      <w:b/>
      <w:sz w:val="24"/>
      <w:lang w:val="en-GB" w:eastAsia="zh-CN"/>
    </w:rPr>
  </w:style>
  <w:style w:type="character" w:customStyle="1" w:styleId="265">
    <w:name w:val="正文（缩进2汉字） Char"/>
    <w:link w:val="266"/>
    <w:qFormat/>
    <w:uiPriority w:val="0"/>
    <w:rPr>
      <w:rFonts w:ascii="宋体"/>
    </w:rPr>
  </w:style>
  <w:style w:type="paragraph" w:customStyle="1" w:styleId="266">
    <w:name w:val="正文（缩进2汉字）"/>
    <w:basedOn w:val="1"/>
    <w:link w:val="2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7">
    <w:name w:val="gf正文1 Char"/>
    <w:qFormat/>
    <w:uiPriority w:val="0"/>
    <w:rPr>
      <w:rFonts w:ascii="宋体" w:hAnsi="宋体" w:eastAsia="宋体" w:cs="宋体"/>
      <w:kern w:val="2"/>
      <w:sz w:val="24"/>
      <w:szCs w:val="24"/>
      <w:lang w:val="en-US" w:eastAsia="zh-CN" w:bidi="ar-SA"/>
    </w:rPr>
  </w:style>
  <w:style w:type="character" w:customStyle="1" w:styleId="268">
    <w:name w:val="正文文本 3 字符"/>
    <w:link w:val="19"/>
    <w:qFormat/>
    <w:uiPriority w:val="0"/>
    <w:rPr>
      <w:kern w:val="2"/>
      <w:sz w:val="21"/>
    </w:rPr>
  </w:style>
  <w:style w:type="character" w:customStyle="1" w:styleId="269">
    <w:name w:val="Footer-Even Char1"/>
    <w:qFormat/>
    <w:uiPriority w:val="0"/>
    <w:rPr>
      <w:rFonts w:eastAsia="宋体"/>
      <w:kern w:val="2"/>
      <w:sz w:val="18"/>
      <w:szCs w:val="18"/>
      <w:lang w:val="en-US" w:eastAsia="zh-CN" w:bidi="ar-SA"/>
    </w:rPr>
  </w:style>
  <w:style w:type="character" w:customStyle="1" w:styleId="270">
    <w:name w:val="big1"/>
    <w:qFormat/>
    <w:uiPriority w:val="0"/>
    <w:rPr>
      <w:rFonts w:hint="eastAsia" w:ascii="宋体" w:hAnsi="宋体" w:eastAsia="宋体"/>
      <w:color w:val="333333"/>
      <w:sz w:val="22"/>
      <w:szCs w:val="22"/>
    </w:rPr>
  </w:style>
  <w:style w:type="character" w:customStyle="1" w:styleId="271">
    <w:name w:val="正文 项目2 Char"/>
    <w:basedOn w:val="169"/>
    <w:qFormat/>
    <w:uiPriority w:val="0"/>
    <w:rPr>
      <w:rFonts w:ascii="仿宋_GB2312" w:hAnsi="仿宋_GB2312" w:eastAsia="仿宋_GB2312"/>
      <w:kern w:val="2"/>
      <w:sz w:val="24"/>
      <w:lang w:bidi="ar-SA"/>
    </w:rPr>
  </w:style>
  <w:style w:type="character" w:customStyle="1" w:styleId="272">
    <w:name w:val="冯 Char"/>
    <w:link w:val="273"/>
    <w:qFormat/>
    <w:uiPriority w:val="0"/>
    <w:rPr>
      <w:rFonts w:ascii="宋体" w:hAnsi="宋体"/>
      <w:color w:val="000000"/>
      <w:sz w:val="24"/>
      <w:szCs w:val="24"/>
    </w:rPr>
  </w:style>
  <w:style w:type="paragraph" w:customStyle="1" w:styleId="273">
    <w:name w:val="冯"/>
    <w:basedOn w:val="1"/>
    <w:link w:val="272"/>
    <w:qFormat/>
    <w:uiPriority w:val="0"/>
    <w:pPr>
      <w:widowControl/>
      <w:adjustRightInd/>
      <w:spacing w:line="360" w:lineRule="auto"/>
      <w:ind w:firstLine="480" w:firstLineChars="200"/>
    </w:pPr>
    <w:rPr>
      <w:rFonts w:ascii="宋体" w:hAnsi="宋体"/>
      <w:color w:val="000000"/>
      <w:kern w:val="0"/>
      <w:sz w:val="24"/>
    </w:rPr>
  </w:style>
  <w:style w:type="character" w:customStyle="1" w:styleId="274">
    <w:name w:val="称呼 字符"/>
    <w:link w:val="18"/>
    <w:qFormat/>
    <w:uiPriority w:val="0"/>
    <w:rPr>
      <w:rFonts w:ascii="仿宋_GB2312" w:eastAsia="仿宋_GB2312"/>
      <w:kern w:val="2"/>
      <w:sz w:val="28"/>
    </w:rPr>
  </w:style>
  <w:style w:type="character" w:customStyle="1" w:styleId="275">
    <w:name w:val="页脚 Char1"/>
    <w:qFormat/>
    <w:uiPriority w:val="0"/>
    <w:rPr>
      <w:rFonts w:eastAsia="宋体"/>
      <w:kern w:val="2"/>
      <w:sz w:val="18"/>
      <w:szCs w:val="18"/>
      <w:lang w:val="en-US" w:eastAsia="zh-CN" w:bidi="ar-SA"/>
    </w:rPr>
  </w:style>
  <w:style w:type="character" w:customStyle="1" w:styleId="276">
    <w:name w:val="Char Char23"/>
    <w:qFormat/>
    <w:uiPriority w:val="6"/>
    <w:rPr>
      <w:color w:val="0000FF"/>
      <w:sz w:val="21"/>
    </w:rPr>
  </w:style>
  <w:style w:type="character" w:customStyle="1" w:styleId="277">
    <w:name w:val="Item List Char"/>
    <w:link w:val="278"/>
    <w:qFormat/>
    <w:uiPriority w:val="0"/>
    <w:rPr>
      <w:rFonts w:ascii="Arial"/>
      <w:bCs/>
      <w:sz w:val="21"/>
      <w:szCs w:val="21"/>
      <w:lang w:val="en-US" w:eastAsia="zh-CN" w:bidi="ar-SA"/>
    </w:rPr>
  </w:style>
  <w:style w:type="paragraph" w:customStyle="1" w:styleId="278">
    <w:name w:val="Item List"/>
    <w:link w:val="2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9">
    <w:name w:val="Char Char25"/>
    <w:qFormat/>
    <w:uiPriority w:val="6"/>
    <w:rPr>
      <w:rFonts w:ascii="宋体" w:hAnsi="宋体"/>
      <w:kern w:val="1"/>
      <w:sz w:val="24"/>
      <w:lang w:val="zh-CN"/>
    </w:rPr>
  </w:style>
  <w:style w:type="character" w:customStyle="1" w:styleId="28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签名 字符"/>
    <w:link w:val="34"/>
    <w:qFormat/>
    <w:uiPriority w:val="0"/>
    <w:rPr>
      <w:rFonts w:eastAsia="仿宋_GB2312"/>
      <w:sz w:val="24"/>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Heading 2 Hidden Char"/>
    <w:qFormat/>
    <w:uiPriority w:val="0"/>
    <w:rPr>
      <w:rFonts w:ascii="仿宋_GB2312" w:eastAsia="仿宋_GB2312"/>
      <w:b/>
      <w:bCs/>
      <w:kern w:val="2"/>
      <w:sz w:val="24"/>
      <w:szCs w:val="24"/>
      <w:lang w:val="zh-CN" w:eastAsia="zh-CN" w:bidi="ar-SA"/>
    </w:rPr>
  </w:style>
  <w:style w:type="character" w:customStyle="1" w:styleId="286">
    <w:name w:val="批注文字 字符1"/>
    <w:link w:val="17"/>
    <w:qFormat/>
    <w:uiPriority w:val="99"/>
    <w:rPr>
      <w:kern w:val="2"/>
      <w:sz w:val="21"/>
      <w:szCs w:val="24"/>
    </w:rPr>
  </w:style>
  <w:style w:type="character" w:customStyle="1" w:styleId="287">
    <w:name w:val="PI Char"/>
    <w:qFormat/>
    <w:uiPriority w:val="0"/>
    <w:rPr>
      <w:rFonts w:ascii="宋体" w:hAnsi="宋体" w:eastAsia="宋体"/>
      <w:kern w:val="2"/>
      <w:sz w:val="24"/>
      <w:szCs w:val="24"/>
      <w:lang w:val="en-US" w:eastAsia="zh-CN" w:bidi="ar-SA"/>
    </w:rPr>
  </w:style>
  <w:style w:type="character" w:customStyle="1" w:styleId="288">
    <w:name w:val="content"/>
    <w:qFormat/>
    <w:uiPriority w:val="0"/>
  </w:style>
  <w:style w:type="character" w:customStyle="1" w:styleId="289">
    <w:name w:val="HTML 预设格式 字符"/>
    <w:link w:val="44"/>
    <w:qFormat/>
    <w:uiPriority w:val="0"/>
    <w:rPr>
      <w:rFonts w:ascii="黑体" w:hAnsi="Courier New" w:eastAsia="黑体"/>
    </w:rPr>
  </w:style>
  <w:style w:type="character" w:customStyle="1" w:styleId="290">
    <w:name w:val="普通文字 Char Char1"/>
    <w:qFormat/>
    <w:uiPriority w:val="0"/>
    <w:rPr>
      <w:rFonts w:ascii="宋体" w:hAnsi="Courier New"/>
      <w:kern w:val="2"/>
      <w:sz w:val="21"/>
    </w:rPr>
  </w:style>
  <w:style w:type="character" w:customStyle="1" w:styleId="291">
    <w:name w:val="Char Char24"/>
    <w:qFormat/>
    <w:uiPriority w:val="6"/>
    <w:rPr>
      <w:kern w:val="1"/>
      <w:sz w:val="21"/>
    </w:rPr>
  </w:style>
  <w:style w:type="character" w:customStyle="1" w:styleId="292">
    <w:name w:val="正文非缩进 Char"/>
    <w:qFormat/>
    <w:uiPriority w:val="0"/>
    <w:rPr>
      <w:rFonts w:ascii="宋体" w:eastAsia="宋体"/>
      <w:snapToGrid w:val="0"/>
      <w:color w:val="000000"/>
      <w:kern w:val="28"/>
      <w:sz w:val="28"/>
      <w:lang w:val="en-US" w:eastAsia="zh-CN" w:bidi="ar-SA"/>
    </w:rPr>
  </w:style>
  <w:style w:type="character" w:customStyle="1" w:styleId="293">
    <w:name w:val="Char Char34"/>
    <w:qFormat/>
    <w:uiPriority w:val="6"/>
    <w:rPr>
      <w:b/>
      <w:kern w:val="1"/>
      <w:sz w:val="28"/>
      <w:szCs w:val="28"/>
    </w:rPr>
  </w:style>
  <w:style w:type="character" w:customStyle="1" w:styleId="294">
    <w:name w:val="Table Text Char1"/>
    <w:qFormat/>
    <w:uiPriority w:val="0"/>
    <w:rPr>
      <w:rFonts w:eastAsia="宋体"/>
      <w:sz w:val="24"/>
      <w:szCs w:val="24"/>
      <w:lang w:val="en-US" w:eastAsia="zh-CN" w:bidi="ar-SA"/>
    </w:rPr>
  </w:style>
  <w:style w:type="character" w:customStyle="1" w:styleId="295">
    <w:name w:val="标题 1 Char Char"/>
    <w:qFormat/>
    <w:uiPriority w:val="0"/>
    <w:rPr>
      <w:rFonts w:hint="eastAsia" w:ascii="宋体" w:hAnsi="宋体" w:eastAsia="宋体"/>
      <w:b/>
      <w:spacing w:val="-2"/>
      <w:sz w:val="24"/>
      <w:lang w:val="en-US" w:eastAsia="zh-CN" w:bidi="ar-SA"/>
    </w:rPr>
  </w:style>
  <w:style w:type="character" w:customStyle="1" w:styleId="296">
    <w:name w:val="Char Char121"/>
    <w:qFormat/>
    <w:uiPriority w:val="6"/>
    <w:rPr>
      <w:rFonts w:ascii="仿宋_GB2312" w:eastAsia="仿宋_GB2312"/>
      <w:b/>
      <w:bCs/>
      <w:kern w:val="2"/>
      <w:sz w:val="24"/>
      <w:szCs w:val="24"/>
      <w:lang w:val="zh-CN" w:eastAsia="zh-CN" w:bidi="ar-SA"/>
    </w:rPr>
  </w:style>
  <w:style w:type="character" w:customStyle="1" w:styleId="297">
    <w:name w:val="hui3"/>
    <w:qFormat/>
    <w:uiPriority w:val="0"/>
    <w:rPr>
      <w:color w:val="333333"/>
    </w:rPr>
  </w:style>
  <w:style w:type="character" w:customStyle="1" w:styleId="298">
    <w:name w:val="Char Char27"/>
    <w:qFormat/>
    <w:uiPriority w:val="6"/>
    <w:rPr>
      <w:rFonts w:ascii="宋体" w:hAnsi="宋体" w:eastAsia="宋体"/>
      <w:color w:val="000000"/>
      <w:kern w:val="1"/>
      <w:sz w:val="28"/>
      <w:lang w:val="en-US" w:eastAsia="zh-CN" w:bidi="ar-SA"/>
    </w:rPr>
  </w:style>
  <w:style w:type="character" w:customStyle="1" w:styleId="299">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0">
    <w:name w:val="Char Char13"/>
    <w:qFormat/>
    <w:uiPriority w:val="6"/>
    <w:rPr>
      <w:rFonts w:ascii="宋体" w:hAnsi="宋体"/>
      <w:kern w:val="1"/>
      <w:sz w:val="21"/>
      <w:szCs w:val="24"/>
    </w:rPr>
  </w:style>
  <w:style w:type="character" w:customStyle="1" w:styleId="301">
    <w:name w:val="纯文本 Char Char Char"/>
    <w:qFormat/>
    <w:uiPriority w:val="0"/>
    <w:rPr>
      <w:rFonts w:ascii="宋体" w:hAnsi="Courier New" w:eastAsia="宋体"/>
      <w:kern w:val="2"/>
      <w:sz w:val="21"/>
      <w:lang w:val="en-US" w:eastAsia="zh-CN" w:bidi="ar-SA"/>
    </w:rPr>
  </w:style>
  <w:style w:type="character" w:customStyle="1" w:styleId="302">
    <w:name w:val="Char Char20"/>
    <w:qFormat/>
    <w:uiPriority w:val="6"/>
    <w:rPr>
      <w:kern w:val="1"/>
      <w:sz w:val="24"/>
    </w:rPr>
  </w:style>
  <w:style w:type="character" w:customStyle="1" w:styleId="303">
    <w:name w:val="hei16b1"/>
    <w:qFormat/>
    <w:uiPriority w:val="0"/>
    <w:rPr>
      <w:rFonts w:hint="default" w:ascii="Arial" w:hAnsi="Arial" w:cs="Arial"/>
      <w:b/>
      <w:bCs/>
      <w:color w:val="000000"/>
      <w:sz w:val="24"/>
      <w:szCs w:val="24"/>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Char Char36"/>
    <w:qFormat/>
    <w:uiPriority w:val="6"/>
    <w:rPr>
      <w:rFonts w:ascii="仿宋_GB2312" w:hAnsi="仿宋_GB2312" w:eastAsia="仿宋_GB2312" w:cs="Arial"/>
      <w:b/>
      <w:kern w:val="1"/>
      <w:sz w:val="32"/>
      <w:szCs w:val="32"/>
      <w:lang w:val="zh-CN" w:eastAsia="zh-CN" w:bidi="ar-SA"/>
    </w:rPr>
  </w:style>
  <w:style w:type="character" w:customStyle="1" w:styleId="306">
    <w:name w:val="Char Char32"/>
    <w:qFormat/>
    <w:uiPriority w:val="6"/>
    <w:rPr>
      <w:b/>
      <w:kern w:val="1"/>
      <w:sz w:val="24"/>
      <w:szCs w:val="24"/>
    </w:rPr>
  </w:style>
  <w:style w:type="character" w:customStyle="1" w:styleId="307">
    <w:name w:val="Char Char15"/>
    <w:qFormat/>
    <w:uiPriority w:val="6"/>
    <w:rPr>
      <w:rFonts w:ascii="宋体" w:hAnsi="宋体"/>
      <w:kern w:val="1"/>
      <w:sz w:val="21"/>
    </w:rPr>
  </w:style>
  <w:style w:type="character" w:customStyle="1" w:styleId="308">
    <w:name w:val="Char Char21"/>
    <w:qFormat/>
    <w:uiPriority w:val="6"/>
    <w:rPr>
      <w:rFonts w:ascii="宋体" w:hAnsi="宋体"/>
      <w:kern w:val="1"/>
      <w:sz w:val="24"/>
      <w:szCs w:val="21"/>
      <w:lang w:val="zh-CN"/>
    </w:rPr>
  </w:style>
  <w:style w:type="character" w:customStyle="1" w:styleId="309">
    <w:name w:val="Char Char22"/>
    <w:qFormat/>
    <w:uiPriority w:val="6"/>
    <w:rPr>
      <w:rFonts w:ascii="宋体" w:hAnsi="宋体"/>
      <w:kern w:val="1"/>
      <w:sz w:val="24"/>
      <w:szCs w:val="24"/>
    </w:rPr>
  </w:style>
  <w:style w:type="character" w:customStyle="1" w:styleId="310">
    <w:name w:val="question-title2"/>
    <w:basedOn w:val="50"/>
    <w:qFormat/>
    <w:uiPriority w:val="6"/>
  </w:style>
  <w:style w:type="character" w:customStyle="1" w:styleId="311">
    <w:name w:val="param-name"/>
    <w:basedOn w:val="50"/>
    <w:qFormat/>
    <w:uiPriority w:val="99"/>
  </w:style>
  <w:style w:type="character" w:customStyle="1" w:styleId="312">
    <w:name w:val="脚注文本 Char1"/>
    <w:qFormat/>
    <w:uiPriority w:val="99"/>
    <w:rPr>
      <w:rFonts w:ascii="Times New Roman" w:hAnsi="Times New Roman" w:eastAsia="宋体" w:cs="Times New Roman"/>
      <w:sz w:val="18"/>
      <w:szCs w:val="18"/>
    </w:rPr>
  </w:style>
  <w:style w:type="character" w:customStyle="1" w:styleId="313">
    <w:name w:val="正文文本缩进 Char1"/>
    <w:qFormat/>
    <w:uiPriority w:val="0"/>
    <w:rPr>
      <w:rFonts w:ascii="Times New Roman" w:hAnsi="Times New Roman" w:eastAsia="宋体" w:cs="Times New Roman"/>
      <w:szCs w:val="24"/>
    </w:rPr>
  </w:style>
  <w:style w:type="character" w:customStyle="1" w:styleId="314">
    <w:name w:val="正文文本缩进 2 Char1"/>
    <w:qFormat/>
    <w:uiPriority w:val="0"/>
    <w:rPr>
      <w:rFonts w:ascii="Times New Roman" w:hAnsi="Times New Roman" w:eastAsia="宋体" w:cs="Times New Roman"/>
      <w:szCs w:val="24"/>
    </w:rPr>
  </w:style>
  <w:style w:type="character" w:customStyle="1" w:styleId="315">
    <w:name w:val="正文文本 3 Char1"/>
    <w:qFormat/>
    <w:uiPriority w:val="0"/>
    <w:rPr>
      <w:rFonts w:ascii="Times New Roman" w:hAnsi="Times New Roman" w:eastAsia="宋体" w:cs="Times New Roman"/>
      <w:sz w:val="16"/>
      <w:szCs w:val="16"/>
    </w:rPr>
  </w:style>
  <w:style w:type="character" w:customStyle="1" w:styleId="316">
    <w:name w:val="签名 Char1"/>
    <w:qFormat/>
    <w:uiPriority w:val="99"/>
    <w:rPr>
      <w:rFonts w:ascii="Times New Roman" w:hAnsi="Times New Roman" w:eastAsia="宋体" w:cs="Times New Roman"/>
      <w:szCs w:val="24"/>
    </w:rPr>
  </w:style>
  <w:style w:type="character" w:customStyle="1" w:styleId="317">
    <w:name w:val="正文首行缩进 2 Char1"/>
    <w:basedOn w:val="313"/>
    <w:qFormat/>
    <w:uiPriority w:val="99"/>
    <w:rPr>
      <w:rFonts w:ascii="Times New Roman" w:hAnsi="Times New Roman" w:eastAsia="宋体" w:cs="Times New Roman"/>
      <w:szCs w:val="24"/>
    </w:rPr>
  </w:style>
  <w:style w:type="character" w:customStyle="1" w:styleId="318">
    <w:name w:val="纯文本 Char2"/>
    <w:qFormat/>
    <w:uiPriority w:val="99"/>
    <w:rPr>
      <w:rFonts w:ascii="宋体" w:hAnsi="Courier New" w:eastAsia="宋体" w:cs="Courier New"/>
    </w:rPr>
  </w:style>
  <w:style w:type="character" w:customStyle="1" w:styleId="319">
    <w:name w:val="批注框文本 Char1"/>
    <w:qFormat/>
    <w:uiPriority w:val="99"/>
    <w:rPr>
      <w:rFonts w:ascii="Times New Roman" w:hAnsi="Times New Roman" w:eastAsia="宋体" w:cs="Times New Roman"/>
      <w:sz w:val="18"/>
      <w:szCs w:val="18"/>
    </w:rPr>
  </w:style>
  <w:style w:type="character" w:customStyle="1" w:styleId="320">
    <w:name w:val="正文文本缩进 3 Char1"/>
    <w:qFormat/>
    <w:uiPriority w:val="0"/>
    <w:rPr>
      <w:rFonts w:ascii="Times New Roman" w:hAnsi="Times New Roman" w:eastAsia="宋体" w:cs="Times New Roman"/>
      <w:sz w:val="16"/>
      <w:szCs w:val="16"/>
    </w:rPr>
  </w:style>
  <w:style w:type="character" w:customStyle="1" w:styleId="321">
    <w:name w:val="正文首行缩进 Char1"/>
    <w:qFormat/>
    <w:uiPriority w:val="99"/>
    <w:rPr>
      <w:rFonts w:ascii="宋体" w:hAnsi="Times New Roman" w:eastAsia="宋体" w:cs="Times New Roman"/>
      <w:snapToGrid w:val="0"/>
      <w:kern w:val="2"/>
      <w:sz w:val="24"/>
      <w:szCs w:val="21"/>
      <w:lang w:val="zh-CN"/>
    </w:rPr>
  </w:style>
  <w:style w:type="character" w:customStyle="1" w:styleId="322">
    <w:name w:val="副标题 Char1"/>
    <w:qFormat/>
    <w:uiPriority w:val="11"/>
    <w:rPr>
      <w:rFonts w:ascii="Cambria" w:hAnsi="Cambria" w:eastAsia="宋体" w:cs="Times New Roman"/>
      <w:b/>
      <w:bCs/>
      <w:kern w:val="28"/>
      <w:sz w:val="32"/>
      <w:szCs w:val="32"/>
    </w:rPr>
  </w:style>
  <w:style w:type="character" w:customStyle="1" w:styleId="323">
    <w:name w:val="font71"/>
    <w:qFormat/>
    <w:uiPriority w:val="0"/>
    <w:rPr>
      <w:rFonts w:hint="eastAsia" w:ascii="宋体" w:hAnsi="宋体" w:eastAsia="宋体" w:cs="宋体"/>
      <w:b/>
      <w:color w:val="000000"/>
      <w:sz w:val="20"/>
      <w:szCs w:val="20"/>
      <w:u w:val="none"/>
    </w:rPr>
  </w:style>
  <w:style w:type="character" w:customStyle="1" w:styleId="324">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5">
    <w:name w:val="font131"/>
    <w:qFormat/>
    <w:uiPriority w:val="0"/>
    <w:rPr>
      <w:rFonts w:hint="eastAsia" w:ascii="宋体" w:hAnsi="宋体" w:eastAsia="宋体" w:cs="宋体"/>
      <w:b/>
      <w:snapToGrid w:val="0"/>
      <w:color w:val="000000"/>
      <w:kern w:val="0"/>
      <w:sz w:val="20"/>
      <w:szCs w:val="20"/>
      <w:u w:val="none"/>
    </w:rPr>
  </w:style>
  <w:style w:type="character" w:customStyle="1" w:styleId="326">
    <w:name w:val="font41"/>
    <w:qFormat/>
    <w:uiPriority w:val="0"/>
    <w:rPr>
      <w:rFonts w:hint="eastAsia" w:ascii="宋体" w:hAnsi="宋体" w:eastAsia="宋体" w:cs="宋体"/>
      <w:snapToGrid w:val="0"/>
      <w:color w:val="000000"/>
      <w:kern w:val="0"/>
      <w:sz w:val="19"/>
      <w:szCs w:val="19"/>
      <w:u w:val="none"/>
    </w:rPr>
  </w:style>
  <w:style w:type="character" w:customStyle="1" w:styleId="327">
    <w:name w:val="font161"/>
    <w:qFormat/>
    <w:uiPriority w:val="0"/>
    <w:rPr>
      <w:rFonts w:hint="eastAsia" w:ascii="宋体" w:hAnsi="宋体" w:eastAsia="宋体" w:cs="宋体"/>
      <w:snapToGrid w:val="0"/>
      <w:color w:val="000000"/>
      <w:kern w:val="0"/>
      <w:sz w:val="19"/>
      <w:szCs w:val="19"/>
      <w:u w:val="none"/>
    </w:rPr>
  </w:style>
  <w:style w:type="character" w:customStyle="1" w:styleId="328">
    <w:name w:val="font31"/>
    <w:qFormat/>
    <w:uiPriority w:val="0"/>
    <w:rPr>
      <w:rFonts w:hint="eastAsia" w:ascii="宋体" w:hAnsi="宋体" w:eastAsia="宋体" w:cs="宋体"/>
      <w:b/>
      <w:snapToGrid w:val="0"/>
      <w:color w:val="000000"/>
      <w:kern w:val="0"/>
      <w:sz w:val="20"/>
      <w:szCs w:val="20"/>
      <w:u w:val="none"/>
    </w:rPr>
  </w:style>
  <w:style w:type="character" w:customStyle="1" w:styleId="329">
    <w:name w:val="font11"/>
    <w:qFormat/>
    <w:uiPriority w:val="0"/>
    <w:rPr>
      <w:rFonts w:ascii="Arial" w:hAnsi="Arial" w:cs="Arial"/>
      <w:color w:val="000000"/>
      <w:sz w:val="20"/>
      <w:szCs w:val="20"/>
      <w:u w:val="none"/>
    </w:rPr>
  </w:style>
  <w:style w:type="character" w:customStyle="1" w:styleId="330">
    <w:name w:val="content1"/>
    <w:qFormat/>
    <w:uiPriority w:val="0"/>
    <w:rPr>
      <w:color w:val="0066FF"/>
      <w:sz w:val="21"/>
      <w:szCs w:val="21"/>
    </w:rPr>
  </w:style>
  <w:style w:type="character" w:customStyle="1" w:styleId="331">
    <w:name w:val="font81"/>
    <w:qFormat/>
    <w:uiPriority w:val="0"/>
    <w:rPr>
      <w:rFonts w:hint="eastAsia" w:ascii="宋体" w:hAnsi="宋体" w:eastAsia="宋体" w:cs="宋体"/>
      <w:b/>
      <w:snapToGrid w:val="0"/>
      <w:color w:val="000000"/>
      <w:kern w:val="0"/>
      <w:sz w:val="20"/>
      <w:szCs w:val="20"/>
      <w:u w:val="none"/>
    </w:rPr>
  </w:style>
  <w:style w:type="character" w:customStyle="1" w:styleId="332">
    <w:name w:val="font61"/>
    <w:qFormat/>
    <w:uiPriority w:val="0"/>
    <w:rPr>
      <w:rFonts w:hint="eastAsia" w:ascii="宋体" w:hAnsi="宋体" w:eastAsia="宋体" w:cs="宋体"/>
      <w:snapToGrid w:val="0"/>
      <w:color w:val="000000"/>
      <w:kern w:val="0"/>
      <w:sz w:val="20"/>
      <w:szCs w:val="20"/>
      <w:u w:val="none"/>
    </w:rPr>
  </w:style>
  <w:style w:type="character" w:customStyle="1" w:styleId="333">
    <w:name w:val="Char Char341"/>
    <w:qFormat/>
    <w:uiPriority w:val="0"/>
    <w:rPr>
      <w:rFonts w:eastAsia="宋体"/>
      <w:kern w:val="2"/>
      <w:sz w:val="21"/>
      <w:szCs w:val="24"/>
      <w:lang w:val="en-US" w:eastAsia="zh-CN" w:bidi="ar-SA"/>
    </w:rPr>
  </w:style>
  <w:style w:type="character" w:customStyle="1" w:styleId="334">
    <w:name w:val="font01"/>
    <w:qFormat/>
    <w:uiPriority w:val="0"/>
    <w:rPr>
      <w:rFonts w:hint="eastAsia" w:ascii="宋体" w:hAnsi="宋体" w:eastAsia="宋体" w:cs="宋体"/>
      <w:snapToGrid w:val="0"/>
      <w:color w:val="000000"/>
      <w:kern w:val="0"/>
      <w:sz w:val="20"/>
      <w:szCs w:val="20"/>
      <w:u w:val="none"/>
    </w:rPr>
  </w:style>
  <w:style w:type="character" w:customStyle="1" w:styleId="335">
    <w:name w:val="c11"/>
    <w:qFormat/>
    <w:uiPriority w:val="0"/>
    <w:rPr>
      <w:rFonts w:hint="default" w:ascii="Arial" w:hAnsi="Arial" w:cs="Arial"/>
      <w:color w:val="333333"/>
      <w:sz w:val="22"/>
      <w:szCs w:val="22"/>
    </w:rPr>
  </w:style>
  <w:style w:type="character" w:customStyle="1" w:styleId="336">
    <w:name w:val="编号，小四 Char"/>
    <w:link w:val="337"/>
    <w:qFormat/>
    <w:uiPriority w:val="0"/>
    <w:rPr>
      <w:rFonts w:ascii="Arial" w:hAnsi="Arial"/>
      <w:kern w:val="2"/>
      <w:sz w:val="24"/>
    </w:rPr>
  </w:style>
  <w:style w:type="paragraph" w:customStyle="1" w:styleId="337">
    <w:name w:val="编号，小四"/>
    <w:basedOn w:val="1"/>
    <w:link w:val="336"/>
    <w:qFormat/>
    <w:uiPriority w:val="0"/>
    <w:pPr>
      <w:adjustRightInd/>
      <w:spacing w:line="360" w:lineRule="auto"/>
      <w:ind w:left="420"/>
    </w:pPr>
    <w:rPr>
      <w:rFonts w:ascii="Arial" w:hAnsi="Arial"/>
      <w:sz w:val="24"/>
      <w:szCs w:val="20"/>
    </w:rPr>
  </w:style>
  <w:style w:type="character" w:customStyle="1" w:styleId="338">
    <w:name w:val="题注 字符"/>
    <w:link w:val="14"/>
    <w:qFormat/>
    <w:uiPriority w:val="0"/>
    <w:rPr>
      <w:b/>
      <w:kern w:val="2"/>
      <w:sz w:val="28"/>
    </w:rPr>
  </w:style>
  <w:style w:type="character" w:customStyle="1" w:styleId="339">
    <w:name w:val="内容文本 Char"/>
    <w:link w:val="340"/>
    <w:qFormat/>
    <w:uiPriority w:val="0"/>
    <w:rPr>
      <w:rFonts w:ascii="宋体" w:hAnsi="宋体"/>
      <w:sz w:val="24"/>
      <w:szCs w:val="24"/>
      <w:lang w:eastAsia="en-US" w:bidi="en-US"/>
    </w:rPr>
  </w:style>
  <w:style w:type="paragraph" w:customStyle="1" w:styleId="340">
    <w:name w:val="内容文本"/>
    <w:basedOn w:val="341"/>
    <w:link w:val="339"/>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1">
    <w:name w:val="列表段落1"/>
    <w:basedOn w:val="1"/>
    <w:qFormat/>
    <w:uiPriority w:val="34"/>
    <w:pPr>
      <w:ind w:firstLine="420" w:firstLineChars="200"/>
    </w:pPr>
  </w:style>
  <w:style w:type="character" w:customStyle="1" w:styleId="342">
    <w:name w:val="*正文 Char"/>
    <w:link w:val="343"/>
    <w:qFormat/>
    <w:uiPriority w:val="0"/>
    <w:rPr>
      <w:rFonts w:ascii="宋体" w:hAnsi="宋体"/>
      <w:kern w:val="2"/>
      <w:sz w:val="24"/>
      <w:szCs w:val="24"/>
    </w:rPr>
  </w:style>
  <w:style w:type="paragraph" w:customStyle="1" w:styleId="343">
    <w:name w:val="*正文"/>
    <w:basedOn w:val="1"/>
    <w:link w:val="342"/>
    <w:qFormat/>
    <w:uiPriority w:val="0"/>
    <w:pPr>
      <w:adjustRightInd/>
      <w:spacing w:line="360" w:lineRule="auto"/>
    </w:pPr>
    <w:rPr>
      <w:rFonts w:ascii="宋体" w:hAnsi="宋体"/>
      <w:sz w:val="24"/>
    </w:rPr>
  </w:style>
  <w:style w:type="character" w:customStyle="1" w:styleId="344">
    <w:name w:val="样式 首行缩进:  0 字符 Char"/>
    <w:link w:val="345"/>
    <w:qFormat/>
    <w:uiPriority w:val="0"/>
    <w:rPr>
      <w:rFonts w:ascii="Arial" w:hAnsi="Arial" w:cs="宋体"/>
      <w:kern w:val="2"/>
      <w:sz w:val="24"/>
    </w:rPr>
  </w:style>
  <w:style w:type="paragraph" w:customStyle="1" w:styleId="345">
    <w:name w:val="样式 首行缩进:  0 字符"/>
    <w:basedOn w:val="1"/>
    <w:link w:val="344"/>
    <w:qFormat/>
    <w:uiPriority w:val="0"/>
    <w:pPr>
      <w:adjustRightInd/>
      <w:spacing w:line="360" w:lineRule="auto"/>
      <w:ind w:firstLine="200" w:firstLineChars="200"/>
    </w:pPr>
    <w:rPr>
      <w:rFonts w:ascii="Arial" w:hAnsi="Arial"/>
      <w:sz w:val="24"/>
      <w:szCs w:val="20"/>
    </w:rPr>
  </w:style>
  <w:style w:type="character" w:customStyle="1" w:styleId="346">
    <w:name w:val="text1"/>
    <w:qFormat/>
    <w:uiPriority w:val="0"/>
    <w:rPr>
      <w:sz w:val="21"/>
      <w:szCs w:val="21"/>
    </w:rPr>
  </w:style>
  <w:style w:type="character" w:customStyle="1" w:styleId="347">
    <w:name w:val="未处理的提及1"/>
    <w:qFormat/>
    <w:uiPriority w:val="99"/>
    <w:rPr>
      <w:color w:val="605E5C"/>
      <w:shd w:val="clear" w:color="auto" w:fill="E1DFDD"/>
    </w:rPr>
  </w:style>
  <w:style w:type="character" w:customStyle="1" w:styleId="348">
    <w:name w:val="纯文本 字符"/>
    <w:qFormat/>
    <w:uiPriority w:val="99"/>
    <w:rPr>
      <w:rFonts w:ascii="宋体" w:hAnsi="Courier New" w:eastAsia="黑体" w:cs="Arial"/>
      <w:kern w:val="2"/>
      <w:sz w:val="21"/>
      <w:szCs w:val="21"/>
    </w:rPr>
  </w:style>
  <w:style w:type="character" w:customStyle="1" w:styleId="349">
    <w:name w:val="批注文字 字符"/>
    <w:qFormat/>
    <w:uiPriority w:val="0"/>
    <w:rPr>
      <w:szCs w:val="24"/>
    </w:rPr>
  </w:style>
  <w:style w:type="character" w:customStyle="1" w:styleId="350">
    <w:name w:val="纯文本 Char"/>
    <w:qFormat/>
    <w:uiPriority w:val="0"/>
    <w:rPr>
      <w:rFonts w:ascii="宋体" w:hAnsi="Courier New" w:eastAsia="黑体" w:cs="Arial"/>
      <w:snapToGrid w:val="0"/>
      <w:szCs w:val="21"/>
    </w:rPr>
  </w:style>
  <w:style w:type="character" w:customStyle="1" w:styleId="351">
    <w:name w:val="批注文字 Char"/>
    <w:qFormat/>
    <w:uiPriority w:val="99"/>
    <w:rPr>
      <w:szCs w:val="24"/>
    </w:rPr>
  </w:style>
  <w:style w:type="character" w:customStyle="1" w:styleId="352">
    <w:name w:val="正文缩进 Char2"/>
    <w:qFormat/>
    <w:uiPriority w:val="0"/>
    <w:rPr>
      <w:rFonts w:ascii="宋体" w:eastAsia="宋体"/>
      <w:snapToGrid w:val="0"/>
      <w:color w:val="000000"/>
      <w:kern w:val="28"/>
      <w:sz w:val="28"/>
      <w:lang w:val="en-US" w:eastAsia="zh-CN" w:bidi="ar-SA"/>
    </w:rPr>
  </w:style>
  <w:style w:type="paragraph" w:customStyle="1" w:styleId="3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4">
    <w:name w:val="表格标题2"/>
    <w:basedOn w:val="355"/>
    <w:qFormat/>
    <w:uiPriority w:val="0"/>
    <w:rPr>
      <w:b/>
    </w:rPr>
  </w:style>
  <w:style w:type="paragraph" w:customStyle="1" w:styleId="355">
    <w:name w:val="表格内文"/>
    <w:basedOn w:val="1"/>
    <w:qFormat/>
    <w:uiPriority w:val="0"/>
    <w:pPr>
      <w:adjustRightInd/>
      <w:spacing w:line="360" w:lineRule="auto"/>
    </w:pPr>
    <w:rPr>
      <w:rFonts w:ascii="宋体" w:hAnsi="宋体" w:cs="宋体"/>
      <w:color w:val="000000"/>
      <w:szCs w:val="20"/>
    </w:rPr>
  </w:style>
  <w:style w:type="paragraph" w:customStyle="1" w:styleId="35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7">
    <w:name w:val="Char Char11 Char Char Char1"/>
    <w:basedOn w:val="1"/>
    <w:qFormat/>
    <w:uiPriority w:val="6"/>
    <w:pPr>
      <w:spacing w:line="360" w:lineRule="auto"/>
    </w:pPr>
    <w:rPr>
      <w:szCs w:val="20"/>
    </w:rPr>
  </w:style>
  <w:style w:type="paragraph" w:customStyle="1" w:styleId="35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59">
    <w:name w:val="目录 61"/>
    <w:basedOn w:val="1"/>
    <w:next w:val="1"/>
    <w:qFormat/>
    <w:uiPriority w:val="0"/>
    <w:pPr>
      <w:ind w:left="2100" w:leftChars="1000"/>
    </w:pPr>
  </w:style>
  <w:style w:type="paragraph" w:customStyle="1" w:styleId="36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1">
    <w:name w:val="目录 41"/>
    <w:basedOn w:val="1"/>
    <w:next w:val="1"/>
    <w:qFormat/>
    <w:uiPriority w:val="0"/>
    <w:pPr>
      <w:ind w:left="1260" w:leftChars="600"/>
    </w:pPr>
  </w:style>
  <w:style w:type="paragraph" w:customStyle="1" w:styleId="362">
    <w:name w:val="目录 91"/>
    <w:basedOn w:val="1"/>
    <w:next w:val="1"/>
    <w:qFormat/>
    <w:uiPriority w:val="0"/>
    <w:pPr>
      <w:ind w:left="3360" w:leftChars="1600"/>
    </w:pPr>
  </w:style>
  <w:style w:type="paragraph" w:customStyle="1" w:styleId="363">
    <w:name w:val="Char Char112"/>
    <w:basedOn w:val="1"/>
    <w:qFormat/>
    <w:uiPriority w:val="6"/>
    <w:pPr>
      <w:widowControl/>
      <w:spacing w:after="160" w:line="240" w:lineRule="exact"/>
      <w:jc w:val="left"/>
    </w:pPr>
    <w:rPr>
      <w:rFonts w:eastAsia="仿宋_GB2312"/>
      <w:sz w:val="28"/>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目录 21"/>
    <w:basedOn w:val="1"/>
    <w:next w:val="1"/>
    <w:qFormat/>
    <w:uiPriority w:val="0"/>
    <w:pPr>
      <w:ind w:left="420" w:leftChars="200"/>
    </w:pPr>
  </w:style>
  <w:style w:type="paragraph" w:customStyle="1" w:styleId="366">
    <w:name w:val="数字标题1"/>
    <w:basedOn w:val="3"/>
    <w:next w:val="1"/>
    <w:qFormat/>
    <w:uiPriority w:val="0"/>
    <w:pPr>
      <w:tabs>
        <w:tab w:val="left" w:pos="480"/>
      </w:tabs>
      <w:ind w:left="480" w:hanging="480"/>
    </w:pPr>
  </w:style>
  <w:style w:type="paragraph" w:customStyle="1" w:styleId="367">
    <w:name w:val="四级条标题"/>
    <w:basedOn w:val="368"/>
    <w:next w:val="372"/>
    <w:qFormat/>
    <w:uiPriority w:val="0"/>
    <w:pPr>
      <w:tabs>
        <w:tab w:val="left" w:pos="360"/>
        <w:tab w:val="left" w:pos="1260"/>
        <w:tab w:val="left" w:pos="1680"/>
        <w:tab w:val="left" w:pos="2100"/>
        <w:tab w:val="left" w:pos="2520"/>
        <w:tab w:val="left" w:pos="2940"/>
      </w:tabs>
      <w:outlineLvl w:val="5"/>
    </w:pPr>
  </w:style>
  <w:style w:type="paragraph" w:customStyle="1" w:styleId="368">
    <w:name w:val="三级条标题"/>
    <w:basedOn w:val="369"/>
    <w:next w:val="372"/>
    <w:qFormat/>
    <w:uiPriority w:val="0"/>
    <w:pPr>
      <w:tabs>
        <w:tab w:val="left" w:pos="360"/>
        <w:tab w:val="left" w:pos="1260"/>
        <w:tab w:val="left" w:pos="1680"/>
        <w:tab w:val="left" w:pos="2100"/>
        <w:tab w:val="left" w:pos="2520"/>
      </w:tabs>
      <w:outlineLvl w:val="4"/>
    </w:pPr>
  </w:style>
  <w:style w:type="paragraph" w:customStyle="1" w:styleId="369">
    <w:name w:val="二级条标题"/>
    <w:basedOn w:val="370"/>
    <w:next w:val="372"/>
    <w:qFormat/>
    <w:uiPriority w:val="0"/>
    <w:pPr>
      <w:tabs>
        <w:tab w:val="left" w:pos="360"/>
        <w:tab w:val="left" w:pos="1260"/>
        <w:tab w:val="left" w:pos="1680"/>
        <w:tab w:val="left" w:pos="2100"/>
      </w:tabs>
      <w:outlineLvl w:val="3"/>
    </w:pPr>
  </w:style>
  <w:style w:type="paragraph" w:customStyle="1" w:styleId="370">
    <w:name w:val="一级条标题"/>
    <w:basedOn w:val="371"/>
    <w:next w:val="372"/>
    <w:qFormat/>
    <w:uiPriority w:val="0"/>
    <w:pPr>
      <w:tabs>
        <w:tab w:val="left" w:pos="360"/>
        <w:tab w:val="left" w:pos="1260"/>
        <w:tab w:val="left" w:pos="1680"/>
      </w:tabs>
      <w:ind w:left="1680" w:hanging="420"/>
      <w:outlineLvl w:val="2"/>
    </w:pPr>
  </w:style>
  <w:style w:type="paragraph" w:customStyle="1" w:styleId="371">
    <w:name w:val="章标题"/>
    <w:next w:val="372"/>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5">
    <w:name w:val="目录 71"/>
    <w:basedOn w:val="1"/>
    <w:next w:val="1"/>
    <w:qFormat/>
    <w:uiPriority w:val="0"/>
    <w:pPr>
      <w:ind w:left="2520" w:leftChars="1200"/>
    </w:pPr>
  </w:style>
  <w:style w:type="paragraph" w:customStyle="1" w:styleId="376">
    <w:name w:val="单元格左对齐"/>
    <w:basedOn w:val="1"/>
    <w:qFormat/>
    <w:uiPriority w:val="0"/>
    <w:pPr>
      <w:adjustRightInd/>
      <w:spacing w:line="360" w:lineRule="auto"/>
    </w:pPr>
    <w:rPr>
      <w:sz w:val="24"/>
    </w:rPr>
  </w:style>
  <w:style w:type="paragraph" w:customStyle="1" w:styleId="377">
    <w:name w:val="数字标题5"/>
    <w:basedOn w:val="6"/>
    <w:next w:val="1"/>
    <w:qFormat/>
    <w:uiPriority w:val="0"/>
    <w:pPr>
      <w:tabs>
        <w:tab w:val="left" w:pos="480"/>
        <w:tab w:val="left" w:pos="1080"/>
      </w:tabs>
      <w:ind w:left="480" w:hanging="480"/>
    </w:pPr>
  </w:style>
  <w:style w:type="paragraph" w:customStyle="1" w:styleId="378">
    <w:name w:val="目录 51"/>
    <w:basedOn w:val="1"/>
    <w:next w:val="1"/>
    <w:qFormat/>
    <w:uiPriority w:val="0"/>
    <w:pPr>
      <w:ind w:left="1680" w:leftChars="800"/>
    </w:pPr>
  </w:style>
  <w:style w:type="paragraph" w:customStyle="1" w:styleId="37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2">
    <w:name w:val="Char11"/>
    <w:basedOn w:val="1"/>
    <w:qFormat/>
    <w:uiPriority w:val="0"/>
    <w:pPr>
      <w:tabs>
        <w:tab w:val="left" w:pos="432"/>
      </w:tabs>
      <w:adjustRightInd/>
      <w:spacing w:beforeLines="50" w:afterLines="50"/>
      <w:ind w:left="432" w:hanging="432" w:firstLineChars="200"/>
    </w:pPr>
    <w:rPr>
      <w:sz w:val="24"/>
    </w:rPr>
  </w:style>
  <w:style w:type="paragraph" w:customStyle="1" w:styleId="3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4">
    <w:name w:val="样式 标题 4PIM 4H4h4bulletblbbH41H42H43H44H45H46H47H48...1"/>
    <w:basedOn w:val="5"/>
    <w:qFormat/>
    <w:uiPriority w:val="0"/>
    <w:pPr>
      <w:widowControl/>
      <w:jc w:val="left"/>
    </w:pPr>
    <w:rPr>
      <w:rFonts w:cs="宋体"/>
      <w:sz w:val="24"/>
      <w:szCs w:val="20"/>
    </w:rPr>
  </w:style>
  <w:style w:type="paragraph" w:customStyle="1" w:styleId="3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6">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87">
    <w:name w:val="目录 11"/>
    <w:basedOn w:val="1"/>
    <w:next w:val="1"/>
    <w:qFormat/>
    <w:uiPriority w:val="0"/>
  </w:style>
  <w:style w:type="paragraph" w:customStyle="1" w:styleId="3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8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39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2">
    <w:name w:val="样式6"/>
    <w:basedOn w:val="27"/>
    <w:qFormat/>
    <w:uiPriority w:val="0"/>
    <w:pPr>
      <w:spacing w:line="460" w:lineRule="exact"/>
      <w:outlineLvl w:val="2"/>
    </w:pPr>
    <w:rPr>
      <w:rFonts w:ascii="仿宋_GB2312" w:hAnsi="宋体" w:eastAsia="仿宋_GB2312"/>
      <w:b/>
      <w:bCs/>
      <w:sz w:val="24"/>
      <w:szCs w:val="24"/>
    </w:rPr>
  </w:style>
  <w:style w:type="paragraph" w:customStyle="1" w:styleId="3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4">
    <w:name w:val="目录 81"/>
    <w:basedOn w:val="1"/>
    <w:next w:val="1"/>
    <w:qFormat/>
    <w:uiPriority w:val="0"/>
    <w:pPr>
      <w:ind w:left="2940" w:leftChars="1400"/>
    </w:pPr>
  </w:style>
  <w:style w:type="paragraph" w:customStyle="1" w:styleId="395">
    <w:name w:val="默认段落字体 Para Char Char Char1 Char"/>
    <w:basedOn w:val="1"/>
    <w:qFormat/>
    <w:uiPriority w:val="0"/>
    <w:pPr>
      <w:spacing w:line="240" w:lineRule="atLeast"/>
      <w:ind w:left="420" w:firstLine="420"/>
    </w:pPr>
    <w:rPr>
      <w:sz w:val="24"/>
    </w:rPr>
  </w:style>
  <w:style w:type="paragraph" w:customStyle="1" w:styleId="3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7">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39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1">
    <w:name w:val="List Paragraph1"/>
    <w:basedOn w:val="1"/>
    <w:qFormat/>
    <w:uiPriority w:val="99"/>
    <w:pPr>
      <w:adjustRightInd/>
      <w:ind w:firstLine="420" w:firstLineChars="200"/>
    </w:pPr>
    <w:rPr>
      <w:rFonts w:ascii="Calibri" w:hAnsi="Calibri"/>
      <w:szCs w:val="22"/>
    </w:rPr>
  </w:style>
  <w:style w:type="paragraph" w:customStyle="1" w:styleId="4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标题五"/>
    <w:basedOn w:val="1"/>
    <w:qFormat/>
    <w:uiPriority w:val="0"/>
    <w:pPr>
      <w:adjustRightInd/>
      <w:spacing w:beforeLines="50" w:line="360" w:lineRule="auto"/>
    </w:pPr>
    <w:rPr>
      <w:b/>
      <w:sz w:val="24"/>
    </w:rPr>
  </w:style>
  <w:style w:type="paragraph" w:customStyle="1" w:styleId="405">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0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5">
    <w:name w:val="五级条标题"/>
    <w:basedOn w:val="367"/>
    <w:next w:val="372"/>
    <w:qFormat/>
    <w:uiPriority w:val="0"/>
    <w:pPr>
      <w:tabs>
        <w:tab w:val="clear" w:pos="2940"/>
      </w:tabs>
      <w:outlineLvl w:val="6"/>
    </w:pPr>
  </w:style>
  <w:style w:type="paragraph" w:customStyle="1" w:styleId="416">
    <w:name w:val="列表内容"/>
    <w:basedOn w:val="1"/>
    <w:next w:val="1"/>
    <w:qFormat/>
    <w:uiPriority w:val="0"/>
    <w:pPr>
      <w:widowControl/>
      <w:tabs>
        <w:tab w:val="left" w:pos="840"/>
      </w:tabs>
      <w:ind w:left="840" w:hanging="420"/>
      <w:jc w:val="left"/>
    </w:pPr>
    <w:rPr>
      <w:kern w:val="0"/>
      <w:sz w:val="18"/>
    </w:rPr>
  </w:style>
  <w:style w:type="paragraph" w:customStyle="1" w:styleId="417">
    <w:name w:val="正文文字缩进2字"/>
    <w:basedOn w:val="20"/>
    <w:qFormat/>
    <w:uiPriority w:val="0"/>
    <w:pPr>
      <w:autoSpaceDE/>
      <w:autoSpaceDN/>
      <w:adjustRightInd/>
      <w:spacing w:before="60" w:after="60"/>
      <w:ind w:firstLine="200" w:firstLineChars="200"/>
    </w:pPr>
    <w:rPr>
      <w:rFonts w:ascii="Times New Roman"/>
      <w:szCs w:val="20"/>
      <w:lang w:val="en-US"/>
    </w:rPr>
  </w:style>
  <w:style w:type="paragraph" w:customStyle="1" w:styleId="418">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Char19"/>
    <w:basedOn w:val="1"/>
    <w:qFormat/>
    <w:uiPriority w:val="0"/>
    <w:pPr>
      <w:adjustRightInd/>
    </w:pPr>
    <w:rPr>
      <w:szCs w:val="20"/>
    </w:rPr>
  </w:style>
  <w:style w:type="paragraph" w:customStyle="1" w:styleId="420">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2">
    <w:name w:val="样式 列表编号 + 段后: 0.5 行"/>
    <w:basedOn w:val="12"/>
    <w:qFormat/>
    <w:uiPriority w:val="2"/>
    <w:pPr>
      <w:tabs>
        <w:tab w:val="clear" w:pos="390"/>
        <w:tab w:val="clear" w:pos="454"/>
      </w:tabs>
      <w:ind w:left="840" w:hanging="420"/>
      <w:contextualSpacing/>
    </w:pPr>
    <w:rPr>
      <w:rFonts w:cs="宋体"/>
    </w:rPr>
  </w:style>
  <w:style w:type="paragraph" w:customStyle="1" w:styleId="423">
    <w:name w:val="文本正文 Char"/>
    <w:basedOn w:val="1"/>
    <w:qFormat/>
    <w:uiPriority w:val="0"/>
    <w:pPr>
      <w:spacing w:line="360" w:lineRule="auto"/>
      <w:ind w:firstLine="200" w:firstLineChars="200"/>
    </w:pPr>
    <w:rPr>
      <w:kern w:val="0"/>
      <w:sz w:val="24"/>
      <w:szCs w:val="20"/>
    </w:rPr>
  </w:style>
  <w:style w:type="paragraph" w:customStyle="1" w:styleId="42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6">
    <w:name w:val="列出段落11"/>
    <w:basedOn w:val="1"/>
    <w:qFormat/>
    <w:uiPriority w:val="34"/>
    <w:pPr>
      <w:adjustRightInd/>
      <w:ind w:firstLine="420" w:firstLineChars="200"/>
    </w:pPr>
    <w:rPr>
      <w:rFonts w:ascii="Calibri" w:hAnsi="Calibri"/>
      <w:szCs w:val="22"/>
    </w:rPr>
  </w:style>
  <w:style w:type="paragraph" w:customStyle="1" w:styleId="427">
    <w:name w:val="Char Char11 Char Char Char Char Char Char Char Char Char"/>
    <w:basedOn w:val="1"/>
    <w:qFormat/>
    <w:uiPriority w:val="0"/>
    <w:pPr>
      <w:spacing w:line="360" w:lineRule="auto"/>
    </w:pPr>
    <w:rPr>
      <w:szCs w:val="20"/>
    </w:rPr>
  </w:style>
  <w:style w:type="paragraph" w:customStyle="1" w:styleId="42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2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1">
    <w:name w:val="Char Char Char1 Char"/>
    <w:basedOn w:val="1"/>
    <w:qFormat/>
    <w:uiPriority w:val="0"/>
    <w:rPr>
      <w:szCs w:val="20"/>
    </w:rPr>
  </w:style>
  <w:style w:type="paragraph" w:customStyle="1" w:styleId="43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4">
    <w:name w:val="Char Char Char Char Char Char Char Char Char Char1"/>
    <w:basedOn w:val="1"/>
    <w:qFormat/>
    <w:uiPriority w:val="0"/>
    <w:rPr>
      <w:rFonts w:ascii="仿宋_GB2312" w:eastAsia="仿宋_GB2312"/>
      <w:b/>
      <w:sz w:val="32"/>
      <w:szCs w:val="32"/>
    </w:rPr>
  </w:style>
  <w:style w:type="paragraph" w:customStyle="1" w:styleId="43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7">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0">
    <w:name w:val="EB_表格"/>
    <w:basedOn w:val="1"/>
    <w:qFormat/>
    <w:uiPriority w:val="0"/>
    <w:pPr>
      <w:adjustRightInd/>
      <w:spacing w:line="300" w:lineRule="auto"/>
      <w:jc w:val="center"/>
    </w:pPr>
  </w:style>
  <w:style w:type="paragraph" w:customStyle="1" w:styleId="44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3">
    <w:name w:val="Char Char Char Char Char Char Char Char Char Char Char Char1 Char"/>
    <w:basedOn w:val="1"/>
    <w:qFormat/>
    <w:uiPriority w:val="0"/>
    <w:rPr>
      <w:rFonts w:ascii="Tahoma" w:hAnsi="Tahoma" w:cs="仿宋_GB2312"/>
      <w:sz w:val="24"/>
      <w:szCs w:val="20"/>
    </w:rPr>
  </w:style>
  <w:style w:type="paragraph" w:customStyle="1" w:styleId="444">
    <w:name w:val="Thf"/>
    <w:basedOn w:val="445"/>
    <w:qFormat/>
    <w:uiPriority w:val="0"/>
    <w:pPr>
      <w:ind w:left="0"/>
    </w:pPr>
  </w:style>
  <w:style w:type="paragraph" w:customStyle="1" w:styleId="4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7">
    <w:name w:val="Char Char1 Char Char Char Char Char Char"/>
    <w:basedOn w:val="1"/>
    <w:qFormat/>
    <w:uiPriority w:val="0"/>
    <w:rPr>
      <w:rFonts w:ascii="仿宋_GB2312" w:eastAsia="仿宋_GB2312"/>
      <w:b/>
      <w:sz w:val="32"/>
      <w:szCs w:val="20"/>
    </w:rPr>
  </w:style>
  <w:style w:type="paragraph" w:customStyle="1" w:styleId="448">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449">
    <w:name w:val="正文首行缩进1"/>
    <w:basedOn w:val="2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0">
    <w:name w:val="CSS1级正文 Char"/>
    <w:basedOn w:val="20"/>
    <w:qFormat/>
    <w:uiPriority w:val="0"/>
    <w:pPr>
      <w:autoSpaceDE/>
      <w:autoSpaceDN/>
      <w:snapToGrid w:val="0"/>
      <w:ind w:firstLine="480" w:firstLineChars="200"/>
    </w:pPr>
    <w:rPr>
      <w:rFonts w:ascii="Times New Roman"/>
      <w:szCs w:val="24"/>
      <w:lang w:val="en-US"/>
    </w:rPr>
  </w:style>
  <w:style w:type="paragraph" w:customStyle="1" w:styleId="451">
    <w:name w:val="Char Char Char Char Char Char Char Char Char Char"/>
    <w:basedOn w:val="1"/>
    <w:qFormat/>
    <w:uiPriority w:val="0"/>
    <w:rPr>
      <w:rFonts w:ascii="仿宋_GB2312" w:eastAsia="仿宋_GB2312"/>
      <w:b/>
      <w:sz w:val="32"/>
      <w:szCs w:val="32"/>
    </w:rPr>
  </w:style>
  <w:style w:type="paragraph" w:customStyle="1" w:styleId="452">
    <w:name w:val="封面"/>
    <w:basedOn w:val="1"/>
    <w:qFormat/>
    <w:uiPriority w:val="0"/>
    <w:pPr>
      <w:spacing w:line="360" w:lineRule="atLeast"/>
      <w:jc w:val="right"/>
      <w:textAlignment w:val="baseline"/>
    </w:pPr>
    <w:rPr>
      <w:rFonts w:ascii="Symbol" w:hAnsi="Symbol"/>
      <w:kern w:val="0"/>
      <w:szCs w:val="20"/>
    </w:rPr>
  </w:style>
  <w:style w:type="paragraph" w:customStyle="1" w:styleId="45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4">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5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6">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463">
    <w:name w:val="trademark"/>
    <w:qFormat/>
    <w:uiPriority w:val="0"/>
    <w:pPr>
      <w:spacing w:after="60"/>
    </w:pPr>
    <w:rPr>
      <w:rFonts w:ascii="Futura Bk" w:hAnsi="Futura Bk" w:eastAsia="宋体" w:cs="Times New Roman"/>
      <w:sz w:val="15"/>
      <w:lang w:val="en-US" w:eastAsia="en-US" w:bidi="ar-SA"/>
    </w:rPr>
  </w:style>
  <w:style w:type="paragraph" w:customStyle="1" w:styleId="464">
    <w:name w:val="Char31"/>
    <w:basedOn w:val="1"/>
    <w:qFormat/>
    <w:uiPriority w:val="0"/>
    <w:pPr>
      <w:adjustRightInd/>
    </w:pPr>
    <w:rPr>
      <w:rFonts w:ascii="仿宋_GB2312" w:eastAsia="仿宋_GB2312"/>
      <w:b/>
      <w:sz w:val="32"/>
      <w:szCs w:val="32"/>
    </w:rPr>
  </w:style>
  <w:style w:type="paragraph" w:customStyle="1" w:styleId="465">
    <w:name w:val="Char Char Char Char Char Char Char Char Char Char Char1 Char"/>
    <w:basedOn w:val="1"/>
    <w:qFormat/>
    <w:uiPriority w:val="0"/>
    <w:pPr>
      <w:adjustRightInd/>
    </w:pPr>
    <w:rPr>
      <w:rFonts w:ascii="Tahoma" w:hAnsi="Tahoma"/>
      <w:sz w:val="24"/>
    </w:rPr>
  </w:style>
  <w:style w:type="paragraph" w:customStyle="1" w:styleId="46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467">
    <w:name w:val="正文表标题"/>
    <w:next w:val="3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2">
    <w:name w:val="Char1 Char Char Char"/>
    <w:basedOn w:val="1"/>
    <w:qFormat/>
    <w:uiPriority w:val="0"/>
    <w:rPr>
      <w:rFonts w:ascii="Tahoma" w:hAnsi="Tahoma"/>
      <w:sz w:val="24"/>
      <w:szCs w:val="20"/>
    </w:rPr>
  </w:style>
  <w:style w:type="paragraph" w:customStyle="1" w:styleId="473">
    <w:name w:val="MM Topic 3"/>
    <w:basedOn w:val="4"/>
    <w:qFormat/>
    <w:uiPriority w:val="0"/>
    <w:pPr>
      <w:numPr>
        <w:ilvl w:val="0"/>
        <w:numId w:val="0"/>
      </w:numPr>
      <w:tabs>
        <w:tab w:val="left" w:pos="840"/>
        <w:tab w:val="left" w:pos="1680"/>
      </w:tabs>
      <w:adjustRightInd/>
      <w:ind w:left="1680" w:hanging="420"/>
    </w:p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7">
    <w:name w:val="a1"/>
    <w:basedOn w:val="1"/>
    <w:qFormat/>
    <w:uiPriority w:val="0"/>
    <w:pPr>
      <w:widowControl/>
      <w:spacing w:line="300" w:lineRule="atLeast"/>
      <w:jc w:val="left"/>
    </w:pPr>
    <w:rPr>
      <w:rFonts w:ascii="宋体" w:hAnsi="宋体"/>
      <w:kern w:val="0"/>
      <w:sz w:val="18"/>
      <w:szCs w:val="20"/>
    </w:rPr>
  </w:style>
  <w:style w:type="paragraph" w:customStyle="1" w:styleId="4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9">
    <w:name w:val="Char Char110"/>
    <w:basedOn w:val="1"/>
    <w:qFormat/>
    <w:uiPriority w:val="0"/>
    <w:pPr>
      <w:spacing w:line="360" w:lineRule="auto"/>
    </w:pPr>
    <w:rPr>
      <w:rFonts w:ascii="Tahoma" w:hAnsi="Tahoma"/>
      <w:sz w:val="24"/>
      <w:szCs w:val="20"/>
    </w:rPr>
  </w:style>
  <w:style w:type="paragraph" w:customStyle="1" w:styleId="4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1">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3">
    <w:name w:val="正文文字表格居中"/>
    <w:basedOn w:val="1"/>
    <w:next w:val="43"/>
    <w:qFormat/>
    <w:uiPriority w:val="0"/>
    <w:pPr>
      <w:snapToGrid w:val="0"/>
      <w:spacing w:line="360" w:lineRule="auto"/>
    </w:pPr>
    <w:rPr>
      <w:rFonts w:ascii="宋体"/>
      <w:b/>
      <w:sz w:val="24"/>
      <w:szCs w:val="20"/>
    </w:rPr>
  </w:style>
  <w:style w:type="paragraph" w:customStyle="1" w:styleId="484">
    <w:name w:val="修订1"/>
    <w:qFormat/>
    <w:uiPriority w:val="3"/>
    <w:rPr>
      <w:rFonts w:ascii="Times New Roman" w:hAnsi="Times New Roman" w:eastAsia="宋体" w:cs="Times New Roman"/>
      <w:color w:val="000000"/>
      <w:kern w:val="1"/>
      <w:sz w:val="21"/>
      <w:lang w:val="en-US" w:eastAsia="zh-CN" w:bidi="ar-SA"/>
    </w:rPr>
  </w:style>
  <w:style w:type="paragraph" w:customStyle="1" w:styleId="48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8">
    <w:name w:val="正文 项目2"/>
    <w:basedOn w:val="489"/>
    <w:qFormat/>
    <w:uiPriority w:val="0"/>
    <w:pPr>
      <w:tabs>
        <w:tab w:val="left" w:pos="840"/>
      </w:tabs>
      <w:spacing w:after="0"/>
      <w:ind w:left="900"/>
    </w:pPr>
  </w:style>
  <w:style w:type="paragraph" w:customStyle="1" w:styleId="48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0">
    <w:name w:val="左对齐表格文字"/>
    <w:basedOn w:val="1"/>
    <w:qFormat/>
    <w:uiPriority w:val="0"/>
    <w:pPr>
      <w:adjustRightInd/>
      <w:ind w:firstLine="200" w:firstLineChars="200"/>
      <w:jc w:val="right"/>
    </w:pPr>
  </w:style>
  <w:style w:type="paragraph" w:customStyle="1" w:styleId="4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2">
    <w:name w:val="4"/>
    <w:basedOn w:val="1"/>
    <w:next w:val="30"/>
    <w:qFormat/>
    <w:uiPriority w:val="0"/>
    <w:pPr>
      <w:spacing w:after="120" w:line="480" w:lineRule="auto"/>
      <w:ind w:left="420" w:leftChars="200"/>
    </w:pPr>
    <w:rPr>
      <w:sz w:val="24"/>
      <w:szCs w:val="20"/>
    </w:rPr>
  </w:style>
  <w:style w:type="paragraph" w:customStyle="1" w:styleId="493">
    <w:name w:val="0"/>
    <w:basedOn w:val="1"/>
    <w:qFormat/>
    <w:uiPriority w:val="0"/>
    <w:pPr>
      <w:widowControl/>
    </w:pPr>
    <w:rPr>
      <w:kern w:val="0"/>
      <w:sz w:val="24"/>
      <w:szCs w:val="20"/>
    </w:rPr>
  </w:style>
  <w:style w:type="paragraph" w:customStyle="1" w:styleId="494">
    <w:name w:val="封面公司名"/>
    <w:qFormat/>
    <w:uiPriority w:val="0"/>
    <w:pPr>
      <w:jc w:val="center"/>
    </w:pPr>
    <w:rPr>
      <w:rFonts w:ascii="Arial" w:hAnsi="Arial" w:eastAsia="楷体_GB2312" w:cs="宋体"/>
      <w:bCs/>
      <w:kern w:val="2"/>
      <w:sz w:val="28"/>
      <w:lang w:val="en-US" w:eastAsia="zh-CN" w:bidi="ar-SA"/>
    </w:rPr>
  </w:style>
  <w:style w:type="paragraph" w:customStyle="1" w:styleId="495">
    <w:name w:val="MM Empty"/>
    <w:basedOn w:val="1"/>
    <w:qFormat/>
    <w:uiPriority w:val="0"/>
    <w:pPr>
      <w:adjustRightInd/>
    </w:pPr>
  </w:style>
  <w:style w:type="paragraph" w:customStyle="1" w:styleId="496">
    <w:name w:val="Char Char Char Char Char Char Char"/>
    <w:basedOn w:val="1"/>
    <w:qFormat/>
    <w:uiPriority w:val="0"/>
    <w:rPr>
      <w:rFonts w:ascii="仿宋_GB2312" w:eastAsia="仿宋_GB2312"/>
      <w:b/>
      <w:sz w:val="32"/>
      <w:szCs w:val="32"/>
    </w:rPr>
  </w:style>
  <w:style w:type="paragraph" w:customStyle="1" w:styleId="497">
    <w:name w:val="默认段落字体 Para Char"/>
    <w:basedOn w:val="1"/>
    <w:qFormat/>
    <w:uiPriority w:val="0"/>
    <w:rPr>
      <w:rFonts w:ascii="Tahoma" w:hAnsi="Tahoma"/>
      <w:sz w:val="24"/>
      <w:szCs w:val="20"/>
    </w:rPr>
  </w:style>
  <w:style w:type="paragraph" w:customStyle="1" w:styleId="4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0">
    <w:name w:val="Char2 Char Char"/>
    <w:basedOn w:val="1"/>
    <w:qFormat/>
    <w:uiPriority w:val="0"/>
    <w:pPr>
      <w:adjustRightInd/>
    </w:pPr>
    <w:rPr>
      <w:rFonts w:ascii="Tahoma" w:hAnsi="Tahoma"/>
      <w:sz w:val="24"/>
      <w:szCs w:val="20"/>
    </w:rPr>
  </w:style>
  <w:style w:type="paragraph" w:customStyle="1" w:styleId="501">
    <w:name w:val="Char Char1 Char"/>
    <w:basedOn w:val="1"/>
    <w:qFormat/>
    <w:uiPriority w:val="0"/>
    <w:rPr>
      <w:rFonts w:ascii="仿宋_GB2312" w:eastAsia="仿宋_GB2312"/>
      <w:b/>
      <w:sz w:val="32"/>
      <w:szCs w:val="32"/>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Body Text 2*"/>
    <w:basedOn w:val="1"/>
    <w:qFormat/>
    <w:uiPriority w:val="6"/>
    <w:pPr>
      <w:widowControl/>
      <w:adjustRightInd/>
      <w:ind w:left="720" w:hanging="720"/>
    </w:pPr>
    <w:rPr>
      <w:color w:val="000000"/>
      <w:kern w:val="0"/>
      <w:sz w:val="24"/>
      <w:szCs w:val="20"/>
      <w:lang w:val="en-GB"/>
    </w:rPr>
  </w:style>
  <w:style w:type="paragraph" w:customStyle="1" w:styleId="5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5">
    <w:name w:val="Char1 Char Char Char1"/>
    <w:basedOn w:val="1"/>
    <w:qFormat/>
    <w:uiPriority w:val="0"/>
    <w:pPr>
      <w:adjustRightInd/>
      <w:ind w:firstLine="200" w:firstLineChars="200"/>
    </w:pPr>
    <w:rPr>
      <w:rFonts w:ascii="Tahoma" w:hAnsi="Tahoma"/>
      <w:sz w:val="24"/>
      <w:szCs w:val="20"/>
    </w:rPr>
  </w:style>
  <w:style w:type="paragraph" w:customStyle="1" w:styleId="50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7">
    <w:name w:val="样式1 + (中宋体"/>
    <w:basedOn w:val="38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09">
    <w:name w:val="Char Char Char Char Char Char Char Char"/>
    <w:basedOn w:val="1"/>
    <w:qFormat/>
    <w:uiPriority w:val="0"/>
    <w:pPr>
      <w:tabs>
        <w:tab w:val="left" w:pos="360"/>
      </w:tabs>
    </w:pPr>
    <w:rPr>
      <w:sz w:val="24"/>
      <w:szCs w:val="20"/>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2">
    <w:name w:val="Char Char Char1 Char1"/>
    <w:basedOn w:val="1"/>
    <w:qFormat/>
    <w:uiPriority w:val="0"/>
    <w:rPr>
      <w:szCs w:val="20"/>
    </w:rPr>
  </w:style>
  <w:style w:type="paragraph" w:customStyle="1" w:styleId="513">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7">
    <w:name w:val="Char1 Char Char Char4"/>
    <w:basedOn w:val="1"/>
    <w:qFormat/>
    <w:uiPriority w:val="0"/>
    <w:pPr>
      <w:adjustRightInd/>
      <w:ind w:firstLine="200" w:firstLineChars="200"/>
    </w:pPr>
    <w:rPr>
      <w:rFonts w:ascii="Tahoma" w:hAnsi="Tahoma"/>
      <w:sz w:val="24"/>
      <w:szCs w:val="20"/>
    </w:rPr>
  </w:style>
  <w:style w:type="paragraph" w:customStyle="1" w:styleId="51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19">
    <w:name w:val="正文－恩普"/>
    <w:basedOn w:val="1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1">
    <w:name w:val="Char Char11 Char Char Char"/>
    <w:basedOn w:val="1"/>
    <w:qFormat/>
    <w:uiPriority w:val="0"/>
    <w:pPr>
      <w:spacing w:line="360" w:lineRule="auto"/>
    </w:pPr>
    <w:rPr>
      <w:szCs w:val="20"/>
    </w:rPr>
  </w:style>
  <w:style w:type="paragraph" w:customStyle="1" w:styleId="522">
    <w:name w:val="标书标题2"/>
    <w:basedOn w:val="2"/>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样式 样式2 + 左侧:  1 字符 右侧:  1 字符"/>
    <w:basedOn w:val="525"/>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8">
    <w:name w:val="正文21"/>
    <w:basedOn w:val="1"/>
    <w:qFormat/>
    <w:uiPriority w:val="0"/>
    <w:pPr>
      <w:adjustRightInd/>
      <w:spacing w:before="156" w:line="360" w:lineRule="auto"/>
      <w:ind w:firstLine="510" w:firstLineChars="200"/>
    </w:pPr>
    <w:rPr>
      <w:sz w:val="24"/>
      <w:szCs w:val="20"/>
    </w:rPr>
  </w:style>
  <w:style w:type="paragraph" w:customStyle="1" w:styleId="529">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0">
    <w:name w:val="MM Topic 2"/>
    <w:basedOn w:val="2"/>
    <w:qFormat/>
    <w:uiPriority w:val="0"/>
    <w:pPr>
      <w:tabs>
        <w:tab w:val="left" w:pos="1260"/>
      </w:tabs>
      <w:ind w:left="1260" w:hanging="420"/>
    </w:pPr>
    <w:rPr>
      <w:rFonts w:ascii="Arial" w:hAnsi="Arial" w:eastAsia="黑体"/>
      <w:lang w:val="en-US"/>
    </w:rPr>
  </w:style>
  <w:style w:type="paragraph" w:customStyle="1" w:styleId="531">
    <w:name w:val="Char2 Char Char Char1"/>
    <w:basedOn w:val="1"/>
    <w:qFormat/>
    <w:uiPriority w:val="0"/>
    <w:rPr>
      <w:rFonts w:ascii="仿宋_GB2312" w:eastAsia="仿宋_GB2312"/>
      <w:b/>
      <w:sz w:val="32"/>
      <w:szCs w:val="32"/>
    </w:rPr>
  </w:style>
  <w:style w:type="paragraph" w:customStyle="1" w:styleId="532">
    <w:name w:val="样式3"/>
    <w:basedOn w:val="525"/>
    <w:qFormat/>
    <w:uiPriority w:val="0"/>
    <w:pPr>
      <w:spacing w:beforeLines="100"/>
      <w:jc w:val="left"/>
    </w:pPr>
  </w:style>
  <w:style w:type="paragraph" w:customStyle="1" w:styleId="5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5">
    <w:name w:val="Bulleting First Indent 1"/>
    <w:basedOn w:val="13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Plain Text1"/>
    <w:basedOn w:val="1"/>
    <w:qFormat/>
    <w:uiPriority w:val="0"/>
    <w:pPr>
      <w:adjustRightInd/>
    </w:pPr>
    <w:rPr>
      <w:rFonts w:ascii="宋体" w:hAnsi="Courier New"/>
    </w:rPr>
  </w:style>
  <w:style w:type="paragraph" w:customStyle="1" w:styleId="5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38">
    <w:name w:val="正文 首行缩进:  2 字符 Char"/>
    <w:basedOn w:val="1"/>
    <w:qFormat/>
    <w:uiPriority w:val="0"/>
    <w:pPr>
      <w:adjustRightInd/>
      <w:spacing w:line="360" w:lineRule="auto"/>
      <w:ind w:firstLine="480"/>
    </w:pPr>
    <w:rPr>
      <w:rFonts w:cs="宋体"/>
      <w:sz w:val="24"/>
      <w:szCs w:val="20"/>
    </w:rPr>
  </w:style>
  <w:style w:type="paragraph" w:customStyle="1" w:styleId="5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0">
    <w:name w:val="Char111"/>
    <w:basedOn w:val="1"/>
    <w:qFormat/>
    <w:uiPriority w:val="0"/>
    <w:rPr>
      <w:rFonts w:ascii="仿宋_GB2312" w:eastAsia="仿宋_GB2312"/>
      <w:b/>
      <w:sz w:val="32"/>
      <w:szCs w:val="32"/>
    </w:rPr>
  </w:style>
  <w:style w:type="paragraph" w:customStyle="1" w:styleId="541">
    <w:name w:val="表格文字"/>
    <w:basedOn w:val="1"/>
    <w:next w:val="13"/>
    <w:qFormat/>
    <w:uiPriority w:val="0"/>
    <w:pPr>
      <w:adjustRightInd/>
      <w:ind w:firstLine="200" w:firstLineChars="200"/>
    </w:pPr>
    <w:rPr>
      <w:rFonts w:ascii="Arial" w:hAnsi="Arial"/>
      <w:spacing w:val="-5"/>
      <w:kern w:val="0"/>
      <w:sz w:val="24"/>
      <w:szCs w:val="20"/>
    </w:rPr>
  </w:style>
  <w:style w:type="paragraph" w:customStyle="1" w:styleId="5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5">
    <w:name w:val="P1"/>
    <w:basedOn w:val="1"/>
    <w:qFormat/>
    <w:uiPriority w:val="0"/>
    <w:pPr>
      <w:adjustRightInd/>
      <w:spacing w:line="288" w:lineRule="auto"/>
      <w:ind w:firstLine="425" w:firstLineChars="200"/>
    </w:pPr>
  </w:style>
  <w:style w:type="paragraph" w:customStyle="1" w:styleId="546">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49">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5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1">
    <w:name w:val="Char Char1 Char Char1 Char Char1"/>
    <w:basedOn w:val="1"/>
    <w:qFormat/>
    <w:uiPriority w:val="0"/>
    <w:pPr>
      <w:tabs>
        <w:tab w:val="left" w:pos="840"/>
      </w:tabs>
      <w:ind w:left="840" w:hanging="420"/>
    </w:pPr>
    <w:rPr>
      <w:rFonts w:ascii="Tahoma" w:hAnsi="Tahoma"/>
      <w:sz w:val="24"/>
    </w:rPr>
  </w:style>
  <w:style w:type="paragraph" w:customStyle="1" w:styleId="55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5">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6">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7">
    <w:name w:val="加粗正文"/>
    <w:basedOn w:val="1"/>
    <w:qFormat/>
    <w:uiPriority w:val="0"/>
    <w:pPr>
      <w:adjustRightInd/>
      <w:spacing w:beforeLines="50" w:afterLines="50" w:line="360" w:lineRule="auto"/>
      <w:ind w:firstLine="422" w:firstLineChars="200"/>
    </w:pPr>
    <w:rPr>
      <w:b/>
      <w:bCs/>
      <w:szCs w:val="21"/>
    </w:rPr>
  </w:style>
  <w:style w:type="paragraph" w:customStyle="1" w:styleId="55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0">
    <w:name w:val="表格（小）"/>
    <w:basedOn w:val="1"/>
    <w:qFormat/>
    <w:uiPriority w:val="0"/>
    <w:pPr>
      <w:adjustRightInd/>
      <w:snapToGrid w:val="0"/>
      <w:spacing w:line="300" w:lineRule="auto"/>
    </w:pPr>
    <w:rPr>
      <w:rFonts w:eastAsia="仿宋"/>
      <w:szCs w:val="21"/>
    </w:rPr>
  </w:style>
  <w:style w:type="paragraph" w:customStyle="1" w:styleId="561">
    <w:name w:val="文档正文"/>
    <w:basedOn w:val="1"/>
    <w:qFormat/>
    <w:uiPriority w:val="0"/>
    <w:pPr>
      <w:spacing w:line="480" w:lineRule="atLeast"/>
      <w:ind w:firstLine="567"/>
      <w:textAlignment w:val="baseline"/>
    </w:pPr>
    <w:rPr>
      <w:kern w:val="0"/>
      <w:sz w:val="24"/>
      <w:szCs w:val="20"/>
    </w:rPr>
  </w:style>
  <w:style w:type="paragraph" w:customStyle="1" w:styleId="562">
    <w:name w:val="注释"/>
    <w:basedOn w:val="1"/>
    <w:qFormat/>
    <w:uiPriority w:val="0"/>
    <w:pPr>
      <w:adjustRightInd/>
      <w:spacing w:line="360" w:lineRule="auto"/>
      <w:ind w:firstLine="480"/>
    </w:pPr>
    <w:rPr>
      <w:sz w:val="24"/>
    </w:rPr>
  </w:style>
  <w:style w:type="paragraph" w:customStyle="1" w:styleId="563">
    <w:name w:val="body text bold"/>
    <w:basedOn w:val="2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4">
    <w:name w:val="Char1 Char Char Char2"/>
    <w:basedOn w:val="1"/>
    <w:qFormat/>
    <w:uiPriority w:val="0"/>
    <w:pPr>
      <w:adjustRightInd/>
      <w:ind w:firstLine="200" w:firstLineChars="200"/>
    </w:pPr>
    <w:rPr>
      <w:rFonts w:ascii="Tahoma" w:hAnsi="Tahoma"/>
      <w:sz w:val="24"/>
      <w:szCs w:val="20"/>
    </w:rPr>
  </w:style>
  <w:style w:type="paragraph" w:customStyle="1" w:styleId="56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7">
    <w:name w:val="四号　首行缩进"/>
    <w:basedOn w:val="1"/>
    <w:qFormat/>
    <w:uiPriority w:val="0"/>
    <w:pPr>
      <w:adjustRightInd/>
      <w:spacing w:line="360" w:lineRule="auto"/>
    </w:pPr>
    <w:rPr>
      <w:rFonts w:ascii="宋体" w:hAnsi="宋体"/>
      <w:szCs w:val="20"/>
    </w:rPr>
  </w:style>
  <w:style w:type="paragraph" w:customStyle="1" w:styleId="568">
    <w:name w:val="Char21"/>
    <w:basedOn w:val="1"/>
    <w:qFormat/>
    <w:uiPriority w:val="0"/>
    <w:pPr>
      <w:adjustRightInd/>
      <w:ind w:firstLine="200" w:firstLineChars="200"/>
    </w:pPr>
    <w:rPr>
      <w:rFonts w:ascii="仿宋_GB2312" w:eastAsia="仿宋_GB2312"/>
      <w:b/>
      <w:sz w:val="32"/>
      <w:szCs w:val="32"/>
    </w:rPr>
  </w:style>
  <w:style w:type="paragraph" w:customStyle="1" w:styleId="569">
    <w:name w:val="列出段落5"/>
    <w:basedOn w:val="1"/>
    <w:qFormat/>
    <w:uiPriority w:val="0"/>
    <w:pPr>
      <w:spacing w:line="360" w:lineRule="auto"/>
      <w:ind w:firstLine="200" w:firstLineChars="200"/>
    </w:pPr>
    <w:rPr>
      <w:rFonts w:eastAsia="楷体_GB2312" w:cs="Lucida Sans"/>
      <w:sz w:val="24"/>
    </w:rPr>
  </w:style>
  <w:style w:type="paragraph" w:customStyle="1" w:styleId="5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2">
    <w:name w:val="Char Char Char Char Char Char Char1"/>
    <w:basedOn w:val="1"/>
    <w:qFormat/>
    <w:uiPriority w:val="0"/>
    <w:rPr>
      <w:rFonts w:ascii="仿宋_GB2312" w:eastAsia="仿宋_GB2312"/>
      <w:b/>
      <w:sz w:val="32"/>
      <w:szCs w:val="32"/>
    </w:rPr>
  </w:style>
  <w:style w:type="paragraph" w:customStyle="1" w:styleId="573">
    <w:name w:val="有符号正文"/>
    <w:basedOn w:val="1"/>
    <w:qFormat/>
    <w:uiPriority w:val="0"/>
    <w:pPr>
      <w:adjustRightInd/>
      <w:spacing w:line="400" w:lineRule="exact"/>
      <w:ind w:firstLine="200" w:firstLineChars="200"/>
    </w:pPr>
    <w:rPr>
      <w:rFonts w:ascii="Arial" w:hAnsi="Arial"/>
    </w:rPr>
  </w:style>
  <w:style w:type="paragraph" w:customStyle="1" w:styleId="5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576">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7">
    <w:name w:val="带编号样式"/>
    <w:basedOn w:val="423"/>
    <w:qFormat/>
    <w:uiPriority w:val="0"/>
    <w:pPr>
      <w:tabs>
        <w:tab w:val="left" w:pos="840"/>
      </w:tabs>
      <w:snapToGrid w:val="0"/>
      <w:ind w:left="840" w:firstLine="0" w:firstLineChars="0"/>
    </w:pPr>
    <w:rPr>
      <w:rFonts w:ascii="仿宋_GB2312" w:eastAsia="仿宋_GB2312"/>
      <w:color w:val="000000"/>
    </w:rPr>
  </w:style>
  <w:style w:type="paragraph" w:customStyle="1" w:styleId="578">
    <w:name w:val="彩色列表 - 强调文字颜色 12"/>
    <w:basedOn w:val="1"/>
    <w:qFormat/>
    <w:uiPriority w:val="0"/>
    <w:pPr>
      <w:adjustRightInd/>
      <w:ind w:firstLine="420" w:firstLineChars="200"/>
    </w:pPr>
    <w:rPr>
      <w:rFonts w:ascii="Calibri" w:hAnsi="Calibri"/>
      <w:szCs w:val="22"/>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4">
    <w:name w:val="WW-正文文字缩进 2"/>
    <w:basedOn w:val="1"/>
    <w:qFormat/>
    <w:uiPriority w:val="0"/>
    <w:pPr>
      <w:suppressAutoHyphens/>
      <w:adjustRightInd/>
      <w:ind w:firstLine="420"/>
    </w:pPr>
    <w:rPr>
      <w:kern w:val="1"/>
      <w:szCs w:val="20"/>
    </w:rPr>
  </w:style>
  <w:style w:type="paragraph" w:customStyle="1" w:styleId="5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6">
    <w:name w:val="标准有序列表（L1）"/>
    <w:basedOn w:val="1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8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0">
    <w:name w:val="正文（标题三）"/>
    <w:basedOn w:val="1"/>
    <w:qFormat/>
    <w:uiPriority w:val="0"/>
    <w:pPr>
      <w:spacing w:line="360" w:lineRule="auto"/>
      <w:ind w:firstLine="200" w:firstLineChars="200"/>
    </w:pPr>
    <w:rPr>
      <w:sz w:val="24"/>
    </w:rPr>
  </w:style>
  <w:style w:type="paragraph" w:customStyle="1" w:styleId="59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数字标题3"/>
    <w:basedOn w:val="4"/>
    <w:next w:val="1"/>
    <w:qFormat/>
    <w:uiPriority w:val="0"/>
    <w:pPr>
      <w:numPr>
        <w:ilvl w:val="0"/>
        <w:numId w:val="0"/>
      </w:numPr>
      <w:spacing w:line="240" w:lineRule="auto"/>
    </w:pPr>
    <w:rPr>
      <w:sz w:val="28"/>
      <w:szCs w:val="28"/>
    </w:rPr>
  </w:style>
  <w:style w:type="paragraph" w:customStyle="1" w:styleId="59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6">
    <w:name w:val="标书表格字体格式"/>
    <w:next w:val="583"/>
    <w:qFormat/>
    <w:uiPriority w:val="0"/>
    <w:rPr>
      <w:rFonts w:ascii="Times New Roman" w:hAnsi="Times New Roman" w:eastAsia="宋体" w:cs="Times New Roman"/>
      <w:kern w:val="2"/>
      <w:sz w:val="21"/>
      <w:szCs w:val="24"/>
      <w:lang w:val="en-US" w:eastAsia="zh-CN" w:bidi="ar-SA"/>
    </w:rPr>
  </w:style>
  <w:style w:type="paragraph" w:customStyle="1" w:styleId="597">
    <w:name w:val="bullet"/>
    <w:basedOn w:val="1"/>
    <w:qFormat/>
    <w:uiPriority w:val="0"/>
    <w:pPr>
      <w:tabs>
        <w:tab w:val="left" w:pos="840"/>
      </w:tabs>
      <w:adjustRightInd/>
      <w:ind w:left="840" w:hanging="420"/>
    </w:pPr>
  </w:style>
  <w:style w:type="paragraph" w:customStyle="1" w:styleId="5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列出段落1"/>
    <w:basedOn w:val="1"/>
    <w:qFormat/>
    <w:uiPriority w:val="34"/>
    <w:pPr>
      <w:widowControl/>
      <w:ind w:firstLine="420" w:firstLineChars="200"/>
      <w:jc w:val="left"/>
    </w:pPr>
    <w:rPr>
      <w:rFonts w:ascii="宋体" w:hAnsi="宋体" w:cs="宋体"/>
      <w:kern w:val="0"/>
      <w:sz w:val="24"/>
    </w:rPr>
  </w:style>
  <w:style w:type="paragraph" w:customStyle="1" w:styleId="60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Char Char Char Char Char Char Char Char1"/>
    <w:basedOn w:val="1"/>
    <w:qFormat/>
    <w:uiPriority w:val="0"/>
    <w:pPr>
      <w:tabs>
        <w:tab w:val="left" w:pos="360"/>
      </w:tabs>
    </w:pPr>
    <w:rPr>
      <w:sz w:val="24"/>
      <w:szCs w:val="20"/>
    </w:rPr>
  </w:style>
  <w:style w:type="paragraph" w:customStyle="1" w:styleId="60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4">
    <w:name w:val="Char Char1 Char Char Char Char Char Char1"/>
    <w:basedOn w:val="1"/>
    <w:qFormat/>
    <w:uiPriority w:val="0"/>
    <w:rPr>
      <w:rFonts w:ascii="仿宋_GB2312" w:eastAsia="仿宋_GB2312"/>
      <w:b/>
      <w:sz w:val="32"/>
      <w:szCs w:val="20"/>
    </w:rPr>
  </w:style>
  <w:style w:type="paragraph" w:customStyle="1" w:styleId="6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0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0">
    <w:name w:val="Char Char111"/>
    <w:basedOn w:val="1"/>
    <w:qFormat/>
    <w:uiPriority w:val="0"/>
    <w:pPr>
      <w:spacing w:line="360" w:lineRule="auto"/>
    </w:pPr>
    <w:rPr>
      <w:szCs w:val="20"/>
    </w:rPr>
  </w:style>
  <w:style w:type="paragraph" w:customStyle="1" w:styleId="6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6">
    <w:name w:val="Char2 Char Char Char"/>
    <w:basedOn w:val="1"/>
    <w:qFormat/>
    <w:uiPriority w:val="0"/>
    <w:rPr>
      <w:rFonts w:ascii="仿宋_GB2312" w:eastAsia="仿宋_GB2312"/>
      <w:b/>
      <w:sz w:val="32"/>
      <w:szCs w:val="32"/>
    </w:rPr>
  </w:style>
  <w:style w:type="paragraph" w:customStyle="1" w:styleId="6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8">
    <w:name w:val="图中文字"/>
    <w:basedOn w:val="1"/>
    <w:qFormat/>
    <w:uiPriority w:val="0"/>
    <w:pPr>
      <w:snapToGrid w:val="0"/>
      <w:spacing w:line="0" w:lineRule="atLeast"/>
      <w:ind w:firstLine="200" w:firstLineChars="200"/>
      <w:jc w:val="center"/>
    </w:pPr>
    <w:rPr>
      <w:sz w:val="24"/>
      <w:szCs w:val="20"/>
    </w:rPr>
  </w:style>
  <w:style w:type="paragraph" w:customStyle="1" w:styleId="6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1">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3">
    <w:name w:val="正文（首行缩进2字符）"/>
    <w:basedOn w:val="1"/>
    <w:qFormat/>
    <w:uiPriority w:val="0"/>
    <w:pPr>
      <w:adjustRightInd/>
      <w:spacing w:line="360" w:lineRule="auto"/>
      <w:ind w:firstLine="480" w:firstLineChars="200"/>
    </w:pPr>
    <w:rPr>
      <w:sz w:val="24"/>
      <w:szCs w:val="20"/>
    </w:rPr>
  </w:style>
  <w:style w:type="paragraph" w:customStyle="1" w:styleId="624">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6">
    <w:name w:val="修订2"/>
    <w:qFormat/>
    <w:uiPriority w:val="0"/>
    <w:rPr>
      <w:rFonts w:ascii="Times New Roman" w:hAnsi="Times New Roman" w:eastAsia="宋体" w:cs="Times New Roman"/>
      <w:kern w:val="2"/>
      <w:sz w:val="21"/>
      <w:lang w:val="en-US" w:eastAsia="zh-CN" w:bidi="ar-SA"/>
    </w:rPr>
  </w:style>
  <w:style w:type="paragraph" w:customStyle="1" w:styleId="627">
    <w:name w:val="样式 正文文本缩进 + 段前: 2 字符"/>
    <w:basedOn w:val="1"/>
    <w:qFormat/>
    <w:uiPriority w:val="0"/>
    <w:pPr>
      <w:adjustRightInd/>
      <w:ind w:left="420" w:leftChars="200"/>
      <w:jc w:val="left"/>
    </w:pPr>
    <w:rPr>
      <w:sz w:val="28"/>
      <w:szCs w:val="20"/>
      <w:lang w:eastAsia="zh-TW"/>
    </w:rPr>
  </w:style>
  <w:style w:type="paragraph" w:customStyle="1" w:styleId="6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1">
    <w:name w:val="Char Char11 Char Char Char Char Char Char Char Char Char1"/>
    <w:basedOn w:val="1"/>
    <w:qFormat/>
    <w:uiPriority w:val="6"/>
    <w:pPr>
      <w:spacing w:line="360" w:lineRule="auto"/>
    </w:pPr>
    <w:rPr>
      <w:szCs w:val="20"/>
    </w:rPr>
  </w:style>
  <w:style w:type="paragraph" w:customStyle="1" w:styleId="63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3">
    <w:name w:val="Char2 Char Char1"/>
    <w:basedOn w:val="1"/>
    <w:qFormat/>
    <w:uiPriority w:val="0"/>
    <w:pPr>
      <w:adjustRightInd/>
    </w:pPr>
    <w:rPr>
      <w:rFonts w:ascii="Tahoma" w:hAnsi="Tahoma"/>
      <w:sz w:val="24"/>
      <w:szCs w:val="20"/>
    </w:rPr>
  </w:style>
  <w:style w:type="paragraph" w:customStyle="1" w:styleId="634">
    <w:name w:val="正文文字 2"/>
    <w:basedOn w:val="476"/>
    <w:next w:val="476"/>
    <w:qFormat/>
    <w:uiPriority w:val="0"/>
    <w:rPr>
      <w:rFonts w:ascii="宋体" w:eastAsia="宋体" w:cs="Times New Roman"/>
      <w:color w:val="auto"/>
    </w:rPr>
  </w:style>
  <w:style w:type="paragraph" w:customStyle="1" w:styleId="635">
    <w:name w:val="Char1 Char Char Char3"/>
    <w:basedOn w:val="1"/>
    <w:qFormat/>
    <w:uiPriority w:val="0"/>
    <w:pPr>
      <w:adjustRightInd/>
      <w:ind w:firstLine="200" w:firstLineChars="200"/>
    </w:pPr>
    <w:rPr>
      <w:rFonts w:ascii="Tahoma" w:hAnsi="Tahoma"/>
      <w:sz w:val="24"/>
      <w:szCs w:val="20"/>
    </w:rPr>
  </w:style>
  <w:style w:type="paragraph" w:customStyle="1" w:styleId="636">
    <w:name w:val="样式7"/>
    <w:basedOn w:val="461"/>
    <w:next w:val="1"/>
    <w:qFormat/>
    <w:uiPriority w:val="0"/>
    <w:pPr>
      <w:spacing w:afterLines="50"/>
      <w:jc w:val="left"/>
      <w:outlineLvl w:val="3"/>
    </w:pPr>
    <w:rPr>
      <w:sz w:val="24"/>
      <w:szCs w:val="24"/>
    </w:rPr>
  </w:style>
  <w:style w:type="paragraph" w:customStyle="1" w:styleId="637">
    <w:name w:val="默认段落字体 Para Char Char Char Char Char Char Char"/>
    <w:basedOn w:val="1"/>
    <w:qFormat/>
    <w:uiPriority w:val="0"/>
    <w:rPr>
      <w:rFonts w:eastAsia="仿宋_GB2312"/>
      <w:sz w:val="28"/>
      <w:szCs w:val="20"/>
    </w:rPr>
  </w:style>
  <w:style w:type="paragraph" w:customStyle="1" w:styleId="638">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9">
    <w:name w:val="首行缩进"/>
    <w:basedOn w:val="1"/>
    <w:qFormat/>
    <w:uiPriority w:val="0"/>
    <w:pPr>
      <w:spacing w:line="360" w:lineRule="auto"/>
      <w:ind w:firstLine="480" w:firstLineChars="200"/>
    </w:pPr>
    <w:rPr>
      <w:rFonts w:ascii="宋体"/>
      <w:sz w:val="24"/>
      <w:szCs w:val="20"/>
    </w:rPr>
  </w:style>
  <w:style w:type="paragraph" w:customStyle="1" w:styleId="640">
    <w:name w:val="Char2"/>
    <w:basedOn w:val="1"/>
    <w:qFormat/>
    <w:uiPriority w:val="0"/>
    <w:rPr>
      <w:rFonts w:ascii="仿宋_GB2312" w:eastAsia="仿宋_GB2312"/>
      <w:b/>
      <w:sz w:val="32"/>
      <w:szCs w:val="32"/>
    </w:rPr>
  </w:style>
  <w:style w:type="paragraph" w:customStyle="1" w:styleId="64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4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4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0">
    <w:name w:val="p0"/>
    <w:basedOn w:val="1"/>
    <w:qFormat/>
    <w:uiPriority w:val="0"/>
    <w:pPr>
      <w:widowControl/>
      <w:adjustRightInd/>
    </w:pPr>
    <w:rPr>
      <w:kern w:val="0"/>
      <w:szCs w:val="21"/>
    </w:rPr>
  </w:style>
  <w:style w:type="paragraph" w:customStyle="1" w:styleId="65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2">
    <w:name w:val="单元格居中"/>
    <w:basedOn w:val="1"/>
    <w:qFormat/>
    <w:uiPriority w:val="0"/>
    <w:pPr>
      <w:adjustRightInd/>
      <w:spacing w:line="360" w:lineRule="auto"/>
      <w:jc w:val="center"/>
    </w:pPr>
    <w:rPr>
      <w:sz w:val="24"/>
    </w:rPr>
  </w:style>
  <w:style w:type="paragraph" w:customStyle="1" w:styleId="653">
    <w:name w:val="CM14"/>
    <w:basedOn w:val="476"/>
    <w:next w:val="476"/>
    <w:qFormat/>
    <w:uiPriority w:val="0"/>
    <w:pPr>
      <w:spacing w:after="68"/>
    </w:pPr>
    <w:rPr>
      <w:rFonts w:ascii="FHLHE E+ Futura Bk" w:eastAsia="FHLHE E+ Futura Bk" w:cs="Times New Roman"/>
      <w:color w:val="auto"/>
    </w:rPr>
  </w:style>
  <w:style w:type="paragraph" w:customStyle="1" w:styleId="654">
    <w:name w:val="Char Char Char"/>
    <w:basedOn w:val="1"/>
    <w:qFormat/>
    <w:uiPriority w:val="0"/>
    <w:rPr>
      <w:rFonts w:ascii="Tahoma" w:hAnsi="Tahoma"/>
      <w:sz w:val="24"/>
      <w:szCs w:val="20"/>
    </w:rPr>
  </w:style>
  <w:style w:type="paragraph" w:customStyle="1" w:styleId="6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6">
    <w:name w:val="_Style 3"/>
    <w:qFormat/>
    <w:uiPriority w:val="0"/>
    <w:rPr>
      <w:rFonts w:ascii="Times New Roman" w:hAnsi="Times New Roman" w:eastAsia="宋体" w:cs="Times New Roman"/>
      <w:sz w:val="22"/>
      <w:szCs w:val="22"/>
      <w:lang w:val="en-US" w:eastAsia="zh-CN" w:bidi="ar-SA"/>
    </w:rPr>
  </w:style>
  <w:style w:type="paragraph" w:customStyle="1" w:styleId="6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58">
    <w:name w:val="表格项目符号 2"/>
    <w:basedOn w:val="2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59">
    <w:name w:val="Char Char Char Char Char Char Char Char Char Char Char Char1 Char1"/>
    <w:basedOn w:val="1"/>
    <w:qFormat/>
    <w:uiPriority w:val="0"/>
    <w:rPr>
      <w:rFonts w:ascii="Tahoma" w:hAnsi="Tahoma" w:cs="仿宋_GB2312"/>
      <w:sz w:val="24"/>
      <w:szCs w:val="20"/>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2">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3">
    <w:name w:val="Char Char1 Char Char Char1"/>
    <w:basedOn w:val="1"/>
    <w:qFormat/>
    <w:uiPriority w:val="0"/>
    <w:rPr>
      <w:rFonts w:ascii="仿宋_GB2312" w:eastAsia="仿宋_GB2312"/>
      <w:b/>
      <w:sz w:val="32"/>
      <w:szCs w:val="20"/>
    </w:rPr>
  </w:style>
  <w:style w:type="paragraph" w:customStyle="1" w:styleId="664">
    <w:name w:val="标准小四"/>
    <w:basedOn w:val="1"/>
    <w:qFormat/>
    <w:uiPriority w:val="0"/>
    <w:pPr>
      <w:spacing w:line="360" w:lineRule="auto"/>
      <w:ind w:firstLine="480" w:firstLineChars="200"/>
    </w:pPr>
    <w:rPr>
      <w:rFonts w:ascii="Arial" w:hAnsi="Arial"/>
      <w:sz w:val="24"/>
      <w:szCs w:val="21"/>
    </w:rPr>
  </w:style>
  <w:style w:type="paragraph" w:customStyle="1" w:styleId="665">
    <w:name w:val="表文字"/>
    <w:qFormat/>
    <w:uiPriority w:val="0"/>
    <w:rPr>
      <w:rFonts w:ascii="宋体" w:hAnsi="Times New Roman" w:eastAsia="宋体" w:cs="Times New Roman"/>
      <w:kern w:val="2"/>
      <w:lang w:val="en-US" w:eastAsia="zh-CN" w:bidi="ar-SA"/>
    </w:rPr>
  </w:style>
  <w:style w:type="paragraph" w:customStyle="1" w:styleId="6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6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6">
    <w:name w:val="MM Title"/>
    <w:basedOn w:val="46"/>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7">
    <w:name w:val="Char Char1 Char Char Char"/>
    <w:basedOn w:val="1"/>
    <w:qFormat/>
    <w:uiPriority w:val="0"/>
    <w:rPr>
      <w:rFonts w:ascii="仿宋_GB2312" w:eastAsia="仿宋_GB2312"/>
      <w:b/>
      <w:sz w:val="32"/>
      <w:szCs w:val="32"/>
    </w:rPr>
  </w:style>
  <w:style w:type="paragraph" w:customStyle="1" w:styleId="678">
    <w:name w:val="Char23"/>
    <w:basedOn w:val="1"/>
    <w:qFormat/>
    <w:uiPriority w:val="0"/>
    <w:rPr>
      <w:rFonts w:ascii="仿宋_GB2312" w:eastAsia="仿宋_GB2312"/>
      <w:b/>
      <w:sz w:val="32"/>
      <w:szCs w:val="32"/>
    </w:rPr>
  </w:style>
  <w:style w:type="paragraph" w:customStyle="1" w:styleId="679">
    <w:name w:val="GP正文(首行缩进)"/>
    <w:basedOn w:val="1"/>
    <w:qFormat/>
    <w:uiPriority w:val="0"/>
    <w:pPr>
      <w:adjustRightInd/>
      <w:spacing w:line="360" w:lineRule="auto"/>
      <w:ind w:firstLine="200" w:firstLineChars="200"/>
      <w:jc w:val="left"/>
    </w:pPr>
    <w:rPr>
      <w:sz w:val="24"/>
      <w:szCs w:val="21"/>
    </w:rPr>
  </w:style>
  <w:style w:type="paragraph" w:customStyle="1" w:styleId="6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2">
    <w:name w:val="正文1"/>
    <w:basedOn w:val="386"/>
    <w:qFormat/>
    <w:uiPriority w:val="0"/>
    <w:pPr>
      <w:ind w:left="0" w:leftChars="0" w:firstLine="480" w:firstLineChars="200"/>
    </w:pPr>
    <w:rPr>
      <w:rFonts w:ascii="仿宋_GB2312" w:hAnsi="Courier New" w:eastAsia="仿宋_GB2312"/>
      <w:kern w:val="28"/>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5">
    <w:name w:val="Char5"/>
    <w:basedOn w:val="1"/>
    <w:qFormat/>
    <w:uiPriority w:val="0"/>
    <w:rPr>
      <w:rFonts w:ascii="仿宋_GB2312" w:eastAsia="仿宋_GB2312"/>
      <w:b/>
      <w:sz w:val="32"/>
      <w:szCs w:val="32"/>
    </w:rPr>
  </w:style>
  <w:style w:type="paragraph" w:customStyle="1" w:styleId="68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Char Char Char Char11"/>
    <w:basedOn w:val="1"/>
    <w:qFormat/>
    <w:uiPriority w:val="0"/>
    <w:rPr>
      <w:rFonts w:ascii="Tahoma" w:hAnsi="Tahoma"/>
      <w:sz w:val="24"/>
      <w:szCs w:val="20"/>
    </w:rPr>
  </w:style>
  <w:style w:type="paragraph" w:customStyle="1" w:styleId="688">
    <w:name w:val="MM Topic 5"/>
    <w:basedOn w:val="6"/>
    <w:qFormat/>
    <w:uiPriority w:val="0"/>
    <w:pPr>
      <w:tabs>
        <w:tab w:val="left" w:pos="2520"/>
      </w:tabs>
      <w:adjustRightInd/>
      <w:ind w:left="2520" w:hanging="420"/>
    </w:p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表格"/>
    <w:basedOn w:val="1"/>
    <w:qFormat/>
    <w:uiPriority w:val="0"/>
    <w:pPr>
      <w:snapToGrid w:val="0"/>
      <w:ind w:firstLine="42" w:firstLineChars="21"/>
    </w:pPr>
    <w:rPr>
      <w:rFonts w:ascii="宋体" w:hAnsi="宋体"/>
      <w:kern w:val="0"/>
      <w:sz w:val="20"/>
      <w:szCs w:val="20"/>
    </w:rPr>
  </w:style>
  <w:style w:type="paragraph" w:customStyle="1" w:styleId="691">
    <w:name w:val="Char Char1"/>
    <w:basedOn w:val="1"/>
    <w:qFormat/>
    <w:uiPriority w:val="0"/>
    <w:pPr>
      <w:widowControl/>
      <w:spacing w:after="160" w:line="240" w:lineRule="exact"/>
      <w:jc w:val="left"/>
    </w:pPr>
    <w:rPr>
      <w:rFonts w:eastAsia="仿宋_GB2312"/>
      <w:sz w:val="28"/>
    </w:rPr>
  </w:style>
  <w:style w:type="paragraph" w:customStyle="1" w:styleId="692">
    <w:name w:val="MM Topic 1"/>
    <w:basedOn w:val="3"/>
    <w:qFormat/>
    <w:uiPriority w:val="0"/>
    <w:pPr>
      <w:tabs>
        <w:tab w:val="left" w:pos="840"/>
      </w:tabs>
      <w:adjustRightInd/>
      <w:ind w:left="840" w:hanging="420"/>
    </w:pPr>
  </w:style>
  <w:style w:type="paragraph" w:customStyle="1" w:styleId="693">
    <w:name w:val="Char1 Char Char Char5"/>
    <w:basedOn w:val="1"/>
    <w:qFormat/>
    <w:uiPriority w:val="0"/>
    <w:pPr>
      <w:adjustRightInd/>
      <w:ind w:firstLine="200" w:firstLineChars="200"/>
    </w:pPr>
    <w:rPr>
      <w:rFonts w:ascii="Tahoma" w:hAnsi="Tahoma"/>
      <w:sz w:val="24"/>
      <w:szCs w:val="20"/>
    </w:rPr>
  </w:style>
  <w:style w:type="paragraph" w:customStyle="1" w:styleId="694">
    <w:name w:val="Char3 Char Char Char1"/>
    <w:basedOn w:val="1"/>
    <w:qFormat/>
    <w:uiPriority w:val="6"/>
    <w:pPr>
      <w:widowControl/>
      <w:adjustRightInd/>
      <w:spacing w:after="160" w:line="240" w:lineRule="exact"/>
      <w:jc w:val="left"/>
    </w:pPr>
    <w:rPr>
      <w:szCs w:val="20"/>
    </w:rPr>
  </w:style>
  <w:style w:type="paragraph" w:customStyle="1" w:styleId="695">
    <w:name w:val="_Style 12"/>
    <w:basedOn w:val="16"/>
    <w:qFormat/>
    <w:uiPriority w:val="0"/>
    <w:pPr>
      <w:snapToGrid w:val="0"/>
      <w:spacing w:line="360" w:lineRule="auto"/>
    </w:pPr>
  </w:style>
  <w:style w:type="paragraph" w:customStyle="1" w:styleId="69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97">
    <w:name w:val="样式 正文文本缩进 2 + 仿宋_GB2312 黑色 行距: 1.5 倍行距"/>
    <w:basedOn w:val="30"/>
    <w:qFormat/>
    <w:uiPriority w:val="0"/>
    <w:pPr>
      <w:adjustRightInd/>
      <w:ind w:firstLine="560" w:firstLineChars="200"/>
      <w:textAlignment w:val="auto"/>
    </w:pPr>
    <w:rPr>
      <w:rFonts w:hAnsi="宋体" w:cs="宋体"/>
      <w:color w:val="000000"/>
      <w:kern w:val="2"/>
      <w:sz w:val="24"/>
    </w:rPr>
  </w:style>
  <w:style w:type="paragraph" w:customStyle="1" w:styleId="698">
    <w:name w:val="样式 左侧:  0.85 厘米"/>
    <w:basedOn w:val="1"/>
    <w:qFormat/>
    <w:uiPriority w:val="2"/>
    <w:pPr>
      <w:adjustRightInd/>
      <w:spacing w:line="360" w:lineRule="auto"/>
    </w:pPr>
    <w:rPr>
      <w:rFonts w:cs="宋体"/>
      <w:sz w:val="24"/>
      <w:szCs w:val="20"/>
    </w:rPr>
  </w:style>
  <w:style w:type="paragraph" w:customStyle="1" w:styleId="699">
    <w:name w:val="Bulleted List"/>
    <w:basedOn w:val="1"/>
    <w:qFormat/>
    <w:uiPriority w:val="0"/>
    <w:pPr>
      <w:tabs>
        <w:tab w:val="left" w:pos="1260"/>
      </w:tabs>
      <w:adjustRightInd/>
      <w:ind w:left="1260" w:hanging="420"/>
    </w:pPr>
  </w:style>
  <w:style w:type="paragraph" w:customStyle="1" w:styleId="700">
    <w:name w:val="Normal0"/>
    <w:qFormat/>
    <w:uiPriority w:val="0"/>
    <w:rPr>
      <w:rFonts w:ascii="Times New Roman" w:hAnsi="Times New Roman" w:eastAsia="宋体" w:cs="Times New Roman"/>
      <w:lang w:val="en-US" w:eastAsia="en-US" w:bidi="ar-SA"/>
    </w:rPr>
  </w:style>
  <w:style w:type="paragraph" w:customStyle="1" w:styleId="70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5">
    <w:name w:val="MM Topic 4"/>
    <w:basedOn w:val="5"/>
    <w:qFormat/>
    <w:uiPriority w:val="0"/>
    <w:pPr>
      <w:tabs>
        <w:tab w:val="left" w:pos="2100"/>
      </w:tabs>
      <w:adjustRightInd/>
      <w:ind w:left="2100" w:hanging="420"/>
    </w:pPr>
    <w:rPr>
      <w:lang w:val="en-US"/>
    </w:rPr>
  </w:style>
  <w:style w:type="paragraph" w:customStyle="1" w:styleId="70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0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0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2">
    <w:name w:val="Char3"/>
    <w:basedOn w:val="1"/>
    <w:qFormat/>
    <w:uiPriority w:val="0"/>
    <w:pPr>
      <w:adjustRightInd/>
      <w:ind w:firstLine="200" w:firstLineChars="200"/>
    </w:pPr>
    <w:rPr>
      <w:rFonts w:ascii="Tahoma" w:hAnsi="Tahoma"/>
      <w:sz w:val="24"/>
      <w:szCs w:val="20"/>
    </w:rPr>
  </w:style>
  <w:style w:type="paragraph" w:customStyle="1" w:styleId="71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4">
    <w:name w:val="Char3 Char Char Char"/>
    <w:basedOn w:val="1"/>
    <w:qFormat/>
    <w:uiPriority w:val="0"/>
    <w:pPr>
      <w:widowControl/>
      <w:adjustRightInd/>
      <w:spacing w:after="160" w:line="240" w:lineRule="exact"/>
      <w:jc w:val="left"/>
    </w:pPr>
    <w:rPr>
      <w:szCs w:val="20"/>
    </w:rPr>
  </w:style>
  <w:style w:type="paragraph" w:customStyle="1" w:styleId="71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文章标题"/>
    <w:next w:val="49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索引 11"/>
    <w:basedOn w:val="1"/>
    <w:next w:val="1"/>
    <w:qFormat/>
    <w:uiPriority w:val="0"/>
    <w:pPr>
      <w:adjustRightInd/>
      <w:spacing w:line="360" w:lineRule="auto"/>
    </w:pPr>
    <w:rPr>
      <w:rFonts w:ascii="仿宋_GB2312" w:eastAsia="仿宋_GB2312"/>
      <w:sz w:val="24"/>
      <w:szCs w:val="20"/>
    </w:rPr>
  </w:style>
  <w:style w:type="character" w:customStyle="1" w:styleId="720">
    <w:name w:val="页眉 Char2"/>
    <w:qFormat/>
    <w:uiPriority w:val="99"/>
    <w:rPr>
      <w:kern w:val="2"/>
      <w:sz w:val="18"/>
      <w:szCs w:val="18"/>
    </w:rPr>
  </w:style>
  <w:style w:type="character" w:customStyle="1" w:styleId="721">
    <w:name w:val="页脚 Char2"/>
    <w:qFormat/>
    <w:uiPriority w:val="99"/>
    <w:rPr>
      <w:kern w:val="2"/>
      <w:sz w:val="18"/>
      <w:szCs w:val="18"/>
    </w:rPr>
  </w:style>
  <w:style w:type="paragraph" w:customStyle="1" w:styleId="722">
    <w:name w:val="纯文本_0_0"/>
    <w:basedOn w:val="1"/>
    <w:link w:val="723"/>
    <w:qFormat/>
    <w:uiPriority w:val="0"/>
    <w:pPr>
      <w:adjustRightInd/>
    </w:pPr>
    <w:rPr>
      <w:rFonts w:ascii="宋体" w:hAnsi="Courier New"/>
      <w:szCs w:val="21"/>
    </w:rPr>
  </w:style>
  <w:style w:type="character" w:customStyle="1" w:styleId="723">
    <w:name w:val="纯文本 Char_0"/>
    <w:link w:val="722"/>
    <w:qFormat/>
    <w:uiPriority w:val="0"/>
    <w:rPr>
      <w:rFonts w:ascii="宋体" w:hAnsi="Courier New"/>
      <w:kern w:val="2"/>
      <w:sz w:val="21"/>
      <w:szCs w:val="21"/>
      <w:lang w:val="en-US" w:eastAsia="zh-CN"/>
    </w:rPr>
  </w:style>
  <w:style w:type="paragraph" w:customStyle="1" w:styleId="724">
    <w:name w:val="样式9"/>
    <w:basedOn w:val="33"/>
    <w:link w:val="726"/>
    <w:qFormat/>
    <w:uiPriority w:val="0"/>
    <w:pPr>
      <w:pBdr>
        <w:bottom w:val="none" w:color="auto" w:sz="0" w:space="0"/>
      </w:pBdr>
    </w:pPr>
  </w:style>
  <w:style w:type="paragraph" w:customStyle="1" w:styleId="725">
    <w:name w:val="样式10"/>
    <w:basedOn w:val="33"/>
    <w:link w:val="728"/>
    <w:qFormat/>
    <w:uiPriority w:val="0"/>
    <w:pPr>
      <w:pBdr>
        <w:bottom w:val="none" w:color="auto" w:sz="0" w:space="0"/>
      </w:pBdr>
    </w:pPr>
  </w:style>
  <w:style w:type="character" w:customStyle="1" w:styleId="726">
    <w:name w:val="样式9 Char"/>
    <w:basedOn w:val="163"/>
    <w:link w:val="724"/>
    <w:qFormat/>
    <w:uiPriority w:val="0"/>
    <w:rPr>
      <w:rFonts w:ascii="仿宋" w:hAnsi="仿宋" w:eastAsia="仿宋"/>
      <w:snapToGrid w:val="0"/>
      <w:kern w:val="2"/>
      <w:sz w:val="18"/>
      <w:szCs w:val="18"/>
      <w:u w:val="single"/>
      <w:lang w:val="en-GB"/>
    </w:rPr>
  </w:style>
  <w:style w:type="paragraph" w:customStyle="1" w:styleId="727">
    <w:name w:val="样式11"/>
    <w:basedOn w:val="33"/>
    <w:link w:val="729"/>
    <w:qFormat/>
    <w:uiPriority w:val="0"/>
    <w:pPr>
      <w:pBdr>
        <w:bottom w:val="none" w:color="auto" w:sz="0" w:space="0"/>
      </w:pBdr>
    </w:pPr>
  </w:style>
  <w:style w:type="character" w:customStyle="1" w:styleId="728">
    <w:name w:val="样式10 Char"/>
    <w:basedOn w:val="163"/>
    <w:link w:val="725"/>
    <w:qFormat/>
    <w:uiPriority w:val="0"/>
    <w:rPr>
      <w:rFonts w:ascii="仿宋" w:hAnsi="仿宋" w:eastAsia="仿宋"/>
      <w:snapToGrid w:val="0"/>
      <w:kern w:val="2"/>
      <w:sz w:val="18"/>
      <w:szCs w:val="18"/>
      <w:u w:val="single"/>
      <w:lang w:val="en-GB"/>
    </w:rPr>
  </w:style>
  <w:style w:type="character" w:customStyle="1" w:styleId="729">
    <w:name w:val="样式11 Char"/>
    <w:basedOn w:val="163"/>
    <w:link w:val="727"/>
    <w:qFormat/>
    <w:uiPriority w:val="0"/>
    <w:rPr>
      <w:rFonts w:ascii="仿宋" w:hAnsi="仿宋" w:eastAsia="仿宋"/>
      <w:snapToGrid w:val="0"/>
      <w:kern w:val="2"/>
      <w:sz w:val="18"/>
      <w:szCs w:val="18"/>
      <w:u w:val="single"/>
      <w:lang w:val="en-GB"/>
    </w:rPr>
  </w:style>
  <w:style w:type="paragraph" w:customStyle="1" w:styleId="730">
    <w:name w:val="列出段落6"/>
    <w:basedOn w:val="1"/>
    <w:qFormat/>
    <w:uiPriority w:val="34"/>
    <w:pPr>
      <w:ind w:firstLine="420" w:firstLineChars="200"/>
    </w:pPr>
    <w:rPr>
      <w:rFonts w:ascii="Calibri" w:hAnsi="Calibri"/>
    </w:rPr>
  </w:style>
  <w:style w:type="paragraph" w:styleId="731">
    <w:name w:val="List Paragraph"/>
    <w:basedOn w:val="1"/>
    <w:qFormat/>
    <w:uiPriority w:val="34"/>
    <w:pPr>
      <w:adjustRightInd/>
      <w:ind w:firstLine="420" w:firstLineChars="200"/>
    </w:pPr>
    <w:rPr>
      <w:rFonts w:ascii="Calibri" w:hAnsi="Calibri"/>
      <w:szCs w:val="22"/>
    </w:rPr>
  </w:style>
  <w:style w:type="paragraph" w:customStyle="1" w:styleId="732">
    <w:name w:val="[Normal]"/>
    <w:qFormat/>
    <w:uiPriority w:val="0"/>
    <w:rPr>
      <w:rFonts w:ascii="宋体" w:hAnsi="宋体" w:eastAsia="宋体" w:cs="Times New Roman"/>
      <w:sz w:val="24"/>
      <w:szCs w:val="22"/>
      <w:lang w:val="zh-CN" w:eastAsia="zh-CN" w:bidi="ar-SA"/>
    </w:rPr>
  </w:style>
  <w:style w:type="paragraph" w:customStyle="1" w:styleId="733">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4">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5">
    <w:name w:val="font91"/>
    <w:basedOn w:val="50"/>
    <w:qFormat/>
    <w:uiPriority w:val="0"/>
    <w:rPr>
      <w:rFonts w:hint="eastAsia" w:ascii="宋体" w:hAnsi="宋体" w:eastAsia="宋体" w:cs="宋体"/>
      <w:color w:val="000000"/>
      <w:sz w:val="18"/>
      <w:szCs w:val="18"/>
      <w:u w:val="none"/>
    </w:rPr>
  </w:style>
  <w:style w:type="paragraph" w:styleId="73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7">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38">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39">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1">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5">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7">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9">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2">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3">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5">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6">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7">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59">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0">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2">
    <w:name w:val="正文首行缩进 21"/>
    <w:basedOn w:val="1"/>
    <w:qFormat/>
    <w:uiPriority w:val="0"/>
    <w:pPr>
      <w:adjustRightInd/>
      <w:spacing w:after="120"/>
      <w:ind w:left="420" w:leftChars="200" w:firstLine="420"/>
    </w:pPr>
    <w:rPr>
      <w:rFonts w:cs="宋体"/>
      <w:color w:val="000000"/>
      <w:szCs w:val="21"/>
    </w:rPr>
  </w:style>
  <w:style w:type="paragraph" w:customStyle="1" w:styleId="763">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5">
    <w:name w:val="author-p-144115210953314684"/>
    <w:basedOn w:val="50"/>
    <w:qFormat/>
    <w:uiPriority w:val="0"/>
  </w:style>
  <w:style w:type="character" w:customStyle="1" w:styleId="766">
    <w:name w:val="fontstyle01"/>
    <w:basedOn w:val="50"/>
    <w:qFormat/>
    <w:uiPriority w:val="0"/>
    <w:rPr>
      <w:rFonts w:hint="eastAsia" w:ascii="黑体" w:hAnsi="黑体" w:eastAsia="黑体"/>
      <w:color w:val="000000"/>
      <w:sz w:val="52"/>
      <w:szCs w:val="52"/>
    </w:rPr>
  </w:style>
  <w:style w:type="paragraph" w:customStyle="1" w:styleId="7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68">
    <w:name w:val="正文文本缩进 Char3"/>
    <w:qFormat/>
    <w:uiPriority w:val="0"/>
    <w:rPr>
      <w:rFonts w:ascii="宋体" w:hAnsi="宋体"/>
      <w:kern w:val="2"/>
      <w:sz w:val="24"/>
      <w:szCs w:val="24"/>
    </w:rPr>
  </w:style>
  <w:style w:type="character" w:customStyle="1" w:styleId="769">
    <w:name w:val="font51"/>
    <w:basedOn w:val="50"/>
    <w:qFormat/>
    <w:uiPriority w:val="0"/>
    <w:rPr>
      <w:rFonts w:ascii="宋体" w:hAnsi="宋体" w:eastAsia="宋体" w:cs="宋体"/>
      <w:color w:val="000000"/>
      <w:sz w:val="14"/>
      <w:szCs w:val="14"/>
      <w:u w:val="none"/>
    </w:rPr>
  </w:style>
  <w:style w:type="character" w:customStyle="1" w:styleId="770">
    <w:name w:val="font112"/>
    <w:basedOn w:val="50"/>
    <w:qFormat/>
    <w:uiPriority w:val="0"/>
    <w:rPr>
      <w:rFonts w:ascii="Calibri" w:hAnsi="Calibri" w:cs="Calibri"/>
      <w:color w:val="000000"/>
      <w:sz w:val="14"/>
      <w:szCs w:val="14"/>
      <w:u w:val="none"/>
    </w:rPr>
  </w:style>
  <w:style w:type="character" w:customStyle="1" w:styleId="771">
    <w:name w:val="bookmark-item"/>
    <w:basedOn w:val="50"/>
    <w:qFormat/>
    <w:uiPriority w:val="0"/>
  </w:style>
  <w:style w:type="paragraph" w:customStyle="1" w:styleId="772">
    <w:name w:val="!正文"/>
    <w:basedOn w:val="1"/>
    <w:qFormat/>
    <w:uiPriority w:val="0"/>
    <w:pPr>
      <w:adjustRightInd/>
      <w:ind w:firstLine="48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F8B461D-85CF-4410-A2FF-1DA88F7C3E12}">
  <ds:schemaRefs/>
</ds:datastoreItem>
</file>

<file path=customXml/itemProps2.xml><?xml version="1.0" encoding="utf-8"?>
<ds:datastoreItem xmlns:ds="http://schemas.openxmlformats.org/officeDocument/2006/customXml" ds:itemID="{4F5BC478-2B9A-480A-B7D8-FAB438B92B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76</Pages>
  <Words>43664</Words>
  <Characters>46372</Characters>
  <Lines>356</Lines>
  <Paragraphs>100</Paragraphs>
  <TotalTime>17</TotalTime>
  <ScaleCrop>false</ScaleCrop>
  <LinksUpToDate>false</LinksUpToDate>
  <CharactersWithSpaces>47435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2024-07-11T08:40:00Z</dcterms:created>
  <dc:creator>杨</dc:creator>
  <cp:lastModifiedBy>BJ</cp:lastModifiedBy>
  <cp:lastPrinted>2022-06-22T01:48:00Z</cp:lastPrinted>
  <dcterms:modified xsi:type="dcterms:W3CDTF">2024-07-22T09:18:06Z</dcterms:modified>
  <dc:title>公开招标文件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0297be547caf4a9f89d21d7870b6ee36</vt:lpwstr>
  </property>
</Properties>
</file>