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4DE97">
      <w:pPr>
        <w:pStyle w:val="6"/>
        <w:jc w:val="center"/>
        <w:rPr>
          <w:rFonts w:hint="eastAsia" w:ascii="宋体" w:hAnsi="宋体" w:cs="宋体"/>
          <w:b/>
          <w:bCs/>
          <w:color w:val="auto"/>
          <w:sz w:val="44"/>
          <w:szCs w:val="44"/>
          <w:highlight w:val="none"/>
          <w:lang w:eastAsia="zh-CN"/>
        </w:rPr>
      </w:pPr>
    </w:p>
    <w:p w14:paraId="094A5F9E">
      <w:pPr>
        <w:pStyle w:val="6"/>
        <w:jc w:val="center"/>
        <w:rPr>
          <w:rFonts w:hint="eastAsia" w:ascii="宋体" w:hAnsi="宋体" w:eastAsia="宋体" w:cs="宋体"/>
          <w:b/>
          <w:bCs/>
          <w:color w:val="auto"/>
          <w:sz w:val="44"/>
          <w:szCs w:val="44"/>
          <w:highlight w:val="none"/>
        </w:rPr>
      </w:pPr>
      <w:r>
        <w:rPr>
          <w:rFonts w:hint="eastAsia" w:ascii="宋体" w:hAnsi="宋体" w:cs="宋体"/>
          <w:b/>
          <w:bCs/>
          <w:color w:val="auto"/>
          <w:sz w:val="44"/>
          <w:szCs w:val="44"/>
          <w:highlight w:val="none"/>
          <w:lang w:eastAsia="zh-CN"/>
        </w:rPr>
        <w:t xml:space="preserve"> 上虞区空气污染成因分析服务项目</w:t>
      </w:r>
    </w:p>
    <w:p w14:paraId="64FE0A68">
      <w:pPr>
        <w:pStyle w:val="6"/>
        <w:rPr>
          <w:rFonts w:hint="eastAsia" w:ascii="宋体" w:hAnsi="宋体" w:eastAsia="宋体" w:cs="宋体"/>
          <w:b/>
          <w:bCs/>
          <w:color w:val="auto"/>
          <w:sz w:val="44"/>
          <w:szCs w:val="44"/>
          <w:highlight w:val="none"/>
        </w:rPr>
      </w:pPr>
    </w:p>
    <w:p w14:paraId="70B445FE">
      <w:pPr>
        <w:pStyle w:val="6"/>
        <w:rPr>
          <w:rFonts w:hint="eastAsia" w:ascii="宋体" w:hAnsi="宋体" w:eastAsia="宋体" w:cs="宋体"/>
          <w:b/>
          <w:bCs/>
          <w:color w:val="auto"/>
          <w:sz w:val="44"/>
          <w:szCs w:val="44"/>
          <w:highlight w:val="none"/>
        </w:rPr>
      </w:pPr>
    </w:p>
    <w:p w14:paraId="26417CE1">
      <w:pPr>
        <w:pStyle w:val="6"/>
        <w:rPr>
          <w:rFonts w:hint="eastAsia" w:ascii="宋体" w:hAnsi="宋体" w:eastAsia="宋体" w:cs="宋体"/>
          <w:b/>
          <w:bCs/>
          <w:color w:val="auto"/>
          <w:sz w:val="44"/>
          <w:szCs w:val="44"/>
          <w:highlight w:val="none"/>
        </w:rPr>
      </w:pPr>
    </w:p>
    <w:p w14:paraId="0202CC15">
      <w:pPr>
        <w:pStyle w:val="6"/>
        <w:rPr>
          <w:rFonts w:hint="eastAsia" w:ascii="宋体" w:hAnsi="宋体" w:eastAsia="宋体" w:cs="宋体"/>
          <w:color w:val="auto"/>
          <w:highlight w:val="none"/>
        </w:rPr>
      </w:pPr>
    </w:p>
    <w:p w14:paraId="57741563">
      <w:pPr>
        <w:spacing w:line="360" w:lineRule="auto"/>
        <w:jc w:val="center"/>
        <w:rPr>
          <w:rFonts w:hint="eastAsia" w:ascii="宋体" w:hAnsi="宋体" w:eastAsia="宋体" w:cs="宋体"/>
          <w:b/>
          <w:bCs/>
          <w:color w:val="auto"/>
          <w:sz w:val="72"/>
          <w:szCs w:val="72"/>
          <w:highlight w:val="none"/>
        </w:rPr>
      </w:pPr>
    </w:p>
    <w:p w14:paraId="3A574C0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72"/>
          <w:szCs w:val="72"/>
          <w:highlight w:val="none"/>
        </w:rPr>
        <w:t>竞争性磋商文件</w:t>
      </w:r>
    </w:p>
    <w:p w14:paraId="36F7A2CA">
      <w:pPr>
        <w:spacing w:line="360" w:lineRule="auto"/>
        <w:jc w:val="center"/>
        <w:rPr>
          <w:rFonts w:hint="eastAsia" w:ascii="宋体" w:hAnsi="宋体" w:eastAsia="宋体" w:cs="宋体"/>
          <w:b/>
          <w:bCs/>
          <w:color w:val="auto"/>
          <w:sz w:val="24"/>
          <w:szCs w:val="24"/>
          <w:highlight w:val="none"/>
        </w:rPr>
      </w:pPr>
    </w:p>
    <w:p w14:paraId="0AD4AF98">
      <w:pPr>
        <w:snapToGrid w:val="0"/>
        <w:spacing w:line="360" w:lineRule="auto"/>
        <w:jc w:val="center"/>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u w:val="none"/>
          <w:lang w:val="en-US" w:eastAsia="zh-CN"/>
        </w:rPr>
        <w:t>ZCSY2024016</w:t>
      </w:r>
    </w:p>
    <w:p w14:paraId="293520EC">
      <w:pPr>
        <w:snapToGrid w:val="0"/>
        <w:spacing w:line="360" w:lineRule="auto"/>
        <w:ind w:firstLine="2301" w:firstLineChars="767"/>
        <w:jc w:val="left"/>
        <w:rPr>
          <w:rFonts w:hint="eastAsia" w:ascii="宋体" w:hAnsi="宋体" w:eastAsia="宋体" w:cs="宋体"/>
          <w:color w:val="auto"/>
          <w:sz w:val="30"/>
          <w:szCs w:val="30"/>
          <w:highlight w:val="none"/>
        </w:rPr>
      </w:pPr>
    </w:p>
    <w:p w14:paraId="15F665F7">
      <w:pPr>
        <w:spacing w:line="360" w:lineRule="auto"/>
        <w:rPr>
          <w:rFonts w:hint="eastAsia" w:ascii="宋体" w:hAnsi="宋体" w:eastAsia="宋体" w:cs="宋体"/>
          <w:color w:val="auto"/>
          <w:sz w:val="28"/>
          <w:szCs w:val="28"/>
          <w:highlight w:val="none"/>
        </w:rPr>
      </w:pPr>
    </w:p>
    <w:p w14:paraId="0207ACEC">
      <w:pPr>
        <w:pStyle w:val="13"/>
        <w:rPr>
          <w:rFonts w:hint="eastAsia" w:ascii="宋体" w:hAnsi="宋体" w:eastAsia="宋体" w:cs="宋体"/>
          <w:color w:val="auto"/>
          <w:highlight w:val="none"/>
        </w:rPr>
      </w:pPr>
    </w:p>
    <w:p w14:paraId="16D14383">
      <w:pPr>
        <w:spacing w:line="360" w:lineRule="auto"/>
        <w:jc w:val="center"/>
        <w:rPr>
          <w:rFonts w:hint="eastAsia" w:ascii="宋体" w:hAnsi="宋体" w:eastAsia="宋体" w:cs="宋体"/>
          <w:color w:val="auto"/>
          <w:sz w:val="24"/>
          <w:szCs w:val="24"/>
          <w:highlight w:val="none"/>
        </w:rPr>
      </w:pPr>
    </w:p>
    <w:p w14:paraId="54DFF04F">
      <w:pPr>
        <w:spacing w:line="360" w:lineRule="auto"/>
        <w:jc w:val="center"/>
        <w:rPr>
          <w:rFonts w:hint="eastAsia" w:ascii="宋体" w:hAnsi="宋体" w:eastAsia="宋体" w:cs="宋体"/>
          <w:color w:val="auto"/>
          <w:sz w:val="24"/>
          <w:szCs w:val="24"/>
          <w:highlight w:val="none"/>
        </w:rPr>
      </w:pPr>
    </w:p>
    <w:p w14:paraId="516A6ECE">
      <w:pPr>
        <w:pStyle w:val="6"/>
        <w:rPr>
          <w:rFonts w:hint="eastAsia" w:ascii="宋体" w:hAnsi="宋体" w:eastAsia="宋体" w:cs="宋体"/>
          <w:color w:val="auto"/>
          <w:sz w:val="24"/>
          <w:szCs w:val="24"/>
          <w:highlight w:val="none"/>
        </w:rPr>
      </w:pPr>
    </w:p>
    <w:p w14:paraId="35CC33A5">
      <w:pPr>
        <w:pStyle w:val="6"/>
        <w:rPr>
          <w:rFonts w:hint="eastAsia" w:ascii="宋体" w:hAnsi="宋体" w:eastAsia="宋体" w:cs="宋体"/>
          <w:color w:val="auto"/>
          <w:sz w:val="24"/>
          <w:szCs w:val="24"/>
          <w:highlight w:val="none"/>
        </w:rPr>
      </w:pPr>
    </w:p>
    <w:p w14:paraId="18A8930D">
      <w:pPr>
        <w:pStyle w:val="6"/>
        <w:rPr>
          <w:rFonts w:hint="eastAsia" w:ascii="宋体" w:hAnsi="宋体" w:eastAsia="宋体" w:cs="宋体"/>
          <w:color w:val="auto"/>
          <w:sz w:val="24"/>
          <w:szCs w:val="24"/>
          <w:highlight w:val="none"/>
        </w:rPr>
      </w:pPr>
    </w:p>
    <w:p w14:paraId="5DEB82F5">
      <w:pPr>
        <w:pStyle w:val="6"/>
        <w:rPr>
          <w:rFonts w:hint="eastAsia" w:ascii="宋体" w:hAnsi="宋体" w:eastAsia="宋体" w:cs="宋体"/>
          <w:color w:val="auto"/>
          <w:sz w:val="24"/>
          <w:szCs w:val="24"/>
          <w:highlight w:val="none"/>
        </w:rPr>
      </w:pPr>
    </w:p>
    <w:p w14:paraId="2D41D396">
      <w:pPr>
        <w:spacing w:line="360" w:lineRule="auto"/>
        <w:jc w:val="center"/>
        <w:rPr>
          <w:rFonts w:hint="eastAsia" w:ascii="宋体" w:hAnsi="宋体" w:eastAsia="宋体" w:cs="宋体"/>
          <w:color w:val="auto"/>
          <w:sz w:val="24"/>
          <w:szCs w:val="24"/>
          <w:highlight w:val="none"/>
        </w:rPr>
      </w:pPr>
    </w:p>
    <w:p w14:paraId="007870B9">
      <w:pPr>
        <w:spacing w:line="360" w:lineRule="auto"/>
        <w:jc w:val="center"/>
        <w:rPr>
          <w:rFonts w:hint="eastAsia" w:ascii="宋体" w:hAnsi="宋体" w:eastAsia="宋体" w:cs="宋体"/>
          <w:color w:val="auto"/>
          <w:sz w:val="24"/>
          <w:szCs w:val="24"/>
          <w:highlight w:val="none"/>
        </w:rPr>
      </w:pPr>
    </w:p>
    <w:p w14:paraId="67398A28">
      <w:pPr>
        <w:spacing w:line="360" w:lineRule="auto"/>
        <w:jc w:val="center"/>
        <w:rPr>
          <w:rFonts w:hint="eastAsia" w:ascii="宋体" w:hAnsi="宋体" w:eastAsia="宋体" w:cs="宋体"/>
          <w:color w:val="auto"/>
          <w:sz w:val="24"/>
          <w:szCs w:val="24"/>
          <w:highlight w:val="none"/>
        </w:rPr>
      </w:pPr>
    </w:p>
    <w:p w14:paraId="53C843F0">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采购人：</w:t>
      </w:r>
      <w:r>
        <w:rPr>
          <w:rFonts w:hint="eastAsia" w:ascii="宋体" w:hAnsi="宋体" w:cs="宋体"/>
          <w:color w:val="auto"/>
          <w:sz w:val="30"/>
          <w:szCs w:val="30"/>
          <w:highlight w:val="none"/>
          <w:lang w:eastAsia="zh-CN"/>
        </w:rPr>
        <w:t>绍兴市生态环境局上虞分局</w:t>
      </w:r>
    </w:p>
    <w:p w14:paraId="155F1E06">
      <w:pPr>
        <w:snapToGrid w:val="0"/>
        <w:spacing w:line="360" w:lineRule="auto"/>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r>
        <w:rPr>
          <w:rFonts w:hint="eastAsia" w:ascii="宋体" w:hAnsi="宋体" w:cs="宋体"/>
          <w:color w:val="auto"/>
          <w:sz w:val="30"/>
          <w:szCs w:val="30"/>
          <w:highlight w:val="none"/>
          <w:lang w:val="en-US" w:eastAsia="zh-CN"/>
        </w:rPr>
        <w:t>浙江中诚工程管理科技有限公司</w:t>
      </w:r>
    </w:p>
    <w:p w14:paraId="4D4E3779">
      <w:pPr>
        <w:jc w:val="center"/>
        <w:rPr>
          <w:rFonts w:hint="eastAsia" w:ascii="宋体" w:hAnsi="宋体" w:eastAsia="宋体" w:cs="宋体"/>
          <w:color w:val="auto"/>
          <w:sz w:val="30"/>
          <w:szCs w:val="30"/>
          <w:highlight w:val="none"/>
        </w:rPr>
        <w:sectPr>
          <w:pgSz w:w="11906" w:h="16838"/>
          <w:pgMar w:top="1247" w:right="1474" w:bottom="1247" w:left="1474" w:header="851" w:footer="992" w:gutter="0"/>
          <w:cols w:space="0" w:num="1"/>
          <w:rtlGutter w:val="0"/>
          <w:docGrid w:type="lines" w:linePitch="312" w:charSpace="0"/>
        </w:sectPr>
      </w:pPr>
      <w:r>
        <w:rPr>
          <w:rFonts w:hint="eastAsia" w:ascii="宋体" w:hAnsi="宋体" w:eastAsia="宋体" w:cs="宋体"/>
          <w:color w:val="auto"/>
          <w:sz w:val="30"/>
          <w:szCs w:val="30"/>
          <w:highlight w:val="none"/>
        </w:rPr>
        <w:t>二〇二</w:t>
      </w:r>
      <w:r>
        <w:rPr>
          <w:rFonts w:hint="eastAsia" w:ascii="宋体" w:hAnsi="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eastAsia="zh-CN"/>
        </w:rPr>
        <w:t>十二</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p>
    <w:p w14:paraId="680689B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2FF5AA96">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9C99FD">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"_Toc28272"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30EAF4">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 总则</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p>
    <w:p w14:paraId="6D2E6F64">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"_Toc21952"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 竞争性磋商文件</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p>
    <w:p w14:paraId="786109F9">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"_Toc31016"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 竞争性磋商响应文件的编写</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423CC99D">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 响应文件的递交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_Toc4883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E450A4">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"_Toc26652"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 磋商无效的情形</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_Toc26652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6CDAA3">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"_Toc13076"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六、 采购中止的情形</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58E7C717">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"_Toc7332"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七、 确定成交供应商与签订合同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34D87394">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"_Toc18043"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采购内容及要求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p w14:paraId="22155DB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采购内容及要求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rPr>
        <w:fldChar w:fldCharType="end"/>
      </w:r>
    </w:p>
    <w:p w14:paraId="79A2274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80" w:firstLineChars="100"/>
        <w:textAlignment w:val="auto"/>
        <w:rPr>
          <w:rFonts w:hint="default"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付款方式及要求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69F42111">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磋商原则及磋商方法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66EA6381">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"_Toc19277"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72B3A519">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"_Toc24867"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41</w:t>
      </w:r>
    </w:p>
    <w:p w14:paraId="0B495271">
      <w:pPr>
        <w:pStyle w:val="3"/>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684863C6">
      <w:pPr>
        <w:rPr>
          <w:rFonts w:hint="eastAsia" w:ascii="宋体" w:hAnsi="宋体" w:eastAsia="宋体" w:cs="宋体"/>
          <w:color w:val="auto"/>
          <w:highlight w:val="none"/>
        </w:rPr>
      </w:pPr>
    </w:p>
    <w:p w14:paraId="7F515885">
      <w:pPr>
        <w:rPr>
          <w:rFonts w:hint="eastAsia" w:ascii="宋体" w:hAnsi="宋体" w:eastAsia="宋体" w:cs="宋体"/>
          <w:color w:val="auto"/>
          <w:highlight w:val="none"/>
        </w:rPr>
      </w:pPr>
    </w:p>
    <w:p w14:paraId="30505598">
      <w:pPr>
        <w:rPr>
          <w:rFonts w:hint="eastAsia" w:ascii="宋体" w:hAnsi="宋体" w:eastAsia="宋体" w:cs="宋体"/>
          <w:color w:val="auto"/>
          <w:highlight w:val="none"/>
        </w:rPr>
      </w:pPr>
    </w:p>
    <w:p w14:paraId="598DB027">
      <w:pPr>
        <w:rPr>
          <w:rFonts w:hint="eastAsia" w:ascii="宋体" w:hAnsi="宋体" w:eastAsia="宋体" w:cs="宋体"/>
          <w:color w:val="auto"/>
          <w:highlight w:val="none"/>
        </w:rPr>
      </w:pPr>
    </w:p>
    <w:p w14:paraId="7A82FC26">
      <w:pPr>
        <w:tabs>
          <w:tab w:val="left" w:pos="3148"/>
        </w:tabs>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7B8E9900">
      <w:pPr>
        <w:pStyle w:val="2"/>
        <w:bidi w:val="0"/>
        <w:rPr>
          <w:rFonts w:hint="eastAsia"/>
          <w:highlight w:val="none"/>
        </w:rPr>
      </w:pPr>
      <w:bookmarkStart w:id="0" w:name="_Toc32199"/>
      <w:bookmarkStart w:id="1" w:name="_Toc31034"/>
      <w:bookmarkStart w:id="2" w:name="_Toc3205"/>
      <w:bookmarkStart w:id="3" w:name="_Toc91899870"/>
      <w:bookmarkStart w:id="4" w:name="第二部分"/>
      <w:r>
        <w:rPr>
          <w:rFonts w:hint="eastAsia"/>
          <w:highlight w:val="none"/>
        </w:rPr>
        <w:t>第一部分磋商公告</w:t>
      </w:r>
      <w:bookmarkEnd w:id="0"/>
      <w:bookmarkEnd w:id="1"/>
      <w:bookmarkEnd w:id="2"/>
    </w:p>
    <w:p w14:paraId="07DC4984">
      <w:pPr>
        <w:adjustRightIn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浙江中诚工程管理科技有限公司</w:t>
      </w:r>
      <w:r>
        <w:rPr>
          <w:rFonts w:hint="eastAsia" w:ascii="宋体" w:hAnsi="宋体" w:eastAsia="宋体" w:cs="宋体"/>
          <w:color w:val="auto"/>
          <w:sz w:val="28"/>
          <w:szCs w:val="28"/>
          <w:highlight w:val="none"/>
        </w:rPr>
        <w:t>关于</w:t>
      </w:r>
      <w:r>
        <w:rPr>
          <w:rFonts w:hint="eastAsia" w:ascii="宋体" w:hAnsi="宋体" w:cs="宋体"/>
          <w:color w:val="auto"/>
          <w:sz w:val="28"/>
          <w:szCs w:val="28"/>
          <w:highlight w:val="none"/>
          <w:lang w:eastAsia="zh-CN"/>
        </w:rPr>
        <w:t>绍兴市生态环境局上虞分局上虞区空气污染成因分析服务项目</w:t>
      </w:r>
      <w:r>
        <w:rPr>
          <w:rFonts w:hint="eastAsia" w:ascii="宋体" w:hAnsi="宋体" w:eastAsia="宋体" w:cs="宋体"/>
          <w:color w:val="auto"/>
          <w:sz w:val="28"/>
          <w:szCs w:val="28"/>
          <w:highlight w:val="none"/>
        </w:rPr>
        <w:t>的竞争性磋商公告</w:t>
      </w:r>
    </w:p>
    <w:p w14:paraId="0862EA5D">
      <w:pP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12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13  </w:t>
      </w:r>
      <w:r>
        <w:rPr>
          <w:rFonts w:hint="eastAsia" w:ascii="宋体" w:hAnsi="宋体" w:eastAsia="宋体" w:cs="宋体"/>
          <w:color w:val="auto"/>
          <w:sz w:val="28"/>
          <w:szCs w:val="28"/>
          <w:highlight w:val="none"/>
        </w:rPr>
        <w:t>日</w:t>
      </w:r>
    </w:p>
    <w:p w14:paraId="1891DF1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浙江中诚工程管理科技有限公司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绍兴市生态环境局上虞分局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委托，现就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上虞区空气污染成因分析服务项目</w:t>
      </w:r>
      <w:r>
        <w:rPr>
          <w:rFonts w:hint="eastAsia" w:ascii="宋体" w:hAnsi="宋体" w:eastAsia="宋体" w:cs="宋体"/>
          <w:color w:val="auto"/>
          <w:sz w:val="24"/>
          <w:szCs w:val="24"/>
          <w:highlight w:val="none"/>
        </w:rPr>
        <w:t>进行竞争性磋商采购，欢迎国内合格的供应商参加本次采购活动。</w:t>
      </w:r>
    </w:p>
    <w:p w14:paraId="4FA96BE5">
      <w:pPr>
        <w:adjustRightInd w:val="0"/>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一．磋商项目编号：</w:t>
      </w:r>
      <w:r>
        <w:rPr>
          <w:rFonts w:hint="eastAsia" w:ascii="宋体" w:hAnsi="宋体" w:cs="宋体"/>
          <w:color w:val="auto"/>
          <w:sz w:val="24"/>
          <w:szCs w:val="24"/>
          <w:highlight w:val="none"/>
          <w:u w:val="single"/>
          <w:lang w:val="en-US" w:eastAsia="zh-CN"/>
        </w:rPr>
        <w:t>ZCSY2024016</w:t>
      </w:r>
    </w:p>
    <w:p w14:paraId="57778C7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二．采购组织类型：</w:t>
      </w:r>
      <w:r>
        <w:rPr>
          <w:rFonts w:hint="eastAsia" w:ascii="宋体" w:hAnsi="宋体" w:eastAsia="宋体" w:cs="宋体"/>
          <w:color w:val="auto"/>
          <w:sz w:val="24"/>
          <w:szCs w:val="24"/>
          <w:highlight w:val="none"/>
          <w:u w:val="single"/>
        </w:rPr>
        <w:t>分散采购（中介代理）</w:t>
      </w:r>
    </w:p>
    <w:p w14:paraId="23159F8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三．磋商项目概况:</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555"/>
        <w:gridCol w:w="1838"/>
        <w:gridCol w:w="555"/>
        <w:gridCol w:w="555"/>
        <w:gridCol w:w="1119"/>
        <w:gridCol w:w="2226"/>
        <w:gridCol w:w="1119"/>
        <w:gridCol w:w="555"/>
      </w:tblGrid>
      <w:tr w14:paraId="6D800BA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2" w:hRule="atLeast"/>
          <w:jc w:val="center"/>
        </w:trPr>
        <w:tc>
          <w:tcPr>
            <w:tcW w:w="0" w:type="auto"/>
            <w:tcBorders>
              <w:top w:val="single" w:color="000000" w:sz="4" w:space="0"/>
            </w:tcBorders>
            <w:vAlign w:val="center"/>
          </w:tcPr>
          <w:p w14:paraId="4E6218F9">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tcBorders>
              <w:top w:val="single" w:color="000000" w:sz="4" w:space="0"/>
            </w:tcBorders>
            <w:vAlign w:val="center"/>
          </w:tcPr>
          <w:p w14:paraId="5BBED6B5">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0" w:type="auto"/>
            <w:tcBorders>
              <w:top w:val="single" w:color="000000" w:sz="4" w:space="0"/>
            </w:tcBorders>
            <w:vAlign w:val="center"/>
          </w:tcPr>
          <w:p w14:paraId="6485BB28">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tcBorders>
              <w:top w:val="single" w:color="000000" w:sz="4" w:space="0"/>
            </w:tcBorders>
            <w:vAlign w:val="center"/>
          </w:tcPr>
          <w:p w14:paraId="018AA29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0" w:type="auto"/>
            <w:tcBorders>
              <w:top w:val="single" w:color="000000" w:sz="4" w:space="0"/>
            </w:tcBorders>
            <w:vAlign w:val="center"/>
          </w:tcPr>
          <w:p w14:paraId="5180CCBC">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预算金额(万元)</w:t>
            </w:r>
          </w:p>
        </w:tc>
        <w:tc>
          <w:tcPr>
            <w:tcW w:w="0" w:type="auto"/>
            <w:tcBorders>
              <w:top w:val="single" w:color="000000" w:sz="4" w:space="0"/>
            </w:tcBorders>
            <w:vAlign w:val="center"/>
          </w:tcPr>
          <w:p w14:paraId="7842F10C">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0" w:type="auto"/>
            <w:tcBorders>
              <w:top w:val="single" w:color="000000" w:sz="4" w:space="0"/>
            </w:tcBorders>
            <w:vAlign w:val="center"/>
          </w:tcPr>
          <w:p w14:paraId="2DE117DD">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最高限价(万元)</w:t>
            </w:r>
          </w:p>
        </w:tc>
        <w:tc>
          <w:tcPr>
            <w:tcW w:w="0" w:type="auto"/>
            <w:tcBorders>
              <w:top w:val="single" w:color="000000" w:sz="4" w:space="0"/>
            </w:tcBorders>
            <w:vAlign w:val="center"/>
          </w:tcPr>
          <w:p w14:paraId="7E9C8DA3">
            <w:pP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备注</w:t>
            </w:r>
          </w:p>
        </w:tc>
      </w:tr>
      <w:tr w14:paraId="35AD64C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50" w:hRule="atLeast"/>
          <w:jc w:val="center"/>
        </w:trPr>
        <w:tc>
          <w:tcPr>
            <w:tcW w:w="0" w:type="auto"/>
            <w:tcBorders>
              <w:bottom w:val="single" w:color="000000" w:sz="4" w:space="0"/>
            </w:tcBorders>
            <w:vAlign w:val="center"/>
          </w:tcPr>
          <w:p w14:paraId="366F443B">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bottom w:val="single" w:color="000000" w:sz="4" w:space="0"/>
            </w:tcBorders>
            <w:vAlign w:val="center"/>
          </w:tcPr>
          <w:p w14:paraId="7A0F6E94">
            <w:pPr>
              <w:adjustRightInd w:val="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上虞区空气污染成因分析服务项目</w:t>
            </w:r>
          </w:p>
        </w:tc>
        <w:tc>
          <w:tcPr>
            <w:tcW w:w="0" w:type="auto"/>
            <w:tcBorders>
              <w:bottom w:val="single" w:color="000000" w:sz="4" w:space="0"/>
            </w:tcBorders>
            <w:vAlign w:val="center"/>
          </w:tcPr>
          <w:p w14:paraId="187D1964">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bottom w:val="single" w:color="000000" w:sz="4" w:space="0"/>
            </w:tcBorders>
            <w:vAlign w:val="center"/>
          </w:tcPr>
          <w:p w14:paraId="08216590">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0" w:type="auto"/>
            <w:tcBorders>
              <w:bottom w:val="single" w:color="000000" w:sz="4" w:space="0"/>
            </w:tcBorders>
            <w:vAlign w:val="center"/>
          </w:tcPr>
          <w:p w14:paraId="6FADC888">
            <w:pPr>
              <w:widowControl/>
              <w:spacing w:before="100" w:after="100"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97</w:t>
            </w:r>
          </w:p>
        </w:tc>
        <w:tc>
          <w:tcPr>
            <w:tcW w:w="0" w:type="auto"/>
            <w:tcBorders>
              <w:bottom w:val="single" w:color="000000" w:sz="4" w:space="0"/>
            </w:tcBorders>
            <w:vAlign w:val="center"/>
          </w:tcPr>
          <w:p w14:paraId="64AC305E">
            <w:pPr>
              <w:pStyle w:val="11"/>
              <w:snapToGrid w:val="0"/>
              <w:spacing w:before="120" w:after="12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具体详见“第三部分 采购内容及要求”</w:t>
            </w:r>
          </w:p>
        </w:tc>
        <w:tc>
          <w:tcPr>
            <w:tcW w:w="0" w:type="auto"/>
            <w:tcBorders>
              <w:bottom w:val="single" w:color="000000" w:sz="4" w:space="0"/>
            </w:tcBorders>
            <w:vAlign w:val="center"/>
          </w:tcPr>
          <w:p w14:paraId="26B393D9">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97</w:t>
            </w:r>
          </w:p>
        </w:tc>
        <w:tc>
          <w:tcPr>
            <w:tcW w:w="0" w:type="auto"/>
            <w:tcBorders>
              <w:bottom w:val="single" w:color="000000" w:sz="4" w:space="0"/>
            </w:tcBorders>
            <w:vAlign w:val="center"/>
          </w:tcPr>
          <w:p w14:paraId="3CC832A0">
            <w:pPr>
              <w:adjustRightIn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3F4ADE89">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四．合格供应商资格要求:</w:t>
      </w:r>
    </w:p>
    <w:p w14:paraId="1C8642E1">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3C8B8CB3">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Theme="minorEastAsia" w:hAnsiTheme="minorEastAsia" w:eastAsiaTheme="minorEastAsia" w:cstheme="minorEastAsia"/>
          <w:sz w:val="24"/>
          <w:highlight w:val="none"/>
          <w:lang w:val="en-US" w:eastAsia="zh-CN"/>
        </w:rPr>
        <w:t>/</w:t>
      </w:r>
      <w:r>
        <w:rPr>
          <w:rFonts w:hint="eastAsia" w:ascii="宋体" w:hAnsi="宋体" w:cs="宋体"/>
          <w:color w:val="auto"/>
          <w:sz w:val="24"/>
          <w:szCs w:val="24"/>
          <w:highlight w:val="none"/>
          <w:lang w:val="en-US" w:eastAsia="zh-CN"/>
        </w:rPr>
        <w:t>。</w:t>
      </w:r>
    </w:p>
    <w:p w14:paraId="6E669BFB">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联合体参加磋商。</w:t>
      </w:r>
    </w:p>
    <w:p w14:paraId="5AEDC4E7">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本项目采用资格后审的审查方式，由磋商小组负责审查。</w:t>
      </w:r>
    </w:p>
    <w:p w14:paraId="20D8FEE2">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729411BC">
      <w:pPr>
        <w:numPr>
          <w:ilvl w:val="0"/>
          <w:numId w:val="2"/>
        </w:numPr>
        <w:adjustRightInd w:val="0"/>
        <w:spacing w:line="360" w:lineRule="auto"/>
        <w:ind w:firstLine="480" w:firstLineChars="200"/>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bookmarkEnd w:id="5"/>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12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26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9:30</w:t>
      </w:r>
      <w:r>
        <w:rPr>
          <w:rFonts w:hint="eastAsia" w:ascii="宋体" w:hAnsi="宋体" w:eastAsia="宋体" w:cs="宋体"/>
          <w:color w:val="auto"/>
          <w:sz w:val="24"/>
          <w:szCs w:val="24"/>
          <w:highlight w:val="none"/>
        </w:rPr>
        <w:t>之前获取。</w:t>
      </w:r>
    </w:p>
    <w:p w14:paraId="001002C7">
      <w:pPr>
        <w:numPr>
          <w:ilvl w:val="0"/>
          <w:numId w:val="2"/>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获取磋商文件方式：供应商登陆政采云平台http://www.zcygov.cn/，在线申请获取磋商文件（进入“项目采购”应用，在获取采购文件菜单中选择项目，申请获取采购文件）。</w:t>
      </w:r>
    </w:p>
    <w:p w14:paraId="2AD5E4C7">
      <w:pPr>
        <w:numPr>
          <w:ilvl w:val="0"/>
          <w:numId w:val="2"/>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42C4AB2E">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63D77B7F">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1883EA69">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153FEE56">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300690D6">
      <w:pPr>
        <w:numPr>
          <w:ilvl w:val="0"/>
          <w:numId w:val="4"/>
        </w:numP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668248D8">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05710A4E">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0B9BB460">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《CA管理学习专题》：</w:t>
      </w:r>
    </w:p>
    <w:p w14:paraId="255E5807">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https://edu.zcygov.cn/luban/ca?utm=web-government-front.380aac0a.0.0.fc2b6aa0b6e211ebbdb0dd007730dd44</w:t>
      </w:r>
    </w:p>
    <w:p w14:paraId="7D03320B">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06ED9B3A">
      <w:pP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http://zfcg.czt.zj.gov.cn/bidClientTemplate/2019-05-27/12945.html</w:t>
      </w:r>
      <w:r>
        <w:rPr>
          <w:rFonts w:hint="eastAsia" w:ascii="宋体" w:hAnsi="宋体" w:eastAsia="宋体" w:cs="宋体"/>
          <w:color w:val="auto"/>
          <w:sz w:val="24"/>
          <w:highlight w:val="none"/>
        </w:rPr>
        <w:fldChar w:fldCharType="end"/>
      </w:r>
    </w:p>
    <w:p w14:paraId="3F1817F1">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2BCC9D4C">
      <w:pPr>
        <w:keepNext w:val="0"/>
        <w:keepLines w:val="0"/>
        <w:pageBreakBefore w:val="0"/>
        <w:widowControl w:val="0"/>
        <w:numPr>
          <w:ilvl w:val="0"/>
          <w:numId w:val="5"/>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Theme="minorEastAsia" w:hAnsiTheme="minorEastAsia" w:eastAsiaTheme="minorEastAsia" w:cstheme="minorEastAsia"/>
          <w:sz w:val="24"/>
          <w:szCs w:val="24"/>
          <w:highlight w:val="none"/>
          <w:lang w:val="en-US" w:eastAsia="zh-CN"/>
        </w:rPr>
        <w:t>95763</w:t>
      </w:r>
      <w:r>
        <w:rPr>
          <w:rFonts w:hint="eastAsia" w:ascii="宋体" w:hAnsi="宋体" w:eastAsia="宋体" w:cs="宋体"/>
          <w:color w:val="auto"/>
          <w:sz w:val="24"/>
          <w:szCs w:val="24"/>
          <w:highlight w:val="none"/>
        </w:rPr>
        <w:t>。</w:t>
      </w:r>
    </w:p>
    <w:p w14:paraId="700D36BE">
      <w:pPr>
        <w:keepNext w:val="0"/>
        <w:keepLines w:val="0"/>
        <w:pageBreakBefore w:val="0"/>
        <w:widowControl w:val="0"/>
        <w:numPr>
          <w:ilvl w:val="0"/>
          <w:numId w:val="5"/>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5CF63433">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37AF2659">
      <w:pPr>
        <w:keepNext w:val="0"/>
        <w:keepLines w:val="0"/>
        <w:pageBreakBefore w:val="0"/>
        <w:widowControl w:val="0"/>
        <w:kinsoku/>
        <w:overflowPunct/>
        <w:topLinePunct w:val="0"/>
        <w:autoSpaceDE/>
        <w:autoSpaceDN/>
        <w:bidi w:val="0"/>
        <w:adjustRightInd w:val="0"/>
        <w:snapToGrid/>
        <w:spacing w:line="360" w:lineRule="auto"/>
        <w:ind w:left="0" w:leftChars="0" w:firstLine="42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http://zfcg.czt.zj.gov.cn/bidClientTemplate/2019-09-24/12975.html</w:t>
      </w:r>
      <w:r>
        <w:rPr>
          <w:rFonts w:hint="eastAsia" w:ascii="宋体" w:hAnsi="宋体" w:eastAsia="宋体" w:cs="宋体"/>
          <w:color w:val="auto"/>
          <w:sz w:val="24"/>
          <w:szCs w:val="24"/>
          <w:highlight w:val="none"/>
        </w:rPr>
        <w:fldChar w:fldCharType="end"/>
      </w:r>
    </w:p>
    <w:p w14:paraId="2E1A658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《供应商-政府采购项目电子交易操作指南》：(需登录账号后查看)</w:t>
      </w:r>
    </w:p>
    <w:p w14:paraId="659E34D6">
      <w:pPr>
        <w:keepNext w:val="0"/>
        <w:keepLines w:val="0"/>
        <w:pageBreakBefore w:val="0"/>
        <w:widowControl w:val="0"/>
        <w:kinsoku/>
        <w:overflowPunct/>
        <w:topLinePunct w:val="0"/>
        <w:autoSpaceDE/>
        <w:autoSpaceDN/>
        <w:bidi w:val="0"/>
        <w:adjustRightInd w:val="0"/>
        <w:snapToGrid/>
        <w:spacing w:line="360" w:lineRule="auto"/>
        <w:ind w:left="0" w:leftChars="0" w:firstLine="42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"/knowledges/tree?tag=AG1DtGwBFdiHxlNdhY0r"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https://service.zcygov.cn/#/knowledges/tree?tag=AG1DtGwBFdiHxlNdhY0r</w:t>
      </w:r>
      <w:r>
        <w:rPr>
          <w:rFonts w:hint="eastAsia" w:ascii="宋体" w:hAnsi="宋体" w:eastAsia="宋体" w:cs="宋体"/>
          <w:color w:val="auto"/>
          <w:sz w:val="24"/>
          <w:szCs w:val="24"/>
          <w:highlight w:val="none"/>
        </w:rPr>
        <w:fldChar w:fldCharType="end"/>
      </w:r>
    </w:p>
    <w:p w14:paraId="1146FFD3">
      <w:pPr>
        <w:keepNext w:val="0"/>
        <w:keepLines w:val="0"/>
        <w:pageBreakBefore w:val="0"/>
        <w:widowControl w:val="0"/>
        <w:numPr>
          <w:ilvl w:val="0"/>
          <w:numId w:val="4"/>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供应商在法定质疑期内应一次性提出针对同一采购程序环节的质疑。</w:t>
      </w:r>
    </w:p>
    <w:p w14:paraId="5B48EB2D">
      <w:pPr>
        <w:keepNext w:val="0"/>
        <w:keepLines w:val="0"/>
        <w:pageBreakBefore w:val="0"/>
        <w:widowControl w:val="0"/>
        <w:numPr>
          <w:ilvl w:val="0"/>
          <w:numId w:val="4"/>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投标人可指派授权代表递交备份文件，授权代表递交备份文件需携带法定代表人授权书原件，于投标截止时间前到达开标地点递交。</w:t>
      </w:r>
    </w:p>
    <w:p w14:paraId="4F5F6354">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757A9978">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7FB01574">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w:t>
      </w:r>
      <w:r>
        <w:rPr>
          <w:rFonts w:hint="eastAsia" w:ascii="宋体" w:hAnsi="宋体" w:eastAsia="宋体" w:cs="宋体"/>
          <w:b w:val="0"/>
          <w:bCs w:val="0"/>
          <w:color w:val="auto"/>
          <w:sz w:val="24"/>
          <w:szCs w:val="24"/>
          <w:highlight w:val="none"/>
        </w:rPr>
        <w:t>、监理、检测等服务的供应商，不得再参加该采购项目的其他采购活动。</w:t>
      </w:r>
    </w:p>
    <w:p w14:paraId="2BE15ED4">
      <w:pPr>
        <w:adjustRightInd w:val="0"/>
        <w:spacing w:line="360" w:lineRule="auto"/>
        <w:ind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b w:val="0"/>
          <w:bCs w:val="0"/>
          <w:color w:val="auto"/>
          <w:sz w:val="24"/>
          <w:szCs w:val="24"/>
          <w:highlight w:val="none"/>
          <w:u w:val="single"/>
        </w:rPr>
        <w:t xml:space="preserve"> 202</w:t>
      </w:r>
      <w:r>
        <w:rPr>
          <w:rFonts w:hint="eastAsia" w:ascii="宋体" w:hAnsi="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12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26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u w:val="single"/>
          <w:lang w:val="en-US" w:eastAsia="zh-CN"/>
        </w:rPr>
        <w:t>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rPr>
        <w:t>分整</w:t>
      </w:r>
      <w:r>
        <w:rPr>
          <w:rFonts w:hint="eastAsia" w:ascii="宋体" w:hAnsi="宋体" w:eastAsia="宋体" w:cs="宋体"/>
          <w:b w:val="0"/>
          <w:bCs w:val="0"/>
          <w:color w:val="auto"/>
          <w:kern w:val="0"/>
          <w:sz w:val="24"/>
          <w:szCs w:val="24"/>
          <w:highlight w:val="none"/>
        </w:rPr>
        <w:t>之前将电子磋商响应文件上传到“政采云”平台。</w:t>
      </w:r>
    </w:p>
    <w:p w14:paraId="5D6CA5FD">
      <w:pP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bookmarkStart w:id="6" w:name="B30_开标地点"/>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12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26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分整在</w:t>
      </w:r>
      <w:r>
        <w:rPr>
          <w:rFonts w:hint="eastAsia" w:ascii="宋体" w:hAnsi="宋体" w:cs="宋体"/>
          <w:color w:val="auto"/>
          <w:sz w:val="24"/>
          <w:szCs w:val="24"/>
          <w:highlight w:val="none"/>
          <w:lang w:eastAsia="zh-CN"/>
        </w:rPr>
        <w:t>浙江中诚工程管理科技有限公司（绍兴市上虞区百官街道梁祝大道2385号</w:t>
      </w:r>
      <w:r>
        <w:rPr>
          <w:rFonts w:hint="eastAsia" w:ascii="宋体" w:hAnsi="宋体" w:cs="宋体"/>
          <w:color w:val="auto"/>
          <w:sz w:val="24"/>
          <w:szCs w:val="24"/>
          <w:highlight w:val="none"/>
          <w:lang w:val="en-US" w:eastAsia="zh-CN"/>
        </w:rPr>
        <w:t>万金</w:t>
      </w:r>
      <w:r>
        <w:rPr>
          <w:rFonts w:hint="eastAsia" w:ascii="宋体" w:hAnsi="宋体" w:cs="宋体"/>
          <w:color w:val="auto"/>
          <w:sz w:val="24"/>
          <w:szCs w:val="24"/>
          <w:highlight w:val="none"/>
          <w:lang w:eastAsia="zh-CN"/>
        </w:rPr>
        <w:t>大厦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楼）开标室</w:t>
      </w:r>
      <w:r>
        <w:rPr>
          <w:rFonts w:hint="eastAsia" w:ascii="宋体" w:hAnsi="宋体" w:eastAsia="宋体" w:cs="宋体"/>
          <w:color w:val="auto"/>
          <w:sz w:val="24"/>
          <w:szCs w:val="24"/>
          <w:highlight w:val="none"/>
        </w:rPr>
        <w:t>开标。</w:t>
      </w:r>
      <w:bookmarkEnd w:id="6"/>
    </w:p>
    <w:p w14:paraId="1D768B3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开标时间后30分钟内（当日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 前）供应商可以登录“政采云”平台，用“项目采购-开标评标”功能进行解密响应文件。若供应商在规定时间内（当日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50D54E31">
      <w:pPr>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6AC5AF8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6EBA04ED">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十．公告期限：3个工作日</w:t>
      </w:r>
    </w:p>
    <w:p w14:paraId="2A39F69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1F73EE32">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1．采购代理机构名称：</w:t>
      </w:r>
      <w:r>
        <w:rPr>
          <w:rFonts w:hint="eastAsia" w:ascii="宋体" w:hAnsi="宋体" w:cs="宋体"/>
          <w:color w:val="auto"/>
          <w:sz w:val="24"/>
          <w:szCs w:val="24"/>
          <w:highlight w:val="none"/>
          <w:lang w:eastAsia="zh-CN"/>
        </w:rPr>
        <w:t>浙江中诚工程管理科技有限公司</w:t>
      </w:r>
    </w:p>
    <w:p w14:paraId="620F968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周女士</w:t>
      </w:r>
      <w:r>
        <w:rPr>
          <w:rFonts w:hint="eastAsia" w:ascii="宋体" w:hAnsi="宋体" w:eastAsia="宋体" w:cs="宋体"/>
          <w:color w:val="auto"/>
          <w:sz w:val="24"/>
          <w:szCs w:val="24"/>
          <w:highlight w:val="none"/>
        </w:rPr>
        <w:t xml:space="preserve">             </w:t>
      </w:r>
    </w:p>
    <w:p w14:paraId="6E052E1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kern w:val="0"/>
          <w:sz w:val="24"/>
          <w:szCs w:val="24"/>
          <w:highlight w:val="none"/>
          <w:lang w:val="en-US" w:eastAsia="zh-CN"/>
        </w:rPr>
        <w:t>18005858072</w:t>
      </w:r>
      <w:r>
        <w:rPr>
          <w:rFonts w:hint="eastAsia" w:ascii="宋体" w:hAnsi="宋体" w:eastAsia="宋体" w:cs="宋体"/>
          <w:color w:val="auto"/>
          <w:sz w:val="24"/>
          <w:szCs w:val="24"/>
          <w:highlight w:val="none"/>
        </w:rPr>
        <w:t xml:space="preserve">           </w:t>
      </w:r>
    </w:p>
    <w:p w14:paraId="60EE96D2">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夏女士</w:t>
      </w:r>
    </w:p>
    <w:p w14:paraId="4DD4E57A">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0575-81280058</w:t>
      </w:r>
    </w:p>
    <w:p w14:paraId="753FA62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绍兴市上虞区百官街道梁祝大道2385号万金大厦24楼</w:t>
      </w:r>
      <w:r>
        <w:rPr>
          <w:rFonts w:hint="eastAsia" w:ascii="宋体" w:hAnsi="宋体" w:eastAsia="宋体" w:cs="宋体"/>
          <w:color w:val="auto"/>
          <w:sz w:val="24"/>
          <w:szCs w:val="24"/>
          <w:highlight w:val="none"/>
        </w:rPr>
        <w:t xml:space="preserve"> </w:t>
      </w:r>
    </w:p>
    <w:p w14:paraId="68F5D43E">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绍兴市生态环境局上虞分局</w:t>
      </w:r>
    </w:p>
    <w:p w14:paraId="0B4E0F4D">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周先生</w:t>
      </w:r>
    </w:p>
    <w:p w14:paraId="413B58E3">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18248613460</w:t>
      </w:r>
    </w:p>
    <w:p w14:paraId="152739B2">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质疑联系人：楼</w:t>
      </w:r>
      <w:r>
        <w:rPr>
          <w:rFonts w:hint="eastAsia" w:ascii="宋体" w:hAnsi="宋体" w:cs="宋体"/>
          <w:color w:val="auto"/>
          <w:sz w:val="24"/>
          <w:highlight w:val="none"/>
          <w:lang w:eastAsia="zh-CN"/>
        </w:rPr>
        <w:t>先生</w:t>
      </w:r>
    </w:p>
    <w:p w14:paraId="52F58AB1">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 0575-82159227</w:t>
      </w:r>
      <w:r>
        <w:rPr>
          <w:rFonts w:hint="eastAsia" w:ascii="宋体" w:hAnsi="宋体" w:cs="宋体"/>
          <w:color w:val="auto"/>
          <w:sz w:val="24"/>
          <w:highlight w:val="none"/>
          <w:lang w:val="en-US" w:eastAsia="zh-CN"/>
        </w:rPr>
        <w:t xml:space="preserve"> </w:t>
      </w:r>
    </w:p>
    <w:p w14:paraId="3B7B137E">
      <w:pPr>
        <w:adjustRightInd w:val="0"/>
        <w:spacing w:line="360" w:lineRule="auto"/>
        <w:ind w:firstLine="480" w:firstLineChars="200"/>
        <w:rPr>
          <w:rFonts w:hint="eastAsia" w:eastAsia="宋体"/>
          <w:highlight w:val="none"/>
          <w:lang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上虞区曹娥街道江西路1888号 数创广场D幢</w:t>
      </w:r>
    </w:p>
    <w:p w14:paraId="2EC013E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12181D3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3C729D6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7170EA8F">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传真：0575-82130212</w:t>
      </w:r>
    </w:p>
    <w:p w14:paraId="254DAE3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35576909">
      <w:pPr>
        <w:pStyle w:val="2"/>
        <w:bidi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7" w:name="_Toc546"/>
      <w:bookmarkStart w:id="8" w:name="_Toc28272"/>
      <w:bookmarkStart w:id="9" w:name="_Toc29834"/>
      <w:r>
        <w:rPr>
          <w:rStyle w:val="33"/>
          <w:rFonts w:hint="eastAsia" w:ascii="宋体" w:hAnsi="宋体" w:eastAsia="宋体" w:cs="宋体"/>
          <w:b/>
          <w:bCs/>
          <w:color w:val="auto"/>
          <w:sz w:val="36"/>
          <w:szCs w:val="36"/>
          <w:highlight w:val="none"/>
        </w:rPr>
        <w:t>第二部分</w:t>
      </w:r>
      <w:bookmarkEnd w:id="3"/>
      <w:bookmarkEnd w:id="4"/>
      <w:r>
        <w:rPr>
          <w:rStyle w:val="33"/>
          <w:rFonts w:hint="eastAsia" w:ascii="宋体" w:hAnsi="宋体" w:eastAsia="宋体" w:cs="宋体"/>
          <w:b/>
          <w:bCs/>
          <w:color w:val="auto"/>
          <w:sz w:val="36"/>
          <w:szCs w:val="36"/>
          <w:highlight w:val="none"/>
        </w:rPr>
        <w:t>供应商须知</w:t>
      </w:r>
      <w:bookmarkEnd w:id="7"/>
      <w:bookmarkEnd w:id="8"/>
      <w:bookmarkEnd w:id="9"/>
    </w:p>
    <w:p w14:paraId="039DFB8D">
      <w:pPr>
        <w:widowControl/>
        <w:adjustRightInd w:val="0"/>
        <w:snapToGrid w:val="0"/>
        <w:spacing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0"/>
          <w:szCs w:val="30"/>
          <w:highlight w:val="none"/>
        </w:rPr>
        <w:t>供应商须知前附表</w:t>
      </w:r>
    </w:p>
    <w:tbl>
      <w:tblPr>
        <w:tblStyle w:val="24"/>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5BC60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05FC402D">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150E80D9">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6682" w:type="dxa"/>
            <w:tcBorders>
              <w:top w:val="double" w:color="auto" w:sz="4" w:space="0"/>
            </w:tcBorders>
            <w:vAlign w:val="center"/>
          </w:tcPr>
          <w:p w14:paraId="586916DA">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内容</w:t>
            </w:r>
          </w:p>
        </w:tc>
      </w:tr>
      <w:tr w14:paraId="25366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4294ED5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800" w:type="dxa"/>
            <w:vAlign w:val="center"/>
          </w:tcPr>
          <w:p w14:paraId="7ED717F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p>
        </w:tc>
        <w:tc>
          <w:tcPr>
            <w:tcW w:w="6682" w:type="dxa"/>
            <w:vAlign w:val="center"/>
          </w:tcPr>
          <w:p w14:paraId="5165842C">
            <w:pP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sz w:val="21"/>
                <w:szCs w:val="21"/>
                <w:highlight w:val="none"/>
                <w:lang w:eastAsia="zh-CN"/>
              </w:rPr>
              <w:t>上虞区空气污染成因分析服务项目</w:t>
            </w:r>
          </w:p>
        </w:tc>
      </w:tr>
      <w:tr w14:paraId="04B03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2EDDFD83">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800" w:type="dxa"/>
            <w:vAlign w:val="center"/>
          </w:tcPr>
          <w:p w14:paraId="06E04F3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服务周期</w:t>
            </w:r>
          </w:p>
        </w:tc>
        <w:tc>
          <w:tcPr>
            <w:tcW w:w="6682" w:type="dxa"/>
            <w:vAlign w:val="center"/>
          </w:tcPr>
          <w:p w14:paraId="12D6AEEA">
            <w:pPr>
              <w:ind w:firstLine="42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自合同签订之日起至合同履行完毕</w:t>
            </w:r>
          </w:p>
        </w:tc>
      </w:tr>
      <w:tr w14:paraId="59258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67D7C1C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800" w:type="dxa"/>
            <w:vAlign w:val="center"/>
          </w:tcPr>
          <w:p w14:paraId="57B0CF5D">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最高限价</w:t>
            </w:r>
          </w:p>
        </w:tc>
        <w:tc>
          <w:tcPr>
            <w:tcW w:w="6682" w:type="dxa"/>
            <w:vAlign w:val="center"/>
          </w:tcPr>
          <w:p w14:paraId="35E82F5F">
            <w:pPr>
              <w:snapToGrid w:val="0"/>
              <w:ind w:firstLine="420" w:firstLineChars="200"/>
              <w:rPr>
                <w:rFonts w:hint="eastAsia" w:ascii="宋体" w:hAnsi="宋体" w:eastAsia="宋体" w:cs="宋体"/>
                <w:b/>
                <w:bCs/>
                <w:snapToGrid w:val="0"/>
                <w:color w:val="auto"/>
                <w:kern w:val="0"/>
                <w:highlight w:val="none"/>
              </w:rPr>
            </w:pPr>
            <w:r>
              <w:rPr>
                <w:rFonts w:hint="eastAsia" w:ascii="宋体" w:hAnsi="宋体" w:eastAsia="宋体" w:cs="宋体"/>
                <w:b w:val="0"/>
                <w:bCs w:val="0"/>
                <w:color w:val="auto"/>
                <w:highlight w:val="none"/>
              </w:rPr>
              <w:t>本项目最高限价人民币</w:t>
            </w:r>
            <w:r>
              <w:rPr>
                <w:rFonts w:hint="eastAsia" w:ascii="宋体" w:hAnsi="宋体" w:eastAsia="宋体"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97</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万元。</w:t>
            </w:r>
          </w:p>
        </w:tc>
      </w:tr>
      <w:tr w14:paraId="4C5A01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14:paraId="33C91FC7">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w:t>
            </w:r>
          </w:p>
        </w:tc>
        <w:tc>
          <w:tcPr>
            <w:tcW w:w="1800" w:type="dxa"/>
            <w:vAlign w:val="center"/>
          </w:tcPr>
          <w:p w14:paraId="77781CD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资格审查方式</w:t>
            </w:r>
          </w:p>
        </w:tc>
        <w:tc>
          <w:tcPr>
            <w:tcW w:w="6682" w:type="dxa"/>
            <w:vAlign w:val="center"/>
          </w:tcPr>
          <w:p w14:paraId="706D2C77">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资格审查是指开标后，磋商小组将依据法律法规和磋商文件的规定对供应商的资格进行审查。</w:t>
            </w:r>
          </w:p>
        </w:tc>
      </w:tr>
      <w:tr w14:paraId="38B5E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14:paraId="227F8B47">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800" w:type="dxa"/>
            <w:vAlign w:val="center"/>
          </w:tcPr>
          <w:p w14:paraId="1A7C0303">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踏勘现场</w:t>
            </w:r>
          </w:p>
        </w:tc>
        <w:tc>
          <w:tcPr>
            <w:tcW w:w="6682" w:type="dxa"/>
            <w:vAlign w:val="center"/>
          </w:tcPr>
          <w:p w14:paraId="37A088B0">
            <w:pPr>
              <w:snapToGrid w:val="0"/>
              <w:ind w:firstLine="42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本项目不组织现场踏勘</w:t>
            </w:r>
          </w:p>
        </w:tc>
      </w:tr>
      <w:tr w14:paraId="25A5C7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648" w:type="dxa"/>
            <w:vAlign w:val="center"/>
          </w:tcPr>
          <w:p w14:paraId="43D21AD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800" w:type="dxa"/>
            <w:vAlign w:val="center"/>
          </w:tcPr>
          <w:p w14:paraId="66F68AB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询问</w:t>
            </w:r>
          </w:p>
        </w:tc>
        <w:tc>
          <w:tcPr>
            <w:tcW w:w="6682" w:type="dxa"/>
            <w:vAlign w:val="center"/>
          </w:tcPr>
          <w:p w14:paraId="4464478A">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1"/>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65645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vAlign w:val="center"/>
          </w:tcPr>
          <w:p w14:paraId="6104DF4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800" w:type="dxa"/>
            <w:vAlign w:val="center"/>
          </w:tcPr>
          <w:p w14:paraId="05D5E3C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0FF2F2BF">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1"/>
                <w:highlight w:val="none"/>
              </w:rPr>
              <w:t>招标采购单位可以对已发出的</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进行必要澄清或者修改，澄清或者修改的内容可能影响</w:t>
            </w:r>
            <w:r>
              <w:rPr>
                <w:rFonts w:hint="eastAsia" w:ascii="宋体" w:hAnsi="宋体" w:eastAsia="宋体" w:cs="宋体"/>
                <w:snapToGrid w:val="0"/>
                <w:color w:val="auto"/>
                <w:kern w:val="0"/>
                <w:szCs w:val="21"/>
                <w:highlight w:val="none"/>
                <w:lang w:eastAsia="zh-CN"/>
              </w:rPr>
              <w:t>磋商响应文件</w:t>
            </w:r>
            <w:r>
              <w:rPr>
                <w:rFonts w:hint="eastAsia" w:ascii="宋体" w:hAnsi="宋体" w:eastAsia="宋体" w:cs="宋体"/>
                <w:snapToGrid w:val="0"/>
                <w:color w:val="auto"/>
                <w:kern w:val="0"/>
                <w:szCs w:val="21"/>
                <w:highlight w:val="none"/>
              </w:rPr>
              <w:t>编制的，应当在</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要求提交</w:t>
            </w:r>
            <w:r>
              <w:rPr>
                <w:rFonts w:hint="eastAsia" w:ascii="宋体" w:hAnsi="宋体" w:eastAsia="宋体" w:cs="宋体"/>
                <w:snapToGrid w:val="0"/>
                <w:color w:val="auto"/>
                <w:kern w:val="0"/>
                <w:szCs w:val="21"/>
                <w:highlight w:val="none"/>
                <w:lang w:eastAsia="zh-CN"/>
              </w:rPr>
              <w:t>磋商响应文件</w:t>
            </w:r>
            <w:r>
              <w:rPr>
                <w:rFonts w:hint="eastAsia" w:ascii="宋体" w:hAnsi="宋体" w:eastAsia="宋体" w:cs="宋体"/>
                <w:snapToGrid w:val="0"/>
                <w:color w:val="auto"/>
                <w:kern w:val="0"/>
                <w:szCs w:val="21"/>
                <w:highlight w:val="none"/>
              </w:rPr>
              <w:t>截止时间五日前，在招标公告发布的媒体上发布更正公告，该澄清或者修改的内容为</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的组成部分。本项目</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和补充（答疑、澄清）、修改文件等请自行登录浙江政府采购网或绍兴市上虞区公共资源交易中心网站查看。</w:t>
            </w:r>
          </w:p>
        </w:tc>
      </w:tr>
      <w:tr w14:paraId="37482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48" w:type="dxa"/>
            <w:vAlign w:val="center"/>
          </w:tcPr>
          <w:p w14:paraId="6EFF516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800" w:type="dxa"/>
            <w:vAlign w:val="center"/>
          </w:tcPr>
          <w:p w14:paraId="0B1CE2B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磋商响应文件组成</w:t>
            </w:r>
          </w:p>
        </w:tc>
        <w:tc>
          <w:tcPr>
            <w:tcW w:w="6682" w:type="dxa"/>
            <w:vAlign w:val="center"/>
          </w:tcPr>
          <w:p w14:paraId="3B1F7C7C">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供应商向采购人递交的响应文件由资格文件、商务技术文件、报价文件三部分组成。</w:t>
            </w:r>
          </w:p>
        </w:tc>
      </w:tr>
      <w:tr w14:paraId="4FB7A5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1513FA86">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800" w:type="dxa"/>
            <w:vAlign w:val="center"/>
          </w:tcPr>
          <w:p w14:paraId="2E6B40C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评标办法</w:t>
            </w:r>
          </w:p>
        </w:tc>
        <w:tc>
          <w:tcPr>
            <w:tcW w:w="6682" w:type="dxa"/>
            <w:vAlign w:val="center"/>
          </w:tcPr>
          <w:p w14:paraId="7D9E086F">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14:paraId="652232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D4D12C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800" w:type="dxa"/>
            <w:vAlign w:val="center"/>
          </w:tcPr>
          <w:p w14:paraId="6EB1C91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磋商响应文件递交地址及截止时间</w:t>
            </w:r>
          </w:p>
        </w:tc>
        <w:tc>
          <w:tcPr>
            <w:tcW w:w="6682" w:type="dxa"/>
            <w:vAlign w:val="center"/>
          </w:tcPr>
          <w:p w14:paraId="72E5038D">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详见磋商公告</w:t>
            </w:r>
          </w:p>
        </w:tc>
      </w:tr>
      <w:tr w14:paraId="17BF2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FC7D95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800" w:type="dxa"/>
            <w:vAlign w:val="center"/>
          </w:tcPr>
          <w:p w14:paraId="57D41351">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开标时间、地点</w:t>
            </w:r>
          </w:p>
        </w:tc>
        <w:tc>
          <w:tcPr>
            <w:tcW w:w="6682" w:type="dxa"/>
            <w:vAlign w:val="center"/>
          </w:tcPr>
          <w:p w14:paraId="6387A081">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w:t>
            </w:r>
            <w:r>
              <w:rPr>
                <w:rFonts w:hint="eastAsia" w:ascii="宋体" w:hAnsi="宋体" w:eastAsia="宋体" w:cs="宋体"/>
                <w:color w:val="auto"/>
                <w:kern w:val="0"/>
                <w:highlight w:val="none"/>
              </w:rPr>
              <w:t>详见磋商公告</w:t>
            </w:r>
          </w:p>
          <w:p w14:paraId="7E108B93">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开标地点：</w:t>
            </w:r>
            <w:r>
              <w:rPr>
                <w:rFonts w:hint="eastAsia" w:ascii="宋体" w:hAnsi="宋体" w:eastAsia="宋体" w:cs="宋体"/>
                <w:color w:val="auto"/>
                <w:kern w:val="0"/>
                <w:highlight w:val="none"/>
              </w:rPr>
              <w:t>详见磋商公告</w:t>
            </w:r>
          </w:p>
        </w:tc>
      </w:tr>
      <w:tr w14:paraId="564EC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16502E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800" w:type="dxa"/>
            <w:vAlign w:val="center"/>
          </w:tcPr>
          <w:p w14:paraId="3451D81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磋商响应文件有效期</w:t>
            </w:r>
          </w:p>
        </w:tc>
        <w:tc>
          <w:tcPr>
            <w:tcW w:w="6682" w:type="dxa"/>
            <w:vAlign w:val="center"/>
          </w:tcPr>
          <w:p w14:paraId="32904B97">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02B12F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60FD67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3</w:t>
            </w:r>
          </w:p>
        </w:tc>
        <w:tc>
          <w:tcPr>
            <w:tcW w:w="1800" w:type="dxa"/>
            <w:vAlign w:val="center"/>
          </w:tcPr>
          <w:p w14:paraId="533C6B7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磋商公告及成交结果公告发布媒体</w:t>
            </w:r>
          </w:p>
        </w:tc>
        <w:tc>
          <w:tcPr>
            <w:tcW w:w="6682" w:type="dxa"/>
            <w:vAlign w:val="center"/>
          </w:tcPr>
          <w:p w14:paraId="2E4AC816">
            <w:pPr>
              <w:pStyle w:val="11"/>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浙江省政府采购网、绍兴市上虞区公共资源交易中心网站</w:t>
            </w:r>
          </w:p>
        </w:tc>
      </w:tr>
      <w:tr w14:paraId="029AE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shd w:val="clear" w:color="auto" w:fill="auto"/>
            <w:vAlign w:val="center"/>
          </w:tcPr>
          <w:p w14:paraId="12EC11D8">
            <w:pPr>
              <w:snapToGrid w:val="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4</w:t>
            </w:r>
          </w:p>
        </w:tc>
        <w:tc>
          <w:tcPr>
            <w:tcW w:w="1800" w:type="dxa"/>
            <w:shd w:val="clear" w:color="auto" w:fill="auto"/>
            <w:vAlign w:val="center"/>
          </w:tcPr>
          <w:p w14:paraId="512A1609">
            <w:pPr>
              <w:snapToGrid w:val="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highlight w:val="none"/>
              </w:rPr>
              <w:t>履约保证金</w:t>
            </w:r>
          </w:p>
        </w:tc>
        <w:tc>
          <w:tcPr>
            <w:tcW w:w="6682" w:type="dxa"/>
            <w:shd w:val="clear" w:color="auto" w:fill="auto"/>
            <w:vAlign w:val="center"/>
          </w:tcPr>
          <w:p w14:paraId="4BBBC561">
            <w:pPr>
              <w:widowControl/>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本项目不设置履约保证金</w:t>
            </w:r>
          </w:p>
        </w:tc>
      </w:tr>
      <w:tr w14:paraId="5768D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E51D883">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p>
        </w:tc>
        <w:tc>
          <w:tcPr>
            <w:tcW w:w="1800" w:type="dxa"/>
            <w:vAlign w:val="center"/>
          </w:tcPr>
          <w:p w14:paraId="315281D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质疑</w:t>
            </w:r>
          </w:p>
        </w:tc>
        <w:tc>
          <w:tcPr>
            <w:tcW w:w="6682" w:type="dxa"/>
            <w:vAlign w:val="center"/>
          </w:tcPr>
          <w:p w14:paraId="37D57CC0">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根据《中华人民共和国政府采购法》第五十二条、《中华人民共和国政府采购法实施条例》第五十三条、《浙江省政府采购供应商质疑处理办法》的规定：</w:t>
            </w:r>
          </w:p>
          <w:p w14:paraId="6B70C5A7">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1502702A">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投标人如认为采购过程使自身的合法权益受到损害的，应于各采购程序环节结束之日起七个工作日内以书面形式向采购机构提出质疑；</w:t>
            </w:r>
          </w:p>
          <w:p w14:paraId="3BDC5E8B">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szCs w:val="21"/>
                <w:highlight w:val="none"/>
              </w:rPr>
              <w:t>投标人如认为中标结果使自身的合法权益受到损害的，应于中标或者成交结果公告期限届满之日起七个工作日内以书面形式向采购机构提出质疑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Cs w:val="21"/>
                <w:highlight w:val="none"/>
              </w:rPr>
              <w:t>。</w:t>
            </w:r>
          </w:p>
        </w:tc>
      </w:tr>
      <w:tr w14:paraId="295FD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648" w:type="dxa"/>
            <w:vAlign w:val="center"/>
          </w:tcPr>
          <w:p w14:paraId="4A981BF9">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6</w:t>
            </w:r>
          </w:p>
        </w:tc>
        <w:tc>
          <w:tcPr>
            <w:tcW w:w="1800" w:type="dxa"/>
            <w:vAlign w:val="center"/>
          </w:tcPr>
          <w:p w14:paraId="3BF401A6">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投诉</w:t>
            </w:r>
          </w:p>
        </w:tc>
        <w:tc>
          <w:tcPr>
            <w:tcW w:w="6682" w:type="dxa"/>
            <w:vAlign w:val="center"/>
          </w:tcPr>
          <w:p w14:paraId="321BDE93">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1"/>
                <w:highlight w:val="none"/>
              </w:rPr>
              <w:t>根据《</w:t>
            </w:r>
            <w:r>
              <w:rPr>
                <w:rFonts w:hint="eastAsia" w:ascii="宋体" w:hAnsi="宋体" w:eastAsia="宋体" w:cs="宋体"/>
                <w:color w:val="auto"/>
                <w:szCs w:val="21"/>
                <w:highlight w:val="none"/>
              </w:rPr>
              <w:t>中华人民共和国政府采购法</w:t>
            </w:r>
            <w:r>
              <w:rPr>
                <w:rFonts w:hint="eastAsia" w:ascii="宋体" w:hAnsi="宋体" w:eastAsia="宋体" w:cs="宋体"/>
                <w:snapToGrid w:val="0"/>
                <w:color w:val="auto"/>
                <w:kern w:val="0"/>
                <w:szCs w:val="21"/>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1DDA1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CCE3BED">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7</w:t>
            </w:r>
          </w:p>
        </w:tc>
        <w:tc>
          <w:tcPr>
            <w:tcW w:w="1800" w:type="dxa"/>
            <w:vAlign w:val="center"/>
          </w:tcPr>
          <w:p w14:paraId="4230F7B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特别说明</w:t>
            </w:r>
          </w:p>
        </w:tc>
        <w:tc>
          <w:tcPr>
            <w:tcW w:w="6682" w:type="dxa"/>
            <w:vAlign w:val="center"/>
          </w:tcPr>
          <w:p w14:paraId="7D9485E5">
            <w:pPr>
              <w:pStyle w:val="11"/>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投标人应无条件的、认真仔细的阅读本</w:t>
            </w: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及其澄清答疑、修改答复的补充文件，严格按照</w:t>
            </w: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及补充文件的规定和要求编制</w:t>
            </w:r>
            <w:r>
              <w:rPr>
                <w:rFonts w:hint="eastAsia" w:ascii="宋体" w:hAnsi="宋体" w:eastAsia="宋体" w:cs="宋体"/>
                <w:color w:val="auto"/>
                <w:kern w:val="0"/>
                <w:highlight w:val="none"/>
                <w:lang w:eastAsia="zh-CN"/>
              </w:rPr>
              <w:t>磋商响应文件</w:t>
            </w:r>
            <w:r>
              <w:rPr>
                <w:rFonts w:hint="eastAsia" w:ascii="宋体" w:hAnsi="宋体" w:eastAsia="宋体" w:cs="宋体"/>
                <w:color w:val="auto"/>
                <w:kern w:val="0"/>
                <w:highlight w:val="none"/>
              </w:rPr>
              <w:t>。在编制</w:t>
            </w:r>
            <w:r>
              <w:rPr>
                <w:rFonts w:hint="eastAsia" w:ascii="宋体" w:hAnsi="宋体" w:eastAsia="宋体" w:cs="宋体"/>
                <w:color w:val="auto"/>
                <w:kern w:val="0"/>
                <w:highlight w:val="none"/>
                <w:lang w:eastAsia="zh-CN"/>
              </w:rPr>
              <w:t>磋商响应文件</w:t>
            </w:r>
            <w:r>
              <w:rPr>
                <w:rFonts w:hint="eastAsia" w:ascii="宋体" w:hAnsi="宋体" w:eastAsia="宋体" w:cs="宋体"/>
                <w:color w:val="auto"/>
                <w:kern w:val="0"/>
                <w:highlight w:val="none"/>
              </w:rPr>
              <w:t>过程中，应严格遵循实事求是、诚信投标的原则，针对</w:t>
            </w: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中的采购需求、合同条款等各项内容进行确认，如有偏离，应如实填写响应偏离表。</w:t>
            </w:r>
          </w:p>
          <w:p w14:paraId="0D4F189C">
            <w:pPr>
              <w:pStyle w:val="11"/>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6FD53CF5">
            <w:pPr>
              <w:pStyle w:val="11"/>
              <w:snapToGrid w:val="0"/>
              <w:ind w:firstLine="420" w:firstLineChars="20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中凡标注“</w:t>
            </w:r>
            <w:r>
              <w:rPr>
                <w:rFonts w:hint="eastAsia" w:ascii="宋体" w:hAnsi="宋体" w:eastAsia="宋体" w:cs="宋体"/>
                <w:color w:val="auto"/>
                <w:highlight w:val="none"/>
              </w:rPr>
              <w:t>★</w:t>
            </w:r>
            <w:r>
              <w:rPr>
                <w:rFonts w:hint="eastAsia" w:ascii="宋体" w:hAnsi="宋体" w:eastAsia="宋体" w:cs="宋体"/>
                <w:color w:val="auto"/>
                <w:kern w:val="0"/>
                <w:highlight w:val="none"/>
              </w:rPr>
              <w:t>”的条款均为实质性要求，不响应的</w:t>
            </w:r>
            <w:r>
              <w:rPr>
                <w:rFonts w:hint="eastAsia" w:ascii="宋体" w:hAnsi="宋体" w:eastAsia="宋体" w:cs="宋体"/>
                <w:color w:val="auto"/>
                <w:kern w:val="0"/>
                <w:highlight w:val="none"/>
                <w:lang w:eastAsia="zh-CN"/>
              </w:rPr>
              <w:t>磋商响应文件</w:t>
            </w:r>
            <w:r>
              <w:rPr>
                <w:rFonts w:hint="eastAsia" w:ascii="宋体" w:hAnsi="宋体" w:eastAsia="宋体" w:cs="宋体"/>
                <w:color w:val="auto"/>
                <w:kern w:val="0"/>
                <w:highlight w:val="none"/>
              </w:rPr>
              <w:t>将作无效标处理。</w:t>
            </w:r>
          </w:p>
        </w:tc>
      </w:tr>
      <w:tr w14:paraId="27528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8" w:hRule="atLeast"/>
          <w:jc w:val="center"/>
        </w:trPr>
        <w:tc>
          <w:tcPr>
            <w:tcW w:w="648" w:type="dxa"/>
            <w:vAlign w:val="center"/>
          </w:tcPr>
          <w:p w14:paraId="5D7B418B">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8</w:t>
            </w:r>
          </w:p>
        </w:tc>
        <w:tc>
          <w:tcPr>
            <w:tcW w:w="1800" w:type="dxa"/>
            <w:vAlign w:val="center"/>
          </w:tcPr>
          <w:p w14:paraId="5720A30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支</w:t>
            </w:r>
          </w:p>
          <w:p w14:paraId="2CF68CEF">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持</w:t>
            </w:r>
          </w:p>
          <w:p w14:paraId="331B2B0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w:t>
            </w:r>
          </w:p>
          <w:p w14:paraId="1025680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小</w:t>
            </w:r>
          </w:p>
          <w:p w14:paraId="73377DE9">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w:t>
            </w:r>
          </w:p>
          <w:p w14:paraId="48ED280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业</w:t>
            </w:r>
          </w:p>
          <w:p w14:paraId="5D6A4080">
            <w:pPr>
              <w:snapToGrid w:val="0"/>
              <w:jc w:val="center"/>
              <w:rPr>
                <w:rFonts w:hint="eastAsia" w:ascii="宋体" w:hAnsi="宋体" w:eastAsia="宋体" w:cs="宋体"/>
                <w:color w:val="auto"/>
                <w:highlight w:val="none"/>
              </w:rPr>
            </w:pPr>
          </w:p>
        </w:tc>
        <w:tc>
          <w:tcPr>
            <w:tcW w:w="6682" w:type="dxa"/>
            <w:vAlign w:val="center"/>
          </w:tcPr>
          <w:p w14:paraId="3E48E20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2990407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340B3EA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189F8E6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在服务采购项目中，服务由小微企业承接，即提供服务的人员为小微企业依照《中华人民共和国劳动合同法》订立劳动合同的从业人员。</w:t>
            </w:r>
          </w:p>
          <w:p w14:paraId="1D71FBB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联合体各方均为小型、微型企业的，联合体视同为小型、微型企业。</w:t>
            </w:r>
          </w:p>
          <w:p w14:paraId="798E075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085D9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59BBC15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组成联合体或者接受分包的小微企业与联合体内其他企业、分包企业之间存在直接控股、管理关系的，不享受价格扣除优惠政策。</w:t>
            </w:r>
          </w:p>
        </w:tc>
      </w:tr>
      <w:tr w14:paraId="18A71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8C23F56">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9</w:t>
            </w:r>
          </w:p>
        </w:tc>
        <w:tc>
          <w:tcPr>
            <w:tcW w:w="1800" w:type="dxa"/>
            <w:vAlign w:val="center"/>
          </w:tcPr>
          <w:p w14:paraId="6683DD9A">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682" w:type="dxa"/>
            <w:vAlign w:val="center"/>
          </w:tcPr>
          <w:p w14:paraId="68A73EBC">
            <w:pPr>
              <w:autoSpaceDN w:val="0"/>
              <w:spacing w:line="34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招标代理服务费由成交供应商支付，按下列服务招标计算方式计取。</w:t>
            </w:r>
          </w:p>
          <w:tbl>
            <w:tblPr>
              <w:tblStyle w:val="24"/>
              <w:tblW w:w="498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0"/>
              <w:gridCol w:w="1060"/>
              <w:gridCol w:w="1060"/>
              <w:gridCol w:w="1028"/>
            </w:tblGrid>
            <w:tr w14:paraId="172A1D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028F250A">
                  <w:pPr>
                    <w:jc w:val="center"/>
                    <w:rPr>
                      <w:rFonts w:hint="eastAsia" w:ascii="宋体" w:hAnsi="宋体" w:eastAsia="宋体" w:cs="宋体"/>
                      <w:color w:val="auto"/>
                      <w:highlight w:val="none"/>
                    </w:rPr>
                  </w:pPr>
                  <w:r>
                    <w:rPr>
                      <w:rFonts w:hint="eastAsia" w:ascii="宋体" w:hAnsi="宋体" w:eastAsia="宋体" w:cs="宋体"/>
                      <w:color w:val="auto"/>
                      <w:highlight w:val="none"/>
                    </w:rPr>
                    <w:t>服务类型 中标金额（万元）</w:t>
                  </w:r>
                </w:p>
              </w:tc>
              <w:tc>
                <w:tcPr>
                  <w:tcW w:w="825" w:type="pct"/>
                  <w:tcBorders>
                    <w:top w:val="outset" w:color="auto" w:sz="6" w:space="0"/>
                    <w:left w:val="outset" w:color="auto" w:sz="6" w:space="0"/>
                    <w:bottom w:val="outset" w:color="auto" w:sz="6" w:space="0"/>
                    <w:right w:val="outset" w:color="auto" w:sz="6" w:space="0"/>
                  </w:tcBorders>
                  <w:noWrap/>
                  <w:vAlign w:val="center"/>
                </w:tcPr>
                <w:p w14:paraId="0B29BC23">
                  <w:pPr>
                    <w:widowControl/>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825" w:type="pct"/>
                  <w:tcBorders>
                    <w:top w:val="outset" w:color="auto" w:sz="6" w:space="0"/>
                    <w:left w:val="outset" w:color="auto" w:sz="6" w:space="0"/>
                    <w:bottom w:val="outset" w:color="auto" w:sz="6" w:space="0"/>
                    <w:right w:val="outset" w:color="auto" w:sz="6" w:space="0"/>
                  </w:tcBorders>
                  <w:noWrap/>
                  <w:vAlign w:val="center"/>
                </w:tcPr>
                <w:p w14:paraId="119D2BCF">
                  <w:pP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800" w:type="pct"/>
                  <w:tcBorders>
                    <w:top w:val="outset" w:color="auto" w:sz="6" w:space="0"/>
                    <w:left w:val="outset" w:color="auto" w:sz="6" w:space="0"/>
                    <w:bottom w:val="outset" w:color="auto" w:sz="6" w:space="0"/>
                    <w:right w:val="outset" w:color="auto" w:sz="6" w:space="0"/>
                  </w:tcBorders>
                  <w:noWrap/>
                  <w:vAlign w:val="center"/>
                </w:tcPr>
                <w:p w14:paraId="11B87A79">
                  <w:pP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67A118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72F121E4">
                  <w:pP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825" w:type="pct"/>
                  <w:tcBorders>
                    <w:top w:val="outset" w:color="auto" w:sz="6" w:space="0"/>
                    <w:left w:val="outset" w:color="auto" w:sz="6" w:space="0"/>
                    <w:bottom w:val="outset" w:color="auto" w:sz="6" w:space="0"/>
                    <w:right w:val="outset" w:color="auto" w:sz="6" w:space="0"/>
                  </w:tcBorders>
                  <w:noWrap/>
                  <w:vAlign w:val="center"/>
                </w:tcPr>
                <w:p w14:paraId="116A4B26">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25" w:type="pct"/>
                  <w:tcBorders>
                    <w:top w:val="outset" w:color="auto" w:sz="6" w:space="0"/>
                    <w:left w:val="outset" w:color="auto" w:sz="6" w:space="0"/>
                    <w:bottom w:val="outset" w:color="auto" w:sz="6" w:space="0"/>
                    <w:right w:val="outset" w:color="auto" w:sz="6" w:space="0"/>
                  </w:tcBorders>
                  <w:noWrap/>
                  <w:vAlign w:val="center"/>
                </w:tcPr>
                <w:p w14:paraId="5BA2E214">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00" w:type="pct"/>
                  <w:tcBorders>
                    <w:top w:val="outset" w:color="auto" w:sz="6" w:space="0"/>
                    <w:left w:val="outset" w:color="auto" w:sz="6" w:space="0"/>
                    <w:bottom w:val="outset" w:color="auto" w:sz="6" w:space="0"/>
                    <w:right w:val="outset" w:color="auto" w:sz="6" w:space="0"/>
                  </w:tcBorders>
                  <w:noWrap/>
                  <w:vAlign w:val="center"/>
                </w:tcPr>
                <w:p w14:paraId="1D64BAD0">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bl>
          <w:p w14:paraId="50FFB63B">
            <w:pPr>
              <w:spacing w:line="34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235B4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21AE2E07">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20</w:t>
            </w:r>
          </w:p>
        </w:tc>
        <w:tc>
          <w:tcPr>
            <w:tcW w:w="1800" w:type="dxa"/>
            <w:vAlign w:val="center"/>
          </w:tcPr>
          <w:p w14:paraId="0DC1534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682" w:type="dxa"/>
            <w:vAlign w:val="center"/>
          </w:tcPr>
          <w:p w14:paraId="04865D6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不允许</w:t>
            </w:r>
            <w:r>
              <w:rPr>
                <w:rFonts w:hint="eastAsia" w:ascii="宋体" w:hAnsi="宋体" w:eastAsia="宋体" w:cs="宋体"/>
                <w:color w:val="auto"/>
                <w:highlight w:val="none"/>
              </w:rPr>
              <w:t>分包</w:t>
            </w:r>
          </w:p>
        </w:tc>
      </w:tr>
      <w:tr w14:paraId="2B199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648" w:type="dxa"/>
            <w:vAlign w:val="center"/>
          </w:tcPr>
          <w:p w14:paraId="6869B440">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cs="宋体"/>
                <w:snapToGrid w:val="0"/>
                <w:color w:val="auto"/>
                <w:kern w:val="0"/>
                <w:highlight w:val="none"/>
                <w:lang w:val="en-US" w:eastAsia="zh-CN"/>
              </w:rPr>
              <w:t>1</w:t>
            </w:r>
          </w:p>
        </w:tc>
        <w:tc>
          <w:tcPr>
            <w:tcW w:w="1800" w:type="dxa"/>
            <w:tcBorders>
              <w:top w:val="single" w:color="auto" w:sz="4" w:space="0"/>
            </w:tcBorders>
            <w:vAlign w:val="center"/>
          </w:tcPr>
          <w:p w14:paraId="247A9D05">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是否提供演示</w:t>
            </w:r>
          </w:p>
        </w:tc>
        <w:tc>
          <w:tcPr>
            <w:tcW w:w="6682" w:type="dxa"/>
            <w:tcBorders>
              <w:top w:val="single" w:color="auto" w:sz="4" w:space="0"/>
            </w:tcBorders>
            <w:vAlign w:val="center"/>
          </w:tcPr>
          <w:p w14:paraId="5F5306E7">
            <w:pPr>
              <w:ind w:firstLine="420" w:firstLineChars="200"/>
              <w:rPr>
                <w:rFonts w:hint="eastAsia"/>
                <w:highlight w:val="none"/>
              </w:rPr>
            </w:pPr>
            <w:r>
              <w:rPr>
                <w:rFonts w:hint="eastAsia" w:ascii="宋体" w:hAnsi="宋体" w:eastAsia="宋体" w:cs="宋体"/>
                <w:color w:val="auto"/>
                <w:highlight w:val="none"/>
              </w:rPr>
              <w:t>本项目</w:t>
            </w:r>
            <w:r>
              <w:rPr>
                <w:rFonts w:hint="eastAsia" w:ascii="宋体" w:hAnsi="宋体" w:cs="宋体"/>
                <w:color w:val="auto"/>
                <w:highlight w:val="none"/>
                <w:lang w:eastAsia="zh-CN"/>
              </w:rPr>
              <w:t>不</w:t>
            </w:r>
            <w:r>
              <w:rPr>
                <w:rFonts w:hint="eastAsia" w:ascii="宋体" w:hAnsi="宋体" w:eastAsia="宋体" w:cs="宋体"/>
                <w:color w:val="auto"/>
                <w:highlight w:val="none"/>
                <w:u w:val="single"/>
              </w:rPr>
              <w:t>需要</w:t>
            </w:r>
            <w:r>
              <w:rPr>
                <w:rFonts w:hint="eastAsia" w:ascii="宋体" w:hAnsi="宋体" w:eastAsia="宋体" w:cs="宋体"/>
                <w:color w:val="auto"/>
                <w:highlight w:val="none"/>
              </w:rPr>
              <w:t>提供演示。</w:t>
            </w:r>
          </w:p>
        </w:tc>
      </w:tr>
      <w:tr w14:paraId="2335FA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C332BF">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cs="宋体"/>
                <w:snapToGrid w:val="0"/>
                <w:color w:val="auto"/>
                <w:kern w:val="0"/>
                <w:highlight w:val="none"/>
                <w:lang w:val="en-US" w:eastAsia="zh-CN"/>
              </w:rPr>
              <w:t>2</w:t>
            </w:r>
          </w:p>
        </w:tc>
        <w:tc>
          <w:tcPr>
            <w:tcW w:w="1800" w:type="dxa"/>
            <w:vAlign w:val="center"/>
          </w:tcPr>
          <w:p w14:paraId="6C8AF677">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供应商信用信息查询渠道及截止时点、信用信息查询记录和证据留存的具体方式、信用信息的使用规则</w:t>
            </w:r>
          </w:p>
        </w:tc>
        <w:tc>
          <w:tcPr>
            <w:tcW w:w="6682" w:type="dxa"/>
            <w:vAlign w:val="center"/>
          </w:tcPr>
          <w:p w14:paraId="5920B8E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1、查询渠道：信用中国（网址：http://www.creditchina.gov.cn）、中国政府采购网(网址：http://www.ccgp.gov.cn）。</w:t>
            </w:r>
          </w:p>
          <w:p w14:paraId="61632E2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2、截止时点：开标后评标前。</w:t>
            </w:r>
          </w:p>
          <w:p w14:paraId="020158B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3、信用信息查询记录和证据留存的具体方式：由采购组织机构在规定查询时间内打印信用信息查询记录并归入项目档案。</w:t>
            </w:r>
          </w:p>
          <w:p w14:paraId="37706A52">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F0D22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restart"/>
            <w:vAlign w:val="center"/>
          </w:tcPr>
          <w:p w14:paraId="2E11C172">
            <w:pPr>
              <w:snapToGrid w:val="0"/>
              <w:spacing w:line="360" w:lineRule="exact"/>
              <w:jc w:val="center"/>
              <w:rPr>
                <w:rFonts w:hint="default" w:ascii="宋体" w:hAnsi="宋体" w:eastAsia="宋体" w:cs="宋体"/>
                <w:snapToGrid w:val="0"/>
                <w:color w:val="auto"/>
                <w:kern w:val="0"/>
                <w:highlight w:val="none"/>
                <w:lang w:val="en-US"/>
              </w:rPr>
            </w:pPr>
            <w:r>
              <w:rPr>
                <w:rFonts w:hint="eastAsia" w:ascii="宋体" w:hAnsi="宋体" w:eastAsia="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lang w:val="en-US" w:eastAsia="zh-CN"/>
              </w:rPr>
              <w:t>3</w:t>
            </w:r>
          </w:p>
        </w:tc>
        <w:tc>
          <w:tcPr>
            <w:tcW w:w="1800" w:type="dxa"/>
            <w:vMerge w:val="restart"/>
            <w:vAlign w:val="center"/>
          </w:tcPr>
          <w:p w14:paraId="3B3767BF">
            <w:pPr>
              <w:snapToGrid w:val="0"/>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预付款</w:t>
            </w:r>
          </w:p>
        </w:tc>
        <w:tc>
          <w:tcPr>
            <w:tcW w:w="6682" w:type="dxa"/>
            <w:vAlign w:val="center"/>
          </w:tcPr>
          <w:p w14:paraId="77D654CB">
            <w:pPr>
              <w:ind w:firstLine="420" w:firstLineChars="200"/>
              <w:jc w:val="both"/>
              <w:rPr>
                <w:rFonts w:hint="eastAsia" w:ascii="宋体" w:hAnsi="宋体" w:eastAsia="宋体" w:cs="宋体"/>
                <w:color w:val="auto"/>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eastAsia="zh-CN"/>
              </w:rPr>
              <w:t>不设置</w:t>
            </w:r>
            <w:r>
              <w:rPr>
                <w:rFonts w:hint="eastAsia" w:ascii="宋体" w:hAnsi="宋体" w:cs="宋体"/>
                <w:color w:val="auto"/>
                <w:szCs w:val="21"/>
                <w:highlight w:val="none"/>
              </w:rPr>
              <w:t>预付款。</w:t>
            </w:r>
          </w:p>
        </w:tc>
      </w:tr>
      <w:tr w14:paraId="385CE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754D794F">
            <w:pPr>
              <w:snapToGrid w:val="0"/>
              <w:spacing w:line="360" w:lineRule="exact"/>
              <w:jc w:val="center"/>
              <w:rPr>
                <w:highlight w:val="none"/>
              </w:rPr>
            </w:pPr>
          </w:p>
        </w:tc>
        <w:tc>
          <w:tcPr>
            <w:tcW w:w="1800" w:type="dxa"/>
            <w:vMerge w:val="continue"/>
            <w:vAlign w:val="center"/>
          </w:tcPr>
          <w:p w14:paraId="5F7C5E6D">
            <w:pPr>
              <w:snapToGrid w:val="0"/>
              <w:jc w:val="center"/>
              <w:rPr>
                <w:highlight w:val="none"/>
              </w:rPr>
            </w:pPr>
          </w:p>
        </w:tc>
        <w:tc>
          <w:tcPr>
            <w:tcW w:w="6682" w:type="dxa"/>
            <w:vAlign w:val="top"/>
          </w:tcPr>
          <w:p w14:paraId="0143D3EC">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浙财采监〔2022）3号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二条第</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rPr>
              <w:t>关于“进一步提高政府采购预付款比例”的规定</w:t>
            </w:r>
            <w:r>
              <w:rPr>
                <w:rFonts w:hint="eastAsia" w:ascii="宋体" w:hAnsi="宋体" w:eastAsia="宋体" w:cs="宋体"/>
                <w:color w:val="auto"/>
                <w:sz w:val="21"/>
                <w:szCs w:val="21"/>
                <w:highlight w:val="none"/>
                <w:lang w:eastAsia="zh-CN"/>
              </w:rPr>
              <w:t>：</w:t>
            </w:r>
          </w:p>
          <w:p w14:paraId="0EE38EC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1、采购单位</w:t>
            </w:r>
            <w:r>
              <w:rPr>
                <w:rFonts w:hint="eastAsia" w:ascii="宋体" w:hAnsi="宋体" w:eastAsia="宋体" w:cs="宋体"/>
                <w:color w:val="auto"/>
                <w:sz w:val="21"/>
                <w:szCs w:val="21"/>
                <w:highlight w:val="none"/>
                <w:lang w:eastAsia="zh-CN"/>
              </w:rPr>
              <w:t>应当在政府采购合同中约定预付款。</w:t>
            </w:r>
          </w:p>
          <w:p w14:paraId="5E0298C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项目涉及中小企业合同预付款的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合同签订后，采购人可以</w:t>
            </w:r>
            <w:r>
              <w:rPr>
                <w:rFonts w:hint="eastAsia" w:ascii="宋体" w:hAnsi="宋体" w:eastAsia="宋体" w:cs="宋体"/>
                <w:color w:val="auto"/>
                <w:sz w:val="21"/>
                <w:szCs w:val="21"/>
                <w:highlight w:val="none"/>
                <w:lang w:eastAsia="zh-CN"/>
              </w:rPr>
              <w:t>根据项目特点、供应商诚信等因素</w:t>
            </w:r>
            <w:r>
              <w:rPr>
                <w:rFonts w:hint="eastAsia" w:ascii="宋体" w:hAnsi="宋体" w:eastAsia="宋体" w:cs="宋体"/>
                <w:color w:val="auto"/>
                <w:sz w:val="21"/>
                <w:szCs w:val="21"/>
                <w:highlight w:val="none"/>
              </w:rPr>
              <w:t>要求中标人</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银行、保险公司等金融机构出具的预付款保函或其他担保措施，采购人</w:t>
            </w:r>
            <w:r>
              <w:rPr>
                <w:rFonts w:hint="eastAsia" w:ascii="宋体" w:hAnsi="宋体" w:eastAsia="宋体" w:cs="宋体"/>
                <w:color w:val="auto"/>
                <w:sz w:val="21"/>
                <w:szCs w:val="21"/>
                <w:highlight w:val="none"/>
                <w:lang w:eastAsia="zh-CN"/>
              </w:rPr>
              <w:t>在合同生效以及具备实施条件后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0%-70%的合同款作为预付款（项目为分年安排预算的，预付款按年度计划支付资金额的上述比例执行）；项目如以人工投入为主，采购人</w:t>
            </w:r>
            <w:r>
              <w:rPr>
                <w:rFonts w:hint="eastAsia" w:ascii="宋体" w:hAnsi="宋体" w:eastAsia="宋体" w:cs="宋体"/>
                <w:color w:val="auto"/>
                <w:sz w:val="21"/>
                <w:szCs w:val="21"/>
                <w:highlight w:val="none"/>
                <w:lang w:eastAsia="zh-CN"/>
              </w:rPr>
              <w:t>在合同生效以及具备实施条件后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向中标人支付20%-70%的合同款作为预付款。</w:t>
            </w:r>
          </w:p>
          <w:p w14:paraId="5167CA9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本项目涉及投标人为大型企业，或者以人工投入为主且实行按月定期结算支付款项的，预付款可低于上述比例或者不约定预付款</w:t>
            </w:r>
            <w:r>
              <w:rPr>
                <w:rFonts w:hint="eastAsia" w:ascii="宋体" w:hAnsi="宋体" w:eastAsia="宋体" w:cs="宋体"/>
                <w:color w:val="auto"/>
                <w:sz w:val="21"/>
                <w:szCs w:val="21"/>
                <w:highlight w:val="none"/>
                <w:lang w:eastAsia="zh-CN"/>
              </w:rPr>
              <w:t>（相应字样应在合同中体现）</w:t>
            </w:r>
            <w:r>
              <w:rPr>
                <w:rFonts w:hint="eastAsia" w:ascii="宋体" w:hAnsi="宋体" w:eastAsia="宋体" w:cs="宋体"/>
                <w:color w:val="auto"/>
                <w:sz w:val="21"/>
                <w:szCs w:val="21"/>
                <w:highlight w:val="none"/>
              </w:rPr>
              <w:t>。</w:t>
            </w:r>
          </w:p>
          <w:p w14:paraId="6513C9EF">
            <w:pP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在签订合同时，中标人明确表示无需预付款或者主动要求降低预付款比例的，</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提交相应申请函经采购人确认后，可不适用前述规定。</w:t>
            </w:r>
          </w:p>
        </w:tc>
      </w:tr>
      <w:tr w14:paraId="51D195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5948B5">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vAlign w:val="center"/>
          </w:tcPr>
          <w:p w14:paraId="3A11DC47">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金融支持</w:t>
            </w:r>
          </w:p>
        </w:tc>
        <w:tc>
          <w:tcPr>
            <w:tcW w:w="6682" w:type="dxa"/>
            <w:vAlign w:val="center"/>
          </w:tcPr>
          <w:p w14:paraId="32378B8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为支持和促进中小企业发展，进一步发挥政府采购政策功能，企业若有融资意向，</w:t>
            </w:r>
            <w:r>
              <w:rPr>
                <w:rFonts w:hint="eastAsia" w:ascii="宋体" w:hAnsi="宋体" w:cs="宋体"/>
                <w:color w:val="auto"/>
                <w:highlight w:val="none"/>
                <w:lang w:eastAsia="zh-CN"/>
              </w:rPr>
              <w:t>可登录</w:t>
            </w:r>
            <w:r>
              <w:rPr>
                <w:rFonts w:hint="eastAsia" w:ascii="宋体" w:hAnsi="宋体" w:eastAsia="宋体" w:cs="宋体"/>
                <w:color w:val="auto"/>
                <w:highlight w:val="none"/>
              </w:rPr>
              <w:t>政采云平台融资服务（https://jinrong.zcygov.cn/），查看相应融资政策文件及各相关银行服务方案。</w:t>
            </w:r>
          </w:p>
        </w:tc>
      </w:tr>
      <w:tr w14:paraId="3D819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62A4EDDA">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25</w:t>
            </w:r>
          </w:p>
        </w:tc>
        <w:tc>
          <w:tcPr>
            <w:tcW w:w="1800" w:type="dxa"/>
            <w:tcBorders>
              <w:bottom w:val="double" w:color="auto" w:sz="4" w:space="0"/>
            </w:tcBorders>
            <w:vAlign w:val="center"/>
          </w:tcPr>
          <w:p w14:paraId="436508EF">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82" w:type="dxa"/>
            <w:tcBorders>
              <w:bottom w:val="double" w:color="auto" w:sz="4" w:space="0"/>
            </w:tcBorders>
            <w:vAlign w:val="center"/>
          </w:tcPr>
          <w:p w14:paraId="057A4085">
            <w:pPr>
              <w:numPr>
                <w:ilvl w:val="0"/>
                <w:numId w:val="7"/>
              </w:num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本磋商文件要求提供的身份证复印件皆需提供正反面，否则按不提供处理。</w:t>
            </w:r>
          </w:p>
          <w:p w14:paraId="4E0871FF">
            <w:pPr>
              <w:numPr>
                <w:ilvl w:val="0"/>
                <w:numId w:val="7"/>
              </w:numPr>
              <w:ind w:firstLine="420" w:firstLineChars="200"/>
              <w:rPr>
                <w:rFonts w:hint="eastAsia" w:ascii="宋体" w:hAnsi="宋体" w:cs="宋体"/>
                <w:b w:val="0"/>
                <w:bCs w:val="0"/>
                <w:color w:val="auto"/>
                <w:highlight w:val="none"/>
              </w:rPr>
            </w:pPr>
            <w:r>
              <w:rPr>
                <w:rFonts w:hint="eastAsia" w:ascii="宋体" w:hAnsi="宋体" w:eastAsia="宋体" w:cs="宋体"/>
                <w:color w:val="auto"/>
                <w:highlight w:val="none"/>
                <w:lang w:val="en-US" w:eastAsia="zh-CN"/>
              </w:rPr>
              <w:t>本项目货物如涉及柴油动力移动源，柴油动力移动源应当符合低排放要求。</w:t>
            </w:r>
          </w:p>
        </w:tc>
      </w:tr>
    </w:tbl>
    <w:p w14:paraId="4B03D6E1">
      <w:pPr>
        <w:pStyle w:val="6"/>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09170558">
      <w:pPr>
        <w:pStyle w:val="3"/>
        <w:numPr>
          <w:ilvl w:val="0"/>
          <w:numId w:val="8"/>
        </w:numPr>
        <w:bidi w:val="0"/>
        <w:rPr>
          <w:rFonts w:hint="eastAsia"/>
          <w:highlight w:val="none"/>
        </w:rPr>
      </w:pPr>
      <w:bookmarkStart w:id="10" w:name="_Toc18864"/>
      <w:bookmarkStart w:id="11" w:name="_Toc25187"/>
      <w:r>
        <w:rPr>
          <w:rFonts w:hint="eastAsia"/>
          <w:highlight w:val="none"/>
        </w:rPr>
        <w:t>总则</w:t>
      </w:r>
      <w:bookmarkEnd w:id="10"/>
      <w:bookmarkEnd w:id="11"/>
    </w:p>
    <w:p w14:paraId="69DAC7B8">
      <w:pP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0F12BB8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2BADDE7B">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 xml:space="preserve"> 上虞区空气污染成因分析服务项目</w:t>
      </w:r>
      <w:r>
        <w:rPr>
          <w:rFonts w:hint="eastAsia" w:ascii="宋体" w:hAnsi="宋体" w:eastAsia="宋体" w:cs="宋体"/>
          <w:color w:val="auto"/>
          <w:sz w:val="24"/>
          <w:szCs w:val="24"/>
          <w:highlight w:val="none"/>
        </w:rPr>
        <w:t>。</w:t>
      </w:r>
    </w:p>
    <w:p w14:paraId="399E7ABE">
      <w:pPr>
        <w:pStyle w:val="22"/>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1.2本项目采购方式采用竞争性磋商方式。</w:t>
      </w:r>
    </w:p>
    <w:p w14:paraId="674DACAE">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3668D9A3">
      <w:pP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cs="宋体"/>
          <w:color w:val="auto"/>
          <w:sz w:val="24"/>
          <w:szCs w:val="24"/>
          <w:highlight w:val="none"/>
          <w:u w:val="single"/>
          <w:lang w:eastAsia="zh-CN"/>
        </w:rPr>
        <w:t>绍兴市生态环境局上虞分局</w:t>
      </w:r>
      <w:r>
        <w:rPr>
          <w:rFonts w:hint="eastAsia" w:ascii="宋体" w:hAnsi="宋体" w:eastAsia="宋体" w:cs="宋体"/>
          <w:color w:val="auto"/>
          <w:sz w:val="24"/>
          <w:szCs w:val="24"/>
          <w:highlight w:val="none"/>
        </w:rPr>
        <w:t>。采购人委托</w:t>
      </w:r>
      <w:r>
        <w:rPr>
          <w:rFonts w:hint="eastAsia" w:ascii="宋体" w:hAnsi="宋体" w:cs="宋体"/>
          <w:color w:val="auto"/>
          <w:sz w:val="24"/>
          <w:szCs w:val="24"/>
          <w:highlight w:val="none"/>
          <w:u w:val="single"/>
          <w:lang w:eastAsia="zh-CN"/>
        </w:rPr>
        <w:t>浙江中诚工程管理科技有限公司</w:t>
      </w:r>
      <w:r>
        <w:rPr>
          <w:rFonts w:hint="eastAsia" w:ascii="宋体" w:hAnsi="宋体" w:eastAsia="宋体" w:cs="宋体"/>
          <w:color w:val="auto"/>
          <w:sz w:val="24"/>
          <w:szCs w:val="24"/>
          <w:highlight w:val="none"/>
        </w:rPr>
        <w:t>为本项目采购代理机构。</w:t>
      </w:r>
    </w:p>
    <w:p w14:paraId="516595A7">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2.2“磋商供应商”系指响应本次采购，参加本次竞争性磋商的供应商。</w:t>
      </w:r>
    </w:p>
    <w:p w14:paraId="0A7B2CDE">
      <w:pPr>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35E44377">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val="0"/>
          <w:bCs w:val="0"/>
          <w:color w:val="auto"/>
          <w:sz w:val="24"/>
          <w:szCs w:val="24"/>
          <w:highlight w:val="none"/>
        </w:rPr>
        <w:tab/>
      </w:r>
      <w:r>
        <w:rPr>
          <w:rFonts w:hint="eastAsia" w:ascii="宋体" w:hAnsi="宋体" w:eastAsia="宋体" w:cs="宋体"/>
          <w:b/>
          <w:bCs/>
          <w:color w:val="auto"/>
          <w:sz w:val="24"/>
          <w:szCs w:val="24"/>
          <w:highlight w:val="none"/>
        </w:rPr>
        <w:tab/>
      </w:r>
    </w:p>
    <w:p w14:paraId="1BF5FE1B">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部分。</w:t>
      </w:r>
    </w:p>
    <w:p w14:paraId="6C58A7F5">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6944A68A">
      <w:pPr>
        <w:spacing w:line="336" w:lineRule="auto"/>
        <w:ind w:firstLine="480" w:firstLineChars="200"/>
        <w:rPr>
          <w:rFonts w:hint="eastAsia" w:ascii="宋体" w:hAnsi="宋体" w:eastAsia="宋体" w:cs="宋体"/>
          <w:color w:val="auto"/>
          <w:sz w:val="24"/>
          <w:szCs w:val="24"/>
          <w:highlight w:val="none"/>
        </w:rPr>
      </w:pPr>
      <w:bookmarkStart w:id="12" w:name="_Toc197657950"/>
      <w:bookmarkStart w:id="13" w:name="_Toc197163261"/>
      <w:bookmarkStart w:id="14" w:name="_Toc207946571"/>
      <w:bookmarkStart w:id="15" w:name="_Toc208913145"/>
      <w:bookmarkStart w:id="16" w:name="_Toc208287611"/>
      <w:bookmarkStart w:id="17" w:name="_Toc197156227"/>
      <w:bookmarkStart w:id="18" w:name="_Toc193538208"/>
      <w:bookmarkStart w:id="19" w:name="_Toc209435242"/>
      <w:bookmarkStart w:id="20" w:name="_Toc211412066"/>
      <w:bookmarkStart w:id="21" w:name="_Toc209504018"/>
      <w:bookmarkStart w:id="22" w:name="_Toc193523219"/>
      <w:bookmarkStart w:id="23" w:name="_Toc197053926"/>
      <w:bookmarkStart w:id="24" w:name="_Toc204683265"/>
      <w:bookmarkStart w:id="25" w:name="_Toc209520993"/>
      <w:r>
        <w:rPr>
          <w:rFonts w:hint="eastAsia" w:ascii="宋体" w:hAnsi="宋体" w:eastAsia="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15617C7">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1C8464CC">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77CCA21E">
      <w:pPr>
        <w:pStyle w:val="3"/>
        <w:numPr>
          <w:ilvl w:val="0"/>
          <w:numId w:val="8"/>
        </w:numPr>
        <w:bidi w:val="0"/>
        <w:rPr>
          <w:rFonts w:hint="eastAsia"/>
          <w:highlight w:val="none"/>
        </w:rPr>
      </w:pPr>
      <w:bookmarkStart w:id="26" w:name="_Toc32689"/>
      <w:bookmarkStart w:id="27" w:name="_Toc25923"/>
      <w:bookmarkStart w:id="28" w:name="_Toc11814"/>
      <w:bookmarkStart w:id="29" w:name="_Toc416992151"/>
      <w:bookmarkStart w:id="30" w:name="_Toc21952"/>
      <w:r>
        <w:rPr>
          <w:rFonts w:hint="eastAsia"/>
          <w:highlight w:val="none"/>
        </w:rPr>
        <w:t>竞争性磋商文件</w:t>
      </w:r>
      <w:bookmarkEnd w:id="26"/>
      <w:bookmarkEnd w:id="27"/>
      <w:bookmarkEnd w:id="28"/>
      <w:bookmarkEnd w:id="29"/>
      <w:bookmarkEnd w:id="30"/>
    </w:p>
    <w:p w14:paraId="7690584E">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7E1D57D7">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2DA56BDD">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1EE2F712">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11263849">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28683E8B">
      <w:pPr>
        <w:adjustRightInd w:val="0"/>
        <w:spacing w:line="336"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1FF73EDF">
      <w:pPr>
        <w:pStyle w:val="10"/>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664A5CB2">
      <w:pPr>
        <w:pStyle w:val="10"/>
        <w:spacing w:line="336" w:lineRule="auto"/>
        <w:ind w:right="-252" w:rightChars="-1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7.2磋商供应商要求解释或澄清的问题应以书面形式，并加盖公章、写明日期。</w:t>
      </w:r>
    </w:p>
    <w:p w14:paraId="66787371">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75231FF5">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19B9ABFE">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579FA4A8">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7.6竞争性磋商文件澄清、答复、修改、补充的内容为竞争性磋商文件的组成部分。</w:t>
      </w:r>
    </w:p>
    <w:p w14:paraId="6CDF8D01">
      <w:pPr>
        <w:pStyle w:val="6"/>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7.7磋商文件发售截止日后，经采购人同意后购买磋商文件的磋商供应商不得对磋商文件和补充文件提出答疑或质疑。</w:t>
      </w:r>
    </w:p>
    <w:p w14:paraId="6FB61998">
      <w:pPr>
        <w:pStyle w:val="3"/>
        <w:numPr>
          <w:ilvl w:val="0"/>
          <w:numId w:val="8"/>
        </w:numPr>
        <w:bidi w:val="0"/>
        <w:rPr>
          <w:rFonts w:hint="eastAsia"/>
          <w:highlight w:val="none"/>
        </w:rPr>
      </w:pPr>
      <w:bookmarkStart w:id="31" w:name="_Toc1202"/>
      <w:bookmarkStart w:id="32" w:name="_Toc14650"/>
      <w:bookmarkStart w:id="33" w:name="_Toc6273"/>
      <w:bookmarkStart w:id="34" w:name="_Toc8860"/>
      <w:bookmarkStart w:id="35" w:name="_Toc23975"/>
      <w:bookmarkStart w:id="36" w:name="_Toc11093"/>
      <w:bookmarkStart w:id="37" w:name="_Toc10810"/>
      <w:bookmarkStart w:id="38" w:name="_Toc11692"/>
      <w:bookmarkStart w:id="39" w:name="_Toc1828"/>
      <w:bookmarkStart w:id="40" w:name="_Toc1729"/>
      <w:bookmarkStart w:id="41" w:name="_Toc24622"/>
      <w:bookmarkStart w:id="42" w:name="_Toc26027"/>
      <w:bookmarkStart w:id="43" w:name="_Toc11669"/>
      <w:bookmarkStart w:id="44" w:name="_Toc6457"/>
      <w:bookmarkStart w:id="45" w:name="_Toc6079"/>
      <w:bookmarkStart w:id="46" w:name="_Toc31016"/>
      <w:bookmarkStart w:id="47" w:name="_Toc18702"/>
      <w:bookmarkStart w:id="48" w:name="_Toc23135"/>
      <w:bookmarkStart w:id="49" w:name="_Toc7126"/>
      <w:bookmarkStart w:id="50" w:name="_Toc31748"/>
      <w:bookmarkStart w:id="51" w:name="_Toc391298957"/>
      <w:bookmarkStart w:id="52" w:name="_Toc26603"/>
      <w:bookmarkStart w:id="53" w:name="_Toc10669"/>
      <w:bookmarkStart w:id="54" w:name="_Toc11515"/>
      <w:r>
        <w:rPr>
          <w:rFonts w:hint="eastAsia"/>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ACDC61F">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8、要求</w:t>
      </w:r>
    </w:p>
    <w:p w14:paraId="12400142">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742F6829">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6E07847F">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val="0"/>
          <w:bCs w:val="0"/>
          <w:color w:val="auto"/>
          <w:sz w:val="24"/>
          <w:szCs w:val="24"/>
          <w:highlight w:val="none"/>
        </w:rPr>
        <w:t>如果供应商在规定时间30分钟内未提交第二次报价，视该供应商放弃本次投标，作无效标处理。</w:t>
      </w:r>
    </w:p>
    <w:p w14:paraId="0D9751B1">
      <w:pPr>
        <w:pStyle w:val="34"/>
        <w:keepNext w:val="0"/>
        <w:keepLines w:val="0"/>
        <w:pageBreakBefore w:val="0"/>
        <w:widowControl w:val="0"/>
        <w:tabs>
          <w:tab w:val="left" w:pos="0"/>
        </w:tabs>
        <w:kinsoku/>
        <w:wordWrap/>
        <w:overflowPunct/>
        <w:topLinePunct w:val="0"/>
        <w:autoSpaceDE/>
        <w:autoSpaceDN/>
        <w:bidi w:val="0"/>
        <w:adjustRightInd w:val="0"/>
        <w:snapToGrid/>
        <w:spacing w:before="0" w:line="336"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none"/>
        </w:rPr>
        <w:t>8.2.2</w:t>
      </w:r>
      <w:r>
        <w:rPr>
          <w:rFonts w:hint="eastAsia" w:ascii="宋体" w:hAnsi="宋体" w:eastAsia="宋体" w:cs="宋体"/>
          <w:color w:val="auto"/>
          <w:highlight w:val="none"/>
          <w:u w:val="single"/>
        </w:rPr>
        <w:t>投标报价应包含项目所需全部服务，不得缺漏，</w:t>
      </w:r>
      <w:r>
        <w:rPr>
          <w:rFonts w:hint="eastAsia" w:ascii="宋体" w:hAnsi="宋体" w:cs="宋体"/>
          <w:highlight w:val="none"/>
          <w:u w:val="single"/>
        </w:rPr>
        <w:t>是履行合同的最终价格（服务费、交通费、检测费、报告费、人工费、税金、招标代理费以及成交供应商认为有必要计入</w:t>
      </w:r>
      <w:r>
        <w:rPr>
          <w:rFonts w:hint="eastAsia" w:ascii="宋体" w:hAnsi="宋体" w:cs="宋体"/>
          <w:highlight w:val="none"/>
          <w:u w:val="single"/>
          <w:lang w:eastAsia="zh-CN"/>
        </w:rPr>
        <w:t>的其他费用</w:t>
      </w:r>
      <w:r>
        <w:rPr>
          <w:rFonts w:hint="eastAsia" w:ascii="宋体" w:hAnsi="宋体" w:cs="宋体"/>
          <w:highlight w:val="none"/>
          <w:u w:val="single"/>
        </w:rPr>
        <w:t>等一切费用）</w:t>
      </w:r>
      <w:r>
        <w:rPr>
          <w:rFonts w:hint="eastAsia" w:ascii="宋体" w:hAnsi="宋体" w:cs="宋体"/>
          <w:highlight w:val="none"/>
          <w:u w:val="none"/>
        </w:rPr>
        <w:t>。</w:t>
      </w:r>
      <w:r>
        <w:rPr>
          <w:rFonts w:hint="eastAsia" w:ascii="宋体" w:hAnsi="宋体" w:eastAsia="宋体" w:cs="宋体"/>
          <w:color w:val="auto"/>
          <w:highlight w:val="none"/>
        </w:rPr>
        <w:t>投标报价为供应商所能承受的最低、最终报价，供应商不得再要求追加任何费用。</w:t>
      </w:r>
    </w:p>
    <w:p w14:paraId="4E143348">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717BD489">
      <w:pPr>
        <w:spacing w:line="336" w:lineRule="auto"/>
        <w:ind w:firstLine="480" w:firstLineChars="200"/>
        <w:rPr>
          <w:rFonts w:hint="eastAsia" w:ascii="宋体" w:hAnsi="宋体" w:eastAsia="宋体" w:cs="宋体"/>
          <w:b w:val="0"/>
          <w:bCs w:val="0"/>
          <w:color w:val="auto"/>
          <w:highlight w:val="none"/>
        </w:rPr>
      </w:pPr>
      <w:r>
        <w:rPr>
          <w:rFonts w:hint="eastAsia" w:ascii="宋体" w:hAnsi="宋体" w:eastAsia="宋体" w:cs="宋体"/>
          <w:color w:val="auto"/>
          <w:sz w:val="24"/>
          <w:szCs w:val="24"/>
          <w:highlight w:val="none"/>
        </w:rPr>
        <w:t>8.2.3供应商的报价作为供应商计算单价或总价的依据，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完成技术文件中的所有要求，不得以任何理由予以重复，供应商对报价若有说明应在报价一</w:t>
      </w:r>
      <w:r>
        <w:rPr>
          <w:rFonts w:hint="eastAsia" w:ascii="宋体" w:hAnsi="宋体" w:eastAsia="宋体" w:cs="宋体"/>
          <w:b w:val="0"/>
          <w:bCs w:val="0"/>
          <w:color w:val="auto"/>
          <w:sz w:val="24"/>
          <w:szCs w:val="24"/>
          <w:highlight w:val="none"/>
        </w:rPr>
        <w:t>览表备注处注明。任何有选择的报价方案及价格将不予接受。</w:t>
      </w:r>
    </w:p>
    <w:p w14:paraId="24D49628">
      <w:pPr>
        <w:pStyle w:val="11"/>
        <w:spacing w:line="336"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供应商应根据采购文件的要求提供相应的内容且设置关联定位，供应商可查看《供应商-政府采购项目电子交易操作指南》进行操作：https://help.zcygov.cn/web/site_2/2018/12-28/2573.html</w:t>
      </w:r>
      <w:r>
        <w:rPr>
          <w:rFonts w:hint="eastAsia" w:ascii="宋体" w:hAnsi="宋体" w:eastAsia="宋体" w:cs="宋体"/>
          <w:b/>
          <w:bCs/>
          <w:color w:val="auto"/>
          <w:sz w:val="24"/>
          <w:szCs w:val="24"/>
          <w:highlight w:val="none"/>
          <w:u w:val="none"/>
        </w:rPr>
        <w:t>）</w:t>
      </w:r>
    </w:p>
    <w:p w14:paraId="62116FFA">
      <w:pPr>
        <w:pStyle w:val="34"/>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1FD3C6DD">
      <w:pPr>
        <w:pStyle w:val="34"/>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321A364A">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67436784">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营业执照(或事业法人登记证或其他工商等登记证明材料)复印件、税务登记证(</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缴纳证明材料)复印件、社保登记证（</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缴纳证明材料）复印件；实施“五证合一、一照一码”登记制度改革的，只需提供改革后取得的营业执照复印件；事业单位的，则提供有效的《事业单位法人证书》副本复印件并加盖单位公章；</w:t>
      </w:r>
    </w:p>
    <w:p w14:paraId="0A6B244A">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D39ECEF">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65FCA060">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投标人承诺函</w:t>
      </w:r>
      <w:r>
        <w:rPr>
          <w:rFonts w:hint="eastAsia" w:ascii="宋体" w:hAnsi="宋体" w:cs="宋体"/>
          <w:color w:val="auto"/>
          <w:highlight w:val="none"/>
          <w:lang w:eastAsia="zh-CN"/>
        </w:rPr>
        <w:t>；</w:t>
      </w:r>
    </w:p>
    <w:p w14:paraId="38D4FC54">
      <w:pPr>
        <w:pStyle w:val="34"/>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7D6D9EB1">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p>
    <w:p w14:paraId="5957D3C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398E7583">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7FEB860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技术响应及建议表（格式见附件）；</w:t>
      </w:r>
    </w:p>
    <w:p w14:paraId="3DD8D12B">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商务响应表（格式见附件）；</w:t>
      </w:r>
    </w:p>
    <w:p w14:paraId="7028404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佐证材料汇总表（格式见附件）</w:t>
      </w:r>
    </w:p>
    <w:p w14:paraId="6AB8B4C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重要性技术参数（根据评分细则提供）；</w:t>
      </w:r>
    </w:p>
    <w:p w14:paraId="7245D2B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一般性技术参数（根据评分细则提供）；</w:t>
      </w:r>
    </w:p>
    <w:p w14:paraId="248AC79A">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项目现状分析</w:t>
      </w:r>
      <w:r>
        <w:rPr>
          <w:rFonts w:hint="eastAsia" w:ascii="宋体" w:hAnsi="宋体" w:eastAsia="宋体" w:cs="宋体"/>
          <w:color w:val="auto"/>
          <w:highlight w:val="none"/>
          <w:lang w:val="en-US" w:eastAsia="zh-CN"/>
        </w:rPr>
        <w:t>；</w:t>
      </w:r>
    </w:p>
    <w:p w14:paraId="048487FD">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实施方案</w:t>
      </w:r>
      <w:r>
        <w:rPr>
          <w:rFonts w:hint="eastAsia" w:ascii="宋体" w:hAnsi="宋体" w:eastAsia="宋体" w:cs="宋体"/>
          <w:color w:val="auto"/>
          <w:highlight w:val="none"/>
          <w:lang w:val="en-US" w:eastAsia="zh-CN"/>
        </w:rPr>
        <w:t>；</w:t>
      </w:r>
    </w:p>
    <w:p w14:paraId="496BA606">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进度计划</w:t>
      </w:r>
      <w:r>
        <w:rPr>
          <w:rFonts w:hint="eastAsia" w:ascii="宋体" w:hAnsi="宋体" w:eastAsia="宋体" w:cs="宋体"/>
          <w:color w:val="auto"/>
          <w:highlight w:val="none"/>
          <w:lang w:val="en-US" w:eastAsia="zh-CN"/>
        </w:rPr>
        <w:t>；</w:t>
      </w:r>
    </w:p>
    <w:p w14:paraId="0F55AFE0">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质量保证</w:t>
      </w:r>
      <w:r>
        <w:rPr>
          <w:rFonts w:hint="eastAsia" w:ascii="宋体" w:hAnsi="宋体" w:eastAsia="宋体" w:cs="宋体"/>
          <w:color w:val="auto"/>
          <w:highlight w:val="none"/>
          <w:lang w:val="en-US" w:eastAsia="zh-CN"/>
        </w:rPr>
        <w:t>；</w:t>
      </w:r>
    </w:p>
    <w:p w14:paraId="513CF4FA">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保密方案</w:t>
      </w:r>
      <w:r>
        <w:rPr>
          <w:rFonts w:hint="eastAsia" w:ascii="宋体" w:hAnsi="宋体" w:eastAsia="宋体" w:cs="宋体"/>
          <w:color w:val="auto"/>
          <w:highlight w:val="none"/>
          <w:lang w:val="en-US" w:eastAsia="zh-CN"/>
        </w:rPr>
        <w:t>；</w:t>
      </w:r>
    </w:p>
    <w:p w14:paraId="7C937D17">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保障措施</w:t>
      </w:r>
      <w:r>
        <w:rPr>
          <w:rFonts w:hint="eastAsia" w:ascii="宋体" w:hAnsi="宋体" w:eastAsia="宋体" w:cs="宋体"/>
          <w:color w:val="auto"/>
          <w:highlight w:val="none"/>
          <w:lang w:val="en-US" w:eastAsia="zh-CN"/>
        </w:rPr>
        <w:t>；</w:t>
      </w:r>
    </w:p>
    <w:p w14:paraId="08AFF60F">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项目实施人员</w:t>
      </w:r>
      <w:r>
        <w:rPr>
          <w:rFonts w:hint="eastAsia" w:ascii="宋体" w:hAnsi="宋体" w:eastAsia="宋体" w:cs="宋体"/>
          <w:color w:val="auto"/>
          <w:highlight w:val="none"/>
          <w:lang w:val="en-US" w:eastAsia="zh-CN"/>
        </w:rPr>
        <w:t>；</w:t>
      </w:r>
    </w:p>
    <w:p w14:paraId="29DDB96D">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成果初步设计；</w:t>
      </w:r>
    </w:p>
    <w:p w14:paraId="5F41491D">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合理化建议</w:t>
      </w:r>
      <w:r>
        <w:rPr>
          <w:rFonts w:hint="eastAsia" w:ascii="宋体" w:hAnsi="宋体" w:eastAsia="宋体" w:cs="宋体"/>
          <w:color w:val="auto"/>
          <w:highlight w:val="none"/>
          <w:lang w:val="en-US" w:eastAsia="zh-CN"/>
        </w:rPr>
        <w:t>；</w:t>
      </w:r>
    </w:p>
    <w:p w14:paraId="4D962C5D">
      <w:pPr>
        <w:pStyle w:val="34"/>
        <w:numPr>
          <w:ilvl w:val="0"/>
          <w:numId w:val="11"/>
        </w:numPr>
        <w:spacing w:before="0" w:line="336" w:lineRule="auto"/>
        <w:ind w:left="150" w:leftChars="0" w:firstLine="48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类似业绩；</w:t>
      </w:r>
    </w:p>
    <w:p w14:paraId="5B58F3D5">
      <w:pPr>
        <w:pStyle w:val="34"/>
        <w:numPr>
          <w:ilvl w:val="0"/>
          <w:numId w:val="11"/>
        </w:numPr>
        <w:spacing w:before="0" w:line="336" w:lineRule="auto"/>
        <w:ind w:left="150" w:leftChars="0" w:firstLine="48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供应商荣誉；</w:t>
      </w:r>
    </w:p>
    <w:p w14:paraId="0A095B33">
      <w:pPr>
        <w:pStyle w:val="34"/>
        <w:numPr>
          <w:ilvl w:val="0"/>
          <w:numId w:val="11"/>
        </w:numPr>
        <w:spacing w:before="0" w:line="336" w:lineRule="auto"/>
        <w:ind w:left="150" w:leftChars="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供应商认为需要的其他文件资料。</w:t>
      </w:r>
    </w:p>
    <w:p w14:paraId="227E48E9">
      <w:pPr>
        <w:pStyle w:val="34"/>
        <w:numPr>
          <w:ilvl w:val="0"/>
          <w:numId w:val="0"/>
        </w:numPr>
        <w:spacing w:before="0" w:line="336" w:lineRule="auto"/>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1A148A09">
      <w:pPr>
        <w:pStyle w:val="34"/>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5A095FB9">
      <w:pPr>
        <w:pStyle w:val="34"/>
        <w:tabs>
          <w:tab w:val="left" w:pos="0"/>
        </w:tabs>
        <w:spacing w:before="0" w:line="336" w:lineRule="auto"/>
        <w:ind w:firstLine="480"/>
        <w:rPr>
          <w:rFonts w:hint="eastAsia" w:ascii="宋体" w:hAnsi="宋体" w:eastAsia="宋体" w:cs="宋体"/>
          <w:b w:val="0"/>
          <w:bCs w:val="0"/>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val="0"/>
          <w:bCs w:val="0"/>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40B0757">
      <w:pPr>
        <w:pStyle w:val="34"/>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61049C36">
      <w:pPr>
        <w:pStyle w:val="34"/>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06A3D3EE">
      <w:pPr>
        <w:pStyle w:val="34"/>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22ED0378">
      <w:pPr>
        <w:pStyle w:val="34"/>
        <w:numPr>
          <w:ilvl w:val="0"/>
          <w:numId w:val="12"/>
        </w:numPr>
        <w:spacing w:before="0"/>
        <w:ind w:firstLine="480"/>
        <w:rPr>
          <w:rFonts w:ascii="宋体" w:hAnsi="宋体" w:cs="宋体"/>
          <w:color w:val="auto"/>
          <w:highlight w:val="none"/>
        </w:rPr>
      </w:pPr>
      <w:r>
        <w:rPr>
          <w:rFonts w:hint="eastAsia" w:ascii="宋体" w:hAnsi="宋体" w:eastAsia="宋体" w:cs="宋体"/>
          <w:color w:val="auto"/>
          <w:highlight w:val="none"/>
        </w:rPr>
        <w:t>磋商报价明细表（格式见附件）</w:t>
      </w:r>
      <w:r>
        <w:rPr>
          <w:rFonts w:hint="eastAsia" w:ascii="宋体" w:hAnsi="宋体" w:eastAsia="宋体" w:cs="宋体"/>
          <w:color w:val="auto"/>
          <w:highlight w:val="none"/>
          <w:lang w:eastAsia="zh-CN"/>
        </w:rPr>
        <w:t>。</w:t>
      </w:r>
    </w:p>
    <w:p w14:paraId="57D740AE">
      <w:pPr>
        <w:pStyle w:val="34"/>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中小企业声明函</w:t>
      </w:r>
      <w:r>
        <w:rPr>
          <w:rFonts w:hint="eastAsia" w:ascii="宋体" w:hAnsi="宋体" w:cs="宋体"/>
          <w:color w:val="auto"/>
          <w:highlight w:val="none"/>
          <w:lang w:val="en-US" w:eastAsia="zh-CN"/>
        </w:rPr>
        <w:t>(如有)</w:t>
      </w:r>
      <w:r>
        <w:rPr>
          <w:rFonts w:hint="eastAsia" w:ascii="宋体" w:hAnsi="宋体" w:cs="宋体"/>
          <w:color w:val="auto"/>
          <w:highlight w:val="none"/>
        </w:rPr>
        <w:t>（格式见附件）；</w:t>
      </w:r>
    </w:p>
    <w:p w14:paraId="20AC89B9">
      <w:pPr>
        <w:pStyle w:val="34"/>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残疾人福利性单位声明函(如有)（格式见附件）；</w:t>
      </w:r>
    </w:p>
    <w:p w14:paraId="47FD1025">
      <w:pPr>
        <w:pStyle w:val="34"/>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rPr>
        <w:t>监狱企业证明文件(如有)（格式见附件）</w:t>
      </w:r>
    </w:p>
    <w:p w14:paraId="7C44465F">
      <w:pPr>
        <w:pStyle w:val="34"/>
        <w:spacing w:before="0" w:line="336"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注：“资格文件”、“商务技术文件”、“报价文件”须分3个PDF格式分别导入。</w:t>
      </w:r>
    </w:p>
    <w:p w14:paraId="3D9A7A55">
      <w:pPr>
        <w:pStyle w:val="34"/>
        <w:spacing w:before="0" w:line="336" w:lineRule="auto"/>
        <w:ind w:left="420" w:leftChars="20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21B64125">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12AFDF3D">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328734CF">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0B7EBE0A">
      <w:pPr>
        <w:pStyle w:val="34"/>
        <w:spacing w:before="0" w:line="336" w:lineRule="auto"/>
        <w:ind w:left="420" w:leftChars="20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0DA53DE9">
      <w:pPr>
        <w:pStyle w:val="34"/>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135F0E99">
      <w:pPr>
        <w:pStyle w:val="34"/>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5D4DC551">
      <w:pPr>
        <w:pStyle w:val="34"/>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04FE5D58">
      <w:pPr>
        <w:pStyle w:val="34"/>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1112084B">
      <w:pPr>
        <w:pStyle w:val="34"/>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11.5供应商采取提供虚假资料等不正当手段的；</w:t>
      </w:r>
    </w:p>
    <w:p w14:paraId="291393C1">
      <w:pPr>
        <w:pStyle w:val="34"/>
        <w:spacing w:before="0" w:line="336"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11.6供应商在投标过程中串通投标的。</w:t>
      </w:r>
    </w:p>
    <w:p w14:paraId="0721FE82">
      <w:pPr>
        <w:pStyle w:val="34"/>
        <w:spacing w:before="0" w:line="336"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09B6BDB3">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532926BB">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eastAsia="宋体" w:cs="宋体"/>
          <w:color w:val="auto"/>
          <w:highlight w:val="none"/>
        </w:rPr>
        <w:t>加盖公章部分均应采用电子签章）</w:t>
      </w:r>
    </w:p>
    <w:p w14:paraId="4E949037">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10C674D5">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4D531BDC">
      <w:pPr>
        <w:pStyle w:val="34"/>
        <w:spacing w:before="0" w:line="336"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1E57701F">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响应文件为电子磋商响应文件，电子磋商响应文件按“政采云供应商项目采购-电子招投标操作指南”及本磋商文件要求制作、加密传输。</w:t>
      </w:r>
    </w:p>
    <w:p w14:paraId="4BC67913">
      <w:pPr>
        <w:pStyle w:val="3"/>
        <w:numPr>
          <w:ilvl w:val="0"/>
          <w:numId w:val="8"/>
        </w:numPr>
        <w:bidi w:val="0"/>
        <w:rPr>
          <w:rFonts w:hint="eastAsia"/>
          <w:highlight w:val="none"/>
        </w:rPr>
      </w:pPr>
      <w:bookmarkStart w:id="55" w:name="_Toc1420"/>
      <w:bookmarkStart w:id="56" w:name="_Toc21266"/>
      <w:bookmarkStart w:id="57" w:name="_Toc4883"/>
      <w:r>
        <w:rPr>
          <w:rFonts w:hint="eastAsia"/>
          <w:highlight w:val="none"/>
        </w:rPr>
        <w:t>响应文件的递交</w:t>
      </w:r>
      <w:bookmarkEnd w:id="55"/>
      <w:bookmarkEnd w:id="56"/>
      <w:bookmarkEnd w:id="57"/>
    </w:p>
    <w:p w14:paraId="6C22C059">
      <w:pPr>
        <w:pStyle w:val="11"/>
        <w:spacing w:line="336"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37D41B9C">
      <w:pPr>
        <w:pStyle w:val="34"/>
        <w:numPr>
          <w:ilvl w:val="0"/>
          <w:numId w:val="13"/>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5B3793E2">
      <w:pPr>
        <w:pStyle w:val="34"/>
        <w:numPr>
          <w:ilvl w:val="0"/>
          <w:numId w:val="13"/>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5AA020D4">
      <w:pPr>
        <w:pStyle w:val="11"/>
        <w:spacing w:line="336"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42685255">
      <w:pPr>
        <w:pStyle w:val="11"/>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6FC5CB3F">
      <w:pPr>
        <w:pStyle w:val="3"/>
        <w:numPr>
          <w:ilvl w:val="0"/>
          <w:numId w:val="8"/>
        </w:numPr>
        <w:bidi w:val="0"/>
        <w:rPr>
          <w:rFonts w:hint="eastAsia"/>
          <w:highlight w:val="none"/>
        </w:rPr>
      </w:pPr>
      <w:bookmarkStart w:id="58" w:name="_Toc24120"/>
      <w:bookmarkStart w:id="59" w:name="_Toc26652"/>
      <w:r>
        <w:rPr>
          <w:rFonts w:hint="eastAsia"/>
          <w:highlight w:val="none"/>
        </w:rPr>
        <w:t>磋商无效的情形</w:t>
      </w:r>
      <w:bookmarkEnd w:id="58"/>
      <w:bookmarkEnd w:id="59"/>
    </w:p>
    <w:p w14:paraId="39024F01">
      <w:pPr>
        <w:pStyle w:val="11"/>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6C3E3DD7">
      <w:pPr>
        <w:pStyle w:val="11"/>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42A0002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106CE99F">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16.2《法定代表人授权书》填写不全、错误、未加盖供应商公章（公章和签字或盖章缺一不可）；</w:t>
      </w:r>
    </w:p>
    <w:p w14:paraId="513B70BE">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6ACEB4F3">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634329A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316C187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16.6因未按规定的格式填写，内容不全或主要实质性内容字迹模糊辨认不清,经评标委员会认定为无法评审的；</w:t>
      </w:r>
    </w:p>
    <w:p w14:paraId="45F40928">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7A7ECD1A">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7F0BD9BD">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3FD47E5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4775F497">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5BB61D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4584BEE4">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624A155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1CE0A5AA">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373C1F7C">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03231553">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36B198ED">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57BAF1BF">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111BEAC7">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52F93264">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4CA2F069">
      <w:pPr>
        <w:tabs>
          <w:tab w:val="left" w:pos="3870"/>
          <w:tab w:val="left" w:pos="4085"/>
        </w:tabs>
        <w:snapToGrid w:val="0"/>
        <w:spacing w:line="336"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w:t>
      </w:r>
      <w:r>
        <w:rPr>
          <w:rFonts w:hint="eastAsia" w:ascii="宋体" w:hAnsi="宋体" w:cs="宋体"/>
          <w:b/>
          <w:bCs/>
          <w:color w:val="auto"/>
          <w:sz w:val="24"/>
          <w:szCs w:val="24"/>
          <w:highlight w:val="none"/>
          <w:lang w:eastAsia="zh-CN"/>
        </w:rPr>
        <w:t>法律法规</w:t>
      </w:r>
      <w:r>
        <w:rPr>
          <w:rFonts w:hint="eastAsia" w:ascii="宋体" w:hAnsi="宋体" w:eastAsia="宋体" w:cs="宋体"/>
          <w:b/>
          <w:bCs/>
          <w:color w:val="auto"/>
          <w:sz w:val="24"/>
          <w:szCs w:val="24"/>
          <w:highlight w:val="none"/>
        </w:rPr>
        <w:t>的情形。</w:t>
      </w:r>
    </w:p>
    <w:p w14:paraId="590AA9E1">
      <w:pPr>
        <w:pStyle w:val="3"/>
        <w:numPr>
          <w:ilvl w:val="0"/>
          <w:numId w:val="8"/>
        </w:numPr>
        <w:bidi w:val="0"/>
        <w:rPr>
          <w:rFonts w:hint="eastAsia"/>
          <w:highlight w:val="none"/>
        </w:rPr>
      </w:pPr>
      <w:bookmarkStart w:id="60" w:name="_Toc21752"/>
      <w:bookmarkStart w:id="61" w:name="_Toc13076"/>
      <w:r>
        <w:rPr>
          <w:rFonts w:hint="eastAsia"/>
          <w:highlight w:val="none"/>
        </w:rPr>
        <w:t>采购中止的情形</w:t>
      </w:r>
      <w:bookmarkEnd w:id="60"/>
      <w:bookmarkEnd w:id="61"/>
    </w:p>
    <w:p w14:paraId="30AEE451">
      <w:pPr>
        <w:pStyle w:val="11"/>
        <w:spacing w:line="336"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536A73D8">
      <w:pPr>
        <w:pStyle w:val="34"/>
        <w:keepNext w:val="0"/>
        <w:keepLines w:val="0"/>
        <w:pageBreakBefore w:val="0"/>
        <w:widowControl w:val="0"/>
        <w:tabs>
          <w:tab w:val="left" w:pos="0"/>
        </w:tabs>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005E86B9">
      <w:pPr>
        <w:numPr>
          <w:ilvl w:val="0"/>
          <w:numId w:val="14"/>
        </w:numPr>
        <w:tabs>
          <w:tab w:val="left" w:pos="0"/>
        </w:tabs>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电子交易平台发生故障而无法登录访问的；</w:t>
      </w:r>
    </w:p>
    <w:p w14:paraId="05DED28B">
      <w:pPr>
        <w:numPr>
          <w:ilvl w:val="0"/>
          <w:numId w:val="14"/>
        </w:numPr>
        <w:tabs>
          <w:tab w:val="left" w:pos="0"/>
        </w:tabs>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47C0873D">
      <w:pPr>
        <w:numPr>
          <w:ilvl w:val="0"/>
          <w:numId w:val="14"/>
        </w:numPr>
        <w:tabs>
          <w:tab w:val="left" w:pos="0"/>
        </w:tabs>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33025DE8">
      <w:pPr>
        <w:numPr>
          <w:ilvl w:val="0"/>
          <w:numId w:val="14"/>
        </w:numPr>
        <w:tabs>
          <w:tab w:val="left" w:pos="0"/>
        </w:tabs>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病毒发作导致不能进行正常操作的；</w:t>
      </w:r>
    </w:p>
    <w:p w14:paraId="344F04AC">
      <w:pPr>
        <w:numPr>
          <w:ilvl w:val="0"/>
          <w:numId w:val="14"/>
        </w:numPr>
        <w:tabs>
          <w:tab w:val="left" w:pos="0"/>
        </w:tabs>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140E1B0E">
      <w:pPr>
        <w:pStyle w:val="34"/>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5032413">
      <w:pPr>
        <w:pStyle w:val="3"/>
        <w:numPr>
          <w:ilvl w:val="0"/>
          <w:numId w:val="8"/>
        </w:numPr>
        <w:bidi w:val="0"/>
        <w:rPr>
          <w:rFonts w:hint="eastAsia"/>
          <w:highlight w:val="none"/>
        </w:rPr>
      </w:pPr>
      <w:bookmarkStart w:id="62" w:name="_Toc14029"/>
      <w:bookmarkStart w:id="63" w:name="_Toc7332"/>
      <w:r>
        <w:rPr>
          <w:rFonts w:hint="eastAsia"/>
          <w:highlight w:val="none"/>
        </w:rPr>
        <w:t>确定成交供应商与签订合同</w:t>
      </w:r>
      <w:bookmarkEnd w:id="62"/>
      <w:bookmarkEnd w:id="63"/>
    </w:p>
    <w:p w14:paraId="1C529C68">
      <w:pP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352566F8">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3F59A3C0">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5DB2BF19">
      <w:pP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16CB6212">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CC307C">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41950A8D">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39BC9350">
      <w:pPr>
        <w:pStyle w:val="34"/>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381C170F">
      <w:pPr>
        <w:pStyle w:val="34"/>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021EA813">
      <w:pPr>
        <w:adjustRightInd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344B7C2E">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绍兴市生态环境局上虞分局</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u w:val="single"/>
          <w:lang w:eastAsia="zh-CN"/>
        </w:rPr>
        <w:t>浙江中诚工程管理科技有限公司</w:t>
      </w:r>
      <w:r>
        <w:rPr>
          <w:rFonts w:hint="eastAsia" w:ascii="宋体" w:hAnsi="宋体" w:eastAsia="宋体" w:cs="宋体"/>
          <w:color w:val="auto"/>
          <w:sz w:val="24"/>
          <w:szCs w:val="24"/>
          <w:highlight w:val="none"/>
        </w:rPr>
        <w:t>。</w:t>
      </w:r>
    </w:p>
    <w:p w14:paraId="29664DBC">
      <w:pPr>
        <w:pStyle w:val="10"/>
        <w:rPr>
          <w:rFonts w:hint="eastAsia" w:ascii="宋体" w:hAnsi="宋体" w:eastAsia="宋体" w:cs="宋体"/>
          <w:color w:val="auto"/>
          <w:highlight w:val="none"/>
        </w:rPr>
      </w:pPr>
    </w:p>
    <w:p w14:paraId="10F58CBB">
      <w:pPr>
        <w:pStyle w:val="2"/>
        <w:bidi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4" w:name="_Toc21248"/>
      <w:bookmarkStart w:id="65" w:name="_Toc18043"/>
      <w:r>
        <w:rPr>
          <w:rFonts w:hint="eastAsia" w:ascii="宋体" w:hAnsi="宋体" w:eastAsia="宋体" w:cs="宋体"/>
          <w:color w:val="auto"/>
          <w:sz w:val="36"/>
          <w:szCs w:val="36"/>
          <w:highlight w:val="none"/>
        </w:rPr>
        <w:t>第三部分 采购内容及要求</w:t>
      </w:r>
      <w:bookmarkEnd w:id="64"/>
      <w:bookmarkEnd w:id="65"/>
    </w:p>
    <w:p w14:paraId="2B1B3DD2">
      <w:pPr>
        <w:pStyle w:val="3"/>
        <w:keepLines w:val="0"/>
        <w:pageBreakBefore w:val="0"/>
        <w:widowControl w:val="0"/>
        <w:kinsoku/>
        <w:wordWrap/>
        <w:overflowPunct/>
        <w:topLinePunct w:val="0"/>
        <w:bidi w:val="0"/>
        <w:snapToGrid/>
        <w:spacing w:line="336" w:lineRule="auto"/>
        <w:jc w:val="center"/>
        <w:textAlignment w:val="auto"/>
        <w:rPr>
          <w:rFonts w:hint="eastAsia" w:ascii="宋体" w:hAnsi="宋体" w:eastAsia="宋体" w:cs="宋体"/>
          <w:color w:val="auto"/>
          <w:highlight w:val="none"/>
        </w:rPr>
      </w:pPr>
      <w:bookmarkStart w:id="66" w:name="_Toc915"/>
      <w:bookmarkStart w:id="67" w:name="_Toc25073"/>
      <w:bookmarkStart w:id="68" w:name="_Toc15284"/>
      <w:r>
        <w:rPr>
          <w:rFonts w:hint="eastAsia" w:ascii="宋体" w:hAnsi="宋体" w:eastAsia="宋体" w:cs="宋体"/>
          <w:color w:val="auto"/>
          <w:highlight w:val="none"/>
        </w:rPr>
        <w:t xml:space="preserve">第一章 </w:t>
      </w:r>
      <w:bookmarkStart w:id="69" w:name="_Toc506107120"/>
      <w:r>
        <w:rPr>
          <w:rFonts w:hint="eastAsia" w:ascii="宋体" w:hAnsi="宋体" w:eastAsia="宋体" w:cs="宋体"/>
          <w:color w:val="auto"/>
          <w:highlight w:val="none"/>
        </w:rPr>
        <w:t>采购内容及要求</w:t>
      </w:r>
      <w:bookmarkEnd w:id="66"/>
      <w:bookmarkEnd w:id="67"/>
      <w:bookmarkEnd w:id="69"/>
    </w:p>
    <w:p w14:paraId="73784A52">
      <w:pPr>
        <w:keepLines w:val="0"/>
        <w:pageBreakBefore w:val="0"/>
        <w:widowControl w:val="0"/>
        <w:numPr>
          <w:ilvl w:val="0"/>
          <w:numId w:val="15"/>
        </w:numPr>
        <w:kinsoku/>
        <w:wordWrap/>
        <w:overflowPunct/>
        <w:topLinePunct w:val="0"/>
        <w:bidi w:val="0"/>
        <w:snapToGrid/>
        <w:spacing w:line="336" w:lineRule="auto"/>
        <w:ind w:firstLine="0" w:firstLineChars="0"/>
        <w:textAlignment w:val="auto"/>
        <w:rPr>
          <w:b/>
          <w:bCs/>
          <w:sz w:val="28"/>
          <w:szCs w:val="28"/>
          <w:highlight w:val="none"/>
        </w:rPr>
      </w:pPr>
      <w:bookmarkStart w:id="70" w:name="_Toc388866625"/>
      <w:bookmarkStart w:id="71" w:name="_Toc370460889"/>
      <w:bookmarkStart w:id="72" w:name="_Toc383594466"/>
      <w:bookmarkStart w:id="73" w:name="_Toc370912322"/>
      <w:bookmarkStart w:id="74" w:name="_Toc339877854"/>
      <w:bookmarkStart w:id="75" w:name="_Toc20154"/>
      <w:r>
        <w:rPr>
          <w:rFonts w:hint="eastAsia"/>
          <w:b/>
          <w:bCs/>
          <w:sz w:val="28"/>
          <w:szCs w:val="28"/>
          <w:highlight w:val="none"/>
        </w:rPr>
        <w:t>项目背景</w:t>
      </w:r>
    </w:p>
    <w:p w14:paraId="7B440B94">
      <w:pPr>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ascii="仿宋" w:hAnsi="仿宋" w:eastAsia="仿宋" w:cs="仿宋"/>
          <w:highlight w:val="none"/>
        </w:rPr>
      </w:pPr>
      <w:r>
        <w:rPr>
          <w:rFonts w:hint="eastAsia" w:ascii="宋体" w:hAnsi="宋体" w:eastAsia="宋体" w:cs="宋体"/>
          <w:color w:val="auto"/>
          <w:sz w:val="24"/>
          <w:highlight w:val="none"/>
        </w:rPr>
        <w:t>根据绍兴市大气污染防治联合调度中心《工作联系单第3期》建议和要求，为加强上虞区大气污染成因分析技术支撑，提升精准管控水平，上虞区生态环境分局</w:t>
      </w:r>
      <w:r>
        <w:rPr>
          <w:rFonts w:hint="eastAsia" w:ascii="宋体" w:hAnsi="宋体" w:eastAsia="宋体" w:cs="宋体"/>
          <w:color w:val="auto"/>
          <w:sz w:val="24"/>
          <w:highlight w:val="none"/>
          <w:lang w:eastAsia="zh-CN"/>
        </w:rPr>
        <w:t>拟</w:t>
      </w:r>
      <w:r>
        <w:rPr>
          <w:rFonts w:hint="eastAsia" w:ascii="宋体" w:hAnsi="宋体" w:eastAsia="宋体" w:cs="宋体"/>
          <w:color w:val="auto"/>
          <w:sz w:val="24"/>
          <w:highlight w:val="none"/>
        </w:rPr>
        <w:t>引入先进在线质谱技术，对上虞区空气污染成因开展动态分析，并根据专家定期会商意见</w:t>
      </w:r>
      <w:r>
        <w:rPr>
          <w:rFonts w:hint="eastAsia" w:ascii="宋体" w:hAnsi="宋体" w:eastAsia="宋体" w:cs="宋体"/>
          <w:color w:val="auto"/>
          <w:sz w:val="24"/>
          <w:highlight w:val="none"/>
          <w:lang w:eastAsia="zh-CN"/>
        </w:rPr>
        <w:t>制定</w:t>
      </w:r>
      <w:r>
        <w:rPr>
          <w:rFonts w:hint="eastAsia" w:ascii="宋体" w:hAnsi="宋体" w:cs="宋体"/>
          <w:color w:val="auto"/>
          <w:sz w:val="24"/>
          <w:highlight w:val="none"/>
          <w:lang w:eastAsia="zh-CN"/>
        </w:rPr>
        <w:t>空气</w:t>
      </w:r>
      <w:r>
        <w:rPr>
          <w:rFonts w:hint="eastAsia" w:ascii="宋体" w:hAnsi="宋体" w:eastAsia="宋体" w:cs="宋体"/>
          <w:color w:val="auto"/>
          <w:sz w:val="24"/>
          <w:highlight w:val="none"/>
        </w:rPr>
        <w:t>质量保障的短期以及长期措施。</w:t>
      </w:r>
    </w:p>
    <w:p w14:paraId="1D79A130">
      <w:pPr>
        <w:keepLines w:val="0"/>
        <w:pageBreakBefore w:val="0"/>
        <w:widowControl w:val="0"/>
        <w:kinsoku/>
        <w:wordWrap/>
        <w:overflowPunct/>
        <w:topLinePunct w:val="0"/>
        <w:bidi w:val="0"/>
        <w:snapToGrid/>
        <w:spacing w:line="336" w:lineRule="auto"/>
        <w:ind w:firstLine="0" w:firstLineChars="0"/>
        <w:textAlignment w:val="auto"/>
        <w:rPr>
          <w:b/>
          <w:bCs/>
          <w:sz w:val="28"/>
          <w:szCs w:val="28"/>
          <w:highlight w:val="none"/>
        </w:rPr>
      </w:pPr>
      <w:r>
        <w:rPr>
          <w:rFonts w:hint="eastAsia"/>
          <w:b/>
          <w:bCs/>
          <w:sz w:val="28"/>
          <w:szCs w:val="28"/>
          <w:highlight w:val="none"/>
        </w:rPr>
        <w:t>二、服务内容</w:t>
      </w:r>
    </w:p>
    <w:p w14:paraId="3D5F52A8">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在上虞区开展气溶胶和挥发性有机物质谱短期加强</w:t>
      </w:r>
      <w:r>
        <w:rPr>
          <w:rFonts w:hint="eastAsia" w:ascii="宋体" w:hAnsi="宋体" w:eastAsia="宋体" w:cs="宋体"/>
          <w:color w:val="auto"/>
          <w:sz w:val="24"/>
          <w:highlight w:val="none"/>
          <w:lang w:eastAsia="zh-CN"/>
        </w:rPr>
        <w:t>监</w:t>
      </w:r>
      <w:r>
        <w:rPr>
          <w:rFonts w:hint="eastAsia" w:ascii="宋体" w:hAnsi="宋体" w:eastAsia="宋体" w:cs="宋体"/>
          <w:color w:val="auto"/>
          <w:sz w:val="24"/>
          <w:highlight w:val="none"/>
        </w:rPr>
        <w:t>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通过一个月驻点组分分析，结合上虞历年空气质量数据情况，考虑风向、气温等气象条件，分析上虞区大气污染成因，提出切实可行的指导性管控措施。</w:t>
      </w:r>
    </w:p>
    <w:p w14:paraId="7944890F">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PM2.5组分与来源解析：依托气溶胶质谱（AMS）、质子转移反应质谱（PTR-MS）技术，获取短期数据，对上虞区大气细颗粒物（PM2.5）的组分和来源进行解析，并结合国控站空气质量六参数及气象数据，探查上虞区颗粒物污染的主要组分来源。</w:t>
      </w:r>
    </w:p>
    <w:p w14:paraId="193256C9">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（2）数据每日分析和高值分析：每日根据对PM2.5的分析结果提供当日分析报告。对PM2.5高值数据对应的污染过程进行分析，快速识别PM2.5积累过程中的主要颗</w:t>
      </w:r>
      <w:r>
        <w:rPr>
          <w:rFonts w:hint="eastAsia" w:ascii="宋体" w:hAnsi="宋体" w:cs="宋体"/>
          <w:color w:val="auto"/>
          <w:sz w:val="24"/>
          <w:highlight w:val="none"/>
          <w:lang w:eastAsia="zh-CN"/>
        </w:rPr>
        <w:t>粒物</w:t>
      </w:r>
      <w:r>
        <w:rPr>
          <w:rFonts w:hint="eastAsia" w:ascii="宋体" w:hAnsi="宋体" w:eastAsia="宋体" w:cs="宋体"/>
          <w:color w:val="auto"/>
          <w:sz w:val="24"/>
          <w:highlight w:val="none"/>
        </w:rPr>
        <w:t>组分及来源及主要影响参数。</w:t>
      </w:r>
    </w:p>
    <w:p w14:paraId="73C48A0D">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专家服务：在数据测量和分析的基础上，基于项目过程中空气质量的变化及问题诊断，以每周一次的频率进行线上或现场参与会商，并在一个月的PM2.5组分与来源解析实验结束后的15天内针对短期质谱数据解析，提供空气污染诊断报告；合同开始后3个月内结合历史污染分析和短期空气质量诊断，提交报告。</w:t>
      </w:r>
    </w:p>
    <w:p w14:paraId="3B45D5E5">
      <w:pPr>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b/>
          <w:bCs/>
          <w:sz w:val="28"/>
          <w:szCs w:val="28"/>
          <w:highlight w:val="none"/>
        </w:rPr>
      </w:pPr>
      <w:r>
        <w:rPr>
          <w:rFonts w:hint="eastAsia" w:ascii="宋体" w:hAnsi="宋体" w:eastAsia="宋体" w:cs="宋体"/>
          <w:color w:val="auto"/>
          <w:sz w:val="24"/>
          <w:highlight w:val="none"/>
        </w:rPr>
        <w:t>（4）驻点服务：3人。1人承担仪器运维、后台高值数据分析工作；另2人负责空气质量实时监控与推送服务、各项单项分析报告审核、开展座谈讨论、参与上虞执法部门主导的现场巡查，结合已有污染源详细排查数据，为上虞分局对企业帮扶的建议提供科学支撑。</w:t>
      </w:r>
    </w:p>
    <w:p w14:paraId="4C81666B">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auto"/>
        <w:rPr>
          <w:rFonts w:hint="eastAsia" w:ascii="宋体" w:hAnsi="宋体" w:eastAsia="宋体" w:cs="宋体"/>
          <w:color w:val="auto"/>
          <w:sz w:val="24"/>
          <w:highlight w:val="none"/>
        </w:rPr>
        <w:sectPr>
          <w:footerReference r:id="rId5" w:type="default"/>
          <w:pgSz w:w="11906" w:h="16838"/>
          <w:pgMar w:top="1440" w:right="1803" w:bottom="1440" w:left="1803" w:header="851" w:footer="992" w:gutter="0"/>
          <w:cols w:space="0" w:num="1"/>
          <w:docGrid w:type="lines" w:linePitch="325" w:charSpace="0"/>
        </w:sectPr>
      </w:pPr>
    </w:p>
    <w:p w14:paraId="6C04722E">
      <w:pPr>
        <w:ind w:firstLine="0" w:firstLineChars="0"/>
        <w:rPr>
          <w:b/>
          <w:bCs/>
          <w:sz w:val="28"/>
          <w:szCs w:val="28"/>
          <w:highlight w:val="none"/>
        </w:rPr>
      </w:pPr>
      <w:r>
        <w:rPr>
          <w:rFonts w:hint="eastAsia"/>
          <w:b/>
          <w:bCs/>
          <w:sz w:val="28"/>
          <w:szCs w:val="28"/>
          <w:highlight w:val="none"/>
        </w:rPr>
        <w:t>三、仪器设备和安装需求</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67"/>
        <w:gridCol w:w="10516"/>
        <w:gridCol w:w="917"/>
        <w:gridCol w:w="662"/>
      </w:tblGrid>
      <w:tr w14:paraId="1DB5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 w:type="pct"/>
            <w:vAlign w:val="center"/>
          </w:tcPr>
          <w:p w14:paraId="22FE6E4E">
            <w:pPr>
              <w:jc w:val="center"/>
              <w:rPr>
                <w:rFonts w:hint="eastAsia" w:ascii="宋体" w:hAnsi="宋体" w:eastAsia="宋体" w:cs="宋体"/>
              </w:rPr>
            </w:pPr>
            <w:r>
              <w:rPr>
                <w:rFonts w:hint="eastAsia" w:ascii="宋体" w:hAnsi="宋体" w:eastAsia="宋体" w:cs="宋体"/>
              </w:rPr>
              <w:t>序号</w:t>
            </w:r>
          </w:p>
        </w:tc>
        <w:tc>
          <w:tcPr>
            <w:tcW w:w="482" w:type="pct"/>
            <w:vAlign w:val="center"/>
          </w:tcPr>
          <w:p w14:paraId="21F6F2C4">
            <w:pPr>
              <w:jc w:val="center"/>
              <w:rPr>
                <w:rFonts w:hint="eastAsia" w:ascii="宋体" w:hAnsi="宋体" w:eastAsia="宋体" w:cs="宋体"/>
              </w:rPr>
            </w:pPr>
            <w:r>
              <w:rPr>
                <w:rFonts w:hint="eastAsia" w:ascii="宋体" w:hAnsi="宋体" w:eastAsia="宋体" w:cs="宋体"/>
              </w:rPr>
              <w:t>设备清单</w:t>
            </w:r>
          </w:p>
        </w:tc>
        <w:tc>
          <w:tcPr>
            <w:tcW w:w="3714" w:type="pct"/>
            <w:vAlign w:val="center"/>
          </w:tcPr>
          <w:p w14:paraId="75B474A5">
            <w:pPr>
              <w:jc w:val="center"/>
              <w:rPr>
                <w:rFonts w:hint="eastAsia" w:ascii="宋体" w:hAnsi="宋体" w:eastAsia="宋体" w:cs="宋体"/>
              </w:rPr>
            </w:pPr>
            <w:r>
              <w:rPr>
                <w:rFonts w:hint="eastAsia" w:ascii="宋体" w:hAnsi="宋体" w:eastAsia="宋体" w:cs="宋体"/>
              </w:rPr>
              <w:t>参数</w:t>
            </w:r>
          </w:p>
        </w:tc>
        <w:tc>
          <w:tcPr>
            <w:tcW w:w="323" w:type="pct"/>
            <w:vAlign w:val="center"/>
          </w:tcPr>
          <w:p w14:paraId="508770C2">
            <w:pPr>
              <w:jc w:val="center"/>
              <w:rPr>
                <w:rFonts w:hint="eastAsia" w:ascii="宋体" w:hAnsi="宋体" w:eastAsia="宋体" w:cs="宋体"/>
              </w:rPr>
            </w:pPr>
            <w:r>
              <w:rPr>
                <w:rFonts w:hint="eastAsia" w:ascii="宋体" w:hAnsi="宋体" w:eastAsia="宋体" w:cs="宋体"/>
              </w:rPr>
              <w:t>单位</w:t>
            </w:r>
          </w:p>
        </w:tc>
        <w:tc>
          <w:tcPr>
            <w:tcW w:w="233" w:type="pct"/>
            <w:vAlign w:val="center"/>
          </w:tcPr>
          <w:p w14:paraId="66B70E6C">
            <w:pPr>
              <w:jc w:val="center"/>
              <w:rPr>
                <w:rFonts w:hint="eastAsia" w:ascii="宋体" w:hAnsi="宋体" w:eastAsia="宋体" w:cs="宋体"/>
              </w:rPr>
            </w:pPr>
            <w:r>
              <w:rPr>
                <w:rFonts w:hint="eastAsia" w:ascii="宋体" w:hAnsi="宋体" w:eastAsia="宋体" w:cs="宋体"/>
              </w:rPr>
              <w:t>数量</w:t>
            </w:r>
          </w:p>
        </w:tc>
      </w:tr>
      <w:tr w14:paraId="1DB8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14:paraId="66B43E96">
            <w:pPr>
              <w:jc w:val="center"/>
              <w:rPr>
                <w:rFonts w:eastAsia="仿宋_GB2312"/>
              </w:rPr>
            </w:pPr>
            <w:r>
              <w:rPr>
                <w:rFonts w:eastAsia="仿宋_GB2312"/>
              </w:rPr>
              <w:t>1</w:t>
            </w:r>
          </w:p>
        </w:tc>
        <w:tc>
          <w:tcPr>
            <w:tcW w:w="482" w:type="pct"/>
            <w:vAlign w:val="center"/>
          </w:tcPr>
          <w:p w14:paraId="60C522A0">
            <w:pPr>
              <w:ind w:left="11" w:hanging="11"/>
              <w:jc w:val="left"/>
              <w:rPr>
                <w:sz w:val="24"/>
                <w:szCs w:val="24"/>
              </w:rPr>
            </w:pPr>
            <w:r>
              <w:rPr>
                <w:kern w:val="0"/>
                <w:sz w:val="24"/>
                <w:szCs w:val="68"/>
                <w:lang w:val="zh-CN"/>
              </w:rPr>
              <w:t>气溶胶质谱仪</w:t>
            </w:r>
          </w:p>
        </w:tc>
        <w:tc>
          <w:tcPr>
            <w:tcW w:w="3714" w:type="pct"/>
            <w:vAlign w:val="center"/>
          </w:tcPr>
          <w:p w14:paraId="17577AE9">
            <w:pPr>
              <w:pStyle w:val="38"/>
              <w:numPr>
                <w:ilvl w:val="0"/>
                <w:numId w:val="16"/>
              </w:numPr>
              <w:snapToGrid w:val="0"/>
              <w:ind w:firstLineChars="0"/>
              <w:rPr>
                <w:szCs w:val="24"/>
              </w:rPr>
            </w:pPr>
            <w:r>
              <w:rPr>
                <w:szCs w:val="24"/>
              </w:rPr>
              <w:t>质量浓度检测限：≤ 0.005 ug/m</w:t>
            </w:r>
            <w:r>
              <w:rPr>
                <w:szCs w:val="24"/>
                <w:vertAlign w:val="superscript"/>
              </w:rPr>
              <w:t>3</w:t>
            </w:r>
          </w:p>
          <w:p w14:paraId="7BE6032E">
            <w:pPr>
              <w:pStyle w:val="38"/>
              <w:numPr>
                <w:ilvl w:val="0"/>
                <w:numId w:val="16"/>
              </w:numPr>
              <w:snapToGrid w:val="0"/>
              <w:ind w:firstLineChars="0"/>
              <w:rPr>
                <w:szCs w:val="24"/>
              </w:rPr>
            </w:pPr>
            <w:r>
              <w:rPr>
                <w:szCs w:val="24"/>
              </w:rPr>
              <w:t>质量分辨率：≥</w:t>
            </w:r>
            <w:bookmarkStart w:id="76" w:name="_Hlk184367788"/>
            <w:r>
              <w:rPr>
                <w:szCs w:val="24"/>
              </w:rPr>
              <w:t xml:space="preserve"> 6000 M/ΔM</w:t>
            </w:r>
            <w:bookmarkEnd w:id="76"/>
          </w:p>
          <w:p w14:paraId="39563A3D">
            <w:pPr>
              <w:pStyle w:val="38"/>
              <w:numPr>
                <w:ilvl w:val="0"/>
                <w:numId w:val="16"/>
              </w:numPr>
              <w:snapToGrid w:val="0"/>
              <w:ind w:firstLineChars="0"/>
              <w:rPr>
                <w:szCs w:val="24"/>
              </w:rPr>
            </w:pPr>
            <w:r>
              <w:rPr>
                <w:szCs w:val="24"/>
              </w:rPr>
              <w:t>质量检测</w:t>
            </w:r>
            <w:r>
              <w:rPr>
                <w:rFonts w:hint="eastAsia"/>
                <w:szCs w:val="24"/>
              </w:rPr>
              <w:t>动态</w:t>
            </w:r>
            <w:r>
              <w:rPr>
                <w:szCs w:val="24"/>
              </w:rPr>
              <w:t>范围：</w:t>
            </w:r>
            <w:r>
              <w:rPr>
                <w:rFonts w:hint="eastAsia"/>
                <w:szCs w:val="24"/>
              </w:rPr>
              <w:t>宽于5</w:t>
            </w:r>
            <w:r>
              <w:rPr>
                <w:szCs w:val="24"/>
              </w:rPr>
              <w:t>0-900 Th</w:t>
            </w:r>
          </w:p>
          <w:p w14:paraId="256F6DC6">
            <w:pPr>
              <w:pStyle w:val="38"/>
              <w:numPr>
                <w:ilvl w:val="0"/>
                <w:numId w:val="16"/>
              </w:numPr>
              <w:snapToGrid w:val="0"/>
              <w:ind w:firstLineChars="0"/>
              <w:rPr>
                <w:szCs w:val="24"/>
              </w:rPr>
            </w:pPr>
            <w:r>
              <w:rPr>
                <w:szCs w:val="24"/>
              </w:rPr>
              <w:t>采样流量：≥ 50 sccm</w:t>
            </w:r>
          </w:p>
          <w:p w14:paraId="20E3EF0B">
            <w:pPr>
              <w:pStyle w:val="38"/>
              <w:numPr>
                <w:ilvl w:val="0"/>
                <w:numId w:val="16"/>
              </w:numPr>
              <w:snapToGrid w:val="0"/>
              <w:ind w:firstLineChars="0"/>
              <w:rPr>
                <w:szCs w:val="24"/>
              </w:rPr>
            </w:pPr>
            <w:r>
              <w:rPr>
                <w:szCs w:val="24"/>
              </w:rPr>
              <w:t>单次数据采样时间：≤ 5 min</w:t>
            </w:r>
          </w:p>
          <w:p w14:paraId="421FB675">
            <w:pPr>
              <w:pStyle w:val="38"/>
              <w:numPr>
                <w:ilvl w:val="0"/>
                <w:numId w:val="16"/>
              </w:numPr>
              <w:snapToGrid w:val="0"/>
              <w:ind w:firstLineChars="0"/>
              <w:rPr>
                <w:szCs w:val="24"/>
              </w:rPr>
            </w:pPr>
            <w:r>
              <w:rPr>
                <w:rFonts w:hint="eastAsia"/>
                <w:szCs w:val="24"/>
              </w:rPr>
              <w:t>质谱数据采集频率</w:t>
            </w:r>
            <w:r>
              <w:rPr>
                <w:szCs w:val="24"/>
              </w:rPr>
              <w:t>：≥ 0.5 H</w:t>
            </w:r>
            <w:r>
              <w:rPr>
                <w:rFonts w:hint="eastAsia"/>
                <w:szCs w:val="24"/>
              </w:rPr>
              <w:t>z</w:t>
            </w:r>
          </w:p>
          <w:p w14:paraId="1594A5E9">
            <w:pPr>
              <w:pStyle w:val="38"/>
              <w:numPr>
                <w:ilvl w:val="0"/>
                <w:numId w:val="16"/>
              </w:numPr>
              <w:snapToGrid w:val="0"/>
              <w:ind w:firstLineChars="0"/>
              <w:rPr>
                <w:szCs w:val="24"/>
              </w:rPr>
            </w:pPr>
            <w:r>
              <w:rPr>
                <w:szCs w:val="24"/>
              </w:rPr>
              <w:t>配备的真空动力学透镜</w:t>
            </w:r>
            <w:r>
              <w:rPr>
                <w:rFonts w:hint="eastAsia"/>
                <w:szCs w:val="24"/>
              </w:rPr>
              <w:t>适用粒径范围宽于</w:t>
            </w:r>
            <w:r>
              <w:rPr>
                <w:szCs w:val="24"/>
              </w:rPr>
              <w:t>100-500 nm</w:t>
            </w:r>
          </w:p>
          <w:p w14:paraId="5A6926A0">
            <w:pPr>
              <w:pStyle w:val="38"/>
              <w:numPr>
                <w:ilvl w:val="0"/>
                <w:numId w:val="16"/>
              </w:numPr>
              <w:snapToGrid w:val="0"/>
              <w:ind w:firstLineChars="0"/>
              <w:rPr>
                <w:szCs w:val="24"/>
              </w:rPr>
            </w:pPr>
            <w:r>
              <w:rPr>
                <w:rFonts w:hint="eastAsia"/>
                <w:szCs w:val="24"/>
              </w:rPr>
              <w:t>▲</w:t>
            </w:r>
            <w:r>
              <w:rPr>
                <w:szCs w:val="24"/>
              </w:rPr>
              <w:t>兼容激光汽化模块</w:t>
            </w:r>
            <w:r>
              <w:rPr>
                <w:rFonts w:hint="eastAsia"/>
                <w:szCs w:val="24"/>
                <w:lang w:eastAsia="zh-CN"/>
              </w:rPr>
              <w:t>（</w:t>
            </w:r>
            <w:r>
              <w:rPr>
                <w:rFonts w:hint="eastAsia"/>
                <w:szCs w:val="24"/>
                <w:lang w:val="en-US" w:eastAsia="zh-CN"/>
              </w:rPr>
              <w:t>需提供产品技术说明书佐证材料，参数需在佐证材料内标注并加盖供应商公章</w:t>
            </w:r>
            <w:r>
              <w:rPr>
                <w:rFonts w:hint="eastAsia"/>
                <w:szCs w:val="24"/>
                <w:lang w:eastAsia="zh-CN"/>
              </w:rPr>
              <w:t>）</w:t>
            </w:r>
          </w:p>
          <w:p w14:paraId="5D5B157C">
            <w:pPr>
              <w:pStyle w:val="38"/>
              <w:numPr>
                <w:ilvl w:val="0"/>
                <w:numId w:val="16"/>
              </w:numPr>
              <w:snapToGrid w:val="0"/>
              <w:ind w:firstLineChars="0"/>
              <w:rPr>
                <w:szCs w:val="24"/>
              </w:rPr>
            </w:pPr>
            <w:r>
              <w:rPr>
                <w:rFonts w:hint="eastAsia"/>
                <w:szCs w:val="24"/>
              </w:rPr>
              <w:t>▲</w:t>
            </w:r>
            <w:r>
              <w:rPr>
                <w:szCs w:val="24"/>
              </w:rPr>
              <w:t>支持大气常压进样的气态在线测量，不需要样品前处理</w:t>
            </w:r>
            <w:r>
              <w:rPr>
                <w:rFonts w:hint="eastAsia"/>
                <w:szCs w:val="24"/>
                <w:lang w:eastAsia="zh-CN"/>
              </w:rPr>
              <w:t>（</w:t>
            </w:r>
            <w:r>
              <w:rPr>
                <w:rFonts w:hint="eastAsia"/>
                <w:szCs w:val="24"/>
                <w:lang w:val="en-US" w:eastAsia="zh-CN"/>
              </w:rPr>
              <w:t>需提供产品技术说明书佐证，参数需在佐证材料内标注并加盖供应商公章</w:t>
            </w:r>
            <w:r>
              <w:rPr>
                <w:rFonts w:hint="eastAsia"/>
                <w:szCs w:val="24"/>
                <w:lang w:eastAsia="zh-CN"/>
              </w:rPr>
              <w:t>）</w:t>
            </w:r>
          </w:p>
          <w:p w14:paraId="2545C201">
            <w:pPr>
              <w:pStyle w:val="38"/>
              <w:numPr>
                <w:ilvl w:val="0"/>
                <w:numId w:val="16"/>
              </w:numPr>
              <w:snapToGrid w:val="0"/>
              <w:ind w:firstLineChars="0"/>
              <w:rPr>
                <w:rFonts w:hint="eastAsia"/>
                <w:szCs w:val="24"/>
              </w:rPr>
            </w:pPr>
            <w:r>
              <w:rPr>
                <w:szCs w:val="24"/>
              </w:rPr>
              <w:t>可以气化和检测非难熔亚微米气溶胶</w:t>
            </w:r>
            <w:r>
              <w:rPr>
                <w:rFonts w:hint="eastAsia"/>
                <w:szCs w:val="24"/>
              </w:rPr>
              <w:t>，蒸发颗粒物所用加热温度</w:t>
            </w:r>
            <w:r>
              <w:rPr>
                <w:szCs w:val="24"/>
              </w:rPr>
              <w:t xml:space="preserve">≥ </w:t>
            </w:r>
            <w:r>
              <w:rPr>
                <w:rFonts w:hint="eastAsia"/>
                <w:szCs w:val="24"/>
              </w:rPr>
              <w:t>5</w:t>
            </w:r>
            <w:r>
              <w:rPr>
                <w:szCs w:val="24"/>
              </w:rPr>
              <w:t>00°C</w:t>
            </w:r>
            <w:r>
              <w:rPr>
                <w:rFonts w:hint="eastAsia"/>
                <w:szCs w:val="24"/>
              </w:rPr>
              <w:t>，电子电离能量</w:t>
            </w:r>
            <w:r>
              <w:rPr>
                <w:szCs w:val="24"/>
              </w:rPr>
              <w:t>≥ 50eV</w:t>
            </w:r>
          </w:p>
        </w:tc>
        <w:tc>
          <w:tcPr>
            <w:tcW w:w="323" w:type="pct"/>
            <w:vAlign w:val="center"/>
          </w:tcPr>
          <w:p w14:paraId="0BF6251D">
            <w:pPr>
              <w:jc w:val="left"/>
            </w:pPr>
            <w:r>
              <w:t>台</w:t>
            </w:r>
          </w:p>
        </w:tc>
        <w:tc>
          <w:tcPr>
            <w:tcW w:w="233" w:type="pct"/>
            <w:vAlign w:val="center"/>
          </w:tcPr>
          <w:p w14:paraId="6D990419">
            <w:pPr>
              <w:jc w:val="left"/>
            </w:pPr>
            <w:r>
              <w:t>1</w:t>
            </w:r>
          </w:p>
        </w:tc>
      </w:tr>
      <w:tr w14:paraId="43C8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45" w:type="pct"/>
            <w:vAlign w:val="center"/>
          </w:tcPr>
          <w:p w14:paraId="7ADD182A">
            <w:pPr>
              <w:jc w:val="center"/>
              <w:rPr>
                <w:rFonts w:eastAsia="仿宋_GB2312"/>
              </w:rPr>
            </w:pPr>
            <w:r>
              <w:rPr>
                <w:rFonts w:eastAsia="仿宋_GB2312"/>
              </w:rPr>
              <w:t>2</w:t>
            </w:r>
          </w:p>
        </w:tc>
        <w:tc>
          <w:tcPr>
            <w:tcW w:w="482" w:type="pct"/>
            <w:vAlign w:val="center"/>
          </w:tcPr>
          <w:p w14:paraId="1E7A9E54">
            <w:pPr>
              <w:ind w:left="11" w:hanging="11"/>
              <w:jc w:val="left"/>
              <w:rPr>
                <w:kern w:val="0"/>
                <w:sz w:val="24"/>
                <w:szCs w:val="24"/>
                <w:lang w:bidi="ar"/>
              </w:rPr>
            </w:pPr>
            <w:r>
              <w:rPr>
                <w:kern w:val="0"/>
                <w:sz w:val="24"/>
                <w:szCs w:val="68"/>
                <w:lang w:val="zh-CN"/>
              </w:rPr>
              <w:t>质子转移反应质谱仪</w:t>
            </w:r>
          </w:p>
        </w:tc>
        <w:tc>
          <w:tcPr>
            <w:tcW w:w="3714" w:type="pct"/>
            <w:vAlign w:val="center"/>
          </w:tcPr>
          <w:p w14:paraId="0914A070">
            <w:pPr>
              <w:pStyle w:val="38"/>
              <w:numPr>
                <w:ilvl w:val="0"/>
                <w:numId w:val="17"/>
              </w:numPr>
              <w:tabs>
                <w:tab w:val="left" w:pos="-420"/>
              </w:tabs>
              <w:ind w:firstLineChars="0"/>
              <w:rPr>
                <w:szCs w:val="24"/>
              </w:rPr>
            </w:pPr>
            <w:r>
              <w:rPr>
                <w:rFonts w:hint="eastAsia"/>
                <w:szCs w:val="24"/>
              </w:rPr>
              <w:t>浓度</w:t>
            </w:r>
            <w:r>
              <w:rPr>
                <w:szCs w:val="24"/>
              </w:rPr>
              <w:t>检测限</w:t>
            </w:r>
            <w:r>
              <w:rPr>
                <w:rFonts w:hint="eastAsia"/>
                <w:szCs w:val="24"/>
              </w:rPr>
              <w:t>（以二甲苯为例，</w:t>
            </w:r>
            <w:r>
              <w:rPr>
                <w:szCs w:val="24"/>
              </w:rPr>
              <w:t>积分</w:t>
            </w:r>
            <w:r>
              <w:rPr>
                <w:rFonts w:hint="eastAsia"/>
                <w:szCs w:val="24"/>
              </w:rPr>
              <w:t>时间</w:t>
            </w:r>
            <w:r>
              <w:rPr>
                <w:szCs w:val="24"/>
              </w:rPr>
              <w:t>一分钟</w:t>
            </w:r>
            <w:r>
              <w:rPr>
                <w:rFonts w:hint="eastAsia"/>
                <w:szCs w:val="24"/>
              </w:rPr>
              <w:t>）</w:t>
            </w:r>
            <w:r>
              <w:rPr>
                <w:szCs w:val="24"/>
              </w:rPr>
              <w:t>：≤ 5 pptv</w:t>
            </w:r>
          </w:p>
          <w:p w14:paraId="68DBEA5E">
            <w:pPr>
              <w:pStyle w:val="38"/>
              <w:numPr>
                <w:ilvl w:val="0"/>
                <w:numId w:val="17"/>
              </w:numPr>
              <w:tabs>
                <w:tab w:val="left" w:pos="-420"/>
              </w:tabs>
              <w:ind w:firstLineChars="0"/>
              <w:rPr>
                <w:szCs w:val="24"/>
              </w:rPr>
            </w:pPr>
            <w:r>
              <w:rPr>
                <w:szCs w:val="24"/>
              </w:rPr>
              <w:t>质量检测</w:t>
            </w:r>
            <w:r>
              <w:rPr>
                <w:rFonts w:hint="eastAsia"/>
                <w:szCs w:val="24"/>
              </w:rPr>
              <w:t>动态</w:t>
            </w:r>
            <w:r>
              <w:rPr>
                <w:szCs w:val="24"/>
              </w:rPr>
              <w:t>范围：</w:t>
            </w:r>
            <w:r>
              <w:rPr>
                <w:rFonts w:hint="eastAsia"/>
                <w:szCs w:val="24"/>
              </w:rPr>
              <w:t>宽于5</w:t>
            </w:r>
            <w:r>
              <w:rPr>
                <w:szCs w:val="24"/>
              </w:rPr>
              <w:t>0-900 Th</w:t>
            </w:r>
          </w:p>
          <w:p w14:paraId="6C5192A9">
            <w:pPr>
              <w:pStyle w:val="38"/>
              <w:numPr>
                <w:ilvl w:val="0"/>
                <w:numId w:val="17"/>
              </w:numPr>
              <w:tabs>
                <w:tab w:val="left" w:pos="-420"/>
              </w:tabs>
              <w:ind w:firstLineChars="0"/>
              <w:rPr>
                <w:szCs w:val="24"/>
              </w:rPr>
            </w:pPr>
            <w:r>
              <w:rPr>
                <w:szCs w:val="24"/>
              </w:rPr>
              <w:t>灵敏度</w:t>
            </w:r>
            <w:r>
              <w:rPr>
                <w:rFonts w:hint="eastAsia"/>
                <w:szCs w:val="24"/>
              </w:rPr>
              <w:t>（以二甲苯为例）</w:t>
            </w:r>
            <w:r>
              <w:rPr>
                <w:szCs w:val="24"/>
              </w:rPr>
              <w:t>：≥ 10000 cps/ppb</w:t>
            </w:r>
          </w:p>
          <w:p w14:paraId="58F5C266">
            <w:pPr>
              <w:pStyle w:val="38"/>
              <w:numPr>
                <w:ilvl w:val="0"/>
                <w:numId w:val="17"/>
              </w:numPr>
              <w:tabs>
                <w:tab w:val="left" w:pos="-420"/>
              </w:tabs>
              <w:ind w:firstLineChars="0"/>
              <w:rPr>
                <w:szCs w:val="24"/>
              </w:rPr>
            </w:pPr>
            <w:r>
              <w:rPr>
                <w:rFonts w:hint="eastAsia"/>
                <w:szCs w:val="24"/>
              </w:rPr>
              <w:t>▲</w:t>
            </w:r>
            <w:r>
              <w:rPr>
                <w:szCs w:val="24"/>
              </w:rPr>
              <w:t>质量分辨率：≥ 8000 M/ΔM</w:t>
            </w:r>
            <w:r>
              <w:rPr>
                <w:rFonts w:hint="eastAsia"/>
                <w:szCs w:val="24"/>
                <w:lang w:eastAsia="zh-CN"/>
              </w:rPr>
              <w:t>（</w:t>
            </w:r>
            <w:r>
              <w:rPr>
                <w:rFonts w:hint="eastAsia"/>
                <w:szCs w:val="24"/>
                <w:lang w:val="en-US" w:eastAsia="zh-CN"/>
              </w:rPr>
              <w:t>需提供产品技术说明书佐证材料，参数需在佐证材料内标注并加盖供应商公章</w:t>
            </w:r>
            <w:r>
              <w:rPr>
                <w:rFonts w:hint="eastAsia"/>
                <w:szCs w:val="24"/>
                <w:lang w:eastAsia="zh-CN"/>
              </w:rPr>
              <w:t>）</w:t>
            </w:r>
          </w:p>
          <w:p w14:paraId="563BE255">
            <w:pPr>
              <w:pStyle w:val="38"/>
              <w:numPr>
                <w:ilvl w:val="0"/>
                <w:numId w:val="17"/>
              </w:numPr>
              <w:tabs>
                <w:tab w:val="left" w:pos="-420"/>
              </w:tabs>
              <w:ind w:firstLineChars="0"/>
              <w:rPr>
                <w:szCs w:val="24"/>
              </w:rPr>
            </w:pPr>
            <w:r>
              <w:rPr>
                <w:szCs w:val="24"/>
              </w:rPr>
              <w:t>采样流量：≥ 50 sccm</w:t>
            </w:r>
          </w:p>
          <w:p w14:paraId="3A62F71D">
            <w:pPr>
              <w:pStyle w:val="38"/>
              <w:numPr>
                <w:ilvl w:val="0"/>
                <w:numId w:val="17"/>
              </w:numPr>
              <w:tabs>
                <w:tab w:val="left" w:pos="-420"/>
              </w:tabs>
              <w:ind w:firstLineChars="0"/>
              <w:rPr>
                <w:szCs w:val="24"/>
              </w:rPr>
            </w:pPr>
            <w:r>
              <w:rPr>
                <w:szCs w:val="24"/>
              </w:rPr>
              <w:t>可检测</w:t>
            </w:r>
            <w:r>
              <w:rPr>
                <w:rFonts w:hint="eastAsia"/>
                <w:szCs w:val="24"/>
              </w:rPr>
              <w:t>小分子含氧有机物、多环芳烃等挥发性有机物</w:t>
            </w:r>
          </w:p>
          <w:p w14:paraId="64D21853">
            <w:pPr>
              <w:pStyle w:val="38"/>
              <w:numPr>
                <w:ilvl w:val="0"/>
                <w:numId w:val="17"/>
              </w:numPr>
              <w:tabs>
                <w:tab w:val="left" w:pos="-420"/>
              </w:tabs>
              <w:ind w:firstLineChars="0"/>
              <w:rPr>
                <w:szCs w:val="24"/>
              </w:rPr>
            </w:pPr>
            <w:r>
              <w:rPr>
                <w:rFonts w:hint="eastAsia"/>
                <w:szCs w:val="24"/>
              </w:rPr>
              <w:t>使用水合氢离子作为反应离子</w:t>
            </w:r>
          </w:p>
          <w:p w14:paraId="60674A07">
            <w:pPr>
              <w:pStyle w:val="38"/>
              <w:numPr>
                <w:ilvl w:val="0"/>
                <w:numId w:val="17"/>
              </w:numPr>
              <w:tabs>
                <w:tab w:val="left" w:pos="-420"/>
              </w:tabs>
              <w:ind w:firstLineChars="0"/>
              <w:rPr>
                <w:szCs w:val="24"/>
              </w:rPr>
            </w:pPr>
            <w:r>
              <w:rPr>
                <w:rFonts w:hint="eastAsia"/>
                <w:szCs w:val="24"/>
              </w:rPr>
              <w:t>▲</w:t>
            </w:r>
            <w:r>
              <w:rPr>
                <w:szCs w:val="24"/>
              </w:rPr>
              <w:t>支持大气常压进样的气态在线测量，不需要样品前处理；</w:t>
            </w:r>
            <w:r>
              <w:rPr>
                <w:rFonts w:hint="eastAsia"/>
                <w:szCs w:val="24"/>
                <w:lang w:eastAsia="zh-CN"/>
              </w:rPr>
              <w:t>（</w:t>
            </w:r>
            <w:r>
              <w:rPr>
                <w:rFonts w:hint="eastAsia"/>
                <w:szCs w:val="24"/>
                <w:lang w:val="en-US" w:eastAsia="zh-CN"/>
              </w:rPr>
              <w:t>需提供</w:t>
            </w:r>
            <w:r>
              <w:rPr>
                <w:rFonts w:hint="eastAsia" w:ascii="宋体" w:hAnsi="宋体" w:eastAsia="宋体" w:cs="宋体"/>
                <w:i w:val="0"/>
                <w:iCs w:val="0"/>
                <w:color w:val="000000"/>
                <w:kern w:val="0"/>
                <w:sz w:val="22"/>
                <w:szCs w:val="22"/>
                <w:highlight w:val="none"/>
                <w:u w:val="none"/>
                <w:lang w:val="en-US" w:eastAsia="zh-CN" w:bidi="ar"/>
              </w:rPr>
              <w:t>产品技术说明书佐证</w:t>
            </w:r>
            <w:r>
              <w:rPr>
                <w:rFonts w:hint="eastAsia" w:ascii="宋体" w:hAnsi="宋体" w:cs="宋体"/>
                <w:i w:val="0"/>
                <w:iCs w:val="0"/>
                <w:color w:val="000000"/>
                <w:kern w:val="0"/>
                <w:sz w:val="22"/>
                <w:szCs w:val="22"/>
                <w:highlight w:val="none"/>
                <w:u w:val="none"/>
                <w:lang w:val="en-US" w:eastAsia="zh-CN" w:bidi="ar"/>
              </w:rPr>
              <w:t>材料</w:t>
            </w:r>
            <w:r>
              <w:rPr>
                <w:rFonts w:hint="eastAsia"/>
                <w:szCs w:val="24"/>
                <w:lang w:val="en-US" w:eastAsia="zh-CN"/>
              </w:rPr>
              <w:t>，参数需在佐证材料内标注并加盖供应商公章</w:t>
            </w:r>
            <w:r>
              <w:rPr>
                <w:rFonts w:hint="eastAsia"/>
                <w:szCs w:val="24"/>
                <w:lang w:eastAsia="zh-CN"/>
              </w:rPr>
              <w:t>）</w:t>
            </w:r>
          </w:p>
        </w:tc>
        <w:tc>
          <w:tcPr>
            <w:tcW w:w="323" w:type="pct"/>
            <w:vAlign w:val="center"/>
          </w:tcPr>
          <w:p w14:paraId="39D29D4C">
            <w:pPr>
              <w:pStyle w:val="38"/>
              <w:ind w:left="6" w:firstLine="0" w:firstLineChars="0"/>
              <w:rPr>
                <w:sz w:val="21"/>
              </w:rPr>
            </w:pPr>
            <w:r>
              <w:rPr>
                <w:sz w:val="21"/>
              </w:rPr>
              <w:t>台</w:t>
            </w:r>
          </w:p>
        </w:tc>
        <w:tc>
          <w:tcPr>
            <w:tcW w:w="233" w:type="pct"/>
            <w:vAlign w:val="center"/>
          </w:tcPr>
          <w:p w14:paraId="534116A6">
            <w:pPr>
              <w:pStyle w:val="38"/>
              <w:ind w:left="6" w:firstLine="0" w:firstLineChars="0"/>
              <w:rPr>
                <w:sz w:val="21"/>
              </w:rPr>
            </w:pPr>
            <w:r>
              <w:rPr>
                <w:sz w:val="21"/>
              </w:rPr>
              <w:t>1</w:t>
            </w:r>
          </w:p>
        </w:tc>
      </w:tr>
    </w:tbl>
    <w:p w14:paraId="22F0FA1D">
      <w:pPr>
        <w:numPr>
          <w:ilvl w:val="0"/>
          <w:numId w:val="18"/>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sectPr>
          <w:pgSz w:w="16838" w:h="11906" w:orient="landscape"/>
          <w:pgMar w:top="1803" w:right="1440" w:bottom="1803" w:left="1440" w:header="851" w:footer="992" w:gutter="0"/>
          <w:cols w:space="0" w:num="1"/>
          <w:rtlGutter w:val="0"/>
          <w:docGrid w:type="lines" w:linePitch="332" w:charSpace="0"/>
        </w:sectPr>
      </w:pPr>
    </w:p>
    <w:p w14:paraId="0DEFEBAE">
      <w:pPr>
        <w:numPr>
          <w:ilvl w:val="0"/>
          <w:numId w:val="0"/>
        </w:numPr>
        <w:autoSpaceDE w:val="0"/>
        <w:autoSpaceDN w:val="0"/>
        <w:adjustRightInd w:val="0"/>
        <w:spacing w:line="360" w:lineRule="auto"/>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气溶胶质谱仪和质子转移反应质谱仪，分别用于测量颗粒物化学组分和挥发性有机污染物，用于支持大气污染物组分和来源解析。</w:t>
      </w:r>
    </w:p>
    <w:p w14:paraId="65B61F73">
      <w:pPr>
        <w:numPr>
          <w:ilvl w:val="0"/>
          <w:numId w:val="18"/>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仪器需要安置在同一个临时板房中，板房总面积约10 m2，设置与仪器进样口同高度的水平采样口，供电功率在10 kW/h以上，配备空调（由上虞提供）。建议设置在国控站临近区域。</w:t>
      </w:r>
    </w:p>
    <w:p w14:paraId="0A876C92">
      <w:pPr>
        <w:numPr>
          <w:ilvl w:val="0"/>
          <w:numId w:val="18"/>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仪器的安装、调试、运维由</w:t>
      </w:r>
      <w:r>
        <w:rPr>
          <w:rFonts w:hint="eastAsia" w:ascii="宋体" w:hAnsi="宋体" w:eastAsia="宋体" w:cs="宋体"/>
          <w:color w:val="auto"/>
          <w:kern w:val="0"/>
          <w:sz w:val="24"/>
          <w:szCs w:val="68"/>
          <w:highlight w:val="none"/>
          <w:lang w:val="zh-CN" w:eastAsia="zh-CN"/>
        </w:rPr>
        <w:t>供应商</w:t>
      </w:r>
      <w:r>
        <w:rPr>
          <w:rFonts w:hint="eastAsia" w:ascii="宋体" w:hAnsi="宋体" w:eastAsia="宋体" w:cs="宋体"/>
          <w:color w:val="auto"/>
          <w:kern w:val="0"/>
          <w:sz w:val="24"/>
          <w:szCs w:val="68"/>
          <w:highlight w:val="none"/>
          <w:lang w:val="zh-CN"/>
        </w:rPr>
        <w:t>负责，采购方现场配合安装工作。</w:t>
      </w:r>
    </w:p>
    <w:p w14:paraId="08D89AEE">
      <w:pPr>
        <w:numPr>
          <w:ilvl w:val="0"/>
          <w:numId w:val="18"/>
        </w:numPr>
        <w:autoSpaceDE w:val="0"/>
        <w:autoSpaceDN w:val="0"/>
        <w:adjustRightInd w:val="0"/>
        <w:spacing w:line="360" w:lineRule="auto"/>
        <w:ind w:firstLine="480" w:firstLineChars="200"/>
        <w:jc w:val="left"/>
        <w:rPr>
          <w:rFonts w:ascii="仿宋" w:hAnsi="仿宋" w:eastAsia="仿宋" w:cs="仿宋"/>
          <w:sz w:val="28"/>
          <w:szCs w:val="28"/>
          <w:highlight w:val="none"/>
        </w:rPr>
      </w:pPr>
      <w:r>
        <w:rPr>
          <w:rFonts w:hint="eastAsia" w:ascii="宋体" w:hAnsi="宋体" w:eastAsia="宋体" w:cs="宋体"/>
          <w:color w:val="auto"/>
          <w:kern w:val="0"/>
          <w:sz w:val="24"/>
          <w:szCs w:val="68"/>
          <w:highlight w:val="none"/>
          <w:lang w:val="zh-CN"/>
        </w:rPr>
        <w:t>仪器运行时间为</w:t>
      </w:r>
      <w:r>
        <w:rPr>
          <w:rFonts w:hint="eastAsia" w:ascii="宋体" w:hAnsi="宋体" w:cs="宋体"/>
          <w:color w:val="auto"/>
          <w:kern w:val="0"/>
          <w:sz w:val="24"/>
          <w:szCs w:val="68"/>
          <w:highlight w:val="none"/>
          <w:lang w:val="en-US" w:eastAsia="zh-CN"/>
        </w:rPr>
        <w:t>自合同签订之日起共计一个月</w:t>
      </w:r>
      <w:r>
        <w:rPr>
          <w:rFonts w:hint="eastAsia" w:ascii="宋体" w:hAnsi="宋体" w:eastAsia="宋体" w:cs="宋体"/>
          <w:color w:val="auto"/>
          <w:kern w:val="0"/>
          <w:sz w:val="24"/>
          <w:szCs w:val="68"/>
          <w:highlight w:val="none"/>
          <w:lang w:val="zh-CN"/>
        </w:rPr>
        <w:t>，</w:t>
      </w:r>
      <w:r>
        <w:rPr>
          <w:rFonts w:hint="eastAsia" w:ascii="宋体" w:hAnsi="宋体" w:cs="宋体"/>
          <w:color w:val="auto"/>
          <w:kern w:val="0"/>
          <w:sz w:val="24"/>
          <w:szCs w:val="68"/>
          <w:highlight w:val="none"/>
          <w:lang w:val="en-US" w:eastAsia="zh-CN"/>
        </w:rPr>
        <w:t>合同签订之日起2日</w:t>
      </w:r>
      <w:r>
        <w:rPr>
          <w:rFonts w:hint="eastAsia" w:ascii="宋体" w:hAnsi="宋体" w:eastAsia="宋体" w:cs="宋体"/>
          <w:color w:val="auto"/>
          <w:kern w:val="0"/>
          <w:sz w:val="24"/>
          <w:szCs w:val="68"/>
          <w:highlight w:val="none"/>
          <w:lang w:val="zh-CN"/>
        </w:rPr>
        <w:t>为安装与调试阶段，</w:t>
      </w:r>
      <w:r>
        <w:rPr>
          <w:rFonts w:hint="eastAsia" w:ascii="宋体" w:hAnsi="宋体" w:cs="宋体"/>
          <w:color w:val="auto"/>
          <w:kern w:val="0"/>
          <w:sz w:val="24"/>
          <w:szCs w:val="68"/>
          <w:highlight w:val="none"/>
          <w:lang w:val="en-US" w:eastAsia="zh-CN"/>
        </w:rPr>
        <w:t>安装调试合格后</w:t>
      </w:r>
      <w:r>
        <w:rPr>
          <w:rFonts w:hint="eastAsia" w:ascii="宋体" w:hAnsi="宋体" w:eastAsia="宋体" w:cs="宋体"/>
          <w:color w:val="auto"/>
          <w:kern w:val="0"/>
          <w:sz w:val="24"/>
          <w:szCs w:val="68"/>
          <w:highlight w:val="none"/>
          <w:lang w:val="zh-CN"/>
        </w:rPr>
        <w:t>正式运行。</w:t>
      </w:r>
    </w:p>
    <w:p w14:paraId="637673A8">
      <w:pPr>
        <w:ind w:firstLine="0" w:firstLineChars="0"/>
        <w:rPr>
          <w:highlight w:val="none"/>
        </w:rPr>
      </w:pPr>
      <w:r>
        <w:rPr>
          <w:rFonts w:hint="eastAsia"/>
          <w:b/>
          <w:bCs/>
          <w:sz w:val="28"/>
          <w:szCs w:val="28"/>
          <w:highlight w:val="none"/>
        </w:rPr>
        <w:t>四、服务周期</w:t>
      </w:r>
    </w:p>
    <w:p w14:paraId="7A55D70D">
      <w:pPr>
        <w:numPr>
          <w:ilvl w:val="0"/>
          <w:numId w:val="19"/>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历史（2021.1</w:t>
      </w:r>
      <w:r>
        <w:rPr>
          <w:rFonts w:hint="eastAsia" w:ascii="宋体" w:hAnsi="宋体" w:cs="宋体"/>
          <w:color w:val="auto"/>
          <w:kern w:val="0"/>
          <w:sz w:val="24"/>
          <w:szCs w:val="68"/>
          <w:highlight w:val="none"/>
          <w:lang w:val="en-US" w:eastAsia="zh-CN"/>
        </w:rPr>
        <w:t>至2024年10月</w:t>
      </w:r>
      <w:r>
        <w:rPr>
          <w:rFonts w:hint="eastAsia" w:ascii="宋体" w:hAnsi="宋体" w:eastAsia="宋体" w:cs="宋体"/>
          <w:color w:val="auto"/>
          <w:kern w:val="0"/>
          <w:sz w:val="24"/>
          <w:szCs w:val="68"/>
          <w:highlight w:val="none"/>
          <w:lang w:val="zh-CN"/>
        </w:rPr>
        <w:t>）空气质量6参数和气象5参数数据分析：自合同签署后开始，3个月内提供分析报告。</w:t>
      </w:r>
    </w:p>
    <w:p w14:paraId="04984C7B">
      <w:pPr>
        <w:numPr>
          <w:ilvl w:val="0"/>
          <w:numId w:val="19"/>
        </w:numPr>
        <w:autoSpaceDE w:val="0"/>
        <w:autoSpaceDN w:val="0"/>
        <w:adjustRightInd w:val="0"/>
        <w:spacing w:line="360" w:lineRule="auto"/>
        <w:ind w:firstLine="480" w:firstLineChars="200"/>
        <w:jc w:val="left"/>
        <w:rPr>
          <w:rFonts w:hint="eastAsia"/>
          <w:highlight w:val="none"/>
          <w:lang w:eastAsia="zh-CN"/>
        </w:rPr>
      </w:pPr>
      <w:r>
        <w:rPr>
          <w:rFonts w:hint="eastAsia" w:ascii="宋体" w:hAnsi="宋体" w:eastAsia="宋体" w:cs="宋体"/>
          <w:color w:val="auto"/>
          <w:kern w:val="0"/>
          <w:sz w:val="24"/>
          <w:szCs w:val="68"/>
          <w:highlight w:val="none"/>
          <w:lang w:val="zh-CN"/>
        </w:rPr>
        <w:t>质谱测量和驻点周期：</w:t>
      </w:r>
      <w:r>
        <w:rPr>
          <w:rFonts w:hint="eastAsia" w:ascii="宋体" w:hAnsi="宋体" w:cs="宋体"/>
          <w:color w:val="auto"/>
          <w:kern w:val="0"/>
          <w:sz w:val="24"/>
          <w:szCs w:val="68"/>
          <w:highlight w:val="none"/>
          <w:lang w:val="en-US" w:eastAsia="zh-CN"/>
        </w:rPr>
        <w:t>自合同签订之日起</w:t>
      </w:r>
      <w:r>
        <w:rPr>
          <w:rFonts w:hint="eastAsia" w:ascii="宋体" w:hAnsi="宋体" w:eastAsia="宋体" w:cs="宋体"/>
          <w:color w:val="auto"/>
          <w:kern w:val="0"/>
          <w:sz w:val="24"/>
          <w:szCs w:val="68"/>
          <w:highlight w:val="none"/>
          <w:lang w:val="zh-CN"/>
        </w:rPr>
        <w:t>共计1个月，驻点结束半个月后提交初步数据分析报告。</w:t>
      </w:r>
    </w:p>
    <w:p w14:paraId="70ACB681">
      <w:pPr>
        <w:numPr>
          <w:ilvl w:val="0"/>
          <w:numId w:val="0"/>
        </w:numPr>
        <w:autoSpaceDE w:val="0"/>
        <w:autoSpaceDN w:val="0"/>
        <w:adjustRightIn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保密要求</w:t>
      </w:r>
    </w:p>
    <w:p w14:paraId="5C36E01A">
      <w:pPr>
        <w:numPr>
          <w:ilvl w:val="0"/>
          <w:numId w:val="2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建立严格的保密制度，中标人应当加强对工作人员的保密管理及保密知识教育。</w:t>
      </w:r>
    </w:p>
    <w:p w14:paraId="6ABE10BC">
      <w:pPr>
        <w:numPr>
          <w:ilvl w:val="0"/>
          <w:numId w:val="2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中标人须承担与此有关的技术情报和数据资料的保密责任。与本项目有关的资料及数据成果中涉及国家秘密的内容，均要求按照《中华人民共和国国家保密法》及相关法律法规执行。</w:t>
      </w:r>
    </w:p>
    <w:p w14:paraId="0545E843">
      <w:pPr>
        <w:pStyle w:val="13"/>
        <w:rPr>
          <w:rFonts w:hint="eastAsia" w:ascii="宋体" w:hAnsi="宋体" w:cs="宋体"/>
          <w:color w:val="auto"/>
          <w:highlight w:val="none"/>
        </w:rPr>
      </w:pPr>
    </w:p>
    <w:p w14:paraId="69DA3597">
      <w:pPr>
        <w:keepNext w:val="0"/>
        <w:keepLines w:val="0"/>
        <w:pageBreakBefore w:val="0"/>
        <w:widowControl w:val="0"/>
        <w:numPr>
          <w:ilvl w:val="0"/>
          <w:numId w:val="0"/>
        </w:numPr>
        <w:kinsoku/>
        <w:wordWrap/>
        <w:overflowPunct/>
        <w:topLinePunct w:val="0"/>
        <w:autoSpaceDE w:val="0"/>
        <w:autoSpaceDN w:val="0"/>
        <w:bidi w:val="0"/>
        <w:adjustRightInd w:val="0"/>
        <w:snapToGrid/>
        <w:spacing w:line="336" w:lineRule="auto"/>
        <w:jc w:val="left"/>
        <w:textAlignment w:val="auto"/>
        <w:rPr>
          <w:rFonts w:hint="eastAsia" w:ascii="宋体" w:hAnsi="宋体" w:cs="宋体"/>
          <w:b/>
          <w:bCs/>
          <w:color w:val="auto"/>
          <w:sz w:val="28"/>
          <w:szCs w:val="28"/>
          <w:highlight w:val="none"/>
          <w:lang w:val="en-US" w:eastAsia="zh-CN"/>
        </w:rPr>
      </w:pPr>
    </w:p>
    <w:bookmarkEnd w:id="70"/>
    <w:bookmarkEnd w:id="71"/>
    <w:bookmarkEnd w:id="72"/>
    <w:bookmarkEnd w:id="73"/>
    <w:bookmarkEnd w:id="74"/>
    <w:bookmarkEnd w:id="75"/>
    <w:p w14:paraId="6FC5C9BE">
      <w:pPr>
        <w:pStyle w:val="3"/>
        <w:jc w:val="center"/>
        <w:rPr>
          <w:rFonts w:hint="eastAsia" w:hAnsi="宋体" w:cs="宋体"/>
          <w:color w:val="auto"/>
          <w:highlight w:val="none"/>
          <w:lang w:val="en-US" w:eastAsia="zh-CN"/>
        </w:rPr>
      </w:pPr>
      <w:bookmarkStart w:id="77" w:name="_Toc4575"/>
      <w:bookmarkStart w:id="78" w:name="_Toc83283744"/>
      <w:r>
        <w:rPr>
          <w:rFonts w:hint="eastAsia" w:hAnsi="宋体" w:cs="宋体"/>
          <w:color w:val="auto"/>
          <w:highlight w:val="none"/>
          <w:lang w:val="en-US" w:eastAsia="zh-CN"/>
        </w:rPr>
        <w:t xml:space="preserve">     </w:t>
      </w:r>
    </w:p>
    <w:p w14:paraId="6116C12E">
      <w:pPr>
        <w:rPr>
          <w:rFonts w:hint="eastAsia" w:hAnsi="宋体" w:cs="宋体"/>
          <w:color w:val="auto"/>
          <w:highlight w:val="none"/>
          <w:lang w:val="en-US" w:eastAsia="zh-CN"/>
        </w:rPr>
      </w:pPr>
      <w:r>
        <w:rPr>
          <w:rFonts w:hint="eastAsia" w:hAnsi="宋体" w:cs="宋体"/>
          <w:color w:val="auto"/>
          <w:highlight w:val="none"/>
          <w:lang w:val="en-US" w:eastAsia="zh-CN"/>
        </w:rPr>
        <w:br w:type="page"/>
      </w:r>
    </w:p>
    <w:p w14:paraId="57C8E810">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cs="宋体"/>
          <w:color w:val="auto"/>
          <w:highlight w:val="none"/>
          <w:lang w:val="en-US" w:eastAsia="zh-CN"/>
        </w:rPr>
        <w:t>二</w:t>
      </w:r>
      <w:r>
        <w:rPr>
          <w:rFonts w:hint="eastAsia" w:ascii="宋体" w:hAnsi="宋体" w:eastAsia="宋体" w:cs="宋体"/>
          <w:color w:val="auto"/>
          <w:highlight w:val="none"/>
        </w:rPr>
        <w:t>章  付款方式及要求</w:t>
      </w:r>
      <w:bookmarkEnd w:id="77"/>
      <w:bookmarkEnd w:id="78"/>
    </w:p>
    <w:p w14:paraId="4BFD2CCC">
      <w:pPr>
        <w:pStyle w:val="3"/>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一、付款方式：</w:t>
      </w:r>
    </w:p>
    <w:p w14:paraId="2B283EFA">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2025年3月3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eastAsia="zh-CN"/>
        </w:rPr>
        <w:t>具备实施条件</w:t>
      </w:r>
      <w:r>
        <w:rPr>
          <w:rFonts w:hint="eastAsia" w:ascii="宋体" w:hAnsi="宋体" w:cs="宋体"/>
          <w:color w:val="auto"/>
          <w:sz w:val="24"/>
          <w:highlight w:val="none"/>
          <w:lang w:val="en-US" w:eastAsia="zh-CN"/>
        </w:rPr>
        <w:t>经采购人确认后</w:t>
      </w:r>
      <w:bookmarkStart w:id="116" w:name="_GoBack"/>
      <w:bookmarkEnd w:id="116"/>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支付</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0%合同价款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提交最终分析报告经验收合格后</w:t>
      </w:r>
      <w:r>
        <w:rPr>
          <w:rFonts w:hint="eastAsia" w:ascii="宋体" w:hAnsi="宋体" w:cs="宋体"/>
          <w:color w:val="auto"/>
          <w:sz w:val="24"/>
          <w:szCs w:val="24"/>
          <w:highlight w:val="none"/>
          <w:lang w:val="en-US" w:eastAsia="zh-CN"/>
        </w:rPr>
        <w:t>15个工作日内</w:t>
      </w:r>
      <w:r>
        <w:rPr>
          <w:rFonts w:hint="eastAsia" w:ascii="宋体" w:hAnsi="宋体" w:eastAsia="宋体" w:cs="宋体"/>
          <w:color w:val="auto"/>
          <w:sz w:val="24"/>
          <w:szCs w:val="24"/>
          <w:highlight w:val="none"/>
          <w:lang w:val="en-US" w:eastAsia="zh-CN"/>
        </w:rPr>
        <w:t>支付剩余合同价款。</w:t>
      </w:r>
    </w:p>
    <w:p w14:paraId="684E97B2">
      <w:pPr>
        <w:keepNext w:val="0"/>
        <w:keepLines w:val="0"/>
        <w:pageBreakBefore w:val="0"/>
        <w:widowControl w:val="0"/>
        <w:kinsoku/>
        <w:wordWrap/>
        <w:overflowPunct/>
        <w:topLinePunct w:val="0"/>
        <w:autoSpaceDE w:val="0"/>
        <w:autoSpaceDN w:val="0"/>
        <w:bidi w:val="0"/>
        <w:adjustRightInd w:val="0"/>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付款要求：</w:t>
      </w:r>
    </w:p>
    <w:p w14:paraId="4D1F4431">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6926A92F">
      <w:pPr>
        <w:rPr>
          <w:rFonts w:hint="eastAsia"/>
          <w:highlight w:val="none"/>
        </w:rPr>
      </w:pPr>
      <w:bookmarkStart w:id="79" w:name="_Toc30191"/>
      <w:r>
        <w:rPr>
          <w:rFonts w:hint="eastAsia"/>
          <w:highlight w:val="none"/>
        </w:rPr>
        <w:br w:type="page"/>
      </w:r>
    </w:p>
    <w:p w14:paraId="4965208D">
      <w:pPr>
        <w:pStyle w:val="2"/>
        <w:bidi w:val="0"/>
        <w:rPr>
          <w:rFonts w:hint="eastAsia"/>
          <w:highlight w:val="none"/>
        </w:rPr>
      </w:pPr>
      <w:r>
        <w:rPr>
          <w:rFonts w:hint="eastAsia"/>
          <w:highlight w:val="none"/>
        </w:rPr>
        <w:t>第四部分 磋商原则及磋商方法</w:t>
      </w:r>
      <w:bookmarkEnd w:id="68"/>
      <w:bookmarkEnd w:id="79"/>
    </w:p>
    <w:p w14:paraId="7A0F5245">
      <w:pPr>
        <w:pStyle w:val="3"/>
        <w:numPr>
          <w:ilvl w:val="0"/>
          <w:numId w:val="21"/>
        </w:numPr>
        <w:jc w:val="center"/>
        <w:rPr>
          <w:rFonts w:hint="eastAsia" w:ascii="宋体" w:hAnsi="宋体" w:eastAsia="宋体" w:cs="宋体"/>
          <w:color w:val="auto"/>
          <w:highlight w:val="none"/>
        </w:rPr>
      </w:pPr>
      <w:bookmarkStart w:id="80" w:name="_Toc15829"/>
      <w:bookmarkStart w:id="81" w:name="_Toc1265"/>
      <w:r>
        <w:rPr>
          <w:rFonts w:hint="eastAsia" w:ascii="宋体" w:hAnsi="宋体" w:eastAsia="宋体" w:cs="宋体"/>
          <w:color w:val="auto"/>
          <w:highlight w:val="none"/>
        </w:rPr>
        <w:t>磋商原则</w:t>
      </w:r>
      <w:bookmarkEnd w:id="80"/>
      <w:bookmarkEnd w:id="81"/>
    </w:p>
    <w:p w14:paraId="14ACAFD1">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552DE650">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430FF9B0">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5C6C3CB7">
      <w:pPr>
        <w:pStyle w:val="11"/>
        <w:keepNext w:val="0"/>
        <w:keepLines w:val="0"/>
        <w:pageBreakBefore w:val="0"/>
        <w:widowControl w:val="0"/>
        <w:kinsoku/>
        <w:wordWrap/>
        <w:overflowPunct/>
        <w:topLinePunct w:val="0"/>
        <w:autoSpaceDE/>
        <w:autoSpaceDN/>
        <w:bidi w:val="0"/>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7A9B0F1A">
      <w:pPr>
        <w:pStyle w:val="11"/>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39FAE1AC">
      <w:pPr>
        <w:pStyle w:val="11"/>
        <w:keepNext w:val="0"/>
        <w:keepLines w:val="0"/>
        <w:pageBreakBefore w:val="0"/>
        <w:widowControl w:val="0"/>
        <w:kinsoku/>
        <w:wordWrap/>
        <w:overflowPunct/>
        <w:topLinePunct w:val="0"/>
        <w:autoSpaceDE/>
        <w:autoSpaceDN/>
        <w:bidi w:val="0"/>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b w:val="0"/>
          <w:bCs w:val="0"/>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由授权代表在磋商响应截止时间前递交至开标地点。</w:t>
      </w:r>
    </w:p>
    <w:p w14:paraId="3ADB5056">
      <w:pPr>
        <w:pStyle w:val="11"/>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03F24CA7">
      <w:pPr>
        <w:pStyle w:val="34"/>
        <w:keepNext w:val="0"/>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431F2426">
      <w:pPr>
        <w:pStyle w:val="34"/>
        <w:keepNext w:val="0"/>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8ADB89">
      <w:pPr>
        <w:keepNext w:val="0"/>
        <w:keepLines w:val="0"/>
        <w:pageBreakBefore w:val="0"/>
        <w:widowControl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5、组建磋商小组</w:t>
      </w:r>
    </w:p>
    <w:p w14:paraId="67A45964">
      <w:pPr>
        <w:pStyle w:val="34"/>
        <w:keepNext w:val="0"/>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051DA66A">
      <w:pPr>
        <w:pStyle w:val="34"/>
        <w:keepNext w:val="0"/>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4D9A56B9">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75F32C87">
      <w:pPr>
        <w:pStyle w:val="3"/>
        <w:keepLines w:val="0"/>
        <w:pageBreakBefore w:val="0"/>
        <w:numPr>
          <w:ilvl w:val="0"/>
          <w:numId w:val="21"/>
        </w:numPr>
        <w:kinsoku/>
        <w:wordWrap/>
        <w:overflowPunct/>
        <w:topLinePunct w:val="0"/>
        <w:autoSpaceDE/>
        <w:autoSpaceDN/>
        <w:bidi w:val="0"/>
        <w:spacing w:line="336" w:lineRule="auto"/>
        <w:jc w:val="center"/>
        <w:textAlignment w:val="auto"/>
        <w:rPr>
          <w:rFonts w:hint="eastAsia" w:ascii="宋体" w:hAnsi="宋体" w:eastAsia="宋体" w:cs="宋体"/>
          <w:color w:val="auto"/>
          <w:highlight w:val="none"/>
        </w:rPr>
      </w:pPr>
      <w:bookmarkStart w:id="82" w:name="_Toc10093"/>
      <w:bookmarkStart w:id="83" w:name="_Toc26388"/>
      <w:r>
        <w:rPr>
          <w:rFonts w:hint="eastAsia" w:ascii="宋体" w:hAnsi="宋体" w:eastAsia="宋体" w:cs="宋体"/>
          <w:color w:val="auto"/>
          <w:highlight w:val="none"/>
        </w:rPr>
        <w:t>磋商程序</w:t>
      </w:r>
      <w:bookmarkEnd w:id="82"/>
      <w:bookmarkEnd w:id="83"/>
    </w:p>
    <w:p w14:paraId="148EDE17">
      <w:pPr>
        <w:keepLines w:val="0"/>
        <w:pageBreakBefore w:val="0"/>
        <w:kinsoku/>
        <w:wordWrap/>
        <w:overflowPunct/>
        <w:topLinePunct w:val="0"/>
        <w:autoSpaceDE/>
        <w:autoSpaceDN/>
        <w:bidi w:val="0"/>
        <w:snapToGrid w:val="0"/>
        <w:spacing w:line="336"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2FB67058">
      <w:pPr>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0218A849">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45DE276D">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0632D33E">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60555F1C">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7C0FDC91">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060A3070">
      <w:pPr>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62CB3C63">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2B5F05A6">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623C4BC4">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0D379F1C">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42A91B36">
      <w:pPr>
        <w:keepLines w:val="0"/>
        <w:pageBreakBefore w:val="0"/>
        <w:widowControl/>
        <w:kinsoku/>
        <w:wordWrap/>
        <w:overflowPunct/>
        <w:topLinePunct w:val="0"/>
        <w:autoSpaceDE/>
        <w:autoSpaceDN/>
        <w:bidi w:val="0"/>
        <w:spacing w:line="336"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1609DA83">
      <w:pPr>
        <w:keepLines w:val="0"/>
        <w:pageBreakBefore w:val="0"/>
        <w:widowControl/>
        <w:kinsoku/>
        <w:wordWrap/>
        <w:overflowPunct/>
        <w:topLinePunct w:val="0"/>
        <w:autoSpaceDE/>
        <w:autoSpaceDN/>
        <w:bidi w:val="0"/>
        <w:spacing w:line="336"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476E587C">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022963">
      <w:pPr>
        <w:pStyle w:val="34"/>
        <w:keepNext w:val="0"/>
        <w:keepLines w:val="0"/>
        <w:pageBreakBefore w:val="0"/>
        <w:widowControl w:val="0"/>
        <w:tabs>
          <w:tab w:val="left" w:pos="0"/>
        </w:tabs>
        <w:kinsoku/>
        <w:wordWrap/>
        <w:overflowPunct/>
        <w:topLinePunct w:val="0"/>
        <w:autoSpaceDE/>
        <w:autoSpaceDN/>
        <w:bidi w:val="0"/>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52BD8EE1">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6A2F953E">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69E2CACC">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1B6B86EA">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7083644E">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73E5ED27">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1483713D">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580BC17">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616386C6">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179EF8">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56C5791A">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2584DD6D">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w:t>
      </w:r>
      <w:r>
        <w:rPr>
          <w:rFonts w:hint="eastAsia" w:ascii="宋体" w:hAnsi="宋体" w:cs="宋体"/>
          <w:color w:val="auto"/>
          <w:sz w:val="24"/>
          <w:szCs w:val="24"/>
          <w:highlight w:val="none"/>
          <w:lang w:eastAsia="zh-CN"/>
        </w:rPr>
        <w:t>文件报价</w:t>
      </w:r>
      <w:r>
        <w:rPr>
          <w:rFonts w:hint="eastAsia" w:ascii="宋体" w:hAnsi="宋体" w:eastAsia="宋体" w:cs="宋体"/>
          <w:color w:val="auto"/>
          <w:sz w:val="24"/>
          <w:szCs w:val="24"/>
          <w:highlight w:val="none"/>
        </w:rPr>
        <w:t>，则以第一次报价计入评分。</w:t>
      </w:r>
    </w:p>
    <w:p w14:paraId="75036989">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5F40B979">
      <w:pPr>
        <w:pStyle w:val="6"/>
        <w:keepNext w:val="0"/>
        <w:keepLines w:val="0"/>
        <w:pageBreakBefore w:val="0"/>
        <w:widowControl w:val="0"/>
        <w:kinsoku/>
        <w:wordWrap/>
        <w:overflowPunct/>
        <w:topLinePunct w:val="0"/>
        <w:autoSpaceDE/>
        <w:autoSpaceDN/>
        <w:bidi w:val="0"/>
        <w:adjustRightIn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7D93AAA2">
      <w:pPr>
        <w:pStyle w:val="6"/>
        <w:keepNext w:val="0"/>
        <w:keepLines w:val="0"/>
        <w:pageBreakBefore w:val="0"/>
        <w:widowControl w:val="0"/>
        <w:kinsoku/>
        <w:wordWrap/>
        <w:overflowPunct/>
        <w:topLinePunct w:val="0"/>
        <w:autoSpaceDE/>
        <w:autoSpaceDN/>
        <w:bidi w:val="0"/>
        <w:adjustRightInd/>
        <w:spacing w:line="336"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4.1磋商活动由采购代理机构主持,磋商响应截止时间后,供应商登录政采云平台对电子响应文件进行在线解密；</w:t>
      </w:r>
    </w:p>
    <w:p w14:paraId="65E735DA">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4.2响应文件解密结束,开启响应文件,磋商小组对资格和商务技术响应文件进行资格审查和符合性审查；</w:t>
      </w:r>
    </w:p>
    <w:p w14:paraId="3DA13065">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5ACA5D73">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2DD703C9">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p>
    <w:p w14:paraId="4E2E8474">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21F31347">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2CBCE270">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4C4020AF">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259CB101">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330C79C2">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特别说明:政采云如对电子化开标及评审程序有调整的,按调整后的程序操作。</w:t>
      </w:r>
    </w:p>
    <w:p w14:paraId="096F915A">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7021324D">
      <w:pPr>
        <w:keepNext w:val="0"/>
        <w:keepLines w:val="0"/>
        <w:pageBreakBefore w:val="0"/>
        <w:widowControl w:val="0"/>
        <w:tabs>
          <w:tab w:val="left" w:pos="-1080"/>
          <w:tab w:val="left" w:pos="180"/>
          <w:tab w:val="left" w:pos="1080"/>
        </w:tabs>
        <w:kinsoku/>
        <w:wordWrap/>
        <w:overflowPunct/>
        <w:topLinePunct w:val="0"/>
        <w:autoSpaceDE/>
        <w:autoSpaceDN/>
        <w:bidi w:val="0"/>
        <w:adjustRightInd/>
        <w:snapToGrid w:val="0"/>
        <w:spacing w:line="336"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lang w:val="en-US" w:eastAsia="zh-CN"/>
        </w:rPr>
        <w:t>80</w:t>
      </w:r>
      <w:r>
        <w:rPr>
          <w:rFonts w:hint="eastAsia" w:ascii="宋体" w:hAnsi="宋体" w:eastAsia="宋体" w:cs="宋体"/>
          <w:color w:val="auto"/>
          <w:sz w:val="24"/>
          <w:szCs w:val="24"/>
          <w:highlight w:val="none"/>
        </w:rPr>
        <w:t>分、报价分</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分；满分为100分。</w:t>
      </w:r>
    </w:p>
    <w:p w14:paraId="374D4056">
      <w:pPr>
        <w:keepNext w:val="0"/>
        <w:keepLines w:val="0"/>
        <w:pageBreakBefore w:val="0"/>
        <w:widowControl w:val="0"/>
        <w:kinsoku/>
        <w:wordWrap/>
        <w:overflowPunct/>
        <w:topLinePunct w:val="0"/>
        <w:autoSpaceDE/>
        <w:autoSpaceDN/>
        <w:bidi w:val="0"/>
        <w:adjustRightIn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w:t>
      </w:r>
      <w:r>
        <w:rPr>
          <w:rFonts w:hint="eastAsia" w:ascii="宋体" w:hAnsi="宋体" w:cs="宋体"/>
          <w:color w:val="auto"/>
          <w:sz w:val="24"/>
          <w:szCs w:val="24"/>
          <w:highlight w:val="none"/>
          <w:lang w:eastAsia="zh-CN"/>
        </w:rPr>
        <w:t>做</w:t>
      </w:r>
      <w:r>
        <w:rPr>
          <w:rFonts w:hint="eastAsia" w:ascii="宋体" w:hAnsi="宋体" w:eastAsia="宋体" w:cs="宋体"/>
          <w:color w:val="auto"/>
          <w:sz w:val="24"/>
          <w:szCs w:val="24"/>
          <w:highlight w:val="none"/>
        </w:rPr>
        <w:t>进一步评审、比较、打分。</w:t>
      </w:r>
    </w:p>
    <w:p w14:paraId="67205CFA">
      <w:pPr>
        <w:pStyle w:val="11"/>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704EBF85">
      <w:pPr>
        <w:pStyle w:val="11"/>
        <w:keepLines w:val="0"/>
        <w:pageBreakBefore w:val="0"/>
        <w:widowControl w:val="0"/>
        <w:kinsoku/>
        <w:wordWrap/>
        <w:overflowPunct/>
        <w:topLinePunct w:val="0"/>
        <w:autoSpaceDE/>
        <w:autoSpaceDN/>
        <w:bidi w:val="0"/>
        <w:snapToGrid/>
        <w:spacing w:line="336" w:lineRule="auto"/>
        <w:ind w:left="420"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18344CAA">
      <w:pPr>
        <w:pStyle w:val="34"/>
        <w:keepLines w:val="0"/>
        <w:pageBreakBefore w:val="0"/>
        <w:widowControl w:val="0"/>
        <w:kinsoku/>
        <w:wordWrap/>
        <w:overflowPunct/>
        <w:topLinePunct w:val="0"/>
        <w:autoSpaceDE/>
        <w:autoSpaceDN/>
        <w:bidi w:val="0"/>
        <w:snapToGrid/>
        <w:spacing w:before="0" w:line="336" w:lineRule="auto"/>
        <w:ind w:left="420" w:leftChars="20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30BC7AA1">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746D1764">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21DC96BF">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655AB3DA">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3D422211">
      <w:pPr>
        <w:pStyle w:val="34"/>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同时出现两种以上不一致的，按照前款规定的顺序修正。修正后的报价按照财政部公布第87号令《政府采购产品和服务招标投标管理办法》第五十一条第二款的规定经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1C256267">
      <w:pPr>
        <w:pStyle w:val="11"/>
        <w:keepLines w:val="0"/>
        <w:pageBreakBefore w:val="0"/>
        <w:widowControl w:val="0"/>
        <w:kinsoku/>
        <w:wordWrap/>
        <w:overflowPunct/>
        <w:topLinePunct w:val="0"/>
        <w:autoSpaceDE/>
        <w:autoSpaceDN/>
        <w:bidi w:val="0"/>
        <w:snapToGrid/>
        <w:spacing w:line="336" w:lineRule="auto"/>
        <w:ind w:left="420"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38F791DF">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179CF195">
      <w:pPr>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7389B21B">
      <w:pPr>
        <w:pStyle w:val="3"/>
        <w:keepLines w:val="0"/>
        <w:pageBreakBefore w:val="0"/>
        <w:widowControl w:val="0"/>
        <w:numPr>
          <w:ilvl w:val="0"/>
          <w:numId w:val="21"/>
        </w:numPr>
        <w:kinsoku/>
        <w:wordWrap/>
        <w:overflowPunct/>
        <w:topLinePunct w:val="0"/>
        <w:autoSpaceDE/>
        <w:autoSpaceDN/>
        <w:bidi w:val="0"/>
        <w:snapToGrid/>
        <w:spacing w:line="336" w:lineRule="auto"/>
        <w:jc w:val="center"/>
        <w:textAlignment w:val="auto"/>
        <w:rPr>
          <w:rFonts w:hint="eastAsia" w:ascii="宋体" w:hAnsi="宋体" w:eastAsia="宋体" w:cs="宋体"/>
          <w:color w:val="auto"/>
          <w:highlight w:val="none"/>
        </w:rPr>
      </w:pPr>
      <w:bookmarkStart w:id="84" w:name="_Toc12816"/>
      <w:bookmarkStart w:id="85" w:name="_Toc4344"/>
      <w:r>
        <w:rPr>
          <w:rFonts w:hint="eastAsia" w:ascii="宋体" w:hAnsi="宋体" w:eastAsia="宋体" w:cs="宋体"/>
          <w:color w:val="auto"/>
          <w:highlight w:val="none"/>
        </w:rPr>
        <w:t>注意事项</w:t>
      </w:r>
      <w:bookmarkEnd w:id="84"/>
      <w:bookmarkEnd w:id="85"/>
    </w:p>
    <w:p w14:paraId="1C3167BC">
      <w:pPr>
        <w:pStyle w:val="6"/>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7C74EFFF">
      <w:pPr>
        <w:pStyle w:val="3"/>
        <w:keepLines w:val="0"/>
        <w:pageBreakBefore w:val="0"/>
        <w:widowControl w:val="0"/>
        <w:numPr>
          <w:ilvl w:val="0"/>
          <w:numId w:val="22"/>
        </w:numPr>
        <w:kinsoku/>
        <w:wordWrap/>
        <w:overflowPunct/>
        <w:topLinePunct w:val="0"/>
        <w:autoSpaceDE/>
        <w:autoSpaceDN/>
        <w:bidi w:val="0"/>
        <w:snapToGrid/>
        <w:spacing w:line="336" w:lineRule="auto"/>
        <w:jc w:val="center"/>
        <w:textAlignment w:val="auto"/>
        <w:rPr>
          <w:rFonts w:hint="eastAsia" w:ascii="宋体" w:hAnsi="宋体" w:eastAsia="宋体" w:cs="宋体"/>
          <w:color w:val="auto"/>
          <w:highlight w:val="none"/>
        </w:rPr>
      </w:pPr>
      <w:bookmarkStart w:id="86" w:name="_Toc13782"/>
      <w:bookmarkStart w:id="87" w:name="_Toc26902"/>
      <w:r>
        <w:rPr>
          <w:rFonts w:hint="eastAsia" w:ascii="宋体" w:hAnsi="宋体" w:eastAsia="宋体" w:cs="宋体"/>
          <w:color w:val="auto"/>
          <w:highlight w:val="none"/>
        </w:rPr>
        <w:t>评分细则</w:t>
      </w:r>
      <w:bookmarkEnd w:id="86"/>
      <w:bookmarkEnd w:id="87"/>
    </w:p>
    <w:p w14:paraId="52ACBB04">
      <w:pPr>
        <w:keepLines w:val="0"/>
        <w:pageBreakBefore w:val="0"/>
        <w:widowControl w:val="0"/>
        <w:kinsoku/>
        <w:wordWrap/>
        <w:overflowPunct/>
        <w:topLinePunct w:val="0"/>
        <w:autoSpaceDE/>
        <w:autoSpaceDN/>
        <w:bidi w:val="0"/>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0</w:t>
      </w:r>
      <w:r>
        <w:rPr>
          <w:rFonts w:hint="eastAsia" w:ascii="宋体" w:hAnsi="宋体" w:eastAsia="宋体" w:cs="宋体"/>
          <w:b/>
          <w:bCs/>
          <w:color w:val="auto"/>
          <w:sz w:val="24"/>
          <w:szCs w:val="24"/>
          <w:highlight w:val="none"/>
        </w:rPr>
        <w:t>分）</w:t>
      </w:r>
    </w:p>
    <w:p w14:paraId="508EF63B">
      <w:pPr>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36194DD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1、本次采购最高限价规定如下：</w:t>
      </w:r>
    </w:p>
    <w:p w14:paraId="7A31A838">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本项目投标报价的</w:t>
      </w:r>
      <w:r>
        <w:rPr>
          <w:rFonts w:hint="eastAsia" w:ascii="宋体" w:hAnsi="宋体" w:eastAsia="宋体" w:cs="宋体"/>
          <w:b/>
          <w:bCs/>
          <w:color w:val="auto"/>
          <w:sz w:val="24"/>
          <w:szCs w:val="24"/>
          <w:highlight w:val="none"/>
        </w:rPr>
        <w:t>最高限价为人民币</w:t>
      </w:r>
      <w:r>
        <w:rPr>
          <w:rFonts w:hint="eastAsia" w:ascii="宋体" w:hAnsi="宋体" w:cs="宋体"/>
          <w:b/>
          <w:bCs/>
          <w:color w:val="auto"/>
          <w:sz w:val="24"/>
          <w:szCs w:val="24"/>
          <w:highlight w:val="none"/>
          <w:u w:val="single"/>
          <w:lang w:val="en-US" w:eastAsia="zh-CN"/>
        </w:rPr>
        <w:t xml:space="preserve"> 玖拾柒万</w:t>
      </w:r>
      <w:r>
        <w:rPr>
          <w:rFonts w:hint="eastAsia" w:ascii="宋体" w:hAnsi="宋体" w:eastAsia="宋体" w:cs="宋体"/>
          <w:b/>
          <w:bCs/>
          <w:color w:val="auto"/>
          <w:sz w:val="24"/>
          <w:szCs w:val="24"/>
          <w:highlight w:val="none"/>
          <w:u w:val="single"/>
        </w:rPr>
        <w:t xml:space="preserve">元整 </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970000</w:t>
      </w:r>
      <w:r>
        <w:rPr>
          <w:rFonts w:hint="eastAsia" w:ascii="宋体" w:hAnsi="宋体" w:eastAsia="宋体" w:cs="宋体"/>
          <w:b/>
          <w:bCs/>
          <w:color w:val="auto"/>
          <w:sz w:val="24"/>
          <w:szCs w:val="24"/>
          <w:highlight w:val="none"/>
          <w:u w:val="single"/>
        </w:rPr>
        <w:t xml:space="preserve">.00 </w:t>
      </w:r>
      <w:r>
        <w:rPr>
          <w:rFonts w:hint="eastAsia" w:ascii="宋体" w:hAnsi="宋体" w:eastAsia="宋体" w:cs="宋体"/>
          <w:b/>
          <w:bCs/>
          <w:color w:val="auto"/>
          <w:sz w:val="24"/>
          <w:szCs w:val="24"/>
          <w:highlight w:val="none"/>
        </w:rPr>
        <w:t>元）。最高限价由采购人根据市场价格的调查设定，并且不高于本项目财政预算。</w:t>
      </w:r>
    </w:p>
    <w:p w14:paraId="0E3BA97C">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4CEA22AF">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w:t>
      </w:r>
      <w:r>
        <w:rPr>
          <w:rFonts w:hint="eastAsia" w:ascii="宋体" w:hAnsi="宋体" w:eastAsia="宋体" w:cs="宋体"/>
          <w:color w:val="auto"/>
          <w:highlight w:val="none"/>
        </w:rPr>
        <w:t>最</w:t>
      </w:r>
      <w:r>
        <w:rPr>
          <w:rFonts w:hint="eastAsia" w:ascii="宋体" w:hAnsi="宋体" w:eastAsia="宋体" w:cs="宋体"/>
          <w:color w:val="auto"/>
          <w:sz w:val="24"/>
          <w:szCs w:val="24"/>
          <w:highlight w:val="none"/>
        </w:rPr>
        <w:t>佳报价确定方式：根据所有入围供应商有效报价中的最低报价作为最佳报价。</w:t>
      </w:r>
    </w:p>
    <w:p w14:paraId="5AF9F97E">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634EDA8A">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300A0E86">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4FCF8DCA">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6、响应文件只允许有一个报价，磋商报价应按磋商文件中相关附表格式填报，该磋商报价应与明细报价汇总相等，且不允许出现报价优惠、赠送等字样（明细出现“0”元，视同赠送）,如出</w:t>
      </w:r>
      <w:r>
        <w:rPr>
          <w:rFonts w:hint="eastAsia" w:ascii="宋体" w:hAnsi="宋体" w:eastAsia="宋体" w:cs="宋体"/>
          <w:b w:val="0"/>
          <w:bCs w:val="0"/>
          <w:color w:val="auto"/>
          <w:sz w:val="24"/>
          <w:szCs w:val="24"/>
          <w:highlight w:val="none"/>
        </w:rPr>
        <w:t>现则做</w:t>
      </w:r>
      <w:r>
        <w:rPr>
          <w:rFonts w:hint="eastAsia" w:ascii="宋体" w:hAnsi="宋体" w:eastAsia="宋体" w:cs="宋体"/>
          <w:b/>
          <w:bCs/>
          <w:color w:val="auto"/>
          <w:sz w:val="24"/>
          <w:szCs w:val="24"/>
          <w:highlight w:val="none"/>
        </w:rPr>
        <w:t>无效响</w:t>
      </w:r>
      <w:r>
        <w:rPr>
          <w:rFonts w:hint="eastAsia" w:ascii="宋体" w:hAnsi="宋体" w:eastAsia="宋体" w:cs="宋体"/>
          <w:b w:val="0"/>
          <w:bCs w:val="0"/>
          <w:color w:val="auto"/>
          <w:sz w:val="24"/>
          <w:szCs w:val="24"/>
          <w:highlight w:val="none"/>
        </w:rPr>
        <w:t>应处理。</w:t>
      </w:r>
    </w:p>
    <w:p w14:paraId="098AA116">
      <w:pPr>
        <w:keepNext w:val="0"/>
        <w:keepLines w:val="0"/>
        <w:pageBreakBefore w:val="0"/>
        <w:widowControl w:val="0"/>
        <w:kinsoku/>
        <w:wordWrap/>
        <w:overflowPunct/>
        <w:topLinePunct w:val="0"/>
        <w:autoSpaceDE w:val="0"/>
        <w:autoSpaceDN w:val="0"/>
        <w:bidi w:val="0"/>
        <w:adjustRightInd/>
        <w:snapToGrid/>
        <w:spacing w:line="336"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投标价格的合理性</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评标委员会认为供应商的报价明显低于其他通过符合性审</w:t>
      </w:r>
      <w:r>
        <w:rPr>
          <w:rFonts w:hint="eastAsia" w:ascii="宋体" w:hAnsi="宋体" w:cs="宋体"/>
          <w:color w:val="auto"/>
          <w:sz w:val="24"/>
          <w:szCs w:val="24"/>
          <w:highlight w:val="none"/>
          <w:lang w:eastAsia="zh-CN"/>
        </w:rPr>
        <w:t>查的</w:t>
      </w:r>
      <w:r>
        <w:rPr>
          <w:rFonts w:hint="eastAsia" w:ascii="宋体" w:hAnsi="宋体" w:eastAsia="宋体"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w:t>
      </w:r>
      <w:r>
        <w:rPr>
          <w:rFonts w:hint="eastAsia" w:ascii="宋体" w:hAnsi="宋体" w:eastAsia="宋体" w:cs="宋体"/>
          <w:b w:val="0"/>
          <w:bCs w:val="0"/>
          <w:color w:val="auto"/>
          <w:sz w:val="24"/>
          <w:szCs w:val="24"/>
          <w:highlight w:val="none"/>
        </w:rPr>
        <w:t>无效响</w:t>
      </w:r>
      <w:r>
        <w:rPr>
          <w:rFonts w:hint="eastAsia" w:ascii="宋体" w:hAnsi="宋体" w:eastAsia="宋体" w:cs="宋体"/>
          <w:color w:val="auto"/>
          <w:sz w:val="24"/>
          <w:szCs w:val="24"/>
          <w:highlight w:val="none"/>
        </w:rPr>
        <w:t>应处理。</w:t>
      </w:r>
    </w:p>
    <w:p w14:paraId="104EF382">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665F6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6C5ADE7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6DBECDCE">
      <w:pPr>
        <w:keepNext w:val="0"/>
        <w:keepLines w:val="0"/>
        <w:pageBreakBefore w:val="0"/>
        <w:widowControl w:val="0"/>
        <w:numPr>
          <w:ilvl w:val="0"/>
          <w:numId w:val="23"/>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rPr>
        <w:t>0</w:t>
      </w:r>
      <w:r>
        <w:rPr>
          <w:rFonts w:hint="eastAsia" w:ascii="宋体" w:hAnsi="宋体" w:eastAsia="宋体" w:cs="宋体"/>
          <w:b/>
          <w:bCs/>
          <w:color w:val="auto"/>
          <w:sz w:val="24"/>
          <w:szCs w:val="24"/>
          <w:highlight w:val="none"/>
        </w:rPr>
        <w:t>分）</w:t>
      </w:r>
    </w:p>
    <w:p w14:paraId="6ECD62D8">
      <w:pPr>
        <w:keepNext w:val="0"/>
        <w:keepLines w:val="0"/>
        <w:pageBreakBefore w:val="0"/>
        <w:widowControl w:val="0"/>
        <w:numPr>
          <w:ilvl w:val="0"/>
          <w:numId w:val="24"/>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bl>
      <w:tblPr>
        <w:tblStyle w:val="24"/>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00"/>
        <w:gridCol w:w="5301"/>
        <w:gridCol w:w="1050"/>
      </w:tblGrid>
      <w:tr w14:paraId="2789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noWrap/>
            <w:vAlign w:val="center"/>
          </w:tcPr>
          <w:p w14:paraId="67E5C874">
            <w:pPr>
              <w:adjustRightInd w:val="0"/>
              <w:spacing w:before="156" w:beforeLines="50"/>
              <w:jc w:val="center"/>
              <w:rPr>
                <w:rFonts w:hint="eastAsia" w:ascii="宋体" w:hAnsi="宋体" w:cs="宋体"/>
                <w:b/>
                <w:bCs/>
                <w:color w:val="auto"/>
                <w:sz w:val="24"/>
                <w:highlight w:val="none"/>
              </w:rPr>
            </w:pPr>
            <w:r>
              <w:rPr>
                <w:rFonts w:hint="eastAsia" w:ascii="宋体" w:hAnsi="宋体" w:cs="宋体"/>
                <w:b/>
                <w:bCs/>
                <w:color w:val="auto"/>
                <w:sz w:val="24"/>
                <w:highlight w:val="none"/>
              </w:rPr>
              <w:t>评分</w:t>
            </w:r>
          </w:p>
          <w:p w14:paraId="70474F1B">
            <w:pPr>
              <w:adjustRightInd w:val="0"/>
              <w:spacing w:before="156" w:beforeLines="50"/>
              <w:jc w:val="center"/>
              <w:rPr>
                <w:rFonts w:hint="eastAsia" w:ascii="宋体" w:hAnsi="宋体" w:cs="宋体"/>
                <w:b w:val="0"/>
                <w:bCs/>
                <w:sz w:val="24"/>
                <w:szCs w:val="24"/>
                <w:highlight w:val="none"/>
              </w:rPr>
            </w:pPr>
            <w:r>
              <w:rPr>
                <w:rFonts w:hint="eastAsia" w:ascii="宋体" w:hAnsi="宋体" w:cs="宋体"/>
                <w:b/>
                <w:bCs/>
                <w:color w:val="auto"/>
                <w:sz w:val="24"/>
                <w:highlight w:val="none"/>
              </w:rPr>
              <w:t>项目</w:t>
            </w:r>
          </w:p>
        </w:tc>
        <w:tc>
          <w:tcPr>
            <w:tcW w:w="6501" w:type="dxa"/>
            <w:gridSpan w:val="2"/>
            <w:noWrap/>
            <w:vAlign w:val="center"/>
          </w:tcPr>
          <w:p w14:paraId="578E2779">
            <w:pPr>
              <w:adjustRightInd w:val="0"/>
              <w:spacing w:before="156" w:beforeLines="50" w:line="360" w:lineRule="auto"/>
              <w:jc w:val="center"/>
              <w:rPr>
                <w:rFonts w:hint="eastAsia" w:ascii="宋体" w:hAnsi="宋体" w:cs="宋体"/>
                <w:b w:val="0"/>
                <w:bCs/>
                <w:sz w:val="24"/>
                <w:szCs w:val="24"/>
                <w:highlight w:val="none"/>
              </w:rPr>
            </w:pPr>
            <w:r>
              <w:rPr>
                <w:rFonts w:hint="eastAsia" w:ascii="宋体" w:hAnsi="宋体" w:cs="宋体"/>
                <w:b/>
                <w:bCs/>
                <w:color w:val="auto"/>
                <w:sz w:val="24"/>
                <w:highlight w:val="none"/>
              </w:rPr>
              <w:t>评标要点及说明</w:t>
            </w:r>
          </w:p>
        </w:tc>
        <w:tc>
          <w:tcPr>
            <w:tcW w:w="1050" w:type="dxa"/>
            <w:noWrap/>
            <w:vAlign w:val="center"/>
          </w:tcPr>
          <w:p w14:paraId="1AF0B933">
            <w:pPr>
              <w:widowControl/>
              <w:jc w:val="center"/>
              <w:rPr>
                <w:rFonts w:hint="eastAsia" w:ascii="宋体" w:hAnsi="宋体" w:cs="宋体"/>
                <w:b w:val="0"/>
                <w:bCs/>
                <w:sz w:val="24"/>
                <w:szCs w:val="24"/>
                <w:highlight w:val="none"/>
              </w:rPr>
            </w:pPr>
            <w:r>
              <w:rPr>
                <w:rFonts w:hint="eastAsia" w:ascii="宋体" w:hAnsi="宋体" w:cs="宋体"/>
                <w:b/>
                <w:bCs/>
                <w:color w:val="auto"/>
                <w:sz w:val="24"/>
                <w:highlight w:val="none"/>
              </w:rPr>
              <w:t>分值</w:t>
            </w:r>
          </w:p>
        </w:tc>
      </w:tr>
      <w:tr w14:paraId="03D1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11" w:type="dxa"/>
            <w:vMerge w:val="restart"/>
            <w:noWrap/>
            <w:vAlign w:val="center"/>
          </w:tcPr>
          <w:p w14:paraId="0742182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技术</w:t>
            </w:r>
          </w:p>
          <w:p w14:paraId="47E1E039">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240" w:firstLineChars="100"/>
              <w:jc w:val="left"/>
              <w:textAlignment w:val="auto"/>
              <w:rPr>
                <w:b w:val="0"/>
                <w:bCs/>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73</w:t>
            </w:r>
            <w:r>
              <w:rPr>
                <w:rFonts w:hint="eastAsia" w:ascii="宋体" w:hAnsi="宋体" w:cs="宋体"/>
                <w:color w:val="auto"/>
                <w:sz w:val="24"/>
                <w:highlight w:val="none"/>
                <w:lang w:eastAsia="zh-CN"/>
              </w:rPr>
              <w:t>）</w:t>
            </w:r>
          </w:p>
        </w:tc>
        <w:tc>
          <w:tcPr>
            <w:tcW w:w="1200" w:type="dxa"/>
            <w:vMerge w:val="restart"/>
            <w:noWrap/>
            <w:vAlign w:val="center"/>
          </w:tcPr>
          <w:p w14:paraId="2BEFD45C">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highlight w:val="none"/>
              </w:rPr>
            </w:pPr>
            <w:r>
              <w:rPr>
                <w:rFonts w:hint="eastAsia" w:ascii="宋体" w:hAnsi="宋体" w:eastAsia="宋体" w:cs="宋体"/>
                <w:color w:val="000000"/>
                <w:sz w:val="24"/>
                <w:szCs w:val="24"/>
                <w:highlight w:val="none"/>
              </w:rPr>
              <w:t>重要性</w:t>
            </w:r>
            <w:r>
              <w:rPr>
                <w:rFonts w:hint="eastAsia" w:ascii="宋体" w:hAnsi="宋体" w:eastAsia="宋体" w:cs="宋体"/>
                <w:color w:val="000000"/>
                <w:sz w:val="24"/>
                <w:szCs w:val="24"/>
                <w:highlight w:val="none"/>
                <w:lang w:eastAsia="zh-CN"/>
              </w:rPr>
              <w:t>技术</w:t>
            </w:r>
            <w:r>
              <w:rPr>
                <w:rFonts w:hint="eastAsia" w:ascii="宋体" w:hAnsi="宋体" w:eastAsia="宋体" w:cs="宋体"/>
                <w:color w:val="000000"/>
                <w:sz w:val="24"/>
                <w:szCs w:val="24"/>
                <w:highlight w:val="none"/>
              </w:rPr>
              <w:t>参数(技术指标含“▲”为重要性参数)</w:t>
            </w:r>
          </w:p>
        </w:tc>
        <w:tc>
          <w:tcPr>
            <w:tcW w:w="5301" w:type="dxa"/>
            <w:noWrap/>
            <w:vAlign w:val="center"/>
          </w:tcPr>
          <w:p w14:paraId="47537133">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zh-CN"/>
              </w:rPr>
              <w:t>气溶胶质谱仪</w:t>
            </w:r>
            <w:r>
              <w:rPr>
                <w:rFonts w:hint="eastAsia" w:ascii="宋体" w:hAnsi="宋体" w:eastAsia="宋体" w:cs="宋体"/>
                <w:b w:val="0"/>
                <w:bCs w:val="0"/>
                <w:color w:val="000000"/>
                <w:sz w:val="24"/>
                <w:szCs w:val="24"/>
                <w:highlight w:val="none"/>
              </w:rPr>
              <w:t>兼容激光汽化模块</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完全满足</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highlight w:val="none"/>
              </w:rPr>
              <w:t>文件技术参数配置要求得</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val="en-US" w:eastAsia="zh-CN"/>
              </w:rPr>
              <w:t>注：需提供《技术响应及建议表》、《佐证材料汇总表》，相应完整参数材料附在佐证材料汇总表后并框出对应内容，佐证材料包括产品技术说明书</w:t>
            </w:r>
            <w:r>
              <w:rPr>
                <w:rFonts w:hint="eastAsia" w:ascii="宋体" w:hAnsi="宋体" w:eastAsia="宋体" w:cs="宋体"/>
                <w:b w:val="0"/>
                <w:bCs w:val="0"/>
                <w:color w:val="000000"/>
                <w:sz w:val="24"/>
                <w:szCs w:val="24"/>
                <w:highlight w:val="none"/>
              </w:rPr>
              <w:t>等佐证材料</w:t>
            </w:r>
            <w:r>
              <w:rPr>
                <w:rFonts w:hint="eastAsia" w:ascii="宋体" w:hAnsi="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参数需在佐证材料内标注并加盖供应商公章</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《技术响应及建议表》</w:t>
            </w:r>
            <w:r>
              <w:rPr>
                <w:rFonts w:hint="eastAsia" w:ascii="宋体" w:hAnsi="宋体" w:eastAsia="宋体" w:cs="宋体"/>
                <w:b w:val="0"/>
                <w:bCs w:val="0"/>
                <w:color w:val="000000"/>
                <w:sz w:val="24"/>
                <w:szCs w:val="24"/>
                <w:highlight w:val="none"/>
              </w:rPr>
              <w:t>响应内容为空头或仅拷贝粘贴响应均不得分</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 xml:space="preserve"> </w:t>
            </w:r>
          </w:p>
        </w:tc>
        <w:tc>
          <w:tcPr>
            <w:tcW w:w="1050" w:type="dxa"/>
            <w:noWrap/>
            <w:vAlign w:val="center"/>
          </w:tcPr>
          <w:p w14:paraId="5F1EF383">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5分</w:t>
            </w:r>
          </w:p>
        </w:tc>
      </w:tr>
      <w:tr w14:paraId="7CF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11" w:type="dxa"/>
            <w:vMerge w:val="continue"/>
            <w:noWrap/>
            <w:vAlign w:val="center"/>
          </w:tcPr>
          <w:p w14:paraId="1DCB2508">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pPr>
          </w:p>
        </w:tc>
        <w:tc>
          <w:tcPr>
            <w:tcW w:w="1200" w:type="dxa"/>
            <w:vMerge w:val="continue"/>
            <w:noWrap/>
            <w:vAlign w:val="center"/>
          </w:tcPr>
          <w:p w14:paraId="53C91A53">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pPr>
          </w:p>
        </w:tc>
        <w:tc>
          <w:tcPr>
            <w:tcW w:w="5301" w:type="dxa"/>
            <w:noWrap/>
            <w:vAlign w:val="center"/>
          </w:tcPr>
          <w:p w14:paraId="4CD00A13">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zh-CN"/>
              </w:rPr>
              <w:t>气溶胶质谱仪</w:t>
            </w:r>
            <w:r>
              <w:rPr>
                <w:rFonts w:hint="eastAsia" w:ascii="宋体" w:hAnsi="宋体" w:eastAsia="宋体" w:cs="宋体"/>
                <w:b w:val="0"/>
                <w:bCs w:val="0"/>
                <w:color w:val="000000"/>
                <w:sz w:val="24"/>
                <w:szCs w:val="24"/>
                <w:highlight w:val="none"/>
              </w:rPr>
              <w:t>支持大气常压进样的气态在线测量，不需要样品前处理</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完全满足</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highlight w:val="none"/>
              </w:rPr>
              <w:t>文件技术参数配置要求得</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val="en-US" w:eastAsia="zh-CN"/>
              </w:rPr>
              <w:t>注：需提供《技术响应及建议表》、《佐证材料汇总表》，相应完整参数材料附在佐证材料汇总表后并框出对应内容，佐证材料包括产品技术说明书等佐证材料，参数需在佐证材料内标注并加盖供应商公章，《技术响应及建议表》响应内容为空头或仅拷贝粘贴响应均不得分。</w:t>
            </w:r>
          </w:p>
        </w:tc>
        <w:tc>
          <w:tcPr>
            <w:tcW w:w="1050" w:type="dxa"/>
            <w:noWrap/>
            <w:vAlign w:val="center"/>
          </w:tcPr>
          <w:p w14:paraId="41CFDBF4">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r>
      <w:tr w14:paraId="287F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11" w:type="dxa"/>
            <w:vMerge w:val="continue"/>
            <w:noWrap/>
            <w:vAlign w:val="center"/>
          </w:tcPr>
          <w:p w14:paraId="17BEB2D6">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color w:val="auto"/>
                <w:kern w:val="0"/>
                <w:sz w:val="24"/>
                <w:szCs w:val="24"/>
                <w:highlight w:val="none"/>
                <w:lang w:val="en-US" w:eastAsia="zh-CN"/>
              </w:rPr>
            </w:pPr>
          </w:p>
        </w:tc>
        <w:tc>
          <w:tcPr>
            <w:tcW w:w="1200" w:type="dxa"/>
            <w:vMerge w:val="continue"/>
            <w:noWrap/>
            <w:vAlign w:val="center"/>
          </w:tcPr>
          <w:p w14:paraId="31C0DA66">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color w:val="auto"/>
                <w:kern w:val="0"/>
                <w:sz w:val="24"/>
                <w:szCs w:val="24"/>
                <w:highlight w:val="none"/>
                <w:lang w:val="en-US" w:eastAsia="zh-CN"/>
              </w:rPr>
            </w:pPr>
          </w:p>
        </w:tc>
        <w:tc>
          <w:tcPr>
            <w:tcW w:w="5301" w:type="dxa"/>
            <w:noWrap/>
            <w:vAlign w:val="center"/>
          </w:tcPr>
          <w:p w14:paraId="0023FAD5">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zh-CN"/>
              </w:rPr>
              <w:t>质子转移反应质谱仪</w:t>
            </w:r>
            <w:r>
              <w:rPr>
                <w:rFonts w:hint="eastAsia" w:ascii="宋体" w:hAnsi="宋体" w:eastAsia="宋体" w:cs="宋体"/>
                <w:b w:val="0"/>
                <w:bCs w:val="0"/>
                <w:color w:val="000000"/>
                <w:sz w:val="24"/>
                <w:szCs w:val="24"/>
                <w:highlight w:val="none"/>
              </w:rPr>
              <w:t>质量分辨率</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完全满足</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highlight w:val="none"/>
              </w:rPr>
              <w:t>文件技术参数配置要求得</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val="en-US" w:eastAsia="zh-CN"/>
              </w:rPr>
              <w:t>注：需提供《技术响应及建议表》、《佐证材料汇总表》，相应完整参数材料附在佐证材料汇总表后并框出对应内容，佐证材料包括产品技术说明书</w:t>
            </w:r>
            <w:r>
              <w:rPr>
                <w:rFonts w:hint="eastAsia" w:ascii="宋体" w:hAnsi="宋体" w:eastAsia="宋体" w:cs="宋体"/>
                <w:b w:val="0"/>
                <w:bCs w:val="0"/>
                <w:color w:val="000000"/>
                <w:sz w:val="24"/>
                <w:szCs w:val="24"/>
                <w:highlight w:val="none"/>
              </w:rPr>
              <w:t>等佐证材料</w:t>
            </w:r>
            <w:r>
              <w:rPr>
                <w:rFonts w:hint="eastAsia" w:ascii="宋体" w:hAnsi="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参数需在佐证材料内标注并加盖供应商公章</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《技术响应及建议表》</w:t>
            </w:r>
            <w:r>
              <w:rPr>
                <w:rFonts w:hint="eastAsia" w:ascii="宋体" w:hAnsi="宋体" w:eastAsia="宋体" w:cs="宋体"/>
                <w:b w:val="0"/>
                <w:bCs w:val="0"/>
                <w:color w:val="000000"/>
                <w:sz w:val="24"/>
                <w:szCs w:val="24"/>
                <w:highlight w:val="none"/>
              </w:rPr>
              <w:t>响应内容为空头或仅拷贝粘贴响应均不得分</w:t>
            </w:r>
            <w:r>
              <w:rPr>
                <w:rFonts w:hint="eastAsia" w:ascii="宋体" w:hAnsi="宋体" w:eastAsia="宋体" w:cs="宋体"/>
                <w:b w:val="0"/>
                <w:bCs w:val="0"/>
                <w:color w:val="000000"/>
                <w:sz w:val="24"/>
                <w:szCs w:val="24"/>
                <w:highlight w:val="none"/>
                <w:lang w:val="en-US" w:eastAsia="zh-CN"/>
              </w:rPr>
              <w:t>。</w:t>
            </w:r>
          </w:p>
        </w:tc>
        <w:tc>
          <w:tcPr>
            <w:tcW w:w="1050" w:type="dxa"/>
            <w:noWrap/>
            <w:vAlign w:val="center"/>
          </w:tcPr>
          <w:p w14:paraId="78A35540">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r>
      <w:tr w14:paraId="6AD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011" w:type="dxa"/>
            <w:vMerge w:val="continue"/>
            <w:noWrap/>
            <w:vAlign w:val="center"/>
          </w:tcPr>
          <w:p w14:paraId="7DF3012D">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color w:val="auto"/>
                <w:kern w:val="0"/>
                <w:sz w:val="24"/>
                <w:szCs w:val="24"/>
                <w:highlight w:val="none"/>
                <w:lang w:val="en-US" w:eastAsia="zh-CN"/>
              </w:rPr>
            </w:pPr>
          </w:p>
        </w:tc>
        <w:tc>
          <w:tcPr>
            <w:tcW w:w="1200" w:type="dxa"/>
            <w:vMerge w:val="continue"/>
            <w:noWrap/>
            <w:vAlign w:val="center"/>
          </w:tcPr>
          <w:p w14:paraId="17C28FB8">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color w:val="auto"/>
                <w:kern w:val="0"/>
                <w:sz w:val="24"/>
                <w:szCs w:val="24"/>
                <w:highlight w:val="none"/>
                <w:lang w:val="en-US" w:eastAsia="zh-CN"/>
              </w:rPr>
            </w:pPr>
          </w:p>
        </w:tc>
        <w:tc>
          <w:tcPr>
            <w:tcW w:w="5301" w:type="dxa"/>
            <w:noWrap/>
            <w:vAlign w:val="center"/>
          </w:tcPr>
          <w:p w14:paraId="25A8AC9D">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zh-CN"/>
              </w:rPr>
              <w:t>质子转移反应质谱仪</w:t>
            </w:r>
            <w:r>
              <w:rPr>
                <w:rFonts w:hint="eastAsia" w:ascii="宋体" w:hAnsi="宋体" w:eastAsia="宋体" w:cs="宋体"/>
                <w:b w:val="0"/>
                <w:bCs w:val="0"/>
                <w:color w:val="000000"/>
                <w:sz w:val="24"/>
                <w:szCs w:val="24"/>
                <w:highlight w:val="none"/>
              </w:rPr>
              <w:t>支持大气常压进样的气态在线测量，不需要样品前处理</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完全满足</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b w:val="0"/>
                <w:bCs w:val="0"/>
                <w:color w:val="000000"/>
                <w:sz w:val="24"/>
                <w:szCs w:val="24"/>
                <w:highlight w:val="none"/>
              </w:rPr>
              <w:t>文件技术参数配置要求得</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val="en-US" w:eastAsia="zh-CN"/>
              </w:rPr>
              <w:t>注：需提供《技术响应及建议表》、《佐证材料汇总表》，相应完整参数材料附在佐证材料汇总表后并框出对应内容，佐证材料包括产品技术说明书</w:t>
            </w:r>
            <w:r>
              <w:rPr>
                <w:rFonts w:hint="eastAsia" w:ascii="宋体" w:hAnsi="宋体" w:eastAsia="宋体" w:cs="宋体"/>
                <w:b w:val="0"/>
                <w:bCs w:val="0"/>
                <w:color w:val="000000"/>
                <w:sz w:val="24"/>
                <w:szCs w:val="24"/>
                <w:highlight w:val="none"/>
              </w:rPr>
              <w:t>等佐证材料，</w:t>
            </w:r>
            <w:r>
              <w:rPr>
                <w:rFonts w:hint="eastAsia" w:ascii="宋体" w:hAnsi="宋体" w:eastAsia="宋体" w:cs="宋体"/>
                <w:b w:val="0"/>
                <w:bCs w:val="0"/>
                <w:color w:val="000000"/>
                <w:sz w:val="24"/>
                <w:szCs w:val="24"/>
                <w:highlight w:val="none"/>
                <w:lang w:val="en-US" w:eastAsia="zh-CN"/>
              </w:rPr>
              <w:t>参数需在佐证材料内标注并加盖供应商公章</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《技术响应及建议表》</w:t>
            </w:r>
            <w:r>
              <w:rPr>
                <w:rFonts w:hint="eastAsia" w:ascii="宋体" w:hAnsi="宋体" w:eastAsia="宋体" w:cs="宋体"/>
                <w:b w:val="0"/>
                <w:bCs w:val="0"/>
                <w:color w:val="000000"/>
                <w:sz w:val="24"/>
                <w:szCs w:val="24"/>
                <w:highlight w:val="none"/>
              </w:rPr>
              <w:t>响应内容为空头或仅拷贝粘贴响应均不得分</w:t>
            </w:r>
            <w:r>
              <w:rPr>
                <w:rFonts w:hint="eastAsia" w:ascii="宋体" w:hAnsi="宋体" w:eastAsia="宋体" w:cs="宋体"/>
                <w:b w:val="0"/>
                <w:bCs w:val="0"/>
                <w:color w:val="000000"/>
                <w:sz w:val="24"/>
                <w:szCs w:val="24"/>
                <w:highlight w:val="none"/>
                <w:lang w:val="en-US" w:eastAsia="zh-CN"/>
              </w:rPr>
              <w:t>。</w:t>
            </w:r>
          </w:p>
        </w:tc>
        <w:tc>
          <w:tcPr>
            <w:tcW w:w="1050" w:type="dxa"/>
            <w:noWrap/>
            <w:vAlign w:val="center"/>
          </w:tcPr>
          <w:p w14:paraId="5EF77290">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r>
      <w:tr w14:paraId="34AA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Merge w:val="continue"/>
            <w:noWrap/>
            <w:vAlign w:val="center"/>
          </w:tcPr>
          <w:p w14:paraId="4D7D99CE">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240" w:firstLineChars="100"/>
              <w:jc w:val="both"/>
              <w:textAlignment w:val="auto"/>
              <w:rPr>
                <w:rFonts w:hint="eastAsia" w:ascii="宋体" w:hAnsi="宋体" w:cs="宋体"/>
                <w:color w:val="auto"/>
                <w:sz w:val="24"/>
                <w:highlight w:val="none"/>
                <w:lang w:eastAsia="zh-CN"/>
              </w:rPr>
            </w:pPr>
          </w:p>
        </w:tc>
        <w:tc>
          <w:tcPr>
            <w:tcW w:w="1200" w:type="dxa"/>
            <w:shd w:val="clear" w:color="auto" w:fill="auto"/>
            <w:noWrap/>
            <w:vAlign w:val="center"/>
          </w:tcPr>
          <w:p w14:paraId="33887A09">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color w:val="000000"/>
                <w:sz w:val="24"/>
                <w:szCs w:val="24"/>
                <w:highlight w:val="none"/>
                <w:lang w:val="en-US" w:eastAsia="zh-CN"/>
              </w:rPr>
              <w:t>一般性技术参数</w:t>
            </w:r>
          </w:p>
        </w:tc>
        <w:tc>
          <w:tcPr>
            <w:tcW w:w="5301" w:type="dxa"/>
            <w:shd w:val="clear" w:color="auto" w:fill="auto"/>
            <w:noWrap/>
            <w:vAlign w:val="center"/>
          </w:tcPr>
          <w:p w14:paraId="4211C990">
            <w:pPr>
              <w:spacing w:line="288"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一般性</w:t>
            </w:r>
            <w:r>
              <w:rPr>
                <w:rFonts w:hint="eastAsia" w:ascii="宋体" w:hAnsi="宋体" w:eastAsia="宋体" w:cs="宋体"/>
                <w:color w:val="000000"/>
                <w:sz w:val="24"/>
                <w:szCs w:val="24"/>
                <w:highlight w:val="none"/>
              </w:rPr>
              <w:t>技术参数完全满足</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文件技术参数配置要求得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7D8726A8">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sz w:val="24"/>
                <w:szCs w:val="24"/>
                <w:highlight w:val="none"/>
                <w:lang w:eastAsia="zh-CN"/>
              </w:rPr>
              <w:t>一般性技术参数要求条款响应得分=（供应商满足一般性技术参数要求条款的数量÷一般性技术参数要求条款的总数量）×5分。（如遇到小数情况，保留两位小数）</w:t>
            </w:r>
          </w:p>
        </w:tc>
        <w:tc>
          <w:tcPr>
            <w:tcW w:w="1050" w:type="dxa"/>
            <w:shd w:val="clear" w:color="auto" w:fill="auto"/>
            <w:noWrap/>
            <w:vAlign w:val="center"/>
          </w:tcPr>
          <w:p w14:paraId="66489642">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分</w:t>
            </w:r>
          </w:p>
        </w:tc>
      </w:tr>
      <w:tr w14:paraId="11A0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Merge w:val="continue"/>
            <w:noWrap/>
            <w:vAlign w:val="center"/>
          </w:tcPr>
          <w:p w14:paraId="7908E052">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240" w:firstLineChars="100"/>
              <w:jc w:val="both"/>
              <w:textAlignment w:val="auto"/>
              <w:rPr>
                <w:b w:val="0"/>
                <w:bCs/>
                <w:sz w:val="24"/>
                <w:szCs w:val="24"/>
                <w:highlight w:val="none"/>
              </w:rPr>
            </w:pPr>
          </w:p>
        </w:tc>
        <w:tc>
          <w:tcPr>
            <w:tcW w:w="1200" w:type="dxa"/>
            <w:noWrap/>
            <w:vAlign w:val="center"/>
          </w:tcPr>
          <w:p w14:paraId="3732ECC9">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b w:val="0"/>
                <w:bCs/>
                <w:sz w:val="24"/>
                <w:szCs w:val="24"/>
                <w:highlight w:val="none"/>
              </w:rPr>
              <w:t>项目</w:t>
            </w:r>
            <w:r>
              <w:rPr>
                <w:rFonts w:hint="eastAsia" w:ascii="宋体" w:hAnsi="宋体" w:cs="宋体"/>
                <w:b w:val="0"/>
                <w:bCs/>
                <w:sz w:val="24"/>
                <w:szCs w:val="24"/>
                <w:highlight w:val="none"/>
                <w:lang w:val="en-US" w:eastAsia="zh-CN"/>
              </w:rPr>
              <w:t>现状</w:t>
            </w:r>
            <w:r>
              <w:rPr>
                <w:rFonts w:hint="eastAsia" w:ascii="宋体" w:hAnsi="宋体" w:cs="宋体"/>
                <w:b w:val="0"/>
                <w:bCs/>
                <w:sz w:val="24"/>
                <w:szCs w:val="24"/>
                <w:highlight w:val="none"/>
              </w:rPr>
              <w:t>分析</w:t>
            </w:r>
          </w:p>
        </w:tc>
        <w:tc>
          <w:tcPr>
            <w:tcW w:w="5301" w:type="dxa"/>
            <w:noWrap/>
            <w:vAlign w:val="center"/>
          </w:tcPr>
          <w:p w14:paraId="3439A093">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lang w:eastAsia="zh-CN"/>
              </w:rPr>
              <w:t>供应商</w:t>
            </w:r>
            <w:r>
              <w:rPr>
                <w:rFonts w:hint="eastAsia" w:ascii="宋体" w:hAnsi="宋体" w:cs="宋体"/>
                <w:color w:val="auto"/>
                <w:kern w:val="0"/>
                <w:sz w:val="24"/>
                <w:szCs w:val="24"/>
                <w:highlight w:val="none"/>
                <w:lang w:val="en-US" w:eastAsia="zh-CN"/>
              </w:rPr>
              <w:t>针对本项目</w:t>
            </w:r>
            <w:r>
              <w:rPr>
                <w:rFonts w:hint="eastAsia" w:ascii="宋体" w:hAnsi="宋体" w:cs="宋体"/>
                <w:color w:val="auto"/>
                <w:kern w:val="0"/>
                <w:sz w:val="24"/>
                <w:szCs w:val="24"/>
                <w:highlight w:val="none"/>
              </w:rPr>
              <w:t>现状、主要存在的问题等分析情况进行</w:t>
            </w:r>
            <w:r>
              <w:rPr>
                <w:rFonts w:hint="eastAsia" w:ascii="宋体" w:hAnsi="宋体" w:cs="宋体"/>
                <w:color w:val="auto"/>
                <w:kern w:val="0"/>
                <w:sz w:val="24"/>
                <w:szCs w:val="24"/>
                <w:highlight w:val="none"/>
                <w:lang w:val="en-US" w:eastAsia="zh-CN"/>
              </w:rPr>
              <w:t>综合</w:t>
            </w:r>
            <w:r>
              <w:rPr>
                <w:rFonts w:hint="eastAsia" w:ascii="宋体" w:hAnsi="宋体" w:cs="宋体"/>
                <w:color w:val="auto"/>
                <w:kern w:val="0"/>
                <w:sz w:val="24"/>
                <w:szCs w:val="24"/>
                <w:highlight w:val="none"/>
              </w:rPr>
              <w:t>打分。</w:t>
            </w:r>
          </w:p>
        </w:tc>
        <w:tc>
          <w:tcPr>
            <w:tcW w:w="1050" w:type="dxa"/>
            <w:noWrap/>
            <w:vAlign w:val="center"/>
          </w:tcPr>
          <w:p w14:paraId="76B1B9A4">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6分</w:t>
            </w:r>
          </w:p>
        </w:tc>
      </w:tr>
      <w:tr w14:paraId="5345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1" w:type="dxa"/>
            <w:vMerge w:val="continue"/>
            <w:noWrap/>
            <w:vAlign w:val="center"/>
          </w:tcPr>
          <w:p w14:paraId="31B33B4F">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highlight w:val="none"/>
              </w:rPr>
            </w:pPr>
          </w:p>
        </w:tc>
        <w:tc>
          <w:tcPr>
            <w:tcW w:w="1200" w:type="dxa"/>
            <w:noWrap/>
            <w:vAlign w:val="center"/>
          </w:tcPr>
          <w:p w14:paraId="77466132">
            <w:pPr>
              <w:tabs>
                <w:tab w:val="left" w:pos="1080"/>
              </w:tabs>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b w:val="0"/>
                <w:bCs/>
                <w:sz w:val="24"/>
                <w:szCs w:val="24"/>
                <w:highlight w:val="none"/>
              </w:rPr>
              <w:t>实施方案</w:t>
            </w:r>
          </w:p>
        </w:tc>
        <w:tc>
          <w:tcPr>
            <w:tcW w:w="5301" w:type="dxa"/>
            <w:noWrap/>
            <w:vAlign w:val="center"/>
          </w:tcPr>
          <w:p w14:paraId="3B7C7D14">
            <w:pPr>
              <w:tabs>
                <w:tab w:val="left" w:pos="1080"/>
              </w:tabs>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根据供应商针对本项目制定的项目实施方案的科学性、针对性、准确性等进行综合打分。</w:t>
            </w:r>
          </w:p>
        </w:tc>
        <w:tc>
          <w:tcPr>
            <w:tcW w:w="1050" w:type="dxa"/>
            <w:noWrap/>
            <w:vAlign w:val="center"/>
          </w:tcPr>
          <w:p w14:paraId="4A43AEB2">
            <w:pPr>
              <w:tabs>
                <w:tab w:val="left" w:pos="1080"/>
              </w:tabs>
              <w:spacing w:line="380" w:lineRule="exact"/>
              <w:jc w:val="center"/>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rPr>
              <w:t>分</w:t>
            </w:r>
          </w:p>
        </w:tc>
      </w:tr>
      <w:tr w14:paraId="2244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11" w:type="dxa"/>
            <w:vMerge w:val="continue"/>
            <w:noWrap/>
            <w:vAlign w:val="center"/>
          </w:tcPr>
          <w:p w14:paraId="39C34641">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480" w:firstLineChars="200"/>
              <w:jc w:val="center"/>
              <w:textAlignment w:val="auto"/>
              <w:rPr>
                <w:rFonts w:hint="eastAsia" w:ascii="新宋体" w:hAnsi="新宋体" w:eastAsia="新宋体" w:cs="新宋体"/>
                <w:b w:val="0"/>
                <w:bCs/>
                <w:sz w:val="24"/>
                <w:szCs w:val="24"/>
                <w:highlight w:val="none"/>
              </w:rPr>
            </w:pPr>
          </w:p>
        </w:tc>
        <w:tc>
          <w:tcPr>
            <w:tcW w:w="1200" w:type="dxa"/>
            <w:noWrap/>
            <w:vAlign w:val="center"/>
          </w:tcPr>
          <w:p w14:paraId="52EED22C">
            <w:pPr>
              <w:tabs>
                <w:tab w:val="left" w:pos="1080"/>
              </w:tabs>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进度计划</w:t>
            </w:r>
          </w:p>
        </w:tc>
        <w:tc>
          <w:tcPr>
            <w:tcW w:w="5301" w:type="dxa"/>
            <w:noWrap/>
            <w:vAlign w:val="center"/>
          </w:tcPr>
          <w:p w14:paraId="57CCBD4C">
            <w:pPr>
              <w:tabs>
                <w:tab w:val="left" w:pos="1080"/>
              </w:tabs>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根据供应商提供的</w:t>
            </w:r>
            <w:r>
              <w:rPr>
                <w:rFonts w:hint="eastAsia" w:ascii="宋体" w:hAnsi="宋体" w:cs="宋体"/>
                <w:sz w:val="24"/>
                <w:szCs w:val="24"/>
                <w:highlight w:val="none"/>
              </w:rPr>
              <w:t>工作时间安排进度、工作程序和步骤的情况</w:t>
            </w:r>
            <w:r>
              <w:rPr>
                <w:rFonts w:hint="eastAsia" w:ascii="宋体" w:hAnsi="宋体" w:cs="宋体"/>
                <w:sz w:val="24"/>
                <w:szCs w:val="24"/>
                <w:highlight w:val="none"/>
                <w:lang w:val="en-US" w:eastAsia="zh-CN"/>
              </w:rPr>
              <w:t>进行综合打分</w:t>
            </w:r>
            <w:r>
              <w:rPr>
                <w:rFonts w:hint="eastAsia" w:ascii="宋体" w:hAnsi="宋体" w:cs="宋体"/>
                <w:sz w:val="24"/>
                <w:szCs w:val="24"/>
                <w:highlight w:val="none"/>
              </w:rPr>
              <w:t>。</w:t>
            </w:r>
          </w:p>
        </w:tc>
        <w:tc>
          <w:tcPr>
            <w:tcW w:w="1050" w:type="dxa"/>
            <w:noWrap/>
            <w:vAlign w:val="center"/>
          </w:tcPr>
          <w:p w14:paraId="6F255507">
            <w:pPr>
              <w:spacing w:line="380" w:lineRule="exact"/>
              <w:jc w:val="center"/>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rPr>
              <w:t>分</w:t>
            </w:r>
          </w:p>
        </w:tc>
      </w:tr>
      <w:tr w14:paraId="37B1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11" w:type="dxa"/>
            <w:vMerge w:val="continue"/>
            <w:noWrap/>
            <w:vAlign w:val="center"/>
          </w:tcPr>
          <w:p w14:paraId="0097C6DE">
            <w:pPr>
              <w:tabs>
                <w:tab w:val="left" w:pos="1080"/>
              </w:tabs>
              <w:spacing w:line="380" w:lineRule="exact"/>
              <w:jc w:val="center"/>
              <w:rPr>
                <w:rFonts w:ascii="宋体" w:hAnsi="宋体" w:cs="宋体"/>
                <w:b w:val="0"/>
                <w:bCs/>
                <w:sz w:val="24"/>
                <w:szCs w:val="24"/>
                <w:highlight w:val="none"/>
              </w:rPr>
            </w:pPr>
          </w:p>
        </w:tc>
        <w:tc>
          <w:tcPr>
            <w:tcW w:w="1200" w:type="dxa"/>
            <w:noWrap/>
            <w:vAlign w:val="center"/>
          </w:tcPr>
          <w:p w14:paraId="126EABBF">
            <w:pPr>
              <w:tabs>
                <w:tab w:val="left" w:pos="1080"/>
              </w:tabs>
              <w:spacing w:line="38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质量保证</w:t>
            </w:r>
          </w:p>
        </w:tc>
        <w:tc>
          <w:tcPr>
            <w:tcW w:w="5301" w:type="dxa"/>
            <w:noWrap/>
            <w:vAlign w:val="center"/>
          </w:tcPr>
          <w:p w14:paraId="00F6637C">
            <w:pPr>
              <w:tabs>
                <w:tab w:val="left" w:pos="1080"/>
              </w:tabs>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根据供应商针对本项目提供的</w:t>
            </w:r>
            <w:r>
              <w:rPr>
                <w:rFonts w:hint="eastAsia" w:ascii="宋体" w:hAnsi="宋体" w:cs="宋体"/>
                <w:sz w:val="24"/>
                <w:szCs w:val="24"/>
                <w:highlight w:val="none"/>
              </w:rPr>
              <w:t>各阶段工作质量控制管理措施</w:t>
            </w:r>
            <w:r>
              <w:rPr>
                <w:rFonts w:hint="eastAsia" w:ascii="宋体" w:hAnsi="宋体" w:cs="宋体"/>
                <w:sz w:val="24"/>
                <w:szCs w:val="24"/>
                <w:highlight w:val="none"/>
                <w:lang w:val="en-US" w:eastAsia="zh-CN"/>
              </w:rPr>
              <w:t>科学可行，质量保证体系完善周全进行综合打分。</w:t>
            </w:r>
          </w:p>
        </w:tc>
        <w:tc>
          <w:tcPr>
            <w:tcW w:w="1050" w:type="dxa"/>
            <w:noWrap/>
            <w:vAlign w:val="center"/>
          </w:tcPr>
          <w:p w14:paraId="41FB1198">
            <w:pPr>
              <w:spacing w:line="380" w:lineRule="exact"/>
              <w:jc w:val="center"/>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rPr>
              <w:t>分</w:t>
            </w:r>
          </w:p>
        </w:tc>
      </w:tr>
      <w:tr w14:paraId="7F5E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11" w:type="dxa"/>
            <w:vMerge w:val="continue"/>
            <w:noWrap/>
            <w:vAlign w:val="center"/>
          </w:tcPr>
          <w:p w14:paraId="68782798">
            <w:pPr>
              <w:spacing w:line="380" w:lineRule="exact"/>
              <w:ind w:firstLine="480" w:firstLineChars="200"/>
              <w:jc w:val="center"/>
              <w:rPr>
                <w:b w:val="0"/>
                <w:bCs/>
                <w:sz w:val="24"/>
                <w:szCs w:val="24"/>
                <w:highlight w:val="none"/>
              </w:rPr>
            </w:pPr>
          </w:p>
        </w:tc>
        <w:tc>
          <w:tcPr>
            <w:tcW w:w="1200" w:type="dxa"/>
            <w:noWrap/>
            <w:vAlign w:val="center"/>
          </w:tcPr>
          <w:p w14:paraId="069BA869">
            <w:pPr>
              <w:tabs>
                <w:tab w:val="left" w:pos="1080"/>
              </w:tabs>
              <w:spacing w:line="380" w:lineRule="exact"/>
              <w:jc w:val="left"/>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保密方案</w:t>
            </w:r>
          </w:p>
        </w:tc>
        <w:tc>
          <w:tcPr>
            <w:tcW w:w="5301" w:type="dxa"/>
            <w:noWrap/>
            <w:vAlign w:val="center"/>
          </w:tcPr>
          <w:p w14:paraId="0A13029C">
            <w:pPr>
              <w:tabs>
                <w:tab w:val="left" w:pos="1080"/>
              </w:tabs>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根据供应商针对本项目的数据资料</w:t>
            </w:r>
            <w:r>
              <w:rPr>
                <w:rFonts w:hint="eastAsia" w:ascii="宋体" w:hAnsi="宋体" w:cs="宋体"/>
                <w:sz w:val="24"/>
                <w:szCs w:val="24"/>
                <w:highlight w:val="none"/>
              </w:rPr>
              <w:t>安全保密制度</w:t>
            </w:r>
            <w:r>
              <w:rPr>
                <w:rFonts w:hint="eastAsia" w:ascii="宋体" w:hAnsi="宋体" w:cs="宋体"/>
                <w:sz w:val="24"/>
                <w:szCs w:val="24"/>
                <w:highlight w:val="none"/>
                <w:lang w:val="en-US" w:eastAsia="zh-CN"/>
              </w:rPr>
              <w:t>和保障措施的完善</w:t>
            </w:r>
            <w:r>
              <w:rPr>
                <w:rFonts w:hint="eastAsia" w:ascii="宋体" w:hAnsi="宋体" w:cs="宋体"/>
                <w:sz w:val="24"/>
                <w:szCs w:val="24"/>
                <w:highlight w:val="none"/>
              </w:rPr>
              <w:t>、合理、可行</w:t>
            </w:r>
            <w:r>
              <w:rPr>
                <w:rFonts w:hint="eastAsia" w:ascii="宋体" w:hAnsi="宋体" w:cs="宋体"/>
                <w:sz w:val="24"/>
                <w:szCs w:val="24"/>
                <w:highlight w:val="none"/>
                <w:lang w:val="en-US" w:eastAsia="zh-CN"/>
              </w:rPr>
              <w:t>性进行综合打分</w:t>
            </w:r>
            <w:r>
              <w:rPr>
                <w:rFonts w:hint="eastAsia" w:ascii="宋体" w:hAnsi="宋体" w:cs="宋体"/>
                <w:sz w:val="24"/>
                <w:szCs w:val="24"/>
                <w:highlight w:val="none"/>
              </w:rPr>
              <w:t>。</w:t>
            </w:r>
          </w:p>
        </w:tc>
        <w:tc>
          <w:tcPr>
            <w:tcW w:w="1050" w:type="dxa"/>
            <w:noWrap/>
            <w:vAlign w:val="center"/>
          </w:tcPr>
          <w:p w14:paraId="3DD2FA07">
            <w:pPr>
              <w:spacing w:line="380" w:lineRule="exact"/>
              <w:jc w:val="center"/>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rPr>
              <w:t>分</w:t>
            </w:r>
          </w:p>
        </w:tc>
      </w:tr>
      <w:tr w14:paraId="2EBD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11" w:type="dxa"/>
            <w:vMerge w:val="continue"/>
            <w:noWrap/>
            <w:vAlign w:val="center"/>
          </w:tcPr>
          <w:p w14:paraId="7D5F973A">
            <w:pPr>
              <w:spacing w:line="380" w:lineRule="exact"/>
              <w:ind w:firstLine="480" w:firstLineChars="200"/>
              <w:jc w:val="center"/>
              <w:rPr>
                <w:rFonts w:hint="eastAsia" w:ascii="宋体" w:hAnsi="宋体" w:cs="宋体"/>
                <w:b w:val="0"/>
                <w:bCs/>
                <w:sz w:val="24"/>
                <w:szCs w:val="24"/>
                <w:highlight w:val="none"/>
              </w:rPr>
            </w:pPr>
          </w:p>
        </w:tc>
        <w:tc>
          <w:tcPr>
            <w:tcW w:w="1200" w:type="dxa"/>
            <w:noWrap/>
            <w:vAlign w:val="center"/>
          </w:tcPr>
          <w:p w14:paraId="6FA85DA2">
            <w:pPr>
              <w:tabs>
                <w:tab w:val="left" w:pos="1080"/>
              </w:tabs>
              <w:spacing w:line="38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保障措施</w:t>
            </w:r>
          </w:p>
        </w:tc>
        <w:tc>
          <w:tcPr>
            <w:tcW w:w="5301" w:type="dxa"/>
            <w:noWrap/>
            <w:vAlign w:val="center"/>
          </w:tcPr>
          <w:p w14:paraId="3FA8BDFD">
            <w:pPr>
              <w:tabs>
                <w:tab w:val="left" w:pos="1080"/>
              </w:tabs>
              <w:spacing w:line="380" w:lineRule="exact"/>
              <w:jc w:val="left"/>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根据供应商提供的针对上虞区空气污染保障措施建议，进行综合性打分。</w:t>
            </w:r>
          </w:p>
        </w:tc>
        <w:tc>
          <w:tcPr>
            <w:tcW w:w="1050" w:type="dxa"/>
            <w:noWrap/>
            <w:vAlign w:val="center"/>
          </w:tcPr>
          <w:p w14:paraId="324A7A6A">
            <w:pPr>
              <w:spacing w:line="380" w:lineRule="exact"/>
              <w:jc w:val="center"/>
              <w:rPr>
                <w:rFonts w:hint="default"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5分</w:t>
            </w:r>
          </w:p>
        </w:tc>
      </w:tr>
      <w:tr w14:paraId="2C7E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011" w:type="dxa"/>
            <w:vMerge w:val="continue"/>
            <w:noWrap/>
            <w:vAlign w:val="center"/>
          </w:tcPr>
          <w:p w14:paraId="35D858A3">
            <w:pPr>
              <w:tabs>
                <w:tab w:val="left" w:pos="1080"/>
              </w:tabs>
              <w:spacing w:line="380" w:lineRule="exact"/>
              <w:jc w:val="center"/>
              <w:rPr>
                <w:sz w:val="24"/>
                <w:szCs w:val="24"/>
                <w:highlight w:val="none"/>
              </w:rPr>
            </w:pPr>
          </w:p>
        </w:tc>
        <w:tc>
          <w:tcPr>
            <w:tcW w:w="1200" w:type="dxa"/>
            <w:noWrap/>
            <w:vAlign w:val="center"/>
          </w:tcPr>
          <w:p w14:paraId="353EF963">
            <w:pPr>
              <w:tabs>
                <w:tab w:val="left" w:pos="1080"/>
              </w:tabs>
              <w:spacing w:line="380" w:lineRule="exact"/>
              <w:jc w:val="left"/>
              <w:rPr>
                <w:rStyle w:val="36"/>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cs="宋体"/>
                <w:b w:val="0"/>
                <w:bCs/>
                <w:sz w:val="24"/>
                <w:szCs w:val="24"/>
                <w:highlight w:val="none"/>
              </w:rPr>
              <w:t>项目实施人员</w:t>
            </w:r>
          </w:p>
        </w:tc>
        <w:tc>
          <w:tcPr>
            <w:tcW w:w="5301" w:type="dxa"/>
            <w:noWrap/>
            <w:vAlign w:val="center"/>
          </w:tcPr>
          <w:p w14:paraId="3A6A7C0D">
            <w:pPr>
              <w:tabs>
                <w:tab w:val="left" w:pos="1080"/>
              </w:tabs>
              <w:spacing w:line="380" w:lineRule="exact"/>
              <w:jc w:val="left"/>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Style w:val="36"/>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根据拟派项目组其他人员（包括专家服务）的数量、工作年限、任务安排、职称等内容综合打分。（需提供拟投入本项目的人员名单及本单位社保缴纳证明，证书扫描件并加盖供应商公章。）</w:t>
            </w:r>
          </w:p>
        </w:tc>
        <w:tc>
          <w:tcPr>
            <w:tcW w:w="1050" w:type="dxa"/>
            <w:noWrap/>
            <w:vAlign w:val="center"/>
          </w:tcPr>
          <w:p w14:paraId="47A35A65">
            <w:pPr>
              <w:tabs>
                <w:tab w:val="left" w:pos="1080"/>
              </w:tabs>
              <w:spacing w:line="38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p w14:paraId="7DF169E4">
            <w:pPr>
              <w:tabs>
                <w:tab w:val="left" w:pos="1080"/>
              </w:tabs>
              <w:spacing w:line="380" w:lineRule="exact"/>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6分</w:t>
            </w:r>
          </w:p>
        </w:tc>
      </w:tr>
      <w:tr w14:paraId="584E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11" w:type="dxa"/>
            <w:vMerge w:val="continue"/>
            <w:noWrap/>
            <w:vAlign w:val="center"/>
          </w:tcPr>
          <w:p w14:paraId="0DE4FBBA">
            <w:pPr>
              <w:tabs>
                <w:tab w:val="left" w:pos="1080"/>
              </w:tabs>
              <w:spacing w:line="380" w:lineRule="exact"/>
              <w:jc w:val="center"/>
              <w:rPr>
                <w:rFonts w:ascii="宋体" w:hAnsi="宋体" w:cs="宋体"/>
                <w:b w:val="0"/>
                <w:bCs/>
                <w:kern w:val="2"/>
                <w:sz w:val="24"/>
                <w:szCs w:val="24"/>
                <w:highlight w:val="none"/>
              </w:rPr>
            </w:pPr>
          </w:p>
        </w:tc>
        <w:tc>
          <w:tcPr>
            <w:tcW w:w="1200" w:type="dxa"/>
            <w:noWrap/>
            <w:vAlign w:val="center"/>
          </w:tcPr>
          <w:p w14:paraId="01422AB0">
            <w:pPr>
              <w:spacing w:line="380" w:lineRule="exact"/>
              <w:jc w:val="left"/>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eastAsia="zh-CN"/>
              </w:rPr>
              <w:t>成果初步设计</w:t>
            </w:r>
          </w:p>
        </w:tc>
        <w:tc>
          <w:tcPr>
            <w:tcW w:w="5301" w:type="dxa"/>
            <w:shd w:val="clear" w:color="auto" w:fill="auto"/>
            <w:noWrap/>
            <w:vAlign w:val="center"/>
          </w:tcPr>
          <w:p w14:paraId="22D42BC6">
            <w:pPr>
              <w:spacing w:line="380" w:lineRule="exact"/>
              <w:jc w:val="left"/>
              <w:rPr>
                <w:rFonts w:hint="eastAsia" w:ascii="宋体" w:hAnsi="宋体" w:eastAsia="宋体" w:cs="宋体"/>
                <w:bCs/>
                <w:kern w:val="0"/>
                <w:sz w:val="24"/>
                <w:szCs w:val="24"/>
                <w:highlight w:val="none"/>
                <w:lang w:eastAsia="zh-CN" w:bidi="ar"/>
              </w:rPr>
            </w:pPr>
            <w:r>
              <w:rPr>
                <w:rStyle w:val="36"/>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根据供应商提供的本项目技术要求拟定</w:t>
            </w:r>
            <w:r>
              <w:rPr>
                <w:rStyle w:val="36"/>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大气污染成因及空气质量进一步改善的对策</w:t>
            </w:r>
            <w:r>
              <w:rPr>
                <w:rStyle w:val="36"/>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初稿进行综合打分</w:t>
            </w:r>
          </w:p>
        </w:tc>
        <w:tc>
          <w:tcPr>
            <w:tcW w:w="1050" w:type="dxa"/>
            <w:noWrap/>
            <w:vAlign w:val="center"/>
          </w:tcPr>
          <w:p w14:paraId="7B18A948">
            <w:pPr>
              <w:adjustRightInd w:val="0"/>
              <w:snapToGrid w:val="0"/>
              <w:spacing w:line="380" w:lineRule="exact"/>
              <w:jc w:val="center"/>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6分</w:t>
            </w:r>
          </w:p>
        </w:tc>
      </w:tr>
      <w:tr w14:paraId="6616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11" w:type="dxa"/>
            <w:vMerge w:val="continue"/>
            <w:noWrap/>
            <w:vAlign w:val="center"/>
          </w:tcPr>
          <w:p w14:paraId="5434B3C9">
            <w:pPr>
              <w:adjustRightInd w:val="0"/>
              <w:snapToGrid w:val="0"/>
              <w:spacing w:line="380" w:lineRule="exact"/>
              <w:jc w:val="center"/>
              <w:rPr>
                <w:highlight w:val="none"/>
              </w:rPr>
            </w:pPr>
          </w:p>
        </w:tc>
        <w:tc>
          <w:tcPr>
            <w:tcW w:w="1200" w:type="dxa"/>
            <w:noWrap/>
            <w:vAlign w:val="center"/>
          </w:tcPr>
          <w:p w14:paraId="5F0B91C7">
            <w:pPr>
              <w:adjustRightInd w:val="0"/>
              <w:snapToGrid w:val="0"/>
              <w:spacing w:line="380" w:lineRule="exact"/>
              <w:jc w:val="left"/>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合理化建议</w:t>
            </w:r>
          </w:p>
        </w:tc>
        <w:tc>
          <w:tcPr>
            <w:tcW w:w="5301" w:type="dxa"/>
            <w:shd w:val="clear" w:color="auto" w:fill="auto"/>
            <w:noWrap/>
            <w:vAlign w:val="center"/>
          </w:tcPr>
          <w:p w14:paraId="3678F0DD">
            <w:pPr>
              <w:adjustRightInd w:val="0"/>
              <w:snapToGrid w:val="0"/>
              <w:spacing w:line="380" w:lineRule="exact"/>
              <w:jc w:val="left"/>
              <w:rPr>
                <w:rFonts w:hint="eastAsia" w:ascii="宋体" w:hAnsi="宋体" w:cs="宋体"/>
                <w:b w:val="0"/>
                <w:bCs/>
                <w:sz w:val="24"/>
                <w:szCs w:val="24"/>
                <w:highlight w:val="none"/>
              </w:rPr>
            </w:pPr>
            <w:r>
              <w:rPr>
                <w:rFonts w:hint="eastAsia" w:ascii="宋体" w:hAnsi="宋体" w:eastAsia="宋体" w:cs="宋体"/>
                <w:color w:val="auto"/>
                <w:sz w:val="24"/>
                <w:highlight w:val="none"/>
                <w:lang w:val="en-US" w:eastAsia="zh-CN"/>
              </w:rPr>
              <w:t>根据供应商提出的</w:t>
            </w:r>
            <w:r>
              <w:rPr>
                <w:rFonts w:hint="eastAsia" w:ascii="宋体" w:hAnsi="宋体" w:cs="宋体"/>
                <w:color w:val="auto"/>
                <w:sz w:val="24"/>
                <w:highlight w:val="none"/>
                <w:lang w:val="en-US" w:eastAsia="zh-CN"/>
              </w:rPr>
              <w:t>其他</w:t>
            </w:r>
            <w:r>
              <w:rPr>
                <w:rFonts w:hint="eastAsia" w:ascii="宋体" w:hAnsi="宋体" w:eastAsia="宋体" w:cs="宋体"/>
                <w:color w:val="auto"/>
                <w:sz w:val="24"/>
                <w:highlight w:val="none"/>
                <w:lang w:val="en-US" w:eastAsia="zh-CN"/>
              </w:rPr>
              <w:t>有</w:t>
            </w:r>
            <w:r>
              <w:rPr>
                <w:rFonts w:hint="eastAsia" w:ascii="宋体" w:hAnsi="宋体" w:cs="宋体"/>
                <w:color w:val="auto"/>
                <w:sz w:val="24"/>
                <w:highlight w:val="none"/>
                <w:lang w:val="en-US" w:eastAsia="zh-CN"/>
              </w:rPr>
              <w:t>助于</w:t>
            </w:r>
            <w:r>
              <w:rPr>
                <w:rFonts w:hint="eastAsia" w:ascii="宋体" w:hAnsi="宋体" w:eastAsia="宋体" w:cs="宋体"/>
                <w:color w:val="auto"/>
                <w:sz w:val="24"/>
                <w:highlight w:val="none"/>
                <w:lang w:val="en-US" w:eastAsia="zh-CN"/>
              </w:rPr>
              <w:t>提高本项目的合理化建议进行综合打分。</w:t>
            </w:r>
          </w:p>
        </w:tc>
        <w:tc>
          <w:tcPr>
            <w:tcW w:w="1050" w:type="dxa"/>
            <w:noWrap/>
            <w:vAlign w:val="center"/>
          </w:tcPr>
          <w:p w14:paraId="7C695C4F">
            <w:pPr>
              <w:adjustRightInd w:val="0"/>
              <w:snapToGrid w:val="0"/>
              <w:spacing w:line="380" w:lineRule="exact"/>
              <w:jc w:val="center"/>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5分</w:t>
            </w:r>
          </w:p>
        </w:tc>
      </w:tr>
      <w:tr w14:paraId="3C54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11" w:type="dxa"/>
            <w:vMerge w:val="restart"/>
            <w:noWrap/>
            <w:vAlign w:val="center"/>
          </w:tcPr>
          <w:p w14:paraId="3EE4D755">
            <w:pPr>
              <w:tabs>
                <w:tab w:val="left" w:pos="1080"/>
              </w:tabs>
              <w:spacing w:line="380" w:lineRule="exact"/>
              <w:jc w:val="center"/>
              <w:rPr>
                <w:rFonts w:hint="eastAsia" w:cs="Times New Roman"/>
                <w:color w:val="auto"/>
                <w:sz w:val="24"/>
                <w:szCs w:val="24"/>
                <w:highlight w:val="none"/>
                <w:lang w:eastAsia="zh-CN"/>
              </w:rPr>
            </w:pPr>
            <w:r>
              <w:rPr>
                <w:rFonts w:hint="eastAsia" w:cs="Times New Roman"/>
                <w:color w:val="auto"/>
                <w:sz w:val="24"/>
                <w:szCs w:val="24"/>
                <w:highlight w:val="none"/>
                <w:lang w:eastAsia="zh-CN"/>
              </w:rPr>
              <w:t>资信</w:t>
            </w:r>
          </w:p>
          <w:p w14:paraId="0494FDE8">
            <w:pPr>
              <w:tabs>
                <w:tab w:val="left" w:pos="1080"/>
              </w:tabs>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1F10A1F8">
            <w:pPr>
              <w:spacing w:line="380" w:lineRule="exact"/>
              <w:jc w:val="center"/>
              <w:rPr>
                <w:rFonts w:hint="eastAsia" w:ascii="宋体" w:hAnsi="宋体" w:eastAsia="宋体" w:cs="宋体"/>
                <w:color w:val="auto"/>
                <w:sz w:val="24"/>
                <w:szCs w:val="24"/>
                <w:highlight w:val="none"/>
              </w:rPr>
            </w:pPr>
          </w:p>
        </w:tc>
        <w:tc>
          <w:tcPr>
            <w:tcW w:w="1200" w:type="dxa"/>
            <w:noWrap/>
            <w:vAlign w:val="center"/>
          </w:tcPr>
          <w:p w14:paraId="3CB61F07">
            <w:pPr>
              <w:spacing w:line="380" w:lineRule="exact"/>
              <w:jc w:val="center"/>
              <w:rPr>
                <w:rFonts w:hint="eastAsia" w:ascii="宋体" w:hAnsi="宋体" w:cs="宋体"/>
                <w:sz w:val="24"/>
                <w:szCs w:val="24"/>
                <w:highlight w:val="none"/>
              </w:rPr>
            </w:pPr>
            <w:r>
              <w:rPr>
                <w:rFonts w:hint="eastAsia" w:ascii="宋体" w:hAnsi="宋体" w:cs="宋体"/>
                <w:b w:val="0"/>
                <w:bCs/>
                <w:sz w:val="24"/>
                <w:szCs w:val="24"/>
                <w:highlight w:val="none"/>
                <w:lang w:val="en-US" w:eastAsia="zh-CN"/>
              </w:rPr>
              <w:t>类似</w:t>
            </w:r>
            <w:r>
              <w:rPr>
                <w:rFonts w:hint="eastAsia" w:ascii="宋体" w:hAnsi="宋体" w:cs="宋体"/>
                <w:b w:val="0"/>
                <w:bCs/>
                <w:sz w:val="24"/>
                <w:szCs w:val="24"/>
                <w:highlight w:val="none"/>
              </w:rPr>
              <w:t>业绩</w:t>
            </w:r>
          </w:p>
        </w:tc>
        <w:tc>
          <w:tcPr>
            <w:tcW w:w="5301" w:type="dxa"/>
            <w:shd w:val="clear" w:color="auto" w:fill="auto"/>
            <w:noWrap/>
            <w:vAlign w:val="center"/>
          </w:tcPr>
          <w:p w14:paraId="48E9FDF7">
            <w:pPr>
              <w:ind w:firstLine="482" w:firstLineChars="200"/>
              <w:rPr>
                <w:rFonts w:hint="default" w:ascii="宋体" w:hAnsi="宋体" w:eastAsia="宋体" w:cs="宋体"/>
                <w:kern w:val="2"/>
                <w:sz w:val="24"/>
                <w:szCs w:val="24"/>
                <w:highlight w:val="none"/>
                <w:lang w:val="en-US" w:eastAsia="zh-CN" w:bidi="ar-SA"/>
              </w:rPr>
            </w:pPr>
            <w:r>
              <w:rPr>
                <w:rFonts w:hint="default" w:ascii="Times New Roman" w:hAnsi="Times New Roman" w:cs="Times New Roman"/>
                <w:b/>
                <w:bCs/>
                <w:color w:val="auto"/>
                <w:sz w:val="24"/>
                <w:szCs w:val="24"/>
                <w:highlight w:val="none"/>
              </w:rPr>
              <w:t>详见商务要求表</w:t>
            </w:r>
          </w:p>
        </w:tc>
        <w:tc>
          <w:tcPr>
            <w:tcW w:w="1050" w:type="dxa"/>
            <w:noWrap/>
            <w:vAlign w:val="center"/>
          </w:tcPr>
          <w:p w14:paraId="39A6CEA2">
            <w:pPr>
              <w:pStyle w:val="23"/>
              <w:widowControl w:val="0"/>
              <w:spacing w:after="0" w:line="380" w:lineRule="exact"/>
              <w:ind w:left="0" w:leftChars="0" w:firstLine="0" w:firstLineChars="0"/>
              <w:jc w:val="center"/>
              <w:rPr>
                <w:rFonts w:hint="eastAsia" w:ascii="宋体" w:hAnsi="宋体" w:cs="宋体"/>
                <w:b w:val="0"/>
                <w:bCs/>
                <w:sz w:val="24"/>
                <w:szCs w:val="24"/>
                <w:highlight w:val="none"/>
                <w:lang w:val="en-US" w:eastAsia="zh-CN"/>
              </w:rPr>
            </w:pPr>
            <w:r>
              <w:rPr>
                <w:rFonts w:hint="eastAsia" w:cs="宋体"/>
                <w:b w:val="0"/>
                <w:bCs/>
                <w:sz w:val="24"/>
                <w:szCs w:val="24"/>
                <w:highlight w:val="none"/>
                <w:lang w:val="en-US" w:eastAsia="zh-CN"/>
              </w:rPr>
              <w:t>2</w:t>
            </w:r>
            <w:r>
              <w:rPr>
                <w:rFonts w:hint="eastAsia" w:ascii="宋体" w:hAnsi="宋体" w:cs="宋体"/>
                <w:b w:val="0"/>
                <w:bCs/>
                <w:sz w:val="24"/>
                <w:szCs w:val="24"/>
                <w:highlight w:val="none"/>
              </w:rPr>
              <w:t>分</w:t>
            </w:r>
          </w:p>
        </w:tc>
      </w:tr>
      <w:tr w14:paraId="7C67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11" w:type="dxa"/>
            <w:vMerge w:val="continue"/>
            <w:noWrap/>
            <w:vAlign w:val="center"/>
          </w:tcPr>
          <w:p w14:paraId="19FBFC35">
            <w:pPr>
              <w:spacing w:line="380" w:lineRule="exact"/>
              <w:jc w:val="center"/>
              <w:rPr>
                <w:rFonts w:hint="eastAsia" w:ascii="宋体" w:hAnsi="宋体" w:eastAsia="宋体" w:cs="宋体"/>
                <w:color w:val="auto"/>
                <w:sz w:val="24"/>
                <w:szCs w:val="24"/>
                <w:highlight w:val="none"/>
              </w:rPr>
            </w:pPr>
          </w:p>
        </w:tc>
        <w:tc>
          <w:tcPr>
            <w:tcW w:w="1200" w:type="dxa"/>
            <w:noWrap/>
            <w:vAlign w:val="center"/>
          </w:tcPr>
          <w:p w14:paraId="7E1B999A">
            <w:pPr>
              <w:rPr>
                <w:rFonts w:hint="eastAsia" w:ascii="Times New Roman" w:hAnsi="Times New Roman" w:cs="Times New Roman"/>
                <w:b/>
                <w:bCs/>
                <w:color w:val="auto"/>
                <w:sz w:val="24"/>
                <w:szCs w:val="24"/>
                <w:highlight w:val="none"/>
              </w:rPr>
            </w:pPr>
            <w:r>
              <w:rPr>
                <w:rFonts w:hint="eastAsia" w:ascii="宋体" w:hAnsi="宋体" w:cs="宋体"/>
                <w:b w:val="0"/>
                <w:bCs/>
                <w:sz w:val="24"/>
                <w:szCs w:val="24"/>
                <w:highlight w:val="none"/>
                <w:lang w:eastAsia="zh-CN"/>
              </w:rPr>
              <w:t>供应商荣誉</w:t>
            </w:r>
          </w:p>
        </w:tc>
        <w:tc>
          <w:tcPr>
            <w:tcW w:w="5301" w:type="dxa"/>
            <w:shd w:val="clear" w:color="auto" w:fill="auto"/>
            <w:noWrap/>
            <w:vAlign w:val="center"/>
          </w:tcPr>
          <w:p w14:paraId="7B851821">
            <w:pPr>
              <w:ind w:firstLine="482"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b/>
                <w:bCs/>
                <w:color w:val="auto"/>
                <w:sz w:val="24"/>
                <w:szCs w:val="24"/>
                <w:highlight w:val="none"/>
              </w:rPr>
              <w:t>详见商务要求表</w:t>
            </w:r>
          </w:p>
        </w:tc>
        <w:tc>
          <w:tcPr>
            <w:tcW w:w="1050" w:type="dxa"/>
            <w:noWrap/>
            <w:vAlign w:val="center"/>
          </w:tcPr>
          <w:p w14:paraId="45B3E0E8">
            <w:pPr>
              <w:pStyle w:val="23"/>
              <w:widowControl w:val="0"/>
              <w:spacing w:after="0" w:line="380" w:lineRule="exact"/>
              <w:ind w:left="0" w:leftChars="0" w:firstLine="0" w:firstLineChars="0"/>
              <w:jc w:val="center"/>
              <w:rPr>
                <w:rFonts w:hint="eastAsia" w:ascii="宋体" w:hAnsi="宋体" w:cs="宋体"/>
                <w:b w:val="0"/>
                <w:bCs/>
                <w:sz w:val="24"/>
                <w:szCs w:val="24"/>
                <w:highlight w:val="none"/>
                <w:lang w:val="en-US" w:eastAsia="zh-CN"/>
              </w:rPr>
            </w:pPr>
            <w:r>
              <w:rPr>
                <w:rFonts w:hint="eastAsia" w:cs="宋体"/>
                <w:b w:val="0"/>
                <w:bCs/>
                <w:sz w:val="24"/>
                <w:szCs w:val="24"/>
                <w:highlight w:val="none"/>
                <w:lang w:val="en-US" w:eastAsia="zh-CN"/>
              </w:rPr>
              <w:t>5</w:t>
            </w:r>
            <w:r>
              <w:rPr>
                <w:rFonts w:hint="eastAsia" w:ascii="宋体" w:hAnsi="宋体" w:cs="宋体"/>
                <w:b w:val="0"/>
                <w:bCs/>
                <w:sz w:val="24"/>
                <w:szCs w:val="24"/>
                <w:highlight w:val="none"/>
              </w:rPr>
              <w:t>分</w:t>
            </w:r>
          </w:p>
        </w:tc>
      </w:tr>
    </w:tbl>
    <w:p w14:paraId="437FF4AF">
      <w:pPr>
        <w:pStyle w:val="23"/>
        <w:ind w:left="0" w:leftChars="0" w:firstLine="0" w:firstLineChars="0"/>
        <w:jc w:val="both"/>
        <w:rPr>
          <w:rFonts w:hint="eastAsia" w:ascii="宋体" w:hAnsi="宋体" w:eastAsia="宋体" w:cs="宋体"/>
          <w:color w:val="auto"/>
          <w:sz w:val="24"/>
          <w:szCs w:val="24"/>
          <w:highlight w:val="none"/>
        </w:rPr>
      </w:pPr>
    </w:p>
    <w:p w14:paraId="28F83500">
      <w:pPr>
        <w:numPr>
          <w:ilvl w:val="0"/>
          <w:numId w:val="25"/>
        </w:numPr>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商务要求表</w:t>
      </w:r>
      <w:r>
        <w:rPr>
          <w:rFonts w:hint="eastAsia" w:ascii="宋体" w:hAnsi="宋体" w:eastAsia="宋体" w:cs="宋体"/>
          <w:color w:val="auto"/>
          <w:sz w:val="24"/>
          <w:szCs w:val="24"/>
          <w:highlight w:val="none"/>
        </w:rPr>
        <w:t>（对应评分标准）</w:t>
      </w: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54"/>
        <w:gridCol w:w="6194"/>
        <w:gridCol w:w="609"/>
      </w:tblGrid>
      <w:tr w14:paraId="51E9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95" w:type="dxa"/>
            <w:vMerge w:val="restart"/>
            <w:noWrap/>
            <w:vAlign w:val="center"/>
          </w:tcPr>
          <w:p w14:paraId="1E8A67CF">
            <w:pPr>
              <w:spacing w:line="380" w:lineRule="exact"/>
              <w:jc w:val="center"/>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资信（7）</w:t>
            </w:r>
          </w:p>
        </w:tc>
        <w:tc>
          <w:tcPr>
            <w:tcW w:w="1154" w:type="dxa"/>
            <w:noWrap/>
            <w:vAlign w:val="center"/>
          </w:tcPr>
          <w:p w14:paraId="251B917B">
            <w:pPr>
              <w:spacing w:line="380" w:lineRule="exact"/>
              <w:jc w:val="center"/>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类似</w:t>
            </w:r>
            <w:r>
              <w:rPr>
                <w:rFonts w:hint="eastAsia" w:ascii="宋体" w:hAnsi="宋体" w:cs="宋体"/>
                <w:b w:val="0"/>
                <w:bCs/>
                <w:sz w:val="24"/>
                <w:szCs w:val="24"/>
                <w:highlight w:val="none"/>
              </w:rPr>
              <w:t>业绩</w:t>
            </w:r>
          </w:p>
        </w:tc>
        <w:tc>
          <w:tcPr>
            <w:tcW w:w="6194" w:type="dxa"/>
            <w:noWrap/>
            <w:vAlign w:val="center"/>
          </w:tcPr>
          <w:p w14:paraId="032A2621">
            <w:pPr>
              <w:widowControl/>
              <w:spacing w:line="360" w:lineRule="exact"/>
              <w:jc w:val="left"/>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供应商自</w:t>
            </w:r>
            <w:r>
              <w:rPr>
                <w:rFonts w:hint="eastAsia" w:ascii="宋体" w:hAnsi="宋体" w:cs="宋体"/>
                <w:b w:val="0"/>
                <w:bCs/>
                <w:sz w:val="24"/>
                <w:szCs w:val="24"/>
                <w:highlight w:val="none"/>
              </w:rPr>
              <w:t>2021年1月1日以来（时间以合同签订时间为准）承接过</w:t>
            </w:r>
            <w:r>
              <w:rPr>
                <w:rFonts w:hint="eastAsia" w:ascii="宋体" w:hAnsi="宋体" w:cs="宋体"/>
                <w:b w:val="0"/>
                <w:bCs/>
                <w:sz w:val="24"/>
                <w:szCs w:val="24"/>
                <w:highlight w:val="none"/>
                <w:lang w:val="en-US" w:eastAsia="zh-CN"/>
              </w:rPr>
              <w:t>环保类项目</w:t>
            </w:r>
            <w:r>
              <w:rPr>
                <w:rFonts w:hint="eastAsia" w:ascii="宋体" w:hAnsi="宋体"/>
                <w:b w:val="0"/>
                <w:bCs/>
                <w:sz w:val="24"/>
                <w:szCs w:val="24"/>
                <w:highlight w:val="none"/>
                <w:lang w:val="en-US" w:eastAsia="zh-CN"/>
              </w:rPr>
              <w:t>类似</w:t>
            </w:r>
            <w:r>
              <w:rPr>
                <w:rFonts w:hint="eastAsia" w:ascii="宋体" w:hAnsi="宋体"/>
                <w:b w:val="0"/>
                <w:bCs/>
                <w:sz w:val="24"/>
                <w:szCs w:val="24"/>
                <w:highlight w:val="none"/>
              </w:rPr>
              <w:t>业绩的，每</w:t>
            </w:r>
            <w:r>
              <w:rPr>
                <w:rFonts w:hint="eastAsia" w:ascii="宋体" w:hAnsi="宋体"/>
                <w:b w:val="0"/>
                <w:bCs/>
                <w:sz w:val="24"/>
                <w:szCs w:val="24"/>
                <w:highlight w:val="none"/>
                <w:lang w:val="en-US" w:eastAsia="zh-CN"/>
              </w:rPr>
              <w:t>提供一个业绩</w:t>
            </w:r>
            <w:r>
              <w:rPr>
                <w:rFonts w:hint="eastAsia" w:ascii="宋体" w:hAnsi="宋体"/>
                <w:b w:val="0"/>
                <w:bCs/>
                <w:sz w:val="24"/>
                <w:szCs w:val="24"/>
                <w:highlight w:val="none"/>
              </w:rPr>
              <w:t>得</w:t>
            </w:r>
            <w:r>
              <w:rPr>
                <w:rFonts w:hint="eastAsia" w:ascii="宋体" w:hAnsi="宋体"/>
                <w:b w:val="0"/>
                <w:bCs/>
                <w:sz w:val="24"/>
                <w:szCs w:val="24"/>
                <w:highlight w:val="none"/>
                <w:lang w:val="en-US" w:eastAsia="zh-CN"/>
              </w:rPr>
              <w:t>1</w:t>
            </w:r>
            <w:r>
              <w:rPr>
                <w:rFonts w:hint="eastAsia" w:ascii="宋体" w:hAnsi="宋体"/>
                <w:b w:val="0"/>
                <w:bCs/>
                <w:sz w:val="24"/>
                <w:szCs w:val="24"/>
                <w:highlight w:val="none"/>
              </w:rPr>
              <w:t>分，</w:t>
            </w:r>
            <w:r>
              <w:rPr>
                <w:rFonts w:hint="eastAsia" w:ascii="宋体" w:hAnsi="宋体"/>
                <w:b w:val="0"/>
                <w:bCs/>
                <w:sz w:val="24"/>
                <w:szCs w:val="24"/>
                <w:highlight w:val="none"/>
                <w:lang w:val="en-US" w:eastAsia="zh-CN"/>
              </w:rPr>
              <w:t>本项</w:t>
            </w:r>
            <w:r>
              <w:rPr>
                <w:rFonts w:hint="eastAsia" w:ascii="宋体" w:hAnsi="宋体"/>
                <w:b w:val="0"/>
                <w:bCs/>
                <w:sz w:val="24"/>
                <w:szCs w:val="24"/>
                <w:highlight w:val="none"/>
              </w:rPr>
              <w:t>最</w:t>
            </w:r>
            <w:r>
              <w:rPr>
                <w:rFonts w:hint="eastAsia" w:ascii="宋体" w:hAnsi="宋体"/>
                <w:b w:val="0"/>
                <w:bCs/>
                <w:sz w:val="24"/>
                <w:szCs w:val="24"/>
                <w:highlight w:val="none"/>
                <w:lang w:val="en-US" w:eastAsia="zh-CN"/>
              </w:rPr>
              <w:t>高</w:t>
            </w:r>
            <w:r>
              <w:rPr>
                <w:rFonts w:hint="eastAsia" w:ascii="宋体" w:hAnsi="宋体"/>
                <w:b w:val="0"/>
                <w:bCs/>
                <w:sz w:val="24"/>
                <w:szCs w:val="24"/>
                <w:highlight w:val="none"/>
              </w:rPr>
              <w:t>得</w:t>
            </w:r>
            <w:r>
              <w:rPr>
                <w:rFonts w:hint="eastAsia" w:ascii="宋体" w:hAnsi="宋体"/>
                <w:b w:val="0"/>
                <w:bCs/>
                <w:sz w:val="24"/>
                <w:szCs w:val="24"/>
                <w:highlight w:val="none"/>
                <w:lang w:val="en-US" w:eastAsia="zh-CN"/>
              </w:rPr>
              <w:t>2</w:t>
            </w:r>
            <w:r>
              <w:rPr>
                <w:rFonts w:hint="eastAsia" w:ascii="宋体" w:hAnsi="宋体"/>
                <w:b w:val="0"/>
                <w:bCs/>
                <w:sz w:val="24"/>
                <w:szCs w:val="24"/>
                <w:highlight w:val="none"/>
              </w:rPr>
              <w:t>分</w:t>
            </w:r>
            <w:r>
              <w:rPr>
                <w:rFonts w:hint="eastAsia" w:ascii="宋体" w:hAnsi="宋体"/>
                <w:b w:val="0"/>
                <w:bCs/>
                <w:sz w:val="24"/>
                <w:szCs w:val="24"/>
                <w:highlight w:val="none"/>
                <w:lang w:eastAsia="zh-CN"/>
              </w:rPr>
              <w:t>（</w:t>
            </w:r>
            <w:r>
              <w:rPr>
                <w:rFonts w:hint="eastAsia" w:ascii="宋体" w:hAnsi="宋体" w:cs="宋体"/>
                <w:b w:val="0"/>
                <w:bCs/>
                <w:sz w:val="24"/>
                <w:szCs w:val="24"/>
                <w:highlight w:val="none"/>
                <w:lang w:val="en-US" w:eastAsia="zh-CN"/>
              </w:rPr>
              <w:t>须</w:t>
            </w:r>
            <w:r>
              <w:rPr>
                <w:rFonts w:hint="eastAsia" w:ascii="宋体" w:hAnsi="宋体" w:cs="宋体"/>
                <w:b w:val="0"/>
                <w:bCs/>
                <w:sz w:val="24"/>
                <w:szCs w:val="24"/>
                <w:highlight w:val="none"/>
              </w:rPr>
              <w:t>提供合同复印件或扫描件并加盖供应商公章，不提供不得分</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rPr>
              <w:t>。</w:t>
            </w:r>
          </w:p>
        </w:tc>
        <w:tc>
          <w:tcPr>
            <w:tcW w:w="609" w:type="dxa"/>
            <w:noWrap/>
            <w:vAlign w:val="center"/>
          </w:tcPr>
          <w:p w14:paraId="6E97EF76">
            <w:pPr>
              <w:spacing w:line="380" w:lineRule="exact"/>
              <w:jc w:val="center"/>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2分</w:t>
            </w:r>
          </w:p>
        </w:tc>
      </w:tr>
      <w:tr w14:paraId="5B0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95" w:type="dxa"/>
            <w:vMerge w:val="continue"/>
            <w:noWrap/>
            <w:vAlign w:val="center"/>
          </w:tcPr>
          <w:p w14:paraId="485C59DB">
            <w:pPr>
              <w:widowControl w:val="0"/>
              <w:spacing w:after="0" w:line="380" w:lineRule="exact"/>
              <w:ind w:left="0" w:leftChars="0" w:firstLine="0" w:firstLineChars="0"/>
              <w:jc w:val="center"/>
              <w:rPr>
                <w:highlight w:val="none"/>
              </w:rPr>
            </w:pPr>
          </w:p>
        </w:tc>
        <w:tc>
          <w:tcPr>
            <w:tcW w:w="1154" w:type="dxa"/>
            <w:noWrap/>
            <w:vAlign w:val="center"/>
          </w:tcPr>
          <w:p w14:paraId="10FB9FF4">
            <w:pPr>
              <w:spacing w:line="380" w:lineRule="exact"/>
              <w:jc w:val="center"/>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eastAsia="zh-CN"/>
              </w:rPr>
              <w:t>供应商荣誉</w:t>
            </w:r>
          </w:p>
        </w:tc>
        <w:tc>
          <w:tcPr>
            <w:tcW w:w="6194" w:type="dxa"/>
            <w:noWrap/>
            <w:vAlign w:val="center"/>
          </w:tcPr>
          <w:p w14:paraId="50E5BFF7">
            <w:pPr>
              <w:tabs>
                <w:tab w:val="left" w:pos="2086"/>
              </w:tabs>
              <w:snapToGrid w:val="0"/>
              <w:spacing w:line="360" w:lineRule="exact"/>
              <w:jc w:val="left"/>
              <w:rPr>
                <w:rFonts w:hint="eastAsia" w:ascii="宋体" w:hAnsi="宋体" w:cs="宋体"/>
                <w:b w:val="0"/>
                <w:bCs/>
                <w:sz w:val="24"/>
                <w:szCs w:val="24"/>
                <w:highlight w:val="none"/>
                <w:lang w:eastAsia="zh-CN"/>
              </w:rPr>
            </w:pPr>
            <w:r>
              <w:rPr>
                <w:rFonts w:hint="eastAsia" w:ascii="宋体" w:hAnsi="宋体"/>
                <w:b w:val="0"/>
                <w:bCs/>
                <w:sz w:val="24"/>
                <w:szCs w:val="24"/>
                <w:highlight w:val="none"/>
              </w:rPr>
              <w:t>供应商</w:t>
            </w:r>
            <w:r>
              <w:rPr>
                <w:rFonts w:hint="eastAsia" w:ascii="宋体" w:hAnsi="宋体"/>
                <w:b w:val="0"/>
                <w:bCs/>
                <w:sz w:val="24"/>
                <w:szCs w:val="24"/>
                <w:highlight w:val="none"/>
                <w:lang w:val="en-US" w:eastAsia="zh-CN"/>
              </w:rPr>
              <w:t>自2021年1月1日以来在环保类项目中</w:t>
            </w:r>
            <w:r>
              <w:rPr>
                <w:rFonts w:hint="eastAsia" w:ascii="宋体" w:hAnsi="宋体"/>
                <w:b w:val="0"/>
                <w:bCs/>
                <w:sz w:val="24"/>
                <w:szCs w:val="24"/>
                <w:highlight w:val="none"/>
              </w:rPr>
              <w:t>获</w:t>
            </w:r>
            <w:r>
              <w:rPr>
                <w:rFonts w:hint="eastAsia" w:ascii="宋体" w:hAnsi="宋体"/>
                <w:b w:val="0"/>
                <w:bCs/>
                <w:sz w:val="24"/>
                <w:szCs w:val="24"/>
                <w:highlight w:val="none"/>
                <w:lang w:val="en-US" w:eastAsia="zh-CN"/>
              </w:rPr>
              <w:t>得过</w:t>
            </w:r>
            <w:r>
              <w:rPr>
                <w:rFonts w:hint="eastAsia" w:ascii="宋体" w:hAnsi="宋体"/>
                <w:b w:val="0"/>
                <w:bCs/>
                <w:sz w:val="24"/>
                <w:szCs w:val="24"/>
                <w:highlight w:val="none"/>
              </w:rPr>
              <w:t>政府行政职能部门或行业主管部门颁发的市（厅）级奖项，每项得1</w:t>
            </w:r>
            <w:r>
              <w:rPr>
                <w:rFonts w:hint="eastAsia" w:ascii="宋体" w:hAnsi="宋体"/>
                <w:b w:val="0"/>
                <w:bCs/>
                <w:sz w:val="24"/>
                <w:szCs w:val="24"/>
                <w:highlight w:val="none"/>
                <w:lang w:val="en-US" w:eastAsia="zh-CN"/>
              </w:rPr>
              <w:t>.5</w:t>
            </w:r>
            <w:r>
              <w:rPr>
                <w:rFonts w:hint="eastAsia" w:ascii="宋体" w:hAnsi="宋体"/>
                <w:b w:val="0"/>
                <w:bCs/>
                <w:sz w:val="24"/>
                <w:szCs w:val="24"/>
                <w:highlight w:val="none"/>
              </w:rPr>
              <w:t>分，省（部）级及以上奖项，每项得</w:t>
            </w:r>
            <w:r>
              <w:rPr>
                <w:rFonts w:hint="eastAsia" w:ascii="宋体" w:hAnsi="宋体"/>
                <w:b w:val="0"/>
                <w:bCs/>
                <w:sz w:val="24"/>
                <w:szCs w:val="24"/>
                <w:highlight w:val="none"/>
                <w:lang w:val="en-US" w:eastAsia="zh-CN"/>
              </w:rPr>
              <w:t>3</w:t>
            </w:r>
            <w:r>
              <w:rPr>
                <w:rFonts w:hint="eastAsia" w:ascii="宋体" w:hAnsi="宋体"/>
                <w:b w:val="0"/>
                <w:bCs/>
                <w:sz w:val="24"/>
                <w:szCs w:val="24"/>
                <w:highlight w:val="none"/>
              </w:rPr>
              <w:t>分，</w:t>
            </w:r>
            <w:r>
              <w:rPr>
                <w:rFonts w:hint="eastAsia" w:ascii="宋体" w:hAnsi="宋体"/>
                <w:b w:val="0"/>
                <w:bCs/>
                <w:sz w:val="24"/>
                <w:szCs w:val="24"/>
                <w:highlight w:val="none"/>
                <w:lang w:val="en-US" w:eastAsia="zh-CN"/>
              </w:rPr>
              <w:t>本项最高</w:t>
            </w:r>
            <w:r>
              <w:rPr>
                <w:rFonts w:hint="eastAsia" w:ascii="宋体" w:hAnsi="宋体"/>
                <w:b w:val="0"/>
                <w:bCs/>
                <w:sz w:val="24"/>
                <w:szCs w:val="24"/>
                <w:highlight w:val="none"/>
              </w:rPr>
              <w:t>得</w:t>
            </w:r>
            <w:r>
              <w:rPr>
                <w:rFonts w:hint="eastAsia" w:ascii="宋体" w:hAnsi="宋体"/>
                <w:b w:val="0"/>
                <w:bCs/>
                <w:sz w:val="24"/>
                <w:szCs w:val="24"/>
                <w:highlight w:val="none"/>
                <w:lang w:val="en-US" w:eastAsia="zh-CN"/>
              </w:rPr>
              <w:t>5</w:t>
            </w:r>
            <w:r>
              <w:rPr>
                <w:rFonts w:hint="eastAsia" w:ascii="宋体" w:hAnsi="宋体"/>
                <w:b w:val="0"/>
                <w:bCs/>
                <w:sz w:val="24"/>
                <w:szCs w:val="24"/>
                <w:highlight w:val="none"/>
              </w:rPr>
              <w:t>分</w:t>
            </w:r>
            <w:r>
              <w:rPr>
                <w:rFonts w:hint="eastAsia" w:ascii="宋体" w:hAnsi="宋体"/>
                <w:b w:val="0"/>
                <w:bCs/>
                <w:sz w:val="24"/>
                <w:szCs w:val="24"/>
                <w:highlight w:val="none"/>
                <w:lang w:eastAsia="zh-CN"/>
              </w:rPr>
              <w:t>（</w:t>
            </w:r>
            <w:r>
              <w:rPr>
                <w:rFonts w:hint="eastAsia" w:ascii="宋体" w:hAnsi="宋体"/>
                <w:b w:val="0"/>
                <w:bCs/>
                <w:sz w:val="24"/>
                <w:szCs w:val="24"/>
                <w:highlight w:val="none"/>
              </w:rPr>
              <w:t>需提供获奖证书复印件或扫描件并加盖</w:t>
            </w:r>
            <w:r>
              <w:rPr>
                <w:rFonts w:hint="eastAsia" w:ascii="宋体" w:hAnsi="宋体" w:cs="宋体"/>
                <w:b w:val="0"/>
                <w:bCs/>
                <w:sz w:val="24"/>
                <w:szCs w:val="24"/>
                <w:highlight w:val="none"/>
              </w:rPr>
              <w:t>供应商</w:t>
            </w:r>
            <w:r>
              <w:rPr>
                <w:rFonts w:hint="eastAsia" w:ascii="宋体" w:hAnsi="宋体"/>
                <w:b w:val="0"/>
                <w:bCs/>
                <w:sz w:val="24"/>
                <w:szCs w:val="24"/>
                <w:highlight w:val="none"/>
              </w:rPr>
              <w:t>公章</w:t>
            </w:r>
            <w:r>
              <w:rPr>
                <w:rFonts w:ascii="宋体" w:hAnsi="宋体"/>
                <w:b w:val="0"/>
                <w:bCs/>
                <w:sz w:val="24"/>
                <w:szCs w:val="24"/>
                <w:highlight w:val="none"/>
              </w:rPr>
              <w:t>，</w:t>
            </w:r>
            <w:r>
              <w:rPr>
                <w:rFonts w:hint="eastAsia" w:ascii="宋体" w:hAnsi="宋体"/>
                <w:b w:val="0"/>
                <w:bCs/>
                <w:sz w:val="24"/>
                <w:szCs w:val="24"/>
                <w:highlight w:val="none"/>
              </w:rPr>
              <w:t>不提供不得分</w:t>
            </w:r>
            <w:r>
              <w:rPr>
                <w:rFonts w:hint="eastAsia" w:ascii="宋体" w:hAnsi="宋体"/>
                <w:b w:val="0"/>
                <w:bCs/>
                <w:sz w:val="24"/>
                <w:szCs w:val="24"/>
                <w:highlight w:val="none"/>
                <w:lang w:eastAsia="zh-CN"/>
              </w:rPr>
              <w:t>）。</w:t>
            </w:r>
          </w:p>
        </w:tc>
        <w:tc>
          <w:tcPr>
            <w:tcW w:w="609" w:type="dxa"/>
            <w:noWrap/>
            <w:vAlign w:val="center"/>
          </w:tcPr>
          <w:p w14:paraId="4BBC7447">
            <w:pPr>
              <w:spacing w:line="380" w:lineRule="exact"/>
              <w:jc w:val="center"/>
              <w:rPr>
                <w:rFonts w:hint="eastAsia" w:ascii="宋体" w:hAnsi="宋体" w:eastAsia="宋体" w:cs="宋体"/>
                <w:b w:val="0"/>
                <w:bCs/>
                <w:sz w:val="24"/>
                <w:szCs w:val="24"/>
                <w:highlight w:val="none"/>
                <w:lang w:eastAsia="zh-CN"/>
              </w:rPr>
            </w:pPr>
            <w:r>
              <w:rPr>
                <w:rFonts w:hint="eastAsia" w:ascii="宋体" w:hAnsi="宋体"/>
                <w:b w:val="0"/>
                <w:bCs/>
                <w:sz w:val="24"/>
                <w:szCs w:val="24"/>
                <w:highlight w:val="none"/>
                <w:lang w:val="en-US" w:eastAsia="zh-CN"/>
              </w:rPr>
              <w:t>5分</w:t>
            </w:r>
          </w:p>
        </w:tc>
      </w:tr>
    </w:tbl>
    <w:p w14:paraId="24D9B3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p w14:paraId="1000DF8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p>
    <w:p w14:paraId="5C29D39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1、评标委员会各成员应当独立对每个供应商的响应文件进行评价，并汇总每个供应商的得分。资信分为客观分，也需独立进行评价并核对分值，最终分值需一致。</w:t>
      </w:r>
    </w:p>
    <w:p w14:paraId="0F4C6E6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2、所有文件、合同、证书、资质等需要真实有效。成交供应商在中标后签订合同时需提供以上证明文件原件，若发现资料作假的取消中标资格。</w:t>
      </w:r>
      <w:bookmarkStart w:id="88" w:name="_Toc19277"/>
      <w:bookmarkStart w:id="89" w:name="_Toc8033"/>
      <w:bookmarkStart w:id="90" w:name="_Toc4517"/>
    </w:p>
    <w:p w14:paraId="77A5977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88"/>
    <w:bookmarkEnd w:id="89"/>
    <w:bookmarkEnd w:id="90"/>
    <w:p w14:paraId="65A11B4D">
      <w:pPr>
        <w:pStyle w:val="2"/>
        <w:bidi w:val="0"/>
        <w:rPr>
          <w:rFonts w:hint="eastAsia"/>
          <w:highlight w:val="none"/>
        </w:rPr>
      </w:pPr>
      <w:bookmarkStart w:id="91" w:name="_Toc2376"/>
      <w:bookmarkStart w:id="92" w:name="_Toc24867"/>
      <w:bookmarkStart w:id="93" w:name="_Toc7690"/>
      <w:bookmarkStart w:id="94" w:name="_Toc4669"/>
      <w:r>
        <w:rPr>
          <w:rFonts w:hint="eastAsia"/>
          <w:highlight w:val="none"/>
        </w:rPr>
        <w:t>第五部分 采购合同</w:t>
      </w:r>
      <w:bookmarkEnd w:id="91"/>
    </w:p>
    <w:p w14:paraId="381FCC13">
      <w:pPr>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合同编号：（</w:t>
      </w:r>
      <w:r>
        <w:rPr>
          <w:rFonts w:hint="eastAsia" w:ascii="宋体" w:hAnsi="宋体" w:eastAsia="宋体" w:cs="宋体"/>
          <w:kern w:val="0"/>
          <w:sz w:val="24"/>
          <w:highlight w:val="none"/>
          <w:lang w:eastAsia="zh-CN"/>
        </w:rPr>
        <w:t>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）第</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号</w:t>
      </w:r>
    </w:p>
    <w:p w14:paraId="511DA630">
      <w:pPr>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签订日期：</w:t>
      </w:r>
      <w:r>
        <w:rPr>
          <w:rFonts w:hint="eastAsia" w:ascii="宋体" w:hAnsi="宋体" w:eastAsia="宋体" w:cs="宋体"/>
          <w:kern w:val="0"/>
          <w:sz w:val="24"/>
          <w:highlight w:val="none"/>
          <w:lang w:eastAsia="zh-CN"/>
        </w:rPr>
        <w:t>202</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日</w:t>
      </w:r>
    </w:p>
    <w:p w14:paraId="339F4EDB">
      <w:pPr>
        <w:spacing w:line="360" w:lineRule="auto"/>
        <w:ind w:firstLine="480" w:firstLineChars="200"/>
        <w:rPr>
          <w:rFonts w:hint="eastAsia" w:ascii="宋体" w:hAnsi="宋体" w:eastAsia="宋体" w:cs="宋体"/>
          <w:sz w:val="28"/>
          <w:highlight w:val="none"/>
          <w:u w:val="singl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甲</w:t>
      </w:r>
      <w:r>
        <w:rPr>
          <w:rFonts w:hint="eastAsia" w:ascii="宋体" w:hAnsi="宋体" w:eastAsia="宋体" w:cs="宋体"/>
          <w:kern w:val="0"/>
          <w:sz w:val="24"/>
          <w:highlight w:val="none"/>
        </w:rPr>
        <w:t>方</w:t>
      </w:r>
      <w:r>
        <w:rPr>
          <w:rFonts w:hint="eastAsia" w:ascii="宋体" w:hAnsi="宋体" w:eastAsia="宋体" w:cs="宋体"/>
          <w:sz w:val="28"/>
          <w:highlight w:val="none"/>
        </w:rPr>
        <w:t>：</w:t>
      </w:r>
      <w:r>
        <w:rPr>
          <w:rFonts w:hint="eastAsia" w:ascii="宋体" w:hAnsi="宋体" w:eastAsia="宋体" w:cs="宋体"/>
          <w:sz w:val="28"/>
          <w:highlight w:val="none"/>
          <w:u w:val="single"/>
        </w:rPr>
        <w:t>　</w:t>
      </w:r>
      <w:r>
        <w:rPr>
          <w:rFonts w:hint="eastAsia" w:ascii="宋体" w:hAnsi="宋体" w:cs="宋体"/>
          <w:sz w:val="28"/>
          <w:highlight w:val="none"/>
          <w:u w:val="single"/>
          <w:lang w:eastAsia="zh-CN"/>
        </w:rPr>
        <w:t>绍兴市生态环境局上虞分局</w:t>
      </w:r>
      <w:r>
        <w:rPr>
          <w:rFonts w:hint="eastAsia" w:ascii="宋体" w:hAnsi="宋体" w:eastAsia="宋体" w:cs="宋体"/>
          <w:sz w:val="28"/>
          <w:highlight w:val="none"/>
          <w:u w:val="single"/>
        </w:rPr>
        <w:t>　　　　　　　　　　　　　　　　　　　　　　　　</w:t>
      </w:r>
    </w:p>
    <w:p w14:paraId="5C63EBA0">
      <w:pPr>
        <w:spacing w:line="360" w:lineRule="auto"/>
        <w:ind w:firstLine="720" w:firstLineChars="300"/>
        <w:jc w:val="left"/>
        <w:rPr>
          <w:rFonts w:hint="eastAsia" w:ascii="宋体" w:hAnsi="宋体" w:eastAsia="宋体" w:cs="宋体"/>
          <w:sz w:val="28"/>
          <w:highlight w:val="none"/>
          <w:u w:val="single"/>
        </w:rPr>
      </w:pPr>
      <w:r>
        <w:rPr>
          <w:rFonts w:hint="eastAsia" w:ascii="宋体" w:hAnsi="宋体" w:eastAsia="宋体" w:cs="宋体"/>
          <w:kern w:val="0"/>
          <w:sz w:val="24"/>
          <w:highlight w:val="none"/>
          <w:lang w:val="en-US" w:eastAsia="zh-CN"/>
        </w:rPr>
        <w:t>乙</w:t>
      </w:r>
      <w:r>
        <w:rPr>
          <w:rFonts w:hint="eastAsia" w:ascii="宋体" w:hAnsi="宋体" w:eastAsia="宋体" w:cs="宋体"/>
          <w:kern w:val="0"/>
          <w:sz w:val="24"/>
          <w:highlight w:val="none"/>
        </w:rPr>
        <w:t>方</w:t>
      </w:r>
      <w:r>
        <w:rPr>
          <w:rFonts w:hint="eastAsia" w:ascii="宋体" w:hAnsi="宋体" w:eastAsia="宋体" w:cs="宋体"/>
          <w:sz w:val="28"/>
          <w:highlight w:val="none"/>
        </w:rPr>
        <w:t>：</w:t>
      </w:r>
      <w:r>
        <w:rPr>
          <w:rFonts w:hint="eastAsia" w:ascii="宋体" w:hAnsi="宋体" w:eastAsia="宋体" w:cs="宋体"/>
          <w:sz w:val="28"/>
          <w:highlight w:val="none"/>
          <w:u w:val="single"/>
        </w:rPr>
        <w:t>　　　　　　　　　　　　　　　　　　　　　　　　　</w:t>
      </w:r>
    </w:p>
    <w:p w14:paraId="01A952BB">
      <w:pPr>
        <w:spacing w:line="348" w:lineRule="auto"/>
        <w:ind w:firstLine="720" w:firstLineChars="300"/>
        <w:jc w:val="left"/>
        <w:rPr>
          <w:rFonts w:ascii="宋体" w:hAnsi="宋体" w:cs="宋体"/>
          <w:b/>
          <w:bCs/>
          <w:color w:val="auto"/>
          <w:sz w:val="24"/>
          <w:highlight w:val="none"/>
        </w:rPr>
      </w:pPr>
      <w:r>
        <w:rPr>
          <w:rFonts w:hint="eastAsia" w:ascii="宋体" w:hAnsi="宋体" w:cs="宋体"/>
          <w:color w:val="auto"/>
          <w:kern w:val="0"/>
          <w:sz w:val="24"/>
          <w:highlight w:val="none"/>
        </w:rPr>
        <w:t>根据《中华人民共和国民法典》、政府采购编号为</w:t>
      </w:r>
      <w:r>
        <w:rPr>
          <w:rFonts w:hint="eastAsia" w:ascii="宋体" w:hAnsi="宋体" w:cs="宋体"/>
          <w:color w:val="auto"/>
          <w:kern w:val="0"/>
          <w:sz w:val="24"/>
          <w:highlight w:val="none"/>
          <w:lang w:val="en-US" w:eastAsia="zh-CN"/>
        </w:rPr>
        <w:t>ZCSY2024016</w:t>
      </w:r>
      <w:r>
        <w:rPr>
          <w:rFonts w:hint="eastAsia" w:ascii="宋体" w:hAnsi="宋体" w:cs="宋体"/>
          <w:color w:val="auto"/>
          <w:kern w:val="0"/>
          <w:sz w:val="24"/>
          <w:highlight w:val="none"/>
        </w:rPr>
        <w:t xml:space="preserve"> 招标文件、中标人响应文件的规定，经公开招标采购，签订本合同。</w:t>
      </w:r>
    </w:p>
    <w:p w14:paraId="7AE6B470">
      <w:pPr>
        <w:numPr>
          <w:ilvl w:val="0"/>
          <w:numId w:val="26"/>
        </w:numPr>
        <w:ind w:firstLine="0" w:firstLineChars="0"/>
        <w:rPr>
          <w:b/>
          <w:bCs/>
          <w:sz w:val="28"/>
          <w:szCs w:val="28"/>
          <w:highlight w:val="none"/>
        </w:rPr>
      </w:pPr>
      <w:r>
        <w:rPr>
          <w:rFonts w:hint="eastAsia"/>
          <w:b/>
          <w:bCs/>
          <w:sz w:val="28"/>
          <w:szCs w:val="28"/>
          <w:highlight w:val="none"/>
        </w:rPr>
        <w:t>项目背景</w:t>
      </w:r>
    </w:p>
    <w:p w14:paraId="305D0E17">
      <w:pPr>
        <w:autoSpaceDE w:val="0"/>
        <w:autoSpaceDN w:val="0"/>
        <w:adjustRightInd w:val="0"/>
        <w:spacing w:line="360" w:lineRule="auto"/>
        <w:ind w:firstLine="480" w:firstLineChars="200"/>
        <w:jc w:val="left"/>
        <w:rPr>
          <w:rFonts w:ascii="仿宋" w:hAnsi="仿宋" w:eastAsia="仿宋" w:cs="仿宋"/>
          <w:highlight w:val="none"/>
        </w:rPr>
      </w:pPr>
      <w:r>
        <w:rPr>
          <w:rFonts w:hint="eastAsia" w:ascii="宋体" w:hAnsi="宋体" w:eastAsia="宋体" w:cs="宋体"/>
          <w:color w:val="auto"/>
          <w:sz w:val="24"/>
          <w:highlight w:val="none"/>
        </w:rPr>
        <w:t>根据绍兴市大气污染防治联合调度中心《工作联系单第3期》建议和要求，为加强上虞区大气污染成因分析技术支撑，提升精准管控水平，上虞区生态环境分局</w:t>
      </w:r>
      <w:r>
        <w:rPr>
          <w:rFonts w:hint="eastAsia" w:ascii="宋体" w:hAnsi="宋体" w:eastAsia="宋体" w:cs="宋体"/>
          <w:color w:val="auto"/>
          <w:sz w:val="24"/>
          <w:highlight w:val="none"/>
          <w:lang w:eastAsia="zh-CN"/>
        </w:rPr>
        <w:t>拟</w:t>
      </w:r>
      <w:r>
        <w:rPr>
          <w:rFonts w:hint="eastAsia" w:ascii="宋体" w:hAnsi="宋体" w:eastAsia="宋体" w:cs="宋体"/>
          <w:color w:val="auto"/>
          <w:sz w:val="24"/>
          <w:highlight w:val="none"/>
        </w:rPr>
        <w:t>引入先进在线质谱技术，对上虞区空气污染成因开展动态分析，并根据专家定期会商意见</w:t>
      </w:r>
      <w:r>
        <w:rPr>
          <w:rFonts w:hint="eastAsia" w:ascii="宋体" w:hAnsi="宋体" w:eastAsia="宋体" w:cs="宋体"/>
          <w:color w:val="auto"/>
          <w:sz w:val="24"/>
          <w:highlight w:val="none"/>
          <w:lang w:eastAsia="zh-CN"/>
        </w:rPr>
        <w:t>制定</w:t>
      </w:r>
      <w:r>
        <w:rPr>
          <w:rFonts w:hint="eastAsia" w:ascii="宋体" w:hAnsi="宋体" w:cs="宋体"/>
          <w:color w:val="auto"/>
          <w:sz w:val="24"/>
          <w:highlight w:val="none"/>
          <w:lang w:eastAsia="zh-CN"/>
        </w:rPr>
        <w:t>空气</w:t>
      </w:r>
      <w:r>
        <w:rPr>
          <w:rFonts w:hint="eastAsia" w:ascii="宋体" w:hAnsi="宋体" w:eastAsia="宋体" w:cs="宋体"/>
          <w:color w:val="auto"/>
          <w:sz w:val="24"/>
          <w:highlight w:val="none"/>
        </w:rPr>
        <w:t>质量保障的短期以及长期措施。</w:t>
      </w:r>
    </w:p>
    <w:p w14:paraId="03A3DBBC">
      <w:pPr>
        <w:ind w:firstLine="0" w:firstLineChars="0"/>
        <w:rPr>
          <w:b/>
          <w:bCs/>
          <w:sz w:val="28"/>
          <w:szCs w:val="28"/>
          <w:highlight w:val="none"/>
        </w:rPr>
      </w:pPr>
      <w:r>
        <w:rPr>
          <w:rFonts w:hint="eastAsia"/>
          <w:b/>
          <w:bCs/>
          <w:sz w:val="28"/>
          <w:szCs w:val="28"/>
          <w:highlight w:val="none"/>
        </w:rPr>
        <w:t>二、服务内容</w:t>
      </w:r>
    </w:p>
    <w:p w14:paraId="257A08D6">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在上虞区开展气溶胶和挥发性有机物质谱短期加强</w:t>
      </w:r>
      <w:r>
        <w:rPr>
          <w:rFonts w:hint="eastAsia" w:ascii="宋体" w:hAnsi="宋体" w:eastAsia="宋体" w:cs="宋体"/>
          <w:color w:val="auto"/>
          <w:sz w:val="24"/>
          <w:highlight w:val="none"/>
          <w:lang w:eastAsia="zh-CN"/>
        </w:rPr>
        <w:t>监</w:t>
      </w:r>
      <w:r>
        <w:rPr>
          <w:rFonts w:hint="eastAsia" w:ascii="宋体" w:hAnsi="宋体" w:eastAsia="宋体" w:cs="宋体"/>
          <w:color w:val="auto"/>
          <w:sz w:val="24"/>
          <w:highlight w:val="none"/>
        </w:rPr>
        <w:t>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通过一个月驻点组分分析，结合上虞历年空气质量数据情况，考虑风向、气温等气象条件，分析上虞区大气污染成因，提出切实可行的指导性管控措施。</w:t>
      </w:r>
    </w:p>
    <w:p w14:paraId="6ACE6F28">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M2.5组分与来源解析：依托气溶胶质谱（AMS）、质子转移反应质谱（PTR-MS）技术，获取短期数据，对上虞区大气细颗粒物（PM2.5）的组分和来源进行解析，并结合国控站空气质量六参数及气象数据，探查上虞区颗粒物污染的主要组分来源。</w:t>
      </w:r>
    </w:p>
    <w:p w14:paraId="5C56B31A">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（2）数据每日分析和高值分析：每日根据对PM2.5的分析结果提供当日分析报告。对PM2.5高值数据对应的污染过程进行分析，快速识别PM2.5积累过程中的主要颗</w:t>
      </w:r>
      <w:r>
        <w:rPr>
          <w:rFonts w:hint="eastAsia" w:ascii="宋体" w:hAnsi="宋体" w:cs="宋体"/>
          <w:color w:val="auto"/>
          <w:sz w:val="24"/>
          <w:highlight w:val="none"/>
          <w:lang w:eastAsia="zh-CN"/>
        </w:rPr>
        <w:t>粒物</w:t>
      </w:r>
      <w:r>
        <w:rPr>
          <w:rFonts w:hint="eastAsia" w:ascii="宋体" w:hAnsi="宋体" w:eastAsia="宋体" w:cs="宋体"/>
          <w:color w:val="auto"/>
          <w:sz w:val="24"/>
          <w:highlight w:val="none"/>
        </w:rPr>
        <w:t>组分及来源及主要影响参数。</w:t>
      </w:r>
    </w:p>
    <w:p w14:paraId="223EF2F4">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专家服务：在数据测量和分析的基础上，基于项目过程中空气质量的变化及问题诊断，以每周一次的频率进行线上或现场参与会商，并在一个月的PM2.5组分与来源解析实验结束后的15天内针对短期质谱数据解析，提供空气污染诊断报告；合同开始后3个月内结合历史污染分析和短期空气质量诊断，提交报告。</w:t>
      </w:r>
    </w:p>
    <w:p w14:paraId="07B229A5">
      <w:pPr>
        <w:autoSpaceDE w:val="0"/>
        <w:autoSpaceDN w:val="0"/>
        <w:adjustRightInd w:val="0"/>
        <w:spacing w:line="360" w:lineRule="auto"/>
        <w:ind w:firstLine="480" w:firstLineChars="200"/>
        <w:jc w:val="left"/>
        <w:rPr>
          <w:b/>
          <w:bCs/>
          <w:sz w:val="28"/>
          <w:szCs w:val="28"/>
          <w:highlight w:val="none"/>
        </w:rPr>
      </w:pPr>
      <w:r>
        <w:rPr>
          <w:rFonts w:hint="eastAsia" w:ascii="宋体" w:hAnsi="宋体" w:eastAsia="宋体" w:cs="宋体"/>
          <w:color w:val="auto"/>
          <w:sz w:val="24"/>
          <w:highlight w:val="none"/>
        </w:rPr>
        <w:t>（4）驻点服务：3人。1人承担仪器运维、后台高值数据分析工作；另2人负责空气质量实时监控与推送服务、各项单项分析报告审核、开展座谈讨论、参与上虞执法部门主导的现场巡查，结合已有污染源详细排查数据，为上虞分局对企业帮扶的建议提供科学支撑。</w:t>
      </w:r>
    </w:p>
    <w:p w14:paraId="65604E87">
      <w:pPr>
        <w:ind w:firstLine="0" w:firstLineChars="0"/>
        <w:rPr>
          <w:b/>
          <w:bCs/>
          <w:sz w:val="28"/>
          <w:szCs w:val="28"/>
          <w:highlight w:val="none"/>
        </w:rPr>
      </w:pPr>
      <w:r>
        <w:rPr>
          <w:rFonts w:hint="eastAsia"/>
          <w:b/>
          <w:bCs/>
          <w:sz w:val="28"/>
          <w:szCs w:val="28"/>
          <w:highlight w:val="none"/>
        </w:rPr>
        <w:t>三、仪器设备和安装需求</w:t>
      </w:r>
    </w:p>
    <w:p w14:paraId="2211211F">
      <w:pPr>
        <w:numPr>
          <w:ilvl w:val="0"/>
          <w:numId w:val="27"/>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仪器包括一台气溶胶质谱仪和一台质子转移反应质谱仪，分别用于测量颗粒物化学组分和挥发性有机污染物，用于支持大气污染物组分和来源解析。</w:t>
      </w:r>
    </w:p>
    <w:p w14:paraId="18177437">
      <w:pPr>
        <w:numPr>
          <w:ilvl w:val="0"/>
          <w:numId w:val="27"/>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仪器需要安置在同一个临时板房中，板房总面积约10 m2，设置与仪器进样口同高度的水平采样口，供电功率在10 kW/h以上，配备空调（由上虞提供）。建议设置在国控站临近区域。</w:t>
      </w:r>
    </w:p>
    <w:p w14:paraId="29E80176">
      <w:pPr>
        <w:numPr>
          <w:ilvl w:val="0"/>
          <w:numId w:val="27"/>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仪器的安装、调试、运维由</w:t>
      </w:r>
      <w:r>
        <w:rPr>
          <w:rFonts w:hint="eastAsia" w:ascii="宋体" w:hAnsi="宋体" w:eastAsia="宋体" w:cs="宋体"/>
          <w:color w:val="auto"/>
          <w:kern w:val="0"/>
          <w:sz w:val="24"/>
          <w:szCs w:val="68"/>
          <w:highlight w:val="none"/>
          <w:lang w:val="zh-CN" w:eastAsia="zh-CN"/>
        </w:rPr>
        <w:t>供应商</w:t>
      </w:r>
      <w:r>
        <w:rPr>
          <w:rFonts w:hint="eastAsia" w:ascii="宋体" w:hAnsi="宋体" w:eastAsia="宋体" w:cs="宋体"/>
          <w:color w:val="auto"/>
          <w:kern w:val="0"/>
          <w:sz w:val="24"/>
          <w:szCs w:val="68"/>
          <w:highlight w:val="none"/>
          <w:lang w:val="zh-CN"/>
        </w:rPr>
        <w:t>负责，采购方现场配合安装工作。</w:t>
      </w:r>
    </w:p>
    <w:p w14:paraId="74E8DC37">
      <w:pPr>
        <w:numPr>
          <w:ilvl w:val="0"/>
          <w:numId w:val="27"/>
        </w:numPr>
        <w:autoSpaceDE w:val="0"/>
        <w:autoSpaceDN w:val="0"/>
        <w:adjustRightInd w:val="0"/>
        <w:spacing w:line="360" w:lineRule="auto"/>
        <w:ind w:firstLine="480" w:firstLineChars="200"/>
        <w:jc w:val="left"/>
        <w:rPr>
          <w:rFonts w:ascii="仿宋" w:hAnsi="仿宋" w:eastAsia="仿宋" w:cs="仿宋"/>
          <w:sz w:val="28"/>
          <w:szCs w:val="28"/>
          <w:highlight w:val="none"/>
        </w:rPr>
      </w:pPr>
      <w:r>
        <w:rPr>
          <w:rFonts w:hint="eastAsia" w:ascii="宋体" w:hAnsi="宋体" w:eastAsia="宋体" w:cs="宋体"/>
          <w:color w:val="auto"/>
          <w:kern w:val="0"/>
          <w:sz w:val="24"/>
          <w:szCs w:val="68"/>
          <w:highlight w:val="none"/>
          <w:lang w:val="zh-CN"/>
        </w:rPr>
        <w:t>仪器运行时间为</w:t>
      </w:r>
      <w:r>
        <w:rPr>
          <w:rFonts w:hint="eastAsia" w:ascii="宋体" w:hAnsi="宋体" w:cs="宋体"/>
          <w:color w:val="auto"/>
          <w:kern w:val="0"/>
          <w:sz w:val="24"/>
          <w:szCs w:val="68"/>
          <w:highlight w:val="none"/>
          <w:lang w:val="en-US" w:eastAsia="zh-CN"/>
        </w:rPr>
        <w:t>自合同签订之日起共计一个月</w:t>
      </w:r>
      <w:r>
        <w:rPr>
          <w:rFonts w:hint="eastAsia" w:ascii="宋体" w:hAnsi="宋体" w:eastAsia="宋体" w:cs="宋体"/>
          <w:color w:val="auto"/>
          <w:kern w:val="0"/>
          <w:sz w:val="24"/>
          <w:szCs w:val="68"/>
          <w:highlight w:val="none"/>
          <w:lang w:val="zh-CN"/>
        </w:rPr>
        <w:t>，</w:t>
      </w:r>
      <w:r>
        <w:rPr>
          <w:rFonts w:hint="eastAsia" w:ascii="宋体" w:hAnsi="宋体" w:cs="宋体"/>
          <w:color w:val="auto"/>
          <w:kern w:val="0"/>
          <w:sz w:val="24"/>
          <w:szCs w:val="68"/>
          <w:highlight w:val="none"/>
          <w:lang w:val="en-US" w:eastAsia="zh-CN"/>
        </w:rPr>
        <w:t>合同签订之日起2日</w:t>
      </w:r>
      <w:r>
        <w:rPr>
          <w:rFonts w:hint="eastAsia" w:ascii="宋体" w:hAnsi="宋体" w:eastAsia="宋体" w:cs="宋体"/>
          <w:color w:val="auto"/>
          <w:kern w:val="0"/>
          <w:sz w:val="24"/>
          <w:szCs w:val="68"/>
          <w:highlight w:val="none"/>
          <w:lang w:val="zh-CN"/>
        </w:rPr>
        <w:t>为安装与调试阶段，</w:t>
      </w:r>
      <w:r>
        <w:rPr>
          <w:rFonts w:hint="eastAsia" w:ascii="宋体" w:hAnsi="宋体" w:cs="宋体"/>
          <w:color w:val="auto"/>
          <w:kern w:val="0"/>
          <w:sz w:val="24"/>
          <w:szCs w:val="68"/>
          <w:highlight w:val="none"/>
          <w:lang w:val="en-US" w:eastAsia="zh-CN"/>
        </w:rPr>
        <w:t>安装调试合格后</w:t>
      </w:r>
      <w:r>
        <w:rPr>
          <w:rFonts w:hint="eastAsia" w:ascii="宋体" w:hAnsi="宋体" w:eastAsia="宋体" w:cs="宋体"/>
          <w:color w:val="auto"/>
          <w:kern w:val="0"/>
          <w:sz w:val="24"/>
          <w:szCs w:val="68"/>
          <w:highlight w:val="none"/>
          <w:lang w:val="zh-CN"/>
        </w:rPr>
        <w:t>正式运行。</w:t>
      </w:r>
    </w:p>
    <w:p w14:paraId="08482FA1">
      <w:pPr>
        <w:ind w:firstLine="0" w:firstLineChars="0"/>
        <w:rPr>
          <w:highlight w:val="none"/>
        </w:rPr>
      </w:pPr>
      <w:r>
        <w:rPr>
          <w:rFonts w:hint="eastAsia"/>
          <w:b/>
          <w:bCs/>
          <w:sz w:val="28"/>
          <w:szCs w:val="28"/>
          <w:highlight w:val="none"/>
        </w:rPr>
        <w:t>四、服务周期</w:t>
      </w:r>
    </w:p>
    <w:p w14:paraId="7C3C14A5">
      <w:pPr>
        <w:numPr>
          <w:ilvl w:val="0"/>
          <w:numId w:val="28"/>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历史（2021.1</w:t>
      </w:r>
      <w:r>
        <w:rPr>
          <w:rFonts w:hint="eastAsia" w:ascii="宋体" w:hAnsi="宋体" w:cs="宋体"/>
          <w:color w:val="auto"/>
          <w:kern w:val="0"/>
          <w:sz w:val="24"/>
          <w:szCs w:val="68"/>
          <w:highlight w:val="none"/>
          <w:lang w:val="en-US" w:eastAsia="zh-CN"/>
        </w:rPr>
        <w:t>至2024年10月</w:t>
      </w:r>
      <w:r>
        <w:rPr>
          <w:rFonts w:hint="eastAsia" w:ascii="宋体" w:hAnsi="宋体" w:eastAsia="宋体" w:cs="宋体"/>
          <w:color w:val="auto"/>
          <w:kern w:val="0"/>
          <w:sz w:val="24"/>
          <w:szCs w:val="68"/>
          <w:highlight w:val="none"/>
          <w:lang w:val="zh-CN"/>
        </w:rPr>
        <w:t>）空气质量6参数和气象5参数数据分析：自合同签署后开始，3个月内提供分析报告。</w:t>
      </w:r>
    </w:p>
    <w:p w14:paraId="6CAF7E82">
      <w:pPr>
        <w:numPr>
          <w:ilvl w:val="0"/>
          <w:numId w:val="28"/>
        </w:numPr>
        <w:autoSpaceDE w:val="0"/>
        <w:autoSpaceDN w:val="0"/>
        <w:adjustRightInd w:val="0"/>
        <w:spacing w:line="360" w:lineRule="auto"/>
        <w:ind w:firstLine="480" w:firstLineChars="200"/>
        <w:jc w:val="left"/>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质谱测量和驻点周期：</w:t>
      </w:r>
      <w:r>
        <w:rPr>
          <w:rFonts w:hint="eastAsia" w:ascii="宋体" w:hAnsi="宋体" w:cs="宋体"/>
          <w:color w:val="auto"/>
          <w:kern w:val="0"/>
          <w:sz w:val="24"/>
          <w:szCs w:val="68"/>
          <w:highlight w:val="none"/>
          <w:lang w:val="en-US" w:eastAsia="zh-CN"/>
        </w:rPr>
        <w:t>自合同签订之日起</w:t>
      </w:r>
      <w:r>
        <w:rPr>
          <w:rFonts w:hint="eastAsia" w:ascii="宋体" w:hAnsi="宋体" w:eastAsia="宋体" w:cs="宋体"/>
          <w:color w:val="auto"/>
          <w:kern w:val="0"/>
          <w:sz w:val="24"/>
          <w:szCs w:val="68"/>
          <w:highlight w:val="none"/>
          <w:lang w:val="zh-CN"/>
        </w:rPr>
        <w:t>共计1个月，驻点结束半个月后提交初步数据分析报告。</w:t>
      </w:r>
    </w:p>
    <w:p w14:paraId="340469F1">
      <w:pPr>
        <w:numPr>
          <w:ilvl w:val="0"/>
          <w:numId w:val="0"/>
        </w:numPr>
        <w:autoSpaceDE w:val="0"/>
        <w:autoSpaceDN w:val="0"/>
        <w:adjustRightInd w:val="0"/>
        <w:spacing w:line="360" w:lineRule="auto"/>
        <w:jc w:val="left"/>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lang w:eastAsia="zh-CN"/>
        </w:rPr>
        <w:t>五、</w:t>
      </w:r>
      <w:r>
        <w:rPr>
          <w:rFonts w:hint="eastAsia" w:ascii="宋体" w:hAnsi="宋体" w:eastAsia="宋体" w:cs="宋体"/>
          <w:b/>
          <w:bCs/>
          <w:color w:val="auto"/>
          <w:sz w:val="24"/>
          <w:highlight w:val="none"/>
        </w:rPr>
        <w:t>保密要求</w:t>
      </w:r>
    </w:p>
    <w:p w14:paraId="033643F4">
      <w:pPr>
        <w:numPr>
          <w:ilvl w:val="0"/>
          <w:numId w:val="29"/>
        </w:numPr>
        <w:spacing w:line="360" w:lineRule="auto"/>
        <w:ind w:firstLine="480" w:firstLineChars="200"/>
        <w:rPr>
          <w:rFonts w:hint="eastAsia" w:ascii="宋体" w:hAnsi="宋体" w:eastAsia="宋体" w:cs="宋体"/>
          <w:color w:val="auto"/>
          <w:kern w:val="0"/>
          <w:sz w:val="24"/>
          <w:szCs w:val="68"/>
          <w:highlight w:val="none"/>
          <w:lang w:val="zh-CN"/>
        </w:rPr>
      </w:pPr>
      <w:r>
        <w:rPr>
          <w:rFonts w:hint="eastAsia" w:ascii="宋体" w:hAnsi="宋体" w:eastAsia="宋体" w:cs="宋体"/>
          <w:color w:val="auto"/>
          <w:kern w:val="0"/>
          <w:sz w:val="24"/>
          <w:szCs w:val="68"/>
          <w:highlight w:val="none"/>
          <w:lang w:val="zh-CN"/>
        </w:rPr>
        <w:t>根据本项目采购内容和要求及时完成技术成果提交采购人，并对提交的成果文件的质量负责。供应商必须对本项目涉及的资料及成果承担安全、保密责任，</w:t>
      </w:r>
      <w:r>
        <w:rPr>
          <w:rFonts w:hint="eastAsia" w:ascii="宋体" w:hAnsi="宋体" w:eastAsia="宋体" w:cs="宋体"/>
          <w:color w:val="auto"/>
          <w:sz w:val="24"/>
          <w:highlight w:val="none"/>
        </w:rPr>
        <w:t>要求按照《中华人民共和国国家保密法》及相关法律法规执行。</w:t>
      </w:r>
    </w:p>
    <w:p w14:paraId="5849A2A3">
      <w:pPr>
        <w:numPr>
          <w:ilvl w:val="0"/>
          <w:numId w:val="29"/>
        </w:numPr>
        <w:autoSpaceDE w:val="0"/>
        <w:autoSpaceDN w:val="0"/>
        <w:adjustRightInd w:val="0"/>
        <w:spacing w:line="360" w:lineRule="auto"/>
        <w:ind w:left="-60" w:leftChars="0" w:firstLine="480" w:firstLineChars="0"/>
        <w:jc w:val="left"/>
        <w:rPr>
          <w:rFonts w:hint="eastAsia"/>
          <w:b/>
          <w:sz w:val="28"/>
          <w:szCs w:val="28"/>
          <w:highlight w:val="none"/>
        </w:rPr>
      </w:pPr>
      <w:r>
        <w:rPr>
          <w:rFonts w:hint="eastAsia" w:ascii="宋体" w:hAnsi="宋体" w:eastAsia="宋体" w:cs="宋体"/>
          <w:color w:val="auto"/>
          <w:kern w:val="0"/>
          <w:sz w:val="24"/>
          <w:szCs w:val="68"/>
          <w:highlight w:val="none"/>
          <w:lang w:val="zh-CN"/>
        </w:rPr>
        <w:t>本项目技术成果的知识产权归属采购人所有，未经采购人同意，供应商不得擅自将成果以自己的名义发表或进行其他学术活动。</w:t>
      </w:r>
    </w:p>
    <w:p w14:paraId="173168B6">
      <w:pPr>
        <w:ind w:firstLine="0" w:firstLineChars="0"/>
        <w:rPr>
          <w:rFonts w:hint="eastAsia"/>
          <w:b/>
          <w:bCs/>
          <w:sz w:val="28"/>
          <w:szCs w:val="28"/>
          <w:highlight w:val="none"/>
          <w:lang w:val="zh-CN"/>
        </w:rPr>
      </w:pPr>
      <w:r>
        <w:rPr>
          <w:rFonts w:hint="eastAsia"/>
          <w:b/>
          <w:bCs/>
          <w:sz w:val="28"/>
          <w:szCs w:val="28"/>
          <w:highlight w:val="none"/>
          <w:lang w:val="zh-CN"/>
        </w:rPr>
        <w:t>六、履约验收</w:t>
      </w:r>
    </w:p>
    <w:p w14:paraId="09A3AE9C">
      <w:pPr>
        <w:pStyle w:val="3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eastAsia="zh-CN"/>
        </w:rPr>
        <w:t>甲方</w:t>
      </w:r>
      <w:r>
        <w:rPr>
          <w:rFonts w:hint="eastAsia" w:ascii="宋体" w:hAnsi="宋体" w:cs="宋体"/>
          <w:szCs w:val="24"/>
          <w:highlight w:val="none"/>
        </w:rPr>
        <w:t>组织对</w:t>
      </w:r>
      <w:r>
        <w:rPr>
          <w:rFonts w:hint="eastAsia" w:ascii="宋体" w:hAnsi="宋体" w:cs="宋体"/>
          <w:szCs w:val="24"/>
          <w:highlight w:val="none"/>
          <w:lang w:eastAsia="zh-CN"/>
        </w:rPr>
        <w:t>乙方</w:t>
      </w:r>
      <w:r>
        <w:rPr>
          <w:rFonts w:hint="eastAsia" w:ascii="宋体" w:hAnsi="宋体" w:cs="宋体"/>
          <w:szCs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szCs w:val="24"/>
          <w:highlight w:val="none"/>
          <w:lang w:eastAsia="zh-CN"/>
        </w:rPr>
        <w:t>乙方</w:t>
      </w:r>
      <w:r>
        <w:rPr>
          <w:rFonts w:hint="eastAsia" w:ascii="宋体" w:hAnsi="宋体" w:cs="宋体"/>
          <w:szCs w:val="24"/>
          <w:highlight w:val="none"/>
        </w:rPr>
        <w:t>须承担由此发生的一切损失和费用，并接受相应的处理。</w:t>
      </w:r>
    </w:p>
    <w:p w14:paraId="535C2B6F">
      <w:pPr>
        <w:pStyle w:val="3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eastAsia="zh-CN"/>
        </w:rPr>
        <w:t>甲方</w:t>
      </w:r>
      <w:r>
        <w:rPr>
          <w:rFonts w:hint="eastAsia" w:ascii="宋体" w:hAnsi="宋体" w:cs="宋体"/>
          <w:szCs w:val="24"/>
          <w:highlight w:val="none"/>
        </w:rPr>
        <w:t>应当及时对采购项目进行验收，</w:t>
      </w:r>
      <w:r>
        <w:rPr>
          <w:rFonts w:hint="eastAsia" w:ascii="宋体" w:hAnsi="宋体" w:cs="宋体"/>
          <w:szCs w:val="24"/>
          <w:highlight w:val="none"/>
          <w:lang w:eastAsia="zh-CN"/>
        </w:rPr>
        <w:t>甲方</w:t>
      </w:r>
      <w:r>
        <w:rPr>
          <w:rFonts w:hint="eastAsia" w:ascii="宋体" w:hAnsi="宋体" w:cs="宋体"/>
          <w:szCs w:val="24"/>
          <w:highlight w:val="none"/>
        </w:rPr>
        <w:t>可以邀请参加本项目的其他投标人或者第三方机构参与验收，参与验收的投标人或者第三方机构的意见作为验收书的参考资料一并存档。</w:t>
      </w:r>
    </w:p>
    <w:p w14:paraId="0AE24E41">
      <w:pPr>
        <w:pStyle w:val="3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cs="宋体"/>
          <w:szCs w:val="24"/>
          <w:highlight w:val="none"/>
        </w:rPr>
        <w:t>3</w:t>
      </w:r>
      <w:r>
        <w:rPr>
          <w:rFonts w:hint="eastAsia" w:ascii="宋体" w:hAnsi="宋体" w:cs="宋体"/>
          <w:szCs w:val="24"/>
          <w:highlight w:val="none"/>
          <w:lang w:eastAsia="zh-CN"/>
        </w:rPr>
        <w:t>甲方</w:t>
      </w:r>
      <w:r>
        <w:rPr>
          <w:rFonts w:hint="eastAsia" w:ascii="宋体" w:hAnsi="宋体" w:cs="宋体"/>
          <w:szCs w:val="24"/>
          <w:highlight w:val="none"/>
        </w:rPr>
        <w:t>负责加强对</w:t>
      </w:r>
      <w:r>
        <w:rPr>
          <w:rFonts w:hint="eastAsia" w:ascii="宋体" w:hAnsi="宋体" w:cs="宋体"/>
          <w:szCs w:val="24"/>
          <w:highlight w:val="none"/>
          <w:lang w:eastAsia="zh-CN"/>
        </w:rPr>
        <w:t>乙方</w:t>
      </w:r>
      <w:r>
        <w:rPr>
          <w:rFonts w:hint="eastAsia" w:ascii="宋体" w:hAnsi="宋体" w:cs="宋体"/>
          <w:szCs w:val="24"/>
          <w:highlight w:val="none"/>
        </w:rPr>
        <w:t>的履约管理，并按照采购合同约定，及时向</w:t>
      </w:r>
      <w:r>
        <w:rPr>
          <w:rFonts w:hint="eastAsia" w:ascii="宋体" w:hAnsi="宋体" w:cs="宋体"/>
          <w:szCs w:val="24"/>
          <w:highlight w:val="none"/>
          <w:lang w:eastAsia="zh-CN"/>
        </w:rPr>
        <w:t>乙方</w:t>
      </w:r>
      <w:r>
        <w:rPr>
          <w:rFonts w:hint="eastAsia" w:ascii="宋体" w:hAnsi="宋体" w:cs="宋体"/>
          <w:szCs w:val="24"/>
          <w:highlight w:val="none"/>
        </w:rPr>
        <w:t>支付采购资金。对于</w:t>
      </w:r>
      <w:r>
        <w:rPr>
          <w:rFonts w:hint="eastAsia" w:ascii="宋体" w:hAnsi="宋体" w:cs="宋体"/>
          <w:szCs w:val="24"/>
          <w:highlight w:val="none"/>
          <w:lang w:eastAsia="zh-CN"/>
        </w:rPr>
        <w:t>乙方</w:t>
      </w:r>
      <w:r>
        <w:rPr>
          <w:rFonts w:hint="eastAsia" w:ascii="宋体" w:hAnsi="宋体" w:cs="宋体"/>
          <w:szCs w:val="24"/>
          <w:highlight w:val="none"/>
        </w:rPr>
        <w:t>违反采购合同约定的行为，</w:t>
      </w:r>
      <w:r>
        <w:rPr>
          <w:rFonts w:hint="eastAsia" w:ascii="宋体" w:hAnsi="宋体" w:cs="宋体"/>
          <w:szCs w:val="24"/>
          <w:highlight w:val="none"/>
          <w:lang w:eastAsia="zh-CN"/>
        </w:rPr>
        <w:t>甲方</w:t>
      </w:r>
      <w:r>
        <w:rPr>
          <w:rFonts w:hint="eastAsia" w:ascii="宋体" w:hAnsi="宋体" w:cs="宋体"/>
          <w:szCs w:val="24"/>
          <w:highlight w:val="none"/>
        </w:rPr>
        <w:t>应当及时处理，依法追究其违约责任。</w:t>
      </w:r>
    </w:p>
    <w:p w14:paraId="6605F0F5">
      <w:pPr>
        <w:numPr>
          <w:ilvl w:val="0"/>
          <w:numId w:val="0"/>
        </w:num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付款方式</w:t>
      </w:r>
    </w:p>
    <w:p w14:paraId="76C1AF97">
      <w:pPr>
        <w:pStyle w:val="37"/>
        <w:spacing w:line="360" w:lineRule="auto"/>
        <w:ind w:firstLine="420" w:firstLineChars="175"/>
        <w:rPr>
          <w:rFonts w:cs="宋体"/>
          <w:color w:val="auto"/>
          <w:szCs w:val="24"/>
          <w:highlight w:val="none"/>
        </w:rPr>
      </w:pPr>
      <w:r>
        <w:rPr>
          <w:rFonts w:hint="eastAsia" w:cs="宋体"/>
          <w:color w:val="auto"/>
          <w:szCs w:val="24"/>
          <w:highlight w:val="none"/>
          <w:lang w:eastAsia="zh-CN"/>
        </w:rPr>
        <w:t>（</w:t>
      </w:r>
      <w:r>
        <w:rPr>
          <w:rFonts w:hint="eastAsia" w:cs="宋体"/>
          <w:color w:val="auto"/>
          <w:szCs w:val="24"/>
          <w:highlight w:val="none"/>
          <w:lang w:val="en-US" w:eastAsia="zh-CN"/>
        </w:rPr>
        <w:t>1</w:t>
      </w:r>
      <w:r>
        <w:rPr>
          <w:rFonts w:hint="eastAsia" w:cs="宋体"/>
          <w:color w:val="auto"/>
          <w:szCs w:val="24"/>
          <w:highlight w:val="none"/>
          <w:lang w:eastAsia="zh-CN"/>
        </w:rPr>
        <w:t>）</w:t>
      </w:r>
      <w:r>
        <w:rPr>
          <w:rFonts w:hint="eastAsia" w:cs="宋体"/>
          <w:color w:val="auto"/>
          <w:szCs w:val="24"/>
          <w:highlight w:val="none"/>
        </w:rPr>
        <w:t>服务费：</w:t>
      </w:r>
    </w:p>
    <w:p w14:paraId="001509BB">
      <w:pPr>
        <w:pStyle w:val="37"/>
        <w:spacing w:line="360" w:lineRule="auto"/>
        <w:ind w:firstLine="420" w:firstLineChars="175"/>
        <w:rPr>
          <w:rFonts w:hint="eastAsia"/>
          <w:color w:val="auto"/>
          <w:highlight w:val="none"/>
        </w:rPr>
      </w:pPr>
      <w:r>
        <w:rPr>
          <w:rFonts w:hint="eastAsia" w:cs="宋体"/>
          <w:color w:val="auto"/>
          <w:szCs w:val="24"/>
          <w:highlight w:val="none"/>
        </w:rPr>
        <w:t>本合同金额为人民币（大写）：________元（￥_______元）。</w:t>
      </w:r>
    </w:p>
    <w:p w14:paraId="0296AE31">
      <w:pPr>
        <w:numPr>
          <w:ilvl w:val="0"/>
          <w:numId w:val="0"/>
        </w:numPr>
        <w:tabs>
          <w:tab w:val="left" w:pos="3570"/>
        </w:tabs>
        <w:spacing w:line="48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2025年3月31日前具备实施条件经甲方确认后支付80%合同价款；提交最终分析报告经验收合格后15个工作日内支付剩余合同价款。</w:t>
      </w:r>
    </w:p>
    <w:p w14:paraId="78D93FA4">
      <w:pPr>
        <w:numPr>
          <w:ilvl w:val="0"/>
          <w:numId w:val="0"/>
        </w:numPr>
        <w:tabs>
          <w:tab w:val="left" w:pos="3570"/>
        </w:tabs>
        <w:spacing w:line="480" w:lineRule="auto"/>
        <w:ind w:left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付款要求</w:t>
      </w:r>
    </w:p>
    <w:p w14:paraId="1FF2F1A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在收款之前，应向</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提供</w:t>
      </w:r>
      <w:r>
        <w:rPr>
          <w:rFonts w:hint="eastAsia" w:ascii="宋体" w:hAnsi="宋体" w:eastAsia="宋体" w:cs="宋体"/>
          <w:color w:val="auto"/>
          <w:sz w:val="24"/>
          <w:szCs w:val="24"/>
          <w:highlight w:val="none"/>
        </w:rPr>
        <w:t>等额、合法、有效的</w:t>
      </w:r>
      <w:r>
        <w:rPr>
          <w:rFonts w:hint="eastAsia" w:ascii="宋体" w:hAnsi="宋体" w:eastAsia="宋体" w:cs="宋体"/>
          <w:color w:val="auto"/>
          <w:sz w:val="24"/>
          <w:highlight w:val="none"/>
        </w:rPr>
        <w:t>发票，</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凭发票付款。如</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未按约定提供发票的，</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有权拒绝付款，直至收到</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提交的相应发票为止，在此情况下，</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不承担逾期付款违约责任。</w:t>
      </w:r>
    </w:p>
    <w:p w14:paraId="3C2212A0">
      <w:pPr>
        <w:spacing w:line="348"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cs="宋体"/>
          <w:b/>
          <w:bCs/>
          <w:color w:val="auto"/>
          <w:sz w:val="24"/>
          <w:szCs w:val="24"/>
          <w:highlight w:val="none"/>
        </w:rPr>
        <w:t>、违约责任</w:t>
      </w:r>
    </w:p>
    <w:p w14:paraId="06EB819E">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1、甲方无正当理由拒绝服务的，乙方有要求甲方赔偿的权利。</w:t>
      </w:r>
    </w:p>
    <w:p w14:paraId="5F20A8C7">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2、甲方无正当理由拒绝支付合同款或者延期支付的，由甲方按应支付每天万分之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的延期违约金。</w:t>
      </w:r>
    </w:p>
    <w:p w14:paraId="4AD81E4B">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3、乙方所交付服务（软件）品种、型号、规格、数量、质量不符合合同规定标准的，甲方有权拒绝接收，不予退还履约保证金，并有要求乙方赔偿的权利。</w:t>
      </w:r>
    </w:p>
    <w:p w14:paraId="23762586">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4、乙方未能及时交货</w:t>
      </w:r>
      <w:r>
        <w:rPr>
          <w:rFonts w:hint="eastAsia" w:ascii="宋体" w:hAnsi="宋体" w:cs="宋体"/>
          <w:color w:val="auto"/>
          <w:kern w:val="0"/>
          <w:sz w:val="24"/>
          <w:highlight w:val="none"/>
          <w:lang w:eastAsia="zh-CN"/>
        </w:rPr>
        <w:t>或其他</w:t>
      </w:r>
      <w:r>
        <w:rPr>
          <w:rFonts w:hint="eastAsia" w:ascii="宋体" w:hAnsi="宋体" w:cs="宋体"/>
          <w:color w:val="auto"/>
          <w:kern w:val="0"/>
          <w:sz w:val="24"/>
          <w:highlight w:val="none"/>
        </w:rPr>
        <w:t>非甲方原因引起验收交货延迟的，由乙方支付迟交服务（软件）合同价每天万分之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的误期赔偿费。</w:t>
      </w:r>
    </w:p>
    <w:p w14:paraId="3936B874">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5、其他：</w:t>
      </w:r>
      <w:r>
        <w:rPr>
          <w:rFonts w:hint="eastAsia" w:ascii="宋体" w:hAnsi="宋体" w:cs="宋体"/>
          <w:color w:val="auto"/>
          <w:kern w:val="0"/>
          <w:sz w:val="24"/>
          <w:highlight w:val="none"/>
          <w:u w:val="single"/>
        </w:rPr>
        <w:t>采购合同的履行、违约责任和解决争议的方式等适用《中华人民共和国民法典》。合同发生争议，双方当事人应及时协商解决。也可由当地建设行政主管部门调解，调解不成时，可依法向当地人民法院起诉</w:t>
      </w:r>
      <w:r>
        <w:rPr>
          <w:rFonts w:hint="eastAsia" w:ascii="宋体" w:hAnsi="宋体" w:cs="宋体"/>
          <w:color w:val="auto"/>
          <w:kern w:val="0"/>
          <w:sz w:val="24"/>
          <w:highlight w:val="none"/>
        </w:rPr>
        <w:t>。</w:t>
      </w:r>
    </w:p>
    <w:p w14:paraId="28736E28">
      <w:pPr>
        <w:snapToGrid w:val="0"/>
        <w:spacing w:line="360" w:lineRule="auto"/>
        <w:rPr>
          <w:rFonts w:hint="eastAsia"/>
          <w:b/>
          <w:bCs/>
          <w:sz w:val="24"/>
          <w:szCs w:val="24"/>
          <w:highlight w:val="none"/>
        </w:rPr>
      </w:pPr>
      <w:r>
        <w:rPr>
          <w:rFonts w:hint="eastAsia"/>
          <w:b/>
          <w:bCs/>
          <w:sz w:val="24"/>
          <w:szCs w:val="24"/>
          <w:highlight w:val="none"/>
          <w:lang w:val="en-US" w:eastAsia="zh-CN"/>
        </w:rPr>
        <w:t>九、</w:t>
      </w:r>
      <w:r>
        <w:rPr>
          <w:rFonts w:hint="eastAsia"/>
          <w:b/>
          <w:bCs/>
          <w:sz w:val="24"/>
          <w:szCs w:val="24"/>
          <w:highlight w:val="none"/>
        </w:rPr>
        <w:t>解决争议的方法</w:t>
      </w:r>
    </w:p>
    <w:p w14:paraId="41040F88">
      <w:pPr>
        <w:numPr>
          <w:ilvl w:val="0"/>
          <w:numId w:val="0"/>
        </w:num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 xml:space="preserve"> 因本合同及合同有关事项发生的争议，由</w:t>
      </w:r>
      <w:r>
        <w:rPr>
          <w:rFonts w:hint="eastAsia" w:ascii="宋体" w:hAnsi="宋体" w:eastAsia="宋体" w:cs="宋体"/>
          <w:kern w:val="0"/>
          <w:sz w:val="24"/>
          <w:szCs w:val="20"/>
          <w:highlight w:val="none"/>
          <w:lang w:eastAsia="zh-CN"/>
        </w:rPr>
        <w:t>甲乙双</w:t>
      </w:r>
      <w:r>
        <w:rPr>
          <w:rFonts w:hint="eastAsia" w:ascii="宋体" w:hAnsi="宋体" w:eastAsia="宋体" w:cs="宋体"/>
          <w:kern w:val="0"/>
          <w:sz w:val="24"/>
          <w:szCs w:val="20"/>
          <w:highlight w:val="none"/>
        </w:rPr>
        <w:t>方友好协商解决。协商不成时，可以</w:t>
      </w:r>
      <w:r>
        <w:rPr>
          <w:rFonts w:hint="eastAsia" w:ascii="宋体" w:hAnsi="宋体" w:eastAsia="宋体" w:cs="宋体"/>
          <w:kern w:val="0"/>
          <w:sz w:val="24"/>
          <w:szCs w:val="20"/>
          <w:highlight w:val="none"/>
          <w:lang w:eastAsia="zh-CN"/>
        </w:rPr>
        <w:t>向有关组织申请</w:t>
      </w:r>
      <w:r>
        <w:rPr>
          <w:rFonts w:hint="eastAsia" w:ascii="宋体" w:hAnsi="宋体" w:eastAsia="宋体" w:cs="宋体"/>
          <w:kern w:val="0"/>
          <w:sz w:val="24"/>
          <w:szCs w:val="20"/>
          <w:highlight w:val="none"/>
        </w:rPr>
        <w:t>调解。合同一方或</w:t>
      </w:r>
      <w:r>
        <w:rPr>
          <w:rFonts w:hint="eastAsia" w:ascii="宋体" w:hAnsi="宋体" w:eastAsia="宋体" w:cs="宋体"/>
          <w:kern w:val="0"/>
          <w:sz w:val="24"/>
          <w:szCs w:val="20"/>
          <w:highlight w:val="none"/>
          <w:lang w:eastAsia="zh-CN"/>
        </w:rPr>
        <w:t>双</w:t>
      </w:r>
      <w:r>
        <w:rPr>
          <w:rFonts w:hint="eastAsia" w:ascii="宋体" w:hAnsi="宋体" w:eastAsia="宋体" w:cs="宋体"/>
          <w:kern w:val="0"/>
          <w:sz w:val="24"/>
          <w:szCs w:val="20"/>
          <w:highlight w:val="none"/>
        </w:rPr>
        <w:t>方不愿调解或调解不成的，可以通过仲裁或诉讼的方式解决争议。</w:t>
      </w:r>
    </w:p>
    <w:p w14:paraId="3E7CEC8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val="0"/>
          <w:bCs w:val="0"/>
          <w:iCs/>
          <w:color w:val="auto"/>
          <w:kern w:val="2"/>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iCs/>
          <w:color w:val="auto"/>
          <w:kern w:val="2"/>
          <w:sz w:val="24"/>
          <w:szCs w:val="24"/>
          <w:highlight w:val="none"/>
        </w:rPr>
        <w:t>因本合同及合同有关事项发生的争议，按下列第</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u w:val="single"/>
          <w:lang w:val="en-US" w:eastAsia="zh-CN"/>
        </w:rPr>
        <w:t>2</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rPr>
        <w:t>种方式解决：</w:t>
      </w:r>
    </w:p>
    <w:p w14:paraId="3AE9D6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b w:val="0"/>
          <w:bCs w:val="0"/>
          <w:iCs/>
          <w:color w:val="auto"/>
          <w:kern w:val="2"/>
          <w:sz w:val="24"/>
          <w:szCs w:val="24"/>
          <w:highlight w:val="none"/>
        </w:rPr>
      </w:pPr>
      <w:r>
        <w:rPr>
          <w:rFonts w:hint="eastAsia" w:ascii="宋体" w:hAnsi="宋体" w:eastAsia="宋体" w:cs="宋体"/>
          <w:b w:val="0"/>
          <w:bCs w:val="0"/>
          <w:iCs/>
          <w:color w:val="auto"/>
          <w:kern w:val="2"/>
          <w:sz w:val="24"/>
          <w:szCs w:val="24"/>
          <w:highlight w:val="none"/>
        </w:rPr>
        <w:t>（1）向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s="宋体"/>
          <w:b w:val="0"/>
          <w:bCs w:val="0"/>
          <w:iCs/>
          <w:color w:val="auto"/>
          <w:kern w:val="2"/>
          <w:sz w:val="24"/>
          <w:szCs w:val="24"/>
          <w:highlight w:val="none"/>
          <w:u w:val="single"/>
          <w:lang w:eastAsia="zh-CN"/>
        </w:rPr>
        <w:t>绍兴市</w:t>
      </w:r>
      <w:r>
        <w:rPr>
          <w:rFonts w:hint="eastAsia" w:ascii="宋体" w:hAnsi="宋体" w:eastAsia="宋体" w:cs="宋体"/>
          <w:b w:val="0"/>
          <w:bCs w:val="0"/>
          <w:iCs/>
          <w:color w:val="auto"/>
          <w:kern w:val="2"/>
          <w:sz w:val="24"/>
          <w:szCs w:val="24"/>
          <w:highlight w:val="none"/>
          <w:u w:val="single"/>
          <w:lang w:val="en-US" w:eastAsia="zh-CN"/>
        </w:rPr>
        <w:t xml:space="preserve"> </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仲裁委员会申请仲裁，仲裁地点为</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宋体"/>
          <w:b w:val="0"/>
          <w:bCs w:val="0"/>
          <w:iCs/>
          <w:color w:val="auto"/>
          <w:kern w:val="2"/>
          <w:sz w:val="24"/>
          <w:szCs w:val="24"/>
          <w:highlight w:val="none"/>
        </w:rPr>
        <w:t>；</w:t>
      </w:r>
    </w:p>
    <w:p w14:paraId="6D8635FA">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color w:val="auto"/>
          <w:kern w:val="0"/>
          <w:sz w:val="24"/>
          <w:szCs w:val="20"/>
          <w:highlight w:val="none"/>
        </w:rPr>
      </w:pPr>
      <w:r>
        <w:rPr>
          <w:rFonts w:hint="eastAsia" w:ascii="宋体" w:hAnsi="宋体" w:eastAsia="宋体" w:cs="宋体"/>
          <w:b w:val="0"/>
          <w:bCs w:val="0"/>
          <w:iCs/>
          <w:color w:val="auto"/>
          <w:kern w:val="2"/>
          <w:sz w:val="24"/>
          <w:szCs w:val="24"/>
          <w:highlight w:val="none"/>
        </w:rPr>
        <w:t>（2）向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olor w:val="auto"/>
          <w:sz w:val="24"/>
          <w:szCs w:val="24"/>
          <w:highlight w:val="none"/>
          <w:u w:val="single"/>
        </w:rPr>
        <w:t>绍兴市上虞区</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人民法院起诉。</w:t>
      </w:r>
    </w:p>
    <w:p w14:paraId="20C5580D">
      <w:pPr>
        <w:pStyle w:val="44"/>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6D8806B3">
      <w:pPr>
        <w:numPr>
          <w:ilvl w:val="0"/>
          <w:numId w:val="0"/>
        </w:numPr>
        <w:spacing w:line="360" w:lineRule="auto"/>
        <w:ind w:leftChars="0"/>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附则</w:t>
      </w:r>
    </w:p>
    <w:p w14:paraId="7847F40C">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highlight w:val="none"/>
        </w:rPr>
      </w:pPr>
      <w:r>
        <w:rPr>
          <w:rFonts w:hint="eastAsia" w:ascii="宋体" w:hAnsi="宋体" w:eastAsia="宋体" w:cs="Times New Roman"/>
          <w:bCs/>
          <w:sz w:val="24"/>
          <w:highlight w:val="none"/>
        </w:rPr>
        <w:t>1.合同经甲、乙双方签名并加盖单位公章后生效。</w:t>
      </w:r>
    </w:p>
    <w:p w14:paraId="793B279E">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highlight w:val="none"/>
        </w:rPr>
      </w:pPr>
      <w:r>
        <w:rPr>
          <w:rFonts w:hint="eastAsia" w:ascii="宋体" w:hAnsi="宋体" w:eastAsia="宋体" w:cs="Times New Roman"/>
          <w:bCs/>
          <w:sz w:val="24"/>
          <w:highlight w:val="none"/>
        </w:rPr>
        <w:t>2.采购文件、投标文件与本合同具有同等法律效力。</w:t>
      </w:r>
    </w:p>
    <w:p w14:paraId="2FCF5598">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highlight w:val="none"/>
        </w:rPr>
      </w:pPr>
      <w:r>
        <w:rPr>
          <w:rFonts w:hint="eastAsia" w:ascii="宋体" w:hAnsi="宋体" w:eastAsia="宋体" w:cs="Times New Roman"/>
          <w:bCs/>
          <w:sz w:val="24"/>
          <w:highlight w:val="none"/>
        </w:rPr>
        <w:t>3.本合同未尽事宜，</w:t>
      </w:r>
      <w:r>
        <w:rPr>
          <w:rFonts w:hint="eastAsia" w:ascii="宋体" w:hAnsi="宋体" w:eastAsia="宋体" w:cs="Times New Roman"/>
          <w:bCs/>
          <w:sz w:val="24"/>
          <w:highlight w:val="none"/>
          <w:lang w:val="en-US" w:eastAsia="zh-CN"/>
        </w:rPr>
        <w:t>由双方协商决定</w:t>
      </w:r>
      <w:r>
        <w:rPr>
          <w:rFonts w:hint="eastAsia" w:ascii="宋体" w:hAnsi="宋体" w:eastAsia="宋体" w:cs="Times New Roman"/>
          <w:bCs/>
          <w:sz w:val="24"/>
          <w:highlight w:val="none"/>
        </w:rPr>
        <w:t>。</w:t>
      </w:r>
    </w:p>
    <w:p w14:paraId="2380AD13">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4</w:t>
      </w:r>
      <w:r>
        <w:rPr>
          <w:rFonts w:hint="eastAsia" w:ascii="宋体" w:hAnsi="宋体" w:cs="Times New Roman"/>
          <w:bCs/>
          <w:sz w:val="24"/>
          <w:highlight w:val="none"/>
          <w:lang w:val="en-US" w:eastAsia="zh-CN"/>
        </w:rPr>
        <w:t>.</w:t>
      </w:r>
      <w:r>
        <w:rPr>
          <w:rFonts w:hint="eastAsia" w:ascii="宋体" w:hAnsi="宋体" w:eastAsia="宋体" w:cs="Times New Roman"/>
          <w:bCs/>
          <w:sz w:val="24"/>
          <w:highlight w:val="none"/>
          <w:lang w:val="en-US" w:eastAsia="zh-CN"/>
        </w:rPr>
        <w:t>本项目货物如涉及柴油动力移动源，柴油动力移动源应当符合低排放要求。</w:t>
      </w:r>
    </w:p>
    <w:p w14:paraId="6D025A26">
      <w:pPr>
        <w:spacing w:line="360" w:lineRule="auto"/>
        <w:ind w:firstLine="482" w:firstLineChars="200"/>
        <w:jc w:val="left"/>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5、</w:t>
      </w:r>
      <w:r>
        <w:rPr>
          <w:rFonts w:hint="eastAsia" w:ascii="宋体" w:hAnsi="宋体" w:eastAsia="宋体" w:cs="宋体"/>
          <w:b/>
          <w:kern w:val="0"/>
          <w:sz w:val="24"/>
          <w:highlight w:val="none"/>
        </w:rPr>
        <w:t>本合同一式</w:t>
      </w:r>
      <w:r>
        <w:rPr>
          <w:rFonts w:hint="eastAsia" w:ascii="宋体" w:hAnsi="宋体" w:eastAsia="宋体" w:cs="宋体"/>
          <w:b/>
          <w:kern w:val="0"/>
          <w:sz w:val="24"/>
          <w:highlight w:val="none"/>
          <w:u w:val="single"/>
        </w:rPr>
        <w:t xml:space="preserve">　　　 </w:t>
      </w:r>
      <w:r>
        <w:rPr>
          <w:rFonts w:hint="eastAsia" w:ascii="宋体" w:hAnsi="宋体" w:eastAsia="宋体" w:cs="宋体"/>
          <w:b/>
          <w:kern w:val="0"/>
          <w:sz w:val="24"/>
          <w:highlight w:val="none"/>
        </w:rPr>
        <w:t>份，其中正本两份，采购人和中标人各执一份，</w:t>
      </w:r>
      <w:r>
        <w:rPr>
          <w:rFonts w:hint="eastAsia" w:ascii="宋体" w:hAnsi="宋体" w:eastAsia="宋体" w:cs="宋体"/>
          <w:b/>
          <w:kern w:val="0"/>
          <w:sz w:val="24"/>
          <w:highlight w:val="none"/>
          <w:lang w:val="en-US" w:eastAsia="zh-CN"/>
        </w:rPr>
        <w:t>并由采购人在30日内做好政采云平台网上合同创建及备案。</w:t>
      </w:r>
    </w:p>
    <w:tbl>
      <w:tblPr>
        <w:tblStyle w:val="2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614"/>
        <w:gridCol w:w="1346"/>
        <w:gridCol w:w="2700"/>
      </w:tblGrid>
      <w:tr w14:paraId="11C5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781ACE25">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供方单位</w:t>
            </w:r>
          </w:p>
        </w:tc>
        <w:tc>
          <w:tcPr>
            <w:tcW w:w="2614" w:type="dxa"/>
            <w:noWrap w:val="0"/>
            <w:vAlign w:val="center"/>
          </w:tcPr>
          <w:p w14:paraId="6D5777FF">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（盖章）</w:t>
            </w:r>
          </w:p>
        </w:tc>
        <w:tc>
          <w:tcPr>
            <w:tcW w:w="1346" w:type="dxa"/>
            <w:noWrap w:val="0"/>
            <w:vAlign w:val="center"/>
          </w:tcPr>
          <w:p w14:paraId="06FAA01E">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需方单位</w:t>
            </w:r>
          </w:p>
        </w:tc>
        <w:tc>
          <w:tcPr>
            <w:tcW w:w="2700" w:type="dxa"/>
            <w:noWrap w:val="0"/>
            <w:vAlign w:val="center"/>
          </w:tcPr>
          <w:p w14:paraId="654CDDDB">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（盖章）</w:t>
            </w:r>
          </w:p>
        </w:tc>
      </w:tr>
      <w:tr w14:paraId="2E44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2CEC97EF">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代表签名</w:t>
            </w:r>
          </w:p>
        </w:tc>
        <w:tc>
          <w:tcPr>
            <w:tcW w:w="2614" w:type="dxa"/>
            <w:noWrap w:val="0"/>
            <w:vAlign w:val="center"/>
          </w:tcPr>
          <w:p w14:paraId="78A8C0B1">
            <w:pPr>
              <w:snapToGrid w:val="0"/>
              <w:spacing w:line="360" w:lineRule="auto"/>
              <w:jc w:val="center"/>
              <w:rPr>
                <w:rFonts w:hint="eastAsia" w:ascii="宋体" w:hAnsi="宋体" w:eastAsia="宋体" w:cs="宋体"/>
                <w:snapToGrid w:val="0"/>
                <w:kern w:val="0"/>
                <w:sz w:val="21"/>
                <w:szCs w:val="21"/>
                <w:highlight w:val="none"/>
              </w:rPr>
            </w:pPr>
          </w:p>
        </w:tc>
        <w:tc>
          <w:tcPr>
            <w:tcW w:w="1346" w:type="dxa"/>
            <w:noWrap w:val="0"/>
            <w:vAlign w:val="center"/>
          </w:tcPr>
          <w:p w14:paraId="162DCE95">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代表签名</w:t>
            </w:r>
          </w:p>
        </w:tc>
        <w:tc>
          <w:tcPr>
            <w:tcW w:w="2700" w:type="dxa"/>
            <w:noWrap w:val="0"/>
            <w:vAlign w:val="center"/>
          </w:tcPr>
          <w:p w14:paraId="7D1AB6EC">
            <w:pPr>
              <w:snapToGrid w:val="0"/>
              <w:spacing w:line="360" w:lineRule="auto"/>
              <w:jc w:val="center"/>
              <w:rPr>
                <w:rFonts w:hint="eastAsia" w:ascii="宋体" w:hAnsi="宋体" w:eastAsia="宋体" w:cs="宋体"/>
                <w:snapToGrid w:val="0"/>
                <w:kern w:val="0"/>
                <w:sz w:val="21"/>
                <w:szCs w:val="21"/>
                <w:highlight w:val="none"/>
              </w:rPr>
            </w:pPr>
          </w:p>
        </w:tc>
      </w:tr>
      <w:tr w14:paraId="7C45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37A79E68">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址</w:t>
            </w:r>
          </w:p>
        </w:tc>
        <w:tc>
          <w:tcPr>
            <w:tcW w:w="2614" w:type="dxa"/>
            <w:noWrap w:val="0"/>
            <w:vAlign w:val="center"/>
          </w:tcPr>
          <w:p w14:paraId="04969733">
            <w:pPr>
              <w:snapToGrid w:val="0"/>
              <w:spacing w:line="360" w:lineRule="auto"/>
              <w:jc w:val="center"/>
              <w:rPr>
                <w:rFonts w:hint="eastAsia" w:ascii="宋体" w:hAnsi="宋体" w:eastAsia="宋体" w:cs="宋体"/>
                <w:snapToGrid w:val="0"/>
                <w:kern w:val="0"/>
                <w:sz w:val="21"/>
                <w:szCs w:val="21"/>
                <w:highlight w:val="none"/>
              </w:rPr>
            </w:pPr>
          </w:p>
        </w:tc>
        <w:tc>
          <w:tcPr>
            <w:tcW w:w="1346" w:type="dxa"/>
            <w:noWrap w:val="0"/>
            <w:vAlign w:val="center"/>
          </w:tcPr>
          <w:p w14:paraId="03D63E22">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址</w:t>
            </w:r>
          </w:p>
        </w:tc>
        <w:tc>
          <w:tcPr>
            <w:tcW w:w="2700" w:type="dxa"/>
            <w:noWrap w:val="0"/>
            <w:vAlign w:val="center"/>
          </w:tcPr>
          <w:p w14:paraId="6D933626">
            <w:pPr>
              <w:snapToGrid w:val="0"/>
              <w:spacing w:line="360" w:lineRule="auto"/>
              <w:jc w:val="center"/>
              <w:rPr>
                <w:rFonts w:hint="eastAsia" w:ascii="宋体" w:hAnsi="宋体" w:eastAsia="宋体" w:cs="宋体"/>
                <w:snapToGrid w:val="0"/>
                <w:kern w:val="0"/>
                <w:sz w:val="21"/>
                <w:szCs w:val="21"/>
                <w:highlight w:val="none"/>
              </w:rPr>
            </w:pPr>
          </w:p>
        </w:tc>
      </w:tr>
      <w:tr w14:paraId="4D67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58CE5EB">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电</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话</w:t>
            </w:r>
          </w:p>
        </w:tc>
        <w:tc>
          <w:tcPr>
            <w:tcW w:w="2614" w:type="dxa"/>
            <w:noWrap w:val="0"/>
            <w:vAlign w:val="center"/>
          </w:tcPr>
          <w:p w14:paraId="35607D73">
            <w:pPr>
              <w:snapToGrid w:val="0"/>
              <w:spacing w:line="360" w:lineRule="auto"/>
              <w:jc w:val="center"/>
              <w:rPr>
                <w:rFonts w:hint="eastAsia" w:ascii="宋体" w:hAnsi="宋体" w:eastAsia="宋体" w:cs="宋体"/>
                <w:snapToGrid w:val="0"/>
                <w:kern w:val="0"/>
                <w:sz w:val="21"/>
                <w:szCs w:val="21"/>
                <w:highlight w:val="none"/>
              </w:rPr>
            </w:pPr>
          </w:p>
        </w:tc>
        <w:tc>
          <w:tcPr>
            <w:tcW w:w="1346" w:type="dxa"/>
            <w:noWrap w:val="0"/>
            <w:vAlign w:val="center"/>
          </w:tcPr>
          <w:p w14:paraId="2BC60DFC">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电</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话</w:t>
            </w:r>
          </w:p>
        </w:tc>
        <w:tc>
          <w:tcPr>
            <w:tcW w:w="2700" w:type="dxa"/>
            <w:noWrap w:val="0"/>
            <w:vAlign w:val="center"/>
          </w:tcPr>
          <w:p w14:paraId="36EB1F5A">
            <w:pPr>
              <w:snapToGrid w:val="0"/>
              <w:spacing w:line="360" w:lineRule="auto"/>
              <w:jc w:val="center"/>
              <w:rPr>
                <w:rFonts w:hint="eastAsia" w:ascii="宋体" w:hAnsi="宋体" w:eastAsia="宋体" w:cs="宋体"/>
                <w:snapToGrid w:val="0"/>
                <w:kern w:val="0"/>
                <w:sz w:val="21"/>
                <w:szCs w:val="21"/>
                <w:highlight w:val="none"/>
              </w:rPr>
            </w:pPr>
          </w:p>
        </w:tc>
      </w:tr>
      <w:tr w14:paraId="1982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5F0272BB">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开户银行</w:t>
            </w:r>
          </w:p>
        </w:tc>
        <w:tc>
          <w:tcPr>
            <w:tcW w:w="2614" w:type="dxa"/>
            <w:noWrap w:val="0"/>
            <w:vAlign w:val="center"/>
          </w:tcPr>
          <w:p w14:paraId="6CD84209">
            <w:pPr>
              <w:snapToGrid w:val="0"/>
              <w:spacing w:line="360" w:lineRule="auto"/>
              <w:jc w:val="center"/>
              <w:rPr>
                <w:rFonts w:hint="eastAsia" w:ascii="宋体" w:hAnsi="宋体" w:eastAsia="宋体" w:cs="宋体"/>
                <w:snapToGrid w:val="0"/>
                <w:kern w:val="0"/>
                <w:sz w:val="21"/>
                <w:szCs w:val="21"/>
                <w:highlight w:val="none"/>
              </w:rPr>
            </w:pPr>
          </w:p>
        </w:tc>
        <w:tc>
          <w:tcPr>
            <w:tcW w:w="1346" w:type="dxa"/>
            <w:noWrap w:val="0"/>
            <w:vAlign w:val="center"/>
          </w:tcPr>
          <w:p w14:paraId="2B32AFE3">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开户银行</w:t>
            </w:r>
          </w:p>
        </w:tc>
        <w:tc>
          <w:tcPr>
            <w:tcW w:w="2700" w:type="dxa"/>
            <w:noWrap w:val="0"/>
            <w:vAlign w:val="center"/>
          </w:tcPr>
          <w:p w14:paraId="0568692D">
            <w:pPr>
              <w:snapToGrid w:val="0"/>
              <w:spacing w:line="360" w:lineRule="auto"/>
              <w:jc w:val="center"/>
              <w:rPr>
                <w:rFonts w:hint="eastAsia" w:ascii="宋体" w:hAnsi="宋体" w:eastAsia="宋体" w:cs="宋体"/>
                <w:snapToGrid w:val="0"/>
                <w:kern w:val="0"/>
                <w:sz w:val="21"/>
                <w:szCs w:val="21"/>
                <w:highlight w:val="none"/>
              </w:rPr>
            </w:pPr>
          </w:p>
        </w:tc>
      </w:tr>
      <w:tr w14:paraId="4006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57B50DB0">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eastAsia="zh-CN"/>
              </w:rPr>
              <w:t>账</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号</w:t>
            </w:r>
          </w:p>
        </w:tc>
        <w:tc>
          <w:tcPr>
            <w:tcW w:w="2614" w:type="dxa"/>
            <w:noWrap w:val="0"/>
            <w:vAlign w:val="center"/>
          </w:tcPr>
          <w:p w14:paraId="6030FCEB">
            <w:pPr>
              <w:snapToGrid w:val="0"/>
              <w:spacing w:line="360" w:lineRule="auto"/>
              <w:jc w:val="center"/>
              <w:rPr>
                <w:rFonts w:hint="eastAsia" w:ascii="宋体" w:hAnsi="宋体" w:eastAsia="宋体" w:cs="宋体"/>
                <w:snapToGrid w:val="0"/>
                <w:kern w:val="0"/>
                <w:sz w:val="21"/>
                <w:szCs w:val="21"/>
                <w:highlight w:val="none"/>
              </w:rPr>
            </w:pPr>
          </w:p>
        </w:tc>
        <w:tc>
          <w:tcPr>
            <w:tcW w:w="1346" w:type="dxa"/>
            <w:noWrap w:val="0"/>
            <w:vAlign w:val="center"/>
          </w:tcPr>
          <w:p w14:paraId="4981AA85">
            <w:pPr>
              <w:snapToGrid w:val="0"/>
              <w:spacing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eastAsia="zh-CN"/>
              </w:rPr>
              <w:t>账</w:t>
            </w:r>
            <w:r>
              <w:rPr>
                <w:rFonts w:hint="eastAsia" w:ascii="宋体" w:hAnsi="宋体" w:cs="宋体"/>
                <w:snapToGrid w:val="0"/>
                <w:kern w:val="0"/>
                <w:sz w:val="21"/>
                <w:szCs w:val="21"/>
                <w:highlight w:val="none"/>
                <w:lang w:val="en-US" w:eastAsia="zh-CN"/>
              </w:rPr>
              <w:t xml:space="preserve">    </w:t>
            </w:r>
            <w:r>
              <w:rPr>
                <w:rFonts w:hint="eastAsia" w:ascii="宋体" w:hAnsi="宋体" w:eastAsia="宋体" w:cs="宋体"/>
                <w:snapToGrid w:val="0"/>
                <w:kern w:val="0"/>
                <w:sz w:val="21"/>
                <w:szCs w:val="21"/>
                <w:highlight w:val="none"/>
              </w:rPr>
              <w:t>号</w:t>
            </w:r>
          </w:p>
        </w:tc>
        <w:tc>
          <w:tcPr>
            <w:tcW w:w="2700" w:type="dxa"/>
            <w:noWrap w:val="0"/>
            <w:vAlign w:val="center"/>
          </w:tcPr>
          <w:p w14:paraId="3E5E3A47">
            <w:pPr>
              <w:snapToGrid w:val="0"/>
              <w:spacing w:line="360" w:lineRule="auto"/>
              <w:jc w:val="center"/>
              <w:rPr>
                <w:rFonts w:hint="eastAsia" w:ascii="宋体" w:hAnsi="宋体" w:eastAsia="宋体" w:cs="宋体"/>
                <w:snapToGrid w:val="0"/>
                <w:kern w:val="0"/>
                <w:sz w:val="21"/>
                <w:szCs w:val="21"/>
                <w:highlight w:val="none"/>
              </w:rPr>
            </w:pPr>
          </w:p>
        </w:tc>
      </w:tr>
      <w:tr w14:paraId="40FF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76581FAC">
            <w:pPr>
              <w:snapToGrid w:val="0"/>
              <w:spacing w:line="360" w:lineRule="auto"/>
              <w:jc w:val="center"/>
              <w:rPr>
                <w:rFonts w:hint="eastAsia" w:ascii="宋体" w:hAnsi="宋体" w:eastAsia="宋体" w:cs="宋体"/>
                <w:snapToGrid w:val="0"/>
                <w:kern w:val="0"/>
                <w:sz w:val="21"/>
                <w:szCs w:val="21"/>
                <w:highlight w:val="none"/>
                <w:lang w:eastAsia="zh-CN"/>
              </w:rPr>
            </w:pPr>
            <w:r>
              <w:rPr>
                <w:rFonts w:hint="eastAsia" w:ascii="宋体" w:hAnsi="宋体" w:cs="宋体"/>
                <w:snapToGrid w:val="0"/>
                <w:kern w:val="0"/>
                <w:sz w:val="21"/>
                <w:szCs w:val="21"/>
                <w:highlight w:val="none"/>
                <w:lang w:eastAsia="zh-CN"/>
              </w:rPr>
              <w:t>签订日期</w:t>
            </w:r>
          </w:p>
        </w:tc>
        <w:tc>
          <w:tcPr>
            <w:tcW w:w="6660" w:type="dxa"/>
            <w:gridSpan w:val="3"/>
            <w:noWrap w:val="0"/>
            <w:vAlign w:val="center"/>
          </w:tcPr>
          <w:p w14:paraId="76E0C655">
            <w:pPr>
              <w:snapToGrid w:val="0"/>
              <w:spacing w:line="360" w:lineRule="auto"/>
              <w:jc w:val="center"/>
              <w:rPr>
                <w:rFonts w:hint="eastAsia" w:ascii="宋体" w:hAnsi="宋体" w:eastAsia="宋体" w:cs="宋体"/>
                <w:snapToGrid w:val="0"/>
                <w:kern w:val="0"/>
                <w:sz w:val="21"/>
                <w:szCs w:val="21"/>
                <w:highlight w:val="none"/>
              </w:rPr>
            </w:pPr>
          </w:p>
        </w:tc>
      </w:tr>
    </w:tbl>
    <w:p w14:paraId="4DA20146">
      <w:pPr>
        <w:spacing w:line="348"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87F38A">
      <w:pPr>
        <w:pStyle w:val="2"/>
        <w:bidi w:val="0"/>
        <w:rPr>
          <w:rFonts w:hint="eastAsia"/>
          <w:highlight w:val="none"/>
        </w:rPr>
      </w:pPr>
      <w:r>
        <w:rPr>
          <w:rFonts w:hint="eastAsia"/>
          <w:highlight w:val="none"/>
        </w:rPr>
        <w:t>第六部分应提交的有关格式范例</w:t>
      </w:r>
      <w:bookmarkEnd w:id="92"/>
      <w:bookmarkEnd w:id="93"/>
      <w:bookmarkEnd w:id="94"/>
    </w:p>
    <w:p w14:paraId="7F9A17E3">
      <w:pPr>
        <w:rPr>
          <w:rFonts w:hint="eastAsia" w:ascii="宋体" w:hAnsi="宋体" w:eastAsia="宋体" w:cs="宋体"/>
          <w:color w:val="auto"/>
          <w:highlight w:val="none"/>
        </w:rPr>
      </w:pPr>
    </w:p>
    <w:p w14:paraId="39D131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“资格文件”、“商务技术文件”、“报价文件”须分3个PDF格式分别导入。</w:t>
      </w:r>
    </w:p>
    <w:p w14:paraId="09F35BE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7DA18C1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535D2BE">
      <w:pPr>
        <w:spacing w:line="360" w:lineRule="auto"/>
        <w:jc w:val="center"/>
        <w:rPr>
          <w:rFonts w:hint="eastAsia" w:ascii="宋体" w:hAnsi="宋体" w:eastAsia="宋体" w:cs="宋体"/>
          <w:b/>
          <w:bCs/>
          <w:color w:val="auto"/>
          <w:sz w:val="24"/>
          <w:szCs w:val="24"/>
          <w:highlight w:val="none"/>
        </w:rPr>
      </w:pPr>
    </w:p>
    <w:p w14:paraId="1199ABBF">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资格文件部分</w:t>
      </w:r>
    </w:p>
    <w:p w14:paraId="734010DF">
      <w:pPr>
        <w:spacing w:line="360" w:lineRule="auto"/>
        <w:jc w:val="center"/>
        <w:rPr>
          <w:rFonts w:hint="eastAsia" w:ascii="宋体" w:hAnsi="宋体" w:eastAsia="宋体" w:cs="宋体"/>
          <w:b/>
          <w:bCs/>
          <w:color w:val="auto"/>
          <w:kern w:val="0"/>
          <w:sz w:val="36"/>
          <w:szCs w:val="36"/>
          <w:highlight w:val="none"/>
        </w:rPr>
      </w:pPr>
    </w:p>
    <w:p w14:paraId="3DBE8E70">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2CCBA9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（1）法定代表人授权书；（格式见附件）</w:t>
      </w:r>
    </w:p>
    <w:p w14:paraId="581430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（2）营业执照(或事业法人登记证或其他工商等登记证明材料)复印件、税务登记证(</w:t>
      </w:r>
      <w:r>
        <w:rPr>
          <w:rFonts w:hint="eastAsia" w:ascii="宋体" w:hAnsi="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缴纳证明材料)复印件、社保登记证（</w:t>
      </w:r>
      <w:r>
        <w:rPr>
          <w:rFonts w:hint="eastAsia" w:ascii="宋体" w:hAnsi="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744F6E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556E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）具有履行合同所必需的产品和专业技术能力的承诺函；</w:t>
      </w:r>
    </w:p>
    <w:p w14:paraId="1B5A0A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投标人承诺函</w:t>
      </w:r>
      <w:r>
        <w:rPr>
          <w:rFonts w:hint="eastAsia" w:ascii="宋体" w:hAnsi="宋体" w:eastAsia="宋体" w:cs="宋体"/>
          <w:color w:val="auto"/>
          <w:sz w:val="24"/>
          <w:szCs w:val="24"/>
          <w:highlight w:val="none"/>
        </w:rPr>
        <w:t>。</w:t>
      </w:r>
    </w:p>
    <w:p w14:paraId="34C33D74">
      <w:pPr>
        <w:pStyle w:val="3"/>
        <w:rPr>
          <w:rFonts w:hint="eastAsia"/>
          <w:highlight w:val="none"/>
        </w:rPr>
      </w:pPr>
    </w:p>
    <w:p w14:paraId="0A0451A6">
      <w:pPr>
        <w:pStyle w:val="10"/>
        <w:ind w:firstLine="486"/>
        <w:rPr>
          <w:rFonts w:hint="eastAsia" w:ascii="宋体" w:hAnsi="宋体" w:eastAsia="宋体" w:cs="宋体"/>
          <w:color w:val="auto"/>
          <w:highlight w:val="none"/>
        </w:rPr>
      </w:pPr>
    </w:p>
    <w:p w14:paraId="7B1C6D3C">
      <w:pPr>
        <w:pStyle w:val="32"/>
        <w:rPr>
          <w:rFonts w:hint="eastAsia" w:ascii="宋体" w:hAnsi="宋体" w:eastAsia="宋体" w:cs="宋体"/>
          <w:color w:val="auto"/>
          <w:highlight w:val="none"/>
        </w:rPr>
      </w:pPr>
    </w:p>
    <w:p w14:paraId="157DC041">
      <w:pPr>
        <w:pStyle w:val="32"/>
        <w:rPr>
          <w:rFonts w:hint="eastAsia" w:ascii="宋体" w:hAnsi="宋体" w:eastAsia="宋体" w:cs="宋体"/>
          <w:color w:val="auto"/>
          <w:highlight w:val="none"/>
        </w:rPr>
      </w:pPr>
    </w:p>
    <w:p w14:paraId="62713427">
      <w:pPr>
        <w:pStyle w:val="32"/>
        <w:rPr>
          <w:rFonts w:hint="eastAsia" w:ascii="宋体" w:hAnsi="宋体" w:eastAsia="宋体" w:cs="宋体"/>
          <w:color w:val="auto"/>
          <w:highlight w:val="none"/>
        </w:rPr>
      </w:pPr>
    </w:p>
    <w:p w14:paraId="5ADD4FBC">
      <w:pPr>
        <w:rPr>
          <w:rFonts w:hint="eastAsia" w:ascii="宋体" w:hAnsi="宋体" w:eastAsia="宋体" w:cs="宋体"/>
          <w:color w:val="auto"/>
          <w:highlight w:val="none"/>
        </w:rPr>
      </w:pPr>
    </w:p>
    <w:p w14:paraId="245E32A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BE6F5E">
      <w:pPr>
        <w:rPr>
          <w:rFonts w:hint="eastAsia"/>
        </w:rPr>
      </w:pPr>
    </w:p>
    <w:p w14:paraId="297FA864">
      <w:pPr>
        <w:rPr>
          <w:rFonts w:hint="eastAsia" w:ascii="宋体" w:hAnsi="宋体" w:eastAsia="宋体" w:cs="宋体"/>
          <w:color w:val="auto"/>
          <w:highlight w:val="none"/>
        </w:rPr>
      </w:pPr>
    </w:p>
    <w:p w14:paraId="79E798D3">
      <w:pPr>
        <w:snapToGrid w:val="0"/>
        <w:spacing w:before="50" w:afterLines="50"/>
        <w:jc w:val="left"/>
        <w:rPr>
          <w:rFonts w:hint="eastAsia" w:ascii="宋体" w:hAnsi="宋体" w:eastAsia="宋体" w:cs="宋体"/>
          <w:b/>
          <w:bCs/>
          <w:color w:val="auto"/>
          <w:sz w:val="24"/>
          <w:szCs w:val="24"/>
          <w:highlight w:val="none"/>
          <w:lang w:val="zh-CN"/>
        </w:rPr>
      </w:pPr>
      <w:bookmarkStart w:id="95" w:name="_Toc24699"/>
      <w:r>
        <w:rPr>
          <w:rFonts w:hint="eastAsia" w:ascii="宋体" w:hAnsi="宋体" w:eastAsia="宋体" w:cs="宋体"/>
          <w:b/>
          <w:bCs/>
          <w:color w:val="auto"/>
          <w:sz w:val="24"/>
          <w:szCs w:val="24"/>
          <w:highlight w:val="none"/>
          <w:lang w:val="zh-CN"/>
        </w:rPr>
        <w:t>附件一：</w:t>
      </w:r>
    </w:p>
    <w:p w14:paraId="3986EB7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5"/>
    </w:p>
    <w:p w14:paraId="0F4839BF">
      <w:pPr>
        <w:pStyle w:val="6"/>
        <w:spacing w:line="360" w:lineRule="auto"/>
        <w:rPr>
          <w:rFonts w:hint="eastAsia" w:ascii="宋体" w:hAnsi="宋体" w:eastAsia="宋体" w:cs="宋体"/>
          <w:color w:val="auto"/>
          <w:highlight w:val="none"/>
        </w:rPr>
      </w:pPr>
    </w:p>
    <w:p w14:paraId="77233C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绍兴市生态环境局上虞分局</w:t>
      </w:r>
      <w:r>
        <w:rPr>
          <w:rFonts w:hint="eastAsia" w:ascii="宋体" w:hAnsi="宋体" w:eastAsia="宋体" w:cs="宋体"/>
          <w:color w:val="auto"/>
          <w:sz w:val="24"/>
          <w:szCs w:val="24"/>
          <w:highlight w:val="none"/>
        </w:rPr>
        <w:t>：</w:t>
      </w:r>
    </w:p>
    <w:p w14:paraId="7A8259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浙江中诚工程管理科技有限公司</w:t>
      </w:r>
      <w:r>
        <w:rPr>
          <w:rFonts w:hint="eastAsia" w:ascii="宋体" w:hAnsi="宋体" w:eastAsia="宋体" w:cs="宋体"/>
          <w:color w:val="auto"/>
          <w:sz w:val="24"/>
          <w:szCs w:val="24"/>
          <w:highlight w:val="none"/>
        </w:rPr>
        <w:t>：</w:t>
      </w:r>
    </w:p>
    <w:p w14:paraId="38CDD0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法定代表人授权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56626F0E">
      <w:pPr>
        <w:spacing w:line="360" w:lineRule="auto"/>
        <w:ind w:firstLine="480" w:firstLineChars="200"/>
        <w:rPr>
          <w:rFonts w:hint="eastAsia" w:ascii="宋体" w:hAnsi="宋体" w:eastAsia="宋体" w:cs="宋体"/>
          <w:color w:val="auto"/>
          <w:sz w:val="24"/>
          <w:szCs w:val="24"/>
          <w:highlight w:val="none"/>
        </w:rPr>
      </w:pPr>
    </w:p>
    <w:p w14:paraId="0567FE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4A90D4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59ED8A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3CEF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36D5DC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7E71A5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1CF880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B2292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9A251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2EC62A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5AB768A5">
      <w:pPr>
        <w:pStyle w:val="11"/>
        <w:snapToGrid w:val="0"/>
        <w:spacing w:line="360" w:lineRule="auto"/>
        <w:rPr>
          <w:rFonts w:hint="eastAsia" w:ascii="宋体" w:hAnsi="宋体" w:eastAsia="宋体" w:cs="宋体"/>
          <w:color w:val="auto"/>
          <w:sz w:val="24"/>
          <w:szCs w:val="24"/>
          <w:highlight w:val="none"/>
        </w:rPr>
      </w:pPr>
    </w:p>
    <w:p w14:paraId="4DB96536">
      <w:pPr>
        <w:pStyle w:val="11"/>
        <w:snapToGrid w:val="0"/>
        <w:spacing w:line="360" w:lineRule="auto"/>
        <w:rPr>
          <w:rFonts w:hint="eastAsia" w:ascii="宋体" w:hAnsi="宋体" w:eastAsia="宋体" w:cs="宋体"/>
          <w:color w:val="auto"/>
          <w:sz w:val="24"/>
          <w:szCs w:val="24"/>
          <w:highlight w:val="none"/>
        </w:rPr>
      </w:pPr>
    </w:p>
    <w:p w14:paraId="4E2B6779">
      <w:pPr>
        <w:pStyle w:val="11"/>
        <w:snapToGrid w:val="0"/>
        <w:spacing w:line="360" w:lineRule="auto"/>
        <w:rPr>
          <w:rFonts w:hint="eastAsia" w:ascii="宋体" w:hAnsi="宋体" w:eastAsia="宋体" w:cs="宋体"/>
          <w:color w:val="auto"/>
          <w:sz w:val="24"/>
          <w:szCs w:val="24"/>
          <w:highlight w:val="none"/>
        </w:rPr>
      </w:pPr>
    </w:p>
    <w:p w14:paraId="17E4F37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22FE2A05">
      <w:pPr>
        <w:spacing w:line="360" w:lineRule="auto"/>
        <w:rPr>
          <w:rFonts w:hint="eastAsia" w:ascii="宋体" w:hAnsi="宋体" w:eastAsia="宋体" w:cs="宋体"/>
          <w:b/>
          <w:bCs/>
          <w:color w:val="auto"/>
          <w:sz w:val="24"/>
          <w:szCs w:val="24"/>
          <w:highlight w:val="none"/>
        </w:rPr>
      </w:pPr>
    </w:p>
    <w:p w14:paraId="0C73C959">
      <w:pPr>
        <w:pStyle w:val="10"/>
        <w:ind w:firstLine="486"/>
        <w:rPr>
          <w:rFonts w:hint="eastAsia" w:ascii="宋体" w:hAnsi="宋体" w:eastAsia="宋体" w:cs="宋体"/>
          <w:color w:val="auto"/>
          <w:highlight w:val="none"/>
        </w:rPr>
      </w:pPr>
    </w:p>
    <w:p w14:paraId="61D043A2">
      <w:pPr>
        <w:snapToGrid w:val="0"/>
        <w:spacing w:before="50"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lang w:val="zh-CN"/>
        </w:rPr>
        <w:t>附件二：</w:t>
      </w:r>
    </w:p>
    <w:p w14:paraId="515383EB">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投标人承诺函</w:t>
      </w:r>
    </w:p>
    <w:p w14:paraId="3681412A">
      <w:pPr>
        <w:spacing w:line="360" w:lineRule="auto"/>
        <w:ind w:firstLine="420" w:firstLineChars="200"/>
        <w:rPr>
          <w:rFonts w:hint="eastAsia" w:ascii="宋体" w:hAnsi="宋体" w:eastAsia="宋体" w:cs="宋体"/>
          <w:color w:val="auto"/>
          <w:highlight w:val="none"/>
        </w:rPr>
      </w:pPr>
    </w:p>
    <w:p w14:paraId="383D31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绍兴市生态环境局上虞分局</w:t>
      </w:r>
      <w:r>
        <w:rPr>
          <w:rFonts w:hint="eastAsia" w:ascii="宋体" w:hAnsi="宋体" w:eastAsia="宋体" w:cs="宋体"/>
          <w:color w:val="auto"/>
          <w:sz w:val="24"/>
          <w:szCs w:val="24"/>
          <w:highlight w:val="none"/>
        </w:rPr>
        <w:t>：</w:t>
      </w:r>
    </w:p>
    <w:p w14:paraId="250CB9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浙江中诚工程管理科技有限公司</w:t>
      </w:r>
      <w:r>
        <w:rPr>
          <w:rFonts w:hint="eastAsia" w:ascii="宋体" w:hAnsi="宋体" w:eastAsia="宋体" w:cs="宋体"/>
          <w:color w:val="auto"/>
          <w:sz w:val="24"/>
          <w:szCs w:val="24"/>
          <w:highlight w:val="none"/>
        </w:rPr>
        <w:t>：</w:t>
      </w:r>
    </w:p>
    <w:p w14:paraId="05186E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p>
    <w:p w14:paraId="4D3199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08A91C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4FDEA8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68E28C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16D13B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62211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1BF480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5CEB6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07CE80B9">
      <w:pPr>
        <w:pStyle w:val="34"/>
        <w:numPr>
          <w:ilvl w:val="0"/>
          <w:numId w:val="0"/>
        </w:numP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22BC9C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1D3676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025E411F">
      <w:pPr>
        <w:pStyle w:val="10"/>
        <w:rPr>
          <w:rFonts w:hint="eastAsia" w:ascii="宋体" w:hAnsi="宋体" w:eastAsia="宋体" w:cs="宋体"/>
          <w:color w:val="auto"/>
          <w:highlight w:val="none"/>
        </w:rPr>
      </w:pPr>
    </w:p>
    <w:p w14:paraId="61B155A2">
      <w:pPr>
        <w:pStyle w:val="10"/>
        <w:rPr>
          <w:rFonts w:hint="eastAsia" w:ascii="宋体" w:hAnsi="宋体" w:eastAsia="宋体" w:cs="宋体"/>
          <w:color w:val="auto"/>
          <w:highlight w:val="none"/>
        </w:rPr>
      </w:pPr>
    </w:p>
    <w:p w14:paraId="136D7E97">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1D15493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F3FA74E">
      <w:pPr>
        <w:spacing w:line="360" w:lineRule="auto"/>
        <w:ind w:left="3780" w:leftChars="1800" w:firstLine="480" w:firstLineChars="200"/>
        <w:rPr>
          <w:rFonts w:hint="eastAsia"/>
          <w:highlight w:val="none"/>
          <w:lang w:val="zh-CN"/>
        </w:rPr>
      </w:pPr>
      <w:r>
        <w:rPr>
          <w:rFonts w:hint="eastAsia" w:ascii="宋体" w:hAnsi="宋体" w:eastAsia="宋体" w:cs="宋体"/>
          <w:color w:val="auto"/>
          <w:sz w:val="24"/>
          <w:szCs w:val="24"/>
          <w:highlight w:val="none"/>
        </w:rPr>
        <w:t>供应商全称（公章）：</w:t>
      </w:r>
    </w:p>
    <w:p w14:paraId="47B58622">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4C9D7441">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kern w:val="0"/>
          <w:sz w:val="36"/>
          <w:szCs w:val="36"/>
          <w:highlight w:val="none"/>
        </w:rPr>
        <w:t>目录</w:t>
      </w:r>
    </w:p>
    <w:p w14:paraId="6F3219CF">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p>
    <w:p w14:paraId="3004C419">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47334C16">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7B8FE375">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技术响应及建议表（格式见附件）；</w:t>
      </w:r>
    </w:p>
    <w:p w14:paraId="7F38A680">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商务响应表（格式见附件）；</w:t>
      </w:r>
    </w:p>
    <w:p w14:paraId="7DC9E735">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佐证材料汇总表（格式见附件）</w:t>
      </w:r>
    </w:p>
    <w:p w14:paraId="6A228039">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重要性技术参数（根据评分细则提供）；</w:t>
      </w:r>
    </w:p>
    <w:p w14:paraId="352F978D">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一般性技术参数（根据评分细则提供）；</w:t>
      </w:r>
    </w:p>
    <w:p w14:paraId="001C1C17">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项目现状分析；</w:t>
      </w:r>
    </w:p>
    <w:p w14:paraId="55865EAD">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p w14:paraId="435AEF27">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进度计划；</w:t>
      </w:r>
    </w:p>
    <w:p w14:paraId="3CCFA16B">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w:t>
      </w:r>
    </w:p>
    <w:p w14:paraId="2D2E0A9A">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保密方案；</w:t>
      </w:r>
    </w:p>
    <w:p w14:paraId="3E3DFF6B">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p>
    <w:p w14:paraId="2A851AD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项目实施人员；</w:t>
      </w:r>
    </w:p>
    <w:p w14:paraId="7582F994">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成果初步设计；</w:t>
      </w:r>
    </w:p>
    <w:p w14:paraId="0231F53E">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p w14:paraId="26B26994">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p w14:paraId="15860C89">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供应商荣誉；</w:t>
      </w:r>
    </w:p>
    <w:p w14:paraId="52BC4A46">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供应商认为需要的其他文件资料。</w:t>
      </w:r>
    </w:p>
    <w:p w14:paraId="76F7B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注：以上内容应与评标办法中内容具有一致性。</w:t>
      </w:r>
    </w:p>
    <w:p w14:paraId="45EE7CC5">
      <w:pPr>
        <w:rPr>
          <w:rFonts w:hint="eastAsia" w:ascii="宋体" w:hAnsi="宋体" w:eastAsia="宋体" w:cs="宋体"/>
          <w:color w:val="auto"/>
          <w:sz w:val="24"/>
          <w:szCs w:val="24"/>
          <w:highlight w:val="none"/>
        </w:rPr>
      </w:pPr>
    </w:p>
    <w:p w14:paraId="1CDEB6E9">
      <w:pPr>
        <w:rPr>
          <w:rFonts w:hint="eastAsia" w:ascii="宋体" w:hAnsi="宋体" w:eastAsia="宋体" w:cs="宋体"/>
          <w:b/>
          <w:bCs/>
          <w:color w:val="auto"/>
          <w:sz w:val="24"/>
          <w:szCs w:val="24"/>
          <w:highlight w:val="none"/>
          <w:lang w:val="zh-CN"/>
        </w:rPr>
      </w:pPr>
      <w:bookmarkStart w:id="96" w:name="_Toc10131"/>
      <w:r>
        <w:rPr>
          <w:rFonts w:hint="eastAsia" w:ascii="宋体" w:hAnsi="宋体" w:eastAsia="宋体" w:cs="宋体"/>
          <w:b/>
          <w:bCs/>
          <w:color w:val="auto"/>
          <w:sz w:val="24"/>
          <w:szCs w:val="24"/>
          <w:highlight w:val="none"/>
          <w:lang w:val="zh-CN"/>
        </w:rPr>
        <w:br w:type="page"/>
      </w:r>
    </w:p>
    <w:p w14:paraId="53BE97FE">
      <w:pPr>
        <w:snapToGrid w:val="0"/>
        <w:spacing w:before="50" w:after="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4ED4BA4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1CA7FD36">
      <w:pPr>
        <w:snapToGrid w:val="0"/>
        <w:spacing w:before="50"/>
        <w:jc w:val="center"/>
        <w:rPr>
          <w:rFonts w:hint="eastAsia" w:ascii="宋体" w:hAnsi="宋体" w:eastAsia="宋体" w:cs="宋体"/>
          <w:b/>
          <w:bCs/>
          <w:color w:val="auto"/>
          <w:sz w:val="32"/>
          <w:szCs w:val="32"/>
          <w:highlight w:val="none"/>
        </w:rPr>
      </w:pPr>
    </w:p>
    <w:p w14:paraId="65BF00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0F255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42CF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FCF50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2C30B7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0A6182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4357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27EE8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2C87B5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C7850F7">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BC76B83">
            <w:pPr>
              <w:jc w:val="center"/>
              <w:rPr>
                <w:rFonts w:hint="eastAsia" w:ascii="宋体" w:hAnsi="宋体" w:eastAsia="宋体" w:cs="宋体"/>
                <w:color w:val="auto"/>
                <w:sz w:val="24"/>
                <w:szCs w:val="24"/>
                <w:highlight w:val="none"/>
              </w:rPr>
            </w:pPr>
          </w:p>
        </w:tc>
      </w:tr>
      <w:tr w14:paraId="63A62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2B6DB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7E42534E">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AF66D1F">
            <w:pPr>
              <w:jc w:val="center"/>
              <w:rPr>
                <w:rFonts w:hint="eastAsia" w:ascii="宋体" w:hAnsi="宋体" w:eastAsia="宋体" w:cs="宋体"/>
                <w:color w:val="auto"/>
                <w:sz w:val="24"/>
                <w:szCs w:val="24"/>
                <w:highlight w:val="none"/>
              </w:rPr>
            </w:pPr>
          </w:p>
        </w:tc>
      </w:tr>
      <w:tr w14:paraId="3592B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AB67F3F">
            <w:pPr>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D8791E1">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F56589C">
            <w:pPr>
              <w:jc w:val="center"/>
              <w:rPr>
                <w:rFonts w:hint="eastAsia" w:ascii="宋体" w:hAnsi="宋体" w:eastAsia="宋体" w:cs="宋体"/>
                <w:color w:val="auto"/>
                <w:sz w:val="24"/>
                <w:szCs w:val="24"/>
                <w:highlight w:val="none"/>
              </w:rPr>
            </w:pPr>
          </w:p>
        </w:tc>
      </w:tr>
      <w:tr w14:paraId="27C6C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C707D80">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8A95391">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595CED2">
            <w:pPr>
              <w:spacing w:line="360" w:lineRule="auto"/>
              <w:ind w:firstLine="480" w:firstLineChars="200"/>
              <w:jc w:val="center"/>
              <w:rPr>
                <w:rFonts w:hint="eastAsia" w:ascii="宋体" w:hAnsi="宋体" w:eastAsia="宋体" w:cs="宋体"/>
                <w:color w:val="auto"/>
                <w:sz w:val="24"/>
                <w:szCs w:val="24"/>
                <w:highlight w:val="none"/>
              </w:rPr>
            </w:pPr>
          </w:p>
        </w:tc>
      </w:tr>
      <w:tr w14:paraId="7AD6B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B8649E6">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8E82133">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8C01B86">
            <w:pPr>
              <w:spacing w:line="360" w:lineRule="auto"/>
              <w:ind w:firstLine="480" w:firstLineChars="200"/>
              <w:jc w:val="center"/>
              <w:rPr>
                <w:rFonts w:hint="eastAsia" w:ascii="宋体" w:hAnsi="宋体" w:eastAsia="宋体" w:cs="宋体"/>
                <w:color w:val="auto"/>
                <w:sz w:val="24"/>
                <w:szCs w:val="24"/>
                <w:highlight w:val="none"/>
              </w:rPr>
            </w:pPr>
          </w:p>
        </w:tc>
      </w:tr>
      <w:tr w14:paraId="1CB37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348917E">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E9B5217">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E6A9DDB">
            <w:pPr>
              <w:spacing w:line="360" w:lineRule="auto"/>
              <w:ind w:firstLine="480" w:firstLineChars="200"/>
              <w:jc w:val="center"/>
              <w:rPr>
                <w:rFonts w:hint="eastAsia" w:ascii="宋体" w:hAnsi="宋体" w:eastAsia="宋体" w:cs="宋体"/>
                <w:color w:val="auto"/>
                <w:sz w:val="24"/>
                <w:szCs w:val="24"/>
                <w:highlight w:val="none"/>
              </w:rPr>
            </w:pPr>
          </w:p>
        </w:tc>
      </w:tr>
      <w:tr w14:paraId="53037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0F6CF03">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016036A">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5D61C93">
            <w:pPr>
              <w:spacing w:line="360" w:lineRule="auto"/>
              <w:ind w:firstLine="480" w:firstLineChars="200"/>
              <w:jc w:val="center"/>
              <w:rPr>
                <w:rFonts w:hint="eastAsia" w:ascii="宋体" w:hAnsi="宋体" w:eastAsia="宋体" w:cs="宋体"/>
                <w:color w:val="auto"/>
                <w:sz w:val="24"/>
                <w:szCs w:val="24"/>
                <w:highlight w:val="none"/>
              </w:rPr>
            </w:pPr>
          </w:p>
        </w:tc>
      </w:tr>
      <w:tr w14:paraId="7AB84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302BEB6">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C1DE953">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3424DD9">
            <w:pPr>
              <w:spacing w:line="360" w:lineRule="auto"/>
              <w:ind w:firstLine="480" w:firstLineChars="200"/>
              <w:jc w:val="center"/>
              <w:rPr>
                <w:rFonts w:hint="eastAsia" w:ascii="宋体" w:hAnsi="宋体" w:eastAsia="宋体" w:cs="宋体"/>
                <w:color w:val="auto"/>
                <w:sz w:val="24"/>
                <w:szCs w:val="24"/>
                <w:highlight w:val="none"/>
              </w:rPr>
            </w:pPr>
          </w:p>
        </w:tc>
      </w:tr>
      <w:tr w14:paraId="7ABFF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3A38481">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670508A">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E157AA5">
            <w:pPr>
              <w:spacing w:line="360" w:lineRule="auto"/>
              <w:ind w:firstLine="480" w:firstLineChars="200"/>
              <w:jc w:val="center"/>
              <w:rPr>
                <w:rFonts w:hint="eastAsia" w:ascii="宋体" w:hAnsi="宋体" w:eastAsia="宋体" w:cs="宋体"/>
                <w:color w:val="auto"/>
                <w:sz w:val="24"/>
                <w:szCs w:val="24"/>
                <w:highlight w:val="none"/>
              </w:rPr>
            </w:pPr>
          </w:p>
        </w:tc>
      </w:tr>
    </w:tbl>
    <w:p w14:paraId="74930C08">
      <w:pPr>
        <w:spacing w:line="360" w:lineRule="auto"/>
        <w:ind w:firstLine="480" w:firstLineChars="200"/>
        <w:rPr>
          <w:rFonts w:hint="eastAsia" w:ascii="宋体" w:hAnsi="宋体" w:eastAsia="宋体" w:cs="宋体"/>
          <w:color w:val="auto"/>
          <w:sz w:val="24"/>
          <w:szCs w:val="24"/>
          <w:highlight w:val="none"/>
        </w:rPr>
      </w:pPr>
    </w:p>
    <w:p w14:paraId="1044F8BE">
      <w:pPr>
        <w:spacing w:line="360" w:lineRule="auto"/>
        <w:ind w:left="3780" w:leftChars="1800" w:firstLine="480" w:firstLineChars="200"/>
        <w:rPr>
          <w:rFonts w:hint="eastAsia" w:ascii="宋体" w:hAnsi="宋体" w:eastAsia="宋体" w:cs="宋体"/>
          <w:color w:val="auto"/>
          <w:sz w:val="24"/>
          <w:szCs w:val="24"/>
          <w:highlight w:val="none"/>
        </w:rPr>
      </w:pPr>
    </w:p>
    <w:p w14:paraId="64AEE1E3">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7C218B0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21BCAE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66DFDF5">
      <w:pPr>
        <w:rPr>
          <w:rFonts w:hint="eastAsia" w:ascii="宋体" w:hAnsi="宋体" w:eastAsia="宋体" w:cs="宋体"/>
          <w:color w:val="auto"/>
          <w:highlight w:val="none"/>
          <w:lang w:val="zh-CN"/>
        </w:rPr>
      </w:pPr>
    </w:p>
    <w:p w14:paraId="6DF3663E">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6562CAD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96"/>
    </w:p>
    <w:p w14:paraId="77A0273D">
      <w:pPr>
        <w:snapToGrid w:val="0"/>
        <w:spacing w:before="50"/>
        <w:jc w:val="center"/>
        <w:rPr>
          <w:rFonts w:hint="eastAsia" w:ascii="宋体" w:hAnsi="宋体" w:eastAsia="宋体" w:cs="宋体"/>
          <w:b/>
          <w:bCs/>
          <w:color w:val="auto"/>
          <w:sz w:val="32"/>
          <w:szCs w:val="32"/>
          <w:highlight w:val="none"/>
        </w:rPr>
      </w:pPr>
    </w:p>
    <w:p w14:paraId="26B5D2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E1415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9EF0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55F23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14344A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7A250C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51A1DB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71B359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300E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AA2AF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1189C9A1">
            <w:pPr>
              <w:jc w:val="center"/>
              <w:rPr>
                <w:rFonts w:hint="eastAsia" w:ascii="宋体" w:hAnsi="宋体" w:eastAsia="宋体" w:cs="宋体"/>
                <w:color w:val="auto"/>
                <w:sz w:val="24"/>
                <w:szCs w:val="24"/>
                <w:highlight w:val="none"/>
              </w:rPr>
            </w:pPr>
          </w:p>
        </w:tc>
        <w:tc>
          <w:tcPr>
            <w:tcW w:w="1462" w:type="dxa"/>
          </w:tcPr>
          <w:p w14:paraId="358BDB93">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68CDBDCB">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6E706653">
            <w:pPr>
              <w:jc w:val="center"/>
              <w:rPr>
                <w:rFonts w:hint="eastAsia" w:ascii="宋体" w:hAnsi="宋体" w:eastAsia="宋体" w:cs="宋体"/>
                <w:color w:val="auto"/>
                <w:sz w:val="24"/>
                <w:szCs w:val="24"/>
                <w:highlight w:val="none"/>
              </w:rPr>
            </w:pPr>
          </w:p>
        </w:tc>
      </w:tr>
      <w:tr w14:paraId="04FB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ED85D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0DCE800B">
            <w:pPr>
              <w:jc w:val="center"/>
              <w:rPr>
                <w:rFonts w:hint="eastAsia" w:ascii="宋体" w:hAnsi="宋体" w:eastAsia="宋体" w:cs="宋体"/>
                <w:color w:val="auto"/>
                <w:sz w:val="24"/>
                <w:szCs w:val="24"/>
                <w:highlight w:val="none"/>
              </w:rPr>
            </w:pPr>
          </w:p>
        </w:tc>
        <w:tc>
          <w:tcPr>
            <w:tcW w:w="1462" w:type="dxa"/>
          </w:tcPr>
          <w:p w14:paraId="5C679AD9">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2F8B63B">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A5B91C2">
            <w:pPr>
              <w:jc w:val="center"/>
              <w:rPr>
                <w:rFonts w:hint="eastAsia" w:ascii="宋体" w:hAnsi="宋体" w:eastAsia="宋体" w:cs="宋体"/>
                <w:color w:val="auto"/>
                <w:sz w:val="24"/>
                <w:szCs w:val="24"/>
                <w:highlight w:val="none"/>
              </w:rPr>
            </w:pPr>
          </w:p>
        </w:tc>
      </w:tr>
      <w:tr w14:paraId="322E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CE277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3ED26377">
            <w:pPr>
              <w:jc w:val="center"/>
              <w:rPr>
                <w:rFonts w:hint="eastAsia" w:ascii="宋体" w:hAnsi="宋体" w:eastAsia="宋体" w:cs="宋体"/>
                <w:color w:val="auto"/>
                <w:sz w:val="24"/>
                <w:szCs w:val="24"/>
                <w:highlight w:val="none"/>
              </w:rPr>
            </w:pPr>
          </w:p>
        </w:tc>
        <w:tc>
          <w:tcPr>
            <w:tcW w:w="1462" w:type="dxa"/>
          </w:tcPr>
          <w:p w14:paraId="697845C1">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1896B168">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B0516C2">
            <w:pPr>
              <w:jc w:val="center"/>
              <w:rPr>
                <w:rFonts w:hint="eastAsia" w:ascii="宋体" w:hAnsi="宋体" w:eastAsia="宋体" w:cs="宋体"/>
                <w:color w:val="auto"/>
                <w:sz w:val="24"/>
                <w:szCs w:val="24"/>
                <w:highlight w:val="none"/>
              </w:rPr>
            </w:pPr>
          </w:p>
        </w:tc>
      </w:tr>
      <w:tr w14:paraId="5D88F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6BEB1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6179DEF7">
            <w:pPr>
              <w:jc w:val="center"/>
              <w:rPr>
                <w:rFonts w:hint="eastAsia" w:ascii="宋体" w:hAnsi="宋体" w:eastAsia="宋体" w:cs="宋体"/>
                <w:color w:val="auto"/>
                <w:sz w:val="24"/>
                <w:szCs w:val="24"/>
                <w:highlight w:val="none"/>
              </w:rPr>
            </w:pPr>
          </w:p>
        </w:tc>
        <w:tc>
          <w:tcPr>
            <w:tcW w:w="1462" w:type="dxa"/>
          </w:tcPr>
          <w:p w14:paraId="563FF549">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6C79BC00">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7D075E2">
            <w:pPr>
              <w:jc w:val="center"/>
              <w:rPr>
                <w:rFonts w:hint="eastAsia" w:ascii="宋体" w:hAnsi="宋体" w:eastAsia="宋体" w:cs="宋体"/>
                <w:color w:val="auto"/>
                <w:sz w:val="24"/>
                <w:szCs w:val="24"/>
                <w:highlight w:val="none"/>
              </w:rPr>
            </w:pPr>
          </w:p>
        </w:tc>
      </w:tr>
      <w:tr w14:paraId="5116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D0098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51A7F8B1">
            <w:pPr>
              <w:jc w:val="center"/>
              <w:rPr>
                <w:rFonts w:hint="eastAsia" w:ascii="宋体" w:hAnsi="宋体" w:eastAsia="宋体" w:cs="宋体"/>
                <w:color w:val="auto"/>
                <w:sz w:val="24"/>
                <w:szCs w:val="24"/>
                <w:highlight w:val="none"/>
              </w:rPr>
            </w:pPr>
          </w:p>
        </w:tc>
        <w:tc>
          <w:tcPr>
            <w:tcW w:w="1462" w:type="dxa"/>
          </w:tcPr>
          <w:p w14:paraId="3C927E26">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879479A">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E6E3482">
            <w:pPr>
              <w:jc w:val="center"/>
              <w:rPr>
                <w:rFonts w:hint="eastAsia" w:ascii="宋体" w:hAnsi="宋体" w:eastAsia="宋体" w:cs="宋体"/>
                <w:color w:val="auto"/>
                <w:sz w:val="24"/>
                <w:szCs w:val="24"/>
                <w:highlight w:val="none"/>
              </w:rPr>
            </w:pPr>
          </w:p>
        </w:tc>
      </w:tr>
      <w:tr w14:paraId="01A5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9B2C2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599B4C4F">
            <w:pPr>
              <w:jc w:val="center"/>
              <w:rPr>
                <w:rFonts w:hint="eastAsia" w:ascii="宋体" w:hAnsi="宋体" w:eastAsia="宋体" w:cs="宋体"/>
                <w:color w:val="auto"/>
                <w:sz w:val="24"/>
                <w:szCs w:val="24"/>
                <w:highlight w:val="none"/>
              </w:rPr>
            </w:pPr>
          </w:p>
        </w:tc>
        <w:tc>
          <w:tcPr>
            <w:tcW w:w="1462" w:type="dxa"/>
          </w:tcPr>
          <w:p w14:paraId="4A0FA29C">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CF374D8">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ECD67F0">
            <w:pPr>
              <w:jc w:val="center"/>
              <w:rPr>
                <w:rFonts w:hint="eastAsia" w:ascii="宋体" w:hAnsi="宋体" w:eastAsia="宋体" w:cs="宋体"/>
                <w:color w:val="auto"/>
                <w:sz w:val="24"/>
                <w:szCs w:val="24"/>
                <w:highlight w:val="none"/>
              </w:rPr>
            </w:pPr>
          </w:p>
        </w:tc>
      </w:tr>
      <w:tr w14:paraId="5F9E0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0BB8B6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1D3B7880">
            <w:pPr>
              <w:jc w:val="center"/>
              <w:rPr>
                <w:rFonts w:hint="eastAsia" w:ascii="宋体" w:hAnsi="宋体" w:eastAsia="宋体" w:cs="宋体"/>
                <w:color w:val="auto"/>
                <w:sz w:val="24"/>
                <w:szCs w:val="24"/>
                <w:highlight w:val="none"/>
              </w:rPr>
            </w:pPr>
          </w:p>
        </w:tc>
        <w:tc>
          <w:tcPr>
            <w:tcW w:w="1462" w:type="dxa"/>
          </w:tcPr>
          <w:p w14:paraId="6A4068DF">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F3F7F42">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0D92D31E">
            <w:pPr>
              <w:jc w:val="center"/>
              <w:rPr>
                <w:rFonts w:hint="eastAsia" w:ascii="宋体" w:hAnsi="宋体" w:eastAsia="宋体" w:cs="宋体"/>
                <w:color w:val="auto"/>
                <w:sz w:val="24"/>
                <w:szCs w:val="24"/>
                <w:highlight w:val="none"/>
              </w:rPr>
            </w:pPr>
          </w:p>
        </w:tc>
      </w:tr>
      <w:tr w14:paraId="1BBF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36E21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05F66B1F">
            <w:pPr>
              <w:jc w:val="center"/>
              <w:rPr>
                <w:rFonts w:hint="eastAsia" w:ascii="宋体" w:hAnsi="宋体" w:eastAsia="宋体" w:cs="宋体"/>
                <w:color w:val="auto"/>
                <w:sz w:val="24"/>
                <w:szCs w:val="24"/>
                <w:highlight w:val="none"/>
              </w:rPr>
            </w:pPr>
          </w:p>
        </w:tc>
        <w:tc>
          <w:tcPr>
            <w:tcW w:w="1462" w:type="dxa"/>
          </w:tcPr>
          <w:p w14:paraId="165B68A2">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9455B12">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7F8E152">
            <w:pPr>
              <w:jc w:val="center"/>
              <w:rPr>
                <w:rFonts w:hint="eastAsia" w:ascii="宋体" w:hAnsi="宋体" w:eastAsia="宋体" w:cs="宋体"/>
                <w:color w:val="auto"/>
                <w:sz w:val="24"/>
                <w:szCs w:val="24"/>
                <w:highlight w:val="none"/>
              </w:rPr>
            </w:pPr>
          </w:p>
        </w:tc>
      </w:tr>
      <w:tr w14:paraId="476D8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2F143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6F514869">
            <w:pPr>
              <w:jc w:val="center"/>
              <w:rPr>
                <w:rFonts w:hint="eastAsia" w:ascii="宋体" w:hAnsi="宋体" w:eastAsia="宋体" w:cs="宋体"/>
                <w:color w:val="auto"/>
                <w:sz w:val="24"/>
                <w:szCs w:val="24"/>
                <w:highlight w:val="none"/>
              </w:rPr>
            </w:pPr>
          </w:p>
        </w:tc>
        <w:tc>
          <w:tcPr>
            <w:tcW w:w="1462" w:type="dxa"/>
          </w:tcPr>
          <w:p w14:paraId="5D851247">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5F45C03">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F753E0D">
            <w:pPr>
              <w:jc w:val="center"/>
              <w:rPr>
                <w:rFonts w:hint="eastAsia" w:ascii="宋体" w:hAnsi="宋体" w:eastAsia="宋体" w:cs="宋体"/>
                <w:color w:val="auto"/>
                <w:sz w:val="24"/>
                <w:szCs w:val="24"/>
                <w:highlight w:val="none"/>
              </w:rPr>
            </w:pPr>
          </w:p>
        </w:tc>
      </w:tr>
    </w:tbl>
    <w:p w14:paraId="5A3FB22D">
      <w:pPr>
        <w:spacing w:line="360" w:lineRule="auto"/>
        <w:rPr>
          <w:rFonts w:hint="eastAsia" w:ascii="宋体" w:hAnsi="宋体" w:eastAsia="宋体" w:cs="宋体"/>
          <w:color w:val="auto"/>
          <w:sz w:val="24"/>
          <w:szCs w:val="24"/>
          <w:highlight w:val="none"/>
        </w:rPr>
      </w:pPr>
    </w:p>
    <w:p w14:paraId="197333C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31BB4D3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41B3F3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70324874">
      <w:pPr>
        <w:snapToGrid w:val="0"/>
        <w:spacing w:before="50"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w:t>
      </w:r>
    </w:p>
    <w:p w14:paraId="1643A45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7D604AD2">
      <w:pPr>
        <w:spacing w:line="360" w:lineRule="auto"/>
        <w:ind w:firstLine="480" w:firstLineChars="200"/>
        <w:rPr>
          <w:rFonts w:hint="eastAsia" w:ascii="宋体" w:hAnsi="宋体" w:eastAsia="宋体" w:cs="宋体"/>
          <w:color w:val="auto"/>
          <w:sz w:val="24"/>
          <w:szCs w:val="24"/>
          <w:highlight w:val="none"/>
        </w:rPr>
      </w:pPr>
    </w:p>
    <w:p w14:paraId="48CF40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4EEDE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FE03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4F6AB6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4C910E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1B4036B">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7A376FA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3C061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4A9924D">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5E804C4">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60D4398">
            <w:pP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61DDE618">
            <w:pPr>
              <w:snapToGrid w:val="0"/>
              <w:spacing w:before="50" w:after="50"/>
              <w:jc w:val="center"/>
              <w:rPr>
                <w:rFonts w:hint="eastAsia" w:ascii="宋体" w:hAnsi="宋体" w:eastAsia="宋体" w:cs="宋体"/>
                <w:color w:val="auto"/>
                <w:sz w:val="24"/>
                <w:szCs w:val="24"/>
                <w:highlight w:val="none"/>
              </w:rPr>
            </w:pPr>
          </w:p>
        </w:tc>
      </w:tr>
      <w:tr w14:paraId="6A76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A2B2303">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2C2B915">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8226010">
            <w:pP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A19BED3">
            <w:pPr>
              <w:snapToGrid w:val="0"/>
              <w:spacing w:before="50" w:after="50"/>
              <w:jc w:val="center"/>
              <w:rPr>
                <w:rFonts w:hint="eastAsia" w:ascii="宋体" w:hAnsi="宋体" w:eastAsia="宋体" w:cs="宋体"/>
                <w:color w:val="auto"/>
                <w:sz w:val="24"/>
                <w:szCs w:val="24"/>
                <w:highlight w:val="none"/>
              </w:rPr>
            </w:pPr>
          </w:p>
        </w:tc>
      </w:tr>
    </w:tbl>
    <w:p w14:paraId="21F8B878">
      <w:pP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7E2DFA56">
      <w:pPr>
        <w:pStyle w:val="10"/>
        <w:rPr>
          <w:rFonts w:hint="eastAsia" w:ascii="宋体" w:hAnsi="宋体" w:eastAsia="宋体" w:cs="宋体"/>
          <w:color w:val="auto"/>
          <w:highlight w:val="none"/>
        </w:rPr>
      </w:pPr>
    </w:p>
    <w:p w14:paraId="557034AA">
      <w:pPr>
        <w:pStyle w:val="10"/>
        <w:rPr>
          <w:rFonts w:hint="eastAsia" w:ascii="宋体" w:hAnsi="宋体" w:eastAsia="宋体" w:cs="宋体"/>
          <w:color w:val="auto"/>
          <w:highlight w:val="none"/>
        </w:rPr>
      </w:pPr>
    </w:p>
    <w:p w14:paraId="27BE0403">
      <w:pPr>
        <w:pStyle w:val="10"/>
        <w:rPr>
          <w:rFonts w:hint="eastAsia" w:ascii="宋体" w:hAnsi="宋体" w:eastAsia="宋体" w:cs="宋体"/>
          <w:color w:val="auto"/>
          <w:highlight w:val="none"/>
        </w:rPr>
      </w:pPr>
    </w:p>
    <w:p w14:paraId="5C5FB788">
      <w:pPr>
        <w:snapToGrid w:val="0"/>
        <w:spacing w:beforeLines="50"/>
        <w:rPr>
          <w:rFonts w:hint="eastAsia" w:ascii="宋体" w:hAnsi="宋体" w:eastAsia="宋体" w:cs="宋体"/>
          <w:color w:val="auto"/>
          <w:sz w:val="24"/>
          <w:szCs w:val="24"/>
          <w:highlight w:val="none"/>
        </w:rPr>
      </w:pPr>
    </w:p>
    <w:p w14:paraId="5E45B8C7">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087D941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A398A8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318977A">
      <w:pPr>
        <w:snapToGrid w:val="0"/>
        <w:spacing w:before="50" w:after="50"/>
        <w:rPr>
          <w:rFonts w:hint="eastAsia" w:ascii="宋体" w:hAnsi="宋体" w:eastAsia="宋体" w:cs="宋体"/>
          <w:color w:val="auto"/>
          <w:spacing w:val="20"/>
          <w:sz w:val="24"/>
          <w:szCs w:val="24"/>
          <w:highlight w:val="none"/>
        </w:rPr>
      </w:pPr>
    </w:p>
    <w:p w14:paraId="2702BCBE">
      <w:pPr>
        <w:snapToGrid w:val="0"/>
        <w:spacing w:before="50" w:after="50"/>
        <w:rPr>
          <w:rFonts w:hint="eastAsia" w:ascii="宋体" w:hAnsi="宋体" w:eastAsia="宋体" w:cs="宋体"/>
          <w:color w:val="auto"/>
          <w:spacing w:val="20"/>
          <w:sz w:val="30"/>
          <w:szCs w:val="30"/>
          <w:highlight w:val="none"/>
        </w:rPr>
      </w:pPr>
    </w:p>
    <w:p w14:paraId="2CC2B1C1">
      <w:pPr>
        <w:pStyle w:val="10"/>
        <w:ind w:firstLine="686"/>
        <w:rPr>
          <w:rFonts w:hint="eastAsia" w:ascii="宋体" w:hAnsi="宋体" w:eastAsia="宋体" w:cs="宋体"/>
          <w:color w:val="auto"/>
          <w:spacing w:val="20"/>
          <w:sz w:val="30"/>
          <w:szCs w:val="30"/>
          <w:highlight w:val="none"/>
        </w:rPr>
      </w:pPr>
    </w:p>
    <w:p w14:paraId="06510DFF">
      <w:pPr>
        <w:pStyle w:val="10"/>
        <w:ind w:firstLine="686"/>
        <w:rPr>
          <w:rFonts w:hint="eastAsia" w:ascii="宋体" w:hAnsi="宋体" w:eastAsia="宋体" w:cs="宋体"/>
          <w:color w:val="auto"/>
          <w:spacing w:val="20"/>
          <w:sz w:val="30"/>
          <w:szCs w:val="30"/>
          <w:highlight w:val="none"/>
        </w:rPr>
        <w:sectPr>
          <w:pgSz w:w="11906" w:h="16838"/>
          <w:pgMar w:top="1440" w:right="1803" w:bottom="1440" w:left="1803" w:header="851" w:footer="992" w:gutter="0"/>
          <w:cols w:space="0" w:num="1"/>
          <w:rtlGutter w:val="0"/>
          <w:docGrid w:type="lines" w:linePitch="332" w:charSpace="0"/>
        </w:sectPr>
      </w:pPr>
    </w:p>
    <w:p w14:paraId="0EBEAA25">
      <w:pPr>
        <w:rPr>
          <w:rFonts w:hint="eastAsia" w:ascii="宋体" w:hAnsi="宋体" w:eastAsia="宋体" w:cs="宋体"/>
          <w:b/>
          <w:bCs/>
          <w:color w:val="auto"/>
          <w:sz w:val="24"/>
          <w:szCs w:val="24"/>
          <w:highlight w:val="none"/>
        </w:rPr>
      </w:pPr>
      <w:bookmarkStart w:id="97"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p>
    <w:p w14:paraId="224B842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97"/>
    </w:p>
    <w:p w14:paraId="46ADBD80">
      <w:pPr>
        <w:spacing w:line="360" w:lineRule="auto"/>
        <w:ind w:firstLine="480" w:firstLineChars="200"/>
        <w:rPr>
          <w:rFonts w:hint="eastAsia" w:ascii="宋体" w:hAnsi="宋体" w:eastAsia="宋体" w:cs="宋体"/>
          <w:color w:val="auto"/>
          <w:sz w:val="24"/>
          <w:szCs w:val="24"/>
          <w:highlight w:val="none"/>
        </w:rPr>
      </w:pPr>
    </w:p>
    <w:p w14:paraId="13186F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92FC9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4C45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19BBDC1">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0FDDFA48">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61259876">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26D0AE74">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22E1E6F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7FFD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2B5BE28">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6E9AEF2C">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53424AFC">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541D0559">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65E4A670">
            <w:pPr>
              <w:snapToGrid w:val="0"/>
              <w:spacing w:before="50" w:after="50"/>
              <w:jc w:val="center"/>
              <w:rPr>
                <w:rFonts w:hint="eastAsia" w:ascii="宋体" w:hAnsi="宋体" w:eastAsia="宋体" w:cs="宋体"/>
                <w:color w:val="auto"/>
                <w:sz w:val="24"/>
                <w:szCs w:val="24"/>
                <w:highlight w:val="none"/>
              </w:rPr>
            </w:pPr>
          </w:p>
        </w:tc>
      </w:tr>
      <w:tr w14:paraId="7B4C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7A32E7E">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0D5AB330">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4F14072E">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6D8DA85C">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6DB295E2">
            <w:pPr>
              <w:snapToGrid w:val="0"/>
              <w:spacing w:before="50" w:after="50"/>
              <w:jc w:val="center"/>
              <w:rPr>
                <w:rFonts w:hint="eastAsia" w:ascii="宋体" w:hAnsi="宋体" w:eastAsia="宋体" w:cs="宋体"/>
                <w:color w:val="auto"/>
                <w:sz w:val="24"/>
                <w:szCs w:val="24"/>
                <w:highlight w:val="none"/>
              </w:rPr>
            </w:pPr>
          </w:p>
        </w:tc>
      </w:tr>
      <w:tr w14:paraId="06EA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CB93EC5">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6E13B19E">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1D1CC829">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0D011F9D">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06B76E80">
            <w:pPr>
              <w:snapToGrid w:val="0"/>
              <w:spacing w:before="50" w:after="50"/>
              <w:jc w:val="center"/>
              <w:rPr>
                <w:rFonts w:hint="eastAsia" w:ascii="宋体" w:hAnsi="宋体" w:eastAsia="宋体" w:cs="宋体"/>
                <w:color w:val="auto"/>
                <w:sz w:val="24"/>
                <w:szCs w:val="24"/>
                <w:highlight w:val="none"/>
              </w:rPr>
            </w:pPr>
          </w:p>
        </w:tc>
      </w:tr>
      <w:tr w14:paraId="7268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5242651">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163419F2">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3703355B">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770E9618">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622BA204">
            <w:pPr>
              <w:snapToGrid w:val="0"/>
              <w:spacing w:before="50" w:after="50"/>
              <w:jc w:val="center"/>
              <w:rPr>
                <w:rFonts w:hint="eastAsia" w:ascii="宋体" w:hAnsi="宋体" w:eastAsia="宋体" w:cs="宋体"/>
                <w:color w:val="auto"/>
                <w:sz w:val="24"/>
                <w:szCs w:val="24"/>
                <w:highlight w:val="none"/>
              </w:rPr>
            </w:pPr>
          </w:p>
        </w:tc>
      </w:tr>
      <w:tr w14:paraId="79BC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70FD15D">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3418C9A6">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3B68D6AF">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17829EA5">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328FF07C">
            <w:pPr>
              <w:snapToGrid w:val="0"/>
              <w:spacing w:before="50" w:after="50"/>
              <w:jc w:val="center"/>
              <w:rPr>
                <w:rFonts w:hint="eastAsia" w:ascii="宋体" w:hAnsi="宋体" w:eastAsia="宋体" w:cs="宋体"/>
                <w:color w:val="auto"/>
                <w:sz w:val="24"/>
                <w:szCs w:val="24"/>
                <w:highlight w:val="none"/>
              </w:rPr>
            </w:pPr>
          </w:p>
        </w:tc>
      </w:tr>
      <w:tr w14:paraId="2ED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463E8DF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74833C48">
            <w:pPr>
              <w:spacing w:line="360" w:lineRule="auto"/>
              <w:jc w:val="center"/>
              <w:rPr>
                <w:rFonts w:hint="eastAsia" w:ascii="宋体" w:hAnsi="宋体" w:eastAsia="宋体" w:cs="宋体"/>
                <w:color w:val="auto"/>
                <w:sz w:val="24"/>
                <w:szCs w:val="24"/>
                <w:highlight w:val="none"/>
              </w:rPr>
            </w:pPr>
          </w:p>
        </w:tc>
      </w:tr>
    </w:tbl>
    <w:p w14:paraId="025F8942">
      <w:pPr>
        <w:snapToGrid w:val="0"/>
        <w:spacing w:line="360" w:lineRule="auto"/>
        <w:rPr>
          <w:rFonts w:hint="eastAsia" w:ascii="宋体" w:hAnsi="宋体" w:eastAsia="宋体" w:cs="宋体"/>
          <w:color w:val="auto"/>
          <w:sz w:val="24"/>
          <w:szCs w:val="24"/>
          <w:highlight w:val="none"/>
        </w:rPr>
      </w:pPr>
    </w:p>
    <w:p w14:paraId="4374160C">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35B822E3">
      <w:pPr>
        <w:rPr>
          <w:rFonts w:hint="eastAsia" w:ascii="宋体" w:hAnsi="宋体" w:eastAsia="宋体" w:cs="宋体"/>
          <w:color w:val="auto"/>
          <w:sz w:val="24"/>
          <w:szCs w:val="24"/>
          <w:highlight w:val="none"/>
        </w:rPr>
      </w:pPr>
    </w:p>
    <w:p w14:paraId="6E1819A7">
      <w:pPr>
        <w:pStyle w:val="10"/>
        <w:rPr>
          <w:rFonts w:hint="eastAsia" w:ascii="宋体" w:hAnsi="宋体" w:eastAsia="宋体" w:cs="宋体"/>
          <w:color w:val="auto"/>
          <w:highlight w:val="none"/>
        </w:rPr>
      </w:pPr>
    </w:p>
    <w:p w14:paraId="09A63805">
      <w:pPr>
        <w:snapToGrid w:val="0"/>
        <w:spacing w:line="360" w:lineRule="auto"/>
        <w:rPr>
          <w:rFonts w:hint="eastAsia" w:ascii="宋体" w:hAnsi="宋体" w:eastAsia="宋体" w:cs="宋体"/>
          <w:color w:val="auto"/>
          <w:sz w:val="24"/>
          <w:szCs w:val="24"/>
          <w:highlight w:val="none"/>
        </w:rPr>
      </w:pPr>
    </w:p>
    <w:p w14:paraId="652D00F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242A21A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442193">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490FCB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EA7596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6AAC064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495435A1">
      <w:pPr>
        <w:snapToGrid w:val="0"/>
        <w:spacing w:before="50"/>
        <w:jc w:val="center"/>
        <w:rPr>
          <w:rFonts w:hint="eastAsia" w:ascii="宋体" w:hAnsi="宋体" w:eastAsia="宋体" w:cs="宋体"/>
          <w:b/>
          <w:bCs/>
          <w:color w:val="auto"/>
          <w:sz w:val="32"/>
          <w:szCs w:val="32"/>
          <w:highlight w:val="none"/>
        </w:rPr>
      </w:pPr>
    </w:p>
    <w:p w14:paraId="794722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EB09D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6DAF3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5B49FDB">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0F21E7D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4A0BB8E">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34FFA496">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24DF118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01107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27E886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3E1F5858">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EE2EF2">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EB64DFF">
            <w:pPr>
              <w:snapToGrid w:val="0"/>
              <w:spacing w:before="50" w:after="50"/>
              <w:jc w:val="center"/>
              <w:rPr>
                <w:rFonts w:hint="eastAsia" w:ascii="宋体" w:hAnsi="宋体" w:eastAsia="宋体" w:cs="宋体"/>
                <w:color w:val="auto"/>
                <w:sz w:val="24"/>
                <w:szCs w:val="24"/>
                <w:highlight w:val="none"/>
              </w:rPr>
            </w:pPr>
          </w:p>
        </w:tc>
      </w:tr>
      <w:tr w14:paraId="3B055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FC8C394">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1BB98C52">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E09524">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7A3A158">
            <w:pPr>
              <w:snapToGrid w:val="0"/>
              <w:spacing w:before="50" w:after="50"/>
              <w:jc w:val="center"/>
              <w:rPr>
                <w:rFonts w:hint="eastAsia" w:ascii="宋体" w:hAnsi="宋体" w:eastAsia="宋体" w:cs="宋体"/>
                <w:color w:val="auto"/>
                <w:sz w:val="24"/>
                <w:szCs w:val="24"/>
                <w:highlight w:val="none"/>
              </w:rPr>
            </w:pPr>
          </w:p>
        </w:tc>
      </w:tr>
      <w:tr w14:paraId="1BA5E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45C5E61">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3C07DACD">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CAD9E6">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860C554">
            <w:pPr>
              <w:snapToGrid w:val="0"/>
              <w:spacing w:before="50" w:after="50"/>
              <w:jc w:val="center"/>
              <w:rPr>
                <w:rFonts w:hint="eastAsia" w:ascii="宋体" w:hAnsi="宋体" w:eastAsia="宋体" w:cs="宋体"/>
                <w:color w:val="auto"/>
                <w:sz w:val="24"/>
                <w:szCs w:val="24"/>
                <w:highlight w:val="none"/>
              </w:rPr>
            </w:pPr>
          </w:p>
        </w:tc>
      </w:tr>
      <w:tr w14:paraId="653CA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A41AE6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3824D0D4">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2707D6">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41D030F">
            <w:pPr>
              <w:snapToGrid w:val="0"/>
              <w:spacing w:before="50" w:after="50"/>
              <w:jc w:val="center"/>
              <w:rPr>
                <w:rFonts w:hint="eastAsia" w:ascii="宋体" w:hAnsi="宋体" w:eastAsia="宋体" w:cs="宋体"/>
                <w:color w:val="auto"/>
                <w:sz w:val="24"/>
                <w:szCs w:val="24"/>
                <w:highlight w:val="none"/>
              </w:rPr>
            </w:pPr>
          </w:p>
        </w:tc>
      </w:tr>
      <w:tr w14:paraId="259C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052D41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2509A065">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810A7">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37C6F34">
            <w:pPr>
              <w:snapToGrid w:val="0"/>
              <w:spacing w:before="50" w:after="50"/>
              <w:jc w:val="center"/>
              <w:rPr>
                <w:rFonts w:hint="eastAsia" w:ascii="宋体" w:hAnsi="宋体" w:eastAsia="宋体" w:cs="宋体"/>
                <w:color w:val="auto"/>
                <w:sz w:val="24"/>
                <w:szCs w:val="24"/>
                <w:highlight w:val="none"/>
              </w:rPr>
            </w:pPr>
          </w:p>
        </w:tc>
      </w:tr>
      <w:tr w14:paraId="542BB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4309B28">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56FBE271">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6E145B">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42E4397">
            <w:pPr>
              <w:snapToGrid w:val="0"/>
              <w:spacing w:before="50" w:after="50"/>
              <w:jc w:val="center"/>
              <w:rPr>
                <w:rFonts w:hint="eastAsia" w:ascii="宋体" w:hAnsi="宋体" w:eastAsia="宋体" w:cs="宋体"/>
                <w:color w:val="auto"/>
                <w:sz w:val="24"/>
                <w:szCs w:val="24"/>
                <w:highlight w:val="none"/>
              </w:rPr>
            </w:pPr>
          </w:p>
        </w:tc>
      </w:tr>
      <w:tr w14:paraId="134F7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380C8125">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198F6919">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3167EF">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2184EC2">
            <w:pPr>
              <w:snapToGrid w:val="0"/>
              <w:spacing w:before="50" w:after="50"/>
              <w:jc w:val="center"/>
              <w:rPr>
                <w:rFonts w:hint="eastAsia" w:ascii="宋体" w:hAnsi="宋体" w:eastAsia="宋体" w:cs="宋体"/>
                <w:color w:val="auto"/>
                <w:sz w:val="24"/>
                <w:szCs w:val="24"/>
                <w:highlight w:val="none"/>
              </w:rPr>
            </w:pPr>
          </w:p>
        </w:tc>
      </w:tr>
      <w:tr w14:paraId="292A1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F347BEF">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0A37DFF6">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18B00C">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90533B7">
            <w:pPr>
              <w:snapToGrid w:val="0"/>
              <w:spacing w:before="50" w:after="50"/>
              <w:jc w:val="center"/>
              <w:rPr>
                <w:rFonts w:hint="eastAsia" w:ascii="宋体" w:hAnsi="宋体" w:eastAsia="宋体" w:cs="宋体"/>
                <w:color w:val="auto"/>
                <w:sz w:val="24"/>
                <w:szCs w:val="24"/>
                <w:highlight w:val="none"/>
              </w:rPr>
            </w:pPr>
          </w:p>
        </w:tc>
      </w:tr>
      <w:tr w14:paraId="4625F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D5F87A6">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3DF01271">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8A158A">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21F9A26">
            <w:pPr>
              <w:snapToGrid w:val="0"/>
              <w:spacing w:before="50" w:after="50"/>
              <w:jc w:val="center"/>
              <w:rPr>
                <w:rFonts w:hint="eastAsia" w:ascii="宋体" w:hAnsi="宋体" w:eastAsia="宋体" w:cs="宋体"/>
                <w:color w:val="auto"/>
                <w:sz w:val="24"/>
                <w:szCs w:val="24"/>
                <w:highlight w:val="none"/>
              </w:rPr>
            </w:pPr>
          </w:p>
        </w:tc>
      </w:tr>
      <w:tr w14:paraId="52343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DB6BCF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2C59B037">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CFB019">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59EE601">
            <w:pPr>
              <w:snapToGrid w:val="0"/>
              <w:spacing w:before="50" w:after="50"/>
              <w:jc w:val="center"/>
              <w:rPr>
                <w:rFonts w:hint="eastAsia" w:ascii="宋体" w:hAnsi="宋体" w:eastAsia="宋体" w:cs="宋体"/>
                <w:color w:val="auto"/>
                <w:sz w:val="24"/>
                <w:szCs w:val="24"/>
                <w:highlight w:val="none"/>
              </w:rPr>
            </w:pPr>
          </w:p>
        </w:tc>
      </w:tr>
    </w:tbl>
    <w:p w14:paraId="2BAB691A">
      <w:pPr>
        <w:spacing w:line="360" w:lineRule="auto"/>
        <w:ind w:left="3780" w:leftChars="1800" w:firstLine="480" w:firstLineChars="200"/>
        <w:rPr>
          <w:rFonts w:hint="eastAsia" w:ascii="宋体" w:hAnsi="宋体" w:eastAsia="宋体" w:cs="宋体"/>
          <w:color w:val="auto"/>
          <w:sz w:val="24"/>
          <w:szCs w:val="24"/>
          <w:highlight w:val="none"/>
        </w:rPr>
      </w:pPr>
    </w:p>
    <w:p w14:paraId="6727C19C">
      <w:pPr>
        <w:spacing w:line="360" w:lineRule="auto"/>
        <w:ind w:left="3780" w:leftChars="1800" w:firstLine="480" w:firstLineChars="200"/>
        <w:rPr>
          <w:rFonts w:hint="eastAsia" w:ascii="宋体" w:hAnsi="宋体" w:eastAsia="宋体" w:cs="宋体"/>
          <w:color w:val="auto"/>
          <w:sz w:val="24"/>
          <w:szCs w:val="24"/>
          <w:highlight w:val="none"/>
        </w:rPr>
      </w:pPr>
    </w:p>
    <w:p w14:paraId="4115307A">
      <w:pPr>
        <w:spacing w:line="360" w:lineRule="auto"/>
        <w:ind w:left="3780" w:leftChars="1800" w:firstLine="480" w:firstLineChars="200"/>
        <w:rPr>
          <w:rFonts w:hint="eastAsia" w:ascii="宋体" w:hAnsi="宋体" w:eastAsia="宋体" w:cs="宋体"/>
          <w:color w:val="auto"/>
          <w:sz w:val="24"/>
          <w:szCs w:val="24"/>
          <w:highlight w:val="none"/>
        </w:rPr>
      </w:pPr>
    </w:p>
    <w:p w14:paraId="0C31288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2B5B441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285FBB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76CCBDC">
      <w:pPr>
        <w:rPr>
          <w:rFonts w:hint="default"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br w:type="page"/>
      </w:r>
    </w:p>
    <w:p w14:paraId="220B7C0D">
      <w:pPr>
        <w:spacing w:line="360" w:lineRule="auto"/>
        <w:jc w:val="both"/>
        <w:rPr>
          <w:rFonts w:hint="eastAsia" w:ascii="宋体" w:hAnsi="宋体" w:eastAsia="宋体" w:cs="宋体"/>
          <w:b/>
          <w:bCs/>
          <w:color w:val="auto"/>
          <w:sz w:val="32"/>
          <w:szCs w:val="32"/>
          <w:highlight w:val="none"/>
          <w:lang w:val="en-US" w:eastAsia="zh-CN"/>
        </w:rPr>
      </w:pPr>
      <w:r>
        <w:rPr>
          <w:rFonts w:hint="default"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八</w:t>
      </w:r>
      <w:r>
        <w:rPr>
          <w:rFonts w:hint="default"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p>
    <w:p w14:paraId="08639435">
      <w:pPr>
        <w:spacing w:line="360" w:lineRule="auto"/>
        <w:jc w:val="center"/>
        <w:rPr>
          <w:rFonts w:hint="eastAsia" w:ascii="宋体" w:hAnsi="宋体" w:cs="宋体"/>
          <w:b/>
          <w:color w:val="auto"/>
          <w:sz w:val="30"/>
          <w:szCs w:val="30"/>
          <w:highlight w:val="none"/>
          <w:lang w:val="zh-CN"/>
        </w:rPr>
      </w:pPr>
      <w:r>
        <w:rPr>
          <w:rFonts w:hint="eastAsia" w:ascii="宋体" w:hAnsi="宋体" w:eastAsia="宋体" w:cs="宋体"/>
          <w:b/>
          <w:bCs/>
          <w:color w:val="auto"/>
          <w:sz w:val="32"/>
          <w:szCs w:val="32"/>
          <w:highlight w:val="none"/>
          <w:lang w:val="zh-CN"/>
        </w:rPr>
        <w:t>佐证材料汇总表</w:t>
      </w:r>
    </w:p>
    <w:p w14:paraId="1BBCCE3A">
      <w:pPr>
        <w:spacing w:line="360" w:lineRule="auto"/>
        <w:ind w:firstLine="480" w:firstLineChars="200"/>
        <w:rPr>
          <w:rFonts w:hint="eastAsia" w:ascii="宋体" w:hAnsi="宋体" w:cs="宋体"/>
          <w:color w:val="auto"/>
          <w:sz w:val="24"/>
          <w:highlight w:val="none"/>
        </w:rPr>
      </w:pPr>
    </w:p>
    <w:p w14:paraId="715B1E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14:paraId="4E212C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采购编号：</w:t>
      </w:r>
    </w:p>
    <w:tbl>
      <w:tblPr>
        <w:tblStyle w:val="2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65"/>
        <w:gridCol w:w="6956"/>
      </w:tblGrid>
      <w:tr w14:paraId="6CB7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14:paraId="1FDC88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65" w:type="dxa"/>
            <w:noWrap w:val="0"/>
            <w:vAlign w:val="center"/>
          </w:tcPr>
          <w:p w14:paraId="2B73A7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要求</w:t>
            </w:r>
          </w:p>
        </w:tc>
        <w:tc>
          <w:tcPr>
            <w:tcW w:w="6956" w:type="dxa"/>
            <w:noWrap w:val="0"/>
            <w:vAlign w:val="center"/>
          </w:tcPr>
          <w:p w14:paraId="43ED04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投标文件中对应参数的截图</w:t>
            </w:r>
          </w:p>
        </w:tc>
      </w:tr>
      <w:tr w14:paraId="54B4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4D546327">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65" w:type="dxa"/>
            <w:noWrap w:val="0"/>
            <w:vAlign w:val="center"/>
          </w:tcPr>
          <w:p w14:paraId="075E40DB">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56EAC680">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4D73400D">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66C0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59B91077">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65" w:type="dxa"/>
            <w:noWrap w:val="0"/>
            <w:vAlign w:val="center"/>
          </w:tcPr>
          <w:p w14:paraId="357CAE5F">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1AA8CE47">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7991C0A9">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3F74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36578E1C">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65" w:type="dxa"/>
            <w:noWrap w:val="0"/>
            <w:vAlign w:val="center"/>
          </w:tcPr>
          <w:p w14:paraId="042E6B09">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2DD5A526">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2E557CED">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0DC7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5439DB11">
            <w:pPr>
              <w:autoSpaceDE w:val="0"/>
              <w:autoSpaceDN w:val="0"/>
              <w:adjustRightInd w:val="0"/>
              <w:snapToGrid w:val="0"/>
              <w:spacing w:before="50" w:after="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65" w:type="dxa"/>
            <w:noWrap w:val="0"/>
            <w:vAlign w:val="center"/>
          </w:tcPr>
          <w:p w14:paraId="1E87E413">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c>
          <w:tcPr>
            <w:tcW w:w="6956" w:type="dxa"/>
            <w:noWrap w:val="0"/>
            <w:vAlign w:val="center"/>
          </w:tcPr>
          <w:p w14:paraId="2A86949B">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r>
    </w:tbl>
    <w:p w14:paraId="24D25C52">
      <w:pPr>
        <w:pStyle w:val="10"/>
        <w:rPr>
          <w:rFonts w:hint="eastAsia" w:ascii="宋体" w:hAnsi="宋体" w:cs="宋体"/>
          <w:color w:val="auto"/>
          <w:sz w:val="24"/>
          <w:highlight w:val="none"/>
        </w:rPr>
      </w:pPr>
    </w:p>
    <w:p w14:paraId="03A268AC">
      <w:pPr>
        <w:pStyle w:val="10"/>
        <w:rPr>
          <w:rFonts w:hint="eastAsia" w:ascii="宋体" w:hAnsi="宋体" w:cs="宋体"/>
          <w:color w:val="auto"/>
          <w:sz w:val="24"/>
          <w:highlight w:val="none"/>
        </w:rPr>
      </w:pPr>
    </w:p>
    <w:p w14:paraId="588278B6">
      <w:pPr>
        <w:pStyle w:val="10"/>
        <w:rPr>
          <w:rFonts w:hint="eastAsia" w:ascii="宋体" w:hAnsi="宋体" w:cs="宋体"/>
          <w:color w:val="auto"/>
          <w:sz w:val="24"/>
          <w:highlight w:val="none"/>
        </w:rPr>
      </w:pPr>
    </w:p>
    <w:p w14:paraId="65F7A1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或授权委托人</w:t>
      </w:r>
      <w:r>
        <w:rPr>
          <w:rFonts w:hint="eastAsia" w:ascii="宋体" w:hAnsi="宋体" w:cs="宋体"/>
          <w:color w:val="auto"/>
          <w:sz w:val="24"/>
          <w:highlight w:val="none"/>
        </w:rPr>
        <w:t xml:space="preserve">签名（或签名章）：                       </w:t>
      </w:r>
    </w:p>
    <w:p w14:paraId="503B1C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p>
    <w:p w14:paraId="5121DA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投标人全称（公章）：</w:t>
      </w:r>
    </w:p>
    <w:p w14:paraId="04F00D1B">
      <w:pPr>
        <w:snapToGrid w:val="0"/>
        <w:spacing w:before="50" w:after="50"/>
        <w:rPr>
          <w:rFonts w:hint="default" w:ascii="Times New Roman" w:hAnsi="Times New Roman" w:cs="Times New Roman"/>
          <w:b/>
          <w:bCs/>
          <w:color w:val="auto"/>
          <w:kern w:val="0"/>
          <w:sz w:val="36"/>
          <w:szCs w:val="36"/>
          <w:highlight w:val="none"/>
        </w:rPr>
      </w:pPr>
      <w:r>
        <w:rPr>
          <w:rFonts w:hint="default" w:ascii="Times New Roman" w:hAnsi="Times New Roman" w:cs="Times New Roman"/>
          <w:b/>
          <w:bCs/>
          <w:color w:val="auto"/>
          <w:kern w:val="0"/>
          <w:sz w:val="36"/>
          <w:szCs w:val="36"/>
          <w:highlight w:val="none"/>
        </w:rPr>
        <w:br w:type="page"/>
      </w:r>
    </w:p>
    <w:p w14:paraId="44F7D28D">
      <w:pPr>
        <w:snapToGrid w:val="0"/>
        <w:spacing w:before="50" w:after="5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zh-CN"/>
        </w:rPr>
        <w:t>：</w:t>
      </w:r>
    </w:p>
    <w:p w14:paraId="63EA4B8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3E871CA0">
      <w:pPr>
        <w:snapToGrid w:val="0"/>
        <w:spacing w:beforeLines="50" w:after="50"/>
        <w:jc w:val="center"/>
        <w:rPr>
          <w:rFonts w:hint="eastAsia" w:ascii="宋体" w:hAnsi="宋体" w:eastAsia="宋体" w:cs="宋体"/>
          <w:b/>
          <w:bCs/>
          <w:color w:val="auto"/>
          <w:sz w:val="30"/>
          <w:szCs w:val="30"/>
          <w:highlight w:val="none"/>
        </w:rPr>
      </w:pPr>
    </w:p>
    <w:p w14:paraId="015C82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9111A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A0DE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2C81153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7CD3C5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BF03F3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24117D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35B77BE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7599C656">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59D2D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295344D">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9C7886C">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391D8B7">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AD2E139">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98D8C11">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1B5F479">
            <w:pPr>
              <w:snapToGrid w:val="0"/>
              <w:spacing w:beforeLines="50" w:after="50" w:line="460" w:lineRule="exact"/>
              <w:rPr>
                <w:rFonts w:hint="eastAsia" w:ascii="宋体" w:hAnsi="宋体" w:eastAsia="宋体" w:cs="宋体"/>
                <w:color w:val="auto"/>
                <w:sz w:val="24"/>
                <w:szCs w:val="24"/>
                <w:highlight w:val="none"/>
              </w:rPr>
            </w:pPr>
          </w:p>
        </w:tc>
      </w:tr>
      <w:tr w14:paraId="480BF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4B98BD0">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CD8A50A">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090075C">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1A6DED8">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CF86597">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8123700">
            <w:pPr>
              <w:snapToGrid w:val="0"/>
              <w:spacing w:beforeLines="50" w:after="50" w:line="460" w:lineRule="exact"/>
              <w:rPr>
                <w:rFonts w:hint="eastAsia" w:ascii="宋体" w:hAnsi="宋体" w:eastAsia="宋体" w:cs="宋体"/>
                <w:color w:val="auto"/>
                <w:sz w:val="24"/>
                <w:szCs w:val="24"/>
                <w:highlight w:val="none"/>
              </w:rPr>
            </w:pPr>
          </w:p>
        </w:tc>
      </w:tr>
      <w:tr w14:paraId="58A0E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15BED5F">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4DDCAEE">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C47751A">
            <w:pPr>
              <w:pStyle w:val="12"/>
              <w:snapToGrid w:val="0"/>
              <w:spacing w:beforeLines="50" w:after="50" w:line="460" w:lineRule="exact"/>
              <w:ind w:left="525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78BE88E">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C7A980B">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8A036AF">
            <w:pPr>
              <w:snapToGrid w:val="0"/>
              <w:spacing w:beforeLines="50" w:after="50" w:line="460" w:lineRule="exact"/>
              <w:rPr>
                <w:rFonts w:hint="eastAsia" w:ascii="宋体" w:hAnsi="宋体" w:eastAsia="宋体" w:cs="宋体"/>
                <w:color w:val="auto"/>
                <w:sz w:val="24"/>
                <w:szCs w:val="24"/>
                <w:highlight w:val="none"/>
              </w:rPr>
            </w:pPr>
          </w:p>
        </w:tc>
      </w:tr>
      <w:tr w14:paraId="07219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2CC6D2D">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A9F0ACA">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0203FF7">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2DF082">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8232734">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F06F2C0">
            <w:pPr>
              <w:snapToGrid w:val="0"/>
              <w:spacing w:beforeLines="50" w:after="50" w:line="460" w:lineRule="exact"/>
              <w:rPr>
                <w:rFonts w:hint="eastAsia" w:ascii="宋体" w:hAnsi="宋体" w:eastAsia="宋体" w:cs="宋体"/>
                <w:color w:val="auto"/>
                <w:sz w:val="24"/>
                <w:szCs w:val="24"/>
                <w:highlight w:val="none"/>
              </w:rPr>
            </w:pPr>
          </w:p>
        </w:tc>
      </w:tr>
      <w:tr w14:paraId="5BAEC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EE59523">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B827FA9">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30282E2">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526DE47">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3AFCB61">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0D479AA">
            <w:pPr>
              <w:snapToGrid w:val="0"/>
              <w:spacing w:beforeLines="50" w:after="50" w:line="460" w:lineRule="exact"/>
              <w:rPr>
                <w:rFonts w:hint="eastAsia" w:ascii="宋体" w:hAnsi="宋体" w:eastAsia="宋体" w:cs="宋体"/>
                <w:color w:val="auto"/>
                <w:sz w:val="24"/>
                <w:szCs w:val="24"/>
                <w:highlight w:val="none"/>
              </w:rPr>
            </w:pPr>
          </w:p>
        </w:tc>
      </w:tr>
      <w:tr w14:paraId="2354A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163986A">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118B452">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1D3DEDA">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605FA0">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0FE3C12">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EF2411C">
            <w:pPr>
              <w:snapToGrid w:val="0"/>
              <w:spacing w:beforeLines="50" w:after="50" w:line="460" w:lineRule="exact"/>
              <w:rPr>
                <w:rFonts w:hint="eastAsia" w:ascii="宋体" w:hAnsi="宋体" w:eastAsia="宋体" w:cs="宋体"/>
                <w:color w:val="auto"/>
                <w:sz w:val="24"/>
                <w:szCs w:val="24"/>
                <w:highlight w:val="none"/>
              </w:rPr>
            </w:pPr>
          </w:p>
        </w:tc>
      </w:tr>
      <w:tr w14:paraId="6A110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BBA8579">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AC5003">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8F22CE5">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EBE4B09">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DFBE586">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BA27749">
            <w:pPr>
              <w:snapToGrid w:val="0"/>
              <w:spacing w:beforeLines="50" w:after="50" w:line="460" w:lineRule="exact"/>
              <w:rPr>
                <w:rFonts w:hint="eastAsia" w:ascii="宋体" w:hAnsi="宋体" w:eastAsia="宋体" w:cs="宋体"/>
                <w:color w:val="auto"/>
                <w:sz w:val="24"/>
                <w:szCs w:val="24"/>
                <w:highlight w:val="none"/>
              </w:rPr>
            </w:pPr>
          </w:p>
        </w:tc>
      </w:tr>
      <w:tr w14:paraId="2A944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2265481">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813E52F">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019A9E6">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053C3B1">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C91854B">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B7A9102">
            <w:pPr>
              <w:snapToGrid w:val="0"/>
              <w:spacing w:beforeLines="50" w:after="50" w:line="460" w:lineRule="exact"/>
              <w:rPr>
                <w:rFonts w:hint="eastAsia" w:ascii="宋体" w:hAnsi="宋体" w:eastAsia="宋体" w:cs="宋体"/>
                <w:color w:val="auto"/>
                <w:sz w:val="24"/>
                <w:szCs w:val="24"/>
                <w:highlight w:val="none"/>
              </w:rPr>
            </w:pPr>
          </w:p>
        </w:tc>
      </w:tr>
      <w:tr w14:paraId="3CC24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782C0EA">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C889142">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6DDB948">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FD47CB">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562162B">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0DFC070">
            <w:pPr>
              <w:snapToGrid w:val="0"/>
              <w:spacing w:beforeLines="50" w:after="50" w:line="460" w:lineRule="exact"/>
              <w:rPr>
                <w:rFonts w:hint="eastAsia" w:ascii="宋体" w:hAnsi="宋体" w:eastAsia="宋体" w:cs="宋体"/>
                <w:color w:val="auto"/>
                <w:sz w:val="24"/>
                <w:szCs w:val="24"/>
                <w:highlight w:val="none"/>
              </w:rPr>
            </w:pPr>
          </w:p>
        </w:tc>
      </w:tr>
    </w:tbl>
    <w:p w14:paraId="2FD82E7E">
      <w:pPr>
        <w:adjustRightInd w:val="0"/>
        <w:snapToGrid w:val="0"/>
        <w:spacing w:line="360" w:lineRule="auto"/>
        <w:jc w:val="left"/>
        <w:rPr>
          <w:rFonts w:hint="eastAsia" w:ascii="宋体" w:hAnsi="宋体" w:eastAsia="宋体" w:cs="宋体"/>
          <w:color w:val="auto"/>
          <w:sz w:val="24"/>
          <w:szCs w:val="24"/>
          <w:highlight w:val="none"/>
        </w:rPr>
      </w:pPr>
    </w:p>
    <w:p w14:paraId="1DE0721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注：在填写时，如本表格不适合投标单位的实际情况，可根据本表格式自行划表填写。</w:t>
      </w:r>
    </w:p>
    <w:p w14:paraId="77903501">
      <w:pPr>
        <w:snapToGrid w:val="0"/>
        <w:spacing w:before="50" w:afterLines="50" w:line="460" w:lineRule="exact"/>
        <w:jc w:val="left"/>
        <w:rPr>
          <w:rFonts w:hint="eastAsia" w:ascii="宋体" w:hAnsi="宋体" w:eastAsia="宋体" w:cs="宋体"/>
          <w:color w:val="auto"/>
          <w:sz w:val="24"/>
          <w:szCs w:val="24"/>
          <w:highlight w:val="none"/>
        </w:rPr>
      </w:pPr>
    </w:p>
    <w:p w14:paraId="56011535">
      <w:pPr>
        <w:pStyle w:val="10"/>
        <w:rPr>
          <w:rFonts w:hint="eastAsia" w:ascii="宋体" w:hAnsi="宋体" w:eastAsia="宋体" w:cs="宋体"/>
          <w:color w:val="auto"/>
          <w:highlight w:val="none"/>
        </w:rPr>
      </w:pPr>
    </w:p>
    <w:p w14:paraId="378B3F7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420D477B">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C5EF13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AEC3AF5">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bCs/>
          <w:color w:val="auto"/>
          <w:kern w:val="0"/>
          <w:sz w:val="36"/>
          <w:szCs w:val="36"/>
          <w:highlight w:val="none"/>
        </w:rPr>
        <w:t>报价文件</w:t>
      </w:r>
    </w:p>
    <w:p w14:paraId="7FB9384A">
      <w:pPr>
        <w:spacing w:line="360" w:lineRule="auto"/>
        <w:jc w:val="center"/>
        <w:rPr>
          <w:rFonts w:hint="eastAsia" w:ascii="宋体" w:hAnsi="宋体" w:eastAsia="宋体" w:cs="宋体"/>
          <w:b/>
          <w:bCs/>
          <w:color w:val="auto"/>
          <w:kern w:val="0"/>
          <w:sz w:val="36"/>
          <w:szCs w:val="36"/>
          <w:highlight w:val="none"/>
        </w:rPr>
      </w:pPr>
    </w:p>
    <w:p w14:paraId="1AF57D5D">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4B35AEC9">
      <w:pPr>
        <w:pStyle w:val="10"/>
        <w:ind w:firstLine="723"/>
        <w:rPr>
          <w:rFonts w:hint="eastAsia" w:ascii="宋体" w:hAnsi="宋体" w:eastAsia="宋体" w:cs="宋体"/>
          <w:b/>
          <w:bCs/>
          <w:color w:val="auto"/>
          <w:kern w:val="0"/>
          <w:sz w:val="36"/>
          <w:szCs w:val="36"/>
          <w:highlight w:val="none"/>
        </w:rPr>
      </w:pPr>
    </w:p>
    <w:p w14:paraId="0C1EE0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48F094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261E160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7222DF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）中小企业声明函</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（格式见附件）；</w:t>
      </w:r>
    </w:p>
    <w:p w14:paraId="31FC28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）残疾人福利性单位声明函(如有)（格式见附件）；</w:t>
      </w:r>
    </w:p>
    <w:p w14:paraId="24430AA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）监狱企业证明文件(如有)（格式见附件）</w:t>
      </w:r>
      <w:r>
        <w:rPr>
          <w:rFonts w:hint="eastAsia" w:ascii="宋体" w:hAnsi="宋体" w:eastAsia="宋体" w:cs="宋体"/>
          <w:color w:val="auto"/>
          <w:sz w:val="24"/>
          <w:szCs w:val="24"/>
          <w:highlight w:val="none"/>
          <w:lang w:eastAsia="zh-CN"/>
        </w:rPr>
        <w:t>。</w:t>
      </w:r>
    </w:p>
    <w:p w14:paraId="0ABEC1DC">
      <w:pPr>
        <w:pStyle w:val="6"/>
        <w:rPr>
          <w:rFonts w:hint="eastAsia"/>
          <w:lang w:eastAsia="zh-CN"/>
        </w:rPr>
      </w:pPr>
    </w:p>
    <w:p w14:paraId="15AE43A0">
      <w:pPr>
        <w:spacing w:line="360" w:lineRule="auto"/>
        <w:rPr>
          <w:rFonts w:hint="eastAsia"/>
          <w:highlight w:val="none"/>
          <w:lang w:val="en-US" w:eastAsia="zh-CN"/>
        </w:rPr>
      </w:pPr>
    </w:p>
    <w:p w14:paraId="1D4BB2EF">
      <w:pPr>
        <w:rPr>
          <w:rFonts w:hint="eastAsia" w:ascii="宋体" w:hAnsi="宋体" w:eastAsia="宋体" w:cs="宋体"/>
          <w:color w:val="auto"/>
          <w:highlight w:val="none"/>
        </w:rPr>
      </w:pPr>
    </w:p>
    <w:p w14:paraId="66D8B2D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E4F8586">
      <w:pPr>
        <w:rPr>
          <w:rFonts w:hint="eastAsia" w:ascii="宋体" w:hAnsi="宋体" w:eastAsia="宋体" w:cs="宋体"/>
          <w:b/>
          <w:bCs/>
          <w:color w:val="auto"/>
          <w:highlight w:val="none"/>
          <w:lang w:val="zh-CN"/>
        </w:rPr>
      </w:pPr>
      <w:bookmarkStart w:id="98" w:name="_Toc3094"/>
      <w:r>
        <w:rPr>
          <w:rFonts w:hint="eastAsia" w:ascii="宋体" w:hAnsi="宋体" w:eastAsia="宋体" w:cs="宋体"/>
          <w:b/>
          <w:bCs/>
          <w:color w:val="auto"/>
          <w:sz w:val="24"/>
          <w:szCs w:val="24"/>
          <w:highlight w:val="none"/>
          <w:lang w:val="zh-CN"/>
        </w:rPr>
        <w:t>附件</w:t>
      </w:r>
      <w:bookmarkStart w:id="99" w:name="_Toc98731770"/>
      <w:bookmarkStart w:id="100" w:name="_Toc130094924"/>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p>
    <w:p w14:paraId="38E2993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磋商函</w:t>
      </w:r>
      <w:bookmarkEnd w:id="98"/>
      <w:bookmarkEnd w:id="99"/>
      <w:bookmarkEnd w:id="100"/>
    </w:p>
    <w:p w14:paraId="3733082D">
      <w:pPr>
        <w:spacing w:line="360" w:lineRule="auto"/>
        <w:ind w:firstLine="480" w:firstLineChars="200"/>
        <w:rPr>
          <w:rFonts w:hint="eastAsia" w:ascii="宋体" w:hAnsi="宋体" w:eastAsia="宋体" w:cs="宋体"/>
          <w:color w:val="auto"/>
          <w:sz w:val="24"/>
          <w:szCs w:val="24"/>
          <w:highlight w:val="none"/>
          <w:u w:val="single"/>
        </w:rPr>
      </w:pPr>
    </w:p>
    <w:p w14:paraId="4C178E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绍兴市生态环境局上虞分局</w:t>
      </w:r>
      <w:r>
        <w:rPr>
          <w:rFonts w:hint="eastAsia" w:ascii="宋体" w:hAnsi="宋体" w:eastAsia="宋体" w:cs="宋体"/>
          <w:color w:val="auto"/>
          <w:sz w:val="24"/>
          <w:szCs w:val="24"/>
          <w:highlight w:val="none"/>
        </w:rPr>
        <w:t>：</w:t>
      </w:r>
    </w:p>
    <w:p w14:paraId="5E1F0E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浙江中诚工程管理科技有限公司</w:t>
      </w:r>
      <w:r>
        <w:rPr>
          <w:rFonts w:hint="eastAsia" w:ascii="宋体" w:hAnsi="宋体" w:eastAsia="宋体" w:cs="宋体"/>
          <w:color w:val="auto"/>
          <w:sz w:val="24"/>
          <w:szCs w:val="24"/>
          <w:highlight w:val="none"/>
        </w:rPr>
        <w:t>：</w:t>
      </w:r>
    </w:p>
    <w:p w14:paraId="77A522B1">
      <w:pPr>
        <w:spacing w:line="360" w:lineRule="auto"/>
        <w:ind w:firstLine="480"/>
        <w:jc w:val="left"/>
        <w:rPr>
          <w:rFonts w:hint="default" w:ascii="Times New Roman" w:hAnsi="Times New Roman" w:cs="Times New Roman"/>
          <w:color w:val="auto"/>
          <w:sz w:val="24"/>
          <w:highlight w:val="none"/>
        </w:rPr>
      </w:pPr>
      <w:bookmarkStart w:id="101" w:name="_Toc12011"/>
      <w:r>
        <w:rPr>
          <w:rFonts w:hint="default" w:ascii="Times New Roman" w:hAnsi="Times New Roman" w:cs="Times New Roman"/>
          <w:color w:val="auto"/>
          <w:sz w:val="24"/>
          <w:highlight w:val="none"/>
        </w:rPr>
        <w:t>我单位认真研究了关于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6FB29D1A">
      <w:pPr>
        <w:spacing w:line="360" w:lineRule="auto"/>
        <w:ind w:firstLine="504" w:firstLineChars="24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color w:val="auto"/>
          <w:sz w:val="24"/>
          <w:highlight w:val="none"/>
        </w:rPr>
        <w:t>1、一旦我单位中标，我单位愿意承接报价一览表中所列的技术服务，服务期为：</w:t>
      </w:r>
      <w:r>
        <w:rPr>
          <w:rFonts w:hint="default" w:ascii="Times New Roman" w:hAnsi="Times New Roman" w:cs="Times New Roman"/>
          <w:b/>
          <w:bCs/>
          <w:color w:val="auto"/>
          <w:sz w:val="24"/>
          <w:highlight w:val="none"/>
          <w:u w:val="singl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60D68DE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2、我单位同意提供按照采购人的可能要求与其投标有关的一切数据和资料，完全理解采购人不一定要接受最低价者作为成交供应商。</w:t>
      </w:r>
    </w:p>
    <w:p w14:paraId="5CF087C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3、一旦我单位中标，我们保证按照磋商文件的要求，完成服务。</w:t>
      </w:r>
    </w:p>
    <w:p w14:paraId="7FCEE53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4、如果我单位中标，我方将按照要求严格履行合同义务。</w:t>
      </w:r>
    </w:p>
    <w:p w14:paraId="195458FD">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5、除非另行达成协议并生效，你方的成交通知书和本磋商函将构成约束你我双方的合同。</w:t>
      </w:r>
    </w:p>
    <w:p w14:paraId="3B2EEC4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6、我单位承诺，一旦发生磋商文件第二部分第11条规定情形之一的，承担该条款约定的责任。</w:t>
      </w:r>
    </w:p>
    <w:p w14:paraId="23316F18">
      <w:pPr>
        <w:pStyle w:val="11"/>
        <w:snapToGrid w:val="0"/>
        <w:spacing w:line="360" w:lineRule="auto"/>
        <w:ind w:left="480"/>
        <w:jc w:val="left"/>
        <w:rPr>
          <w:rFonts w:hint="default" w:ascii="Times New Roman" w:hAnsi="Times New Roman" w:cs="Times New Roman"/>
          <w:color w:val="auto"/>
          <w:sz w:val="24"/>
          <w:szCs w:val="24"/>
          <w:highlight w:val="none"/>
        </w:rPr>
      </w:pPr>
    </w:p>
    <w:p w14:paraId="58B8AD3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邮编：</w:t>
      </w:r>
      <w:r>
        <w:rPr>
          <w:rFonts w:hint="default" w:ascii="Times New Roman" w:hAnsi="Times New Roman" w:cs="Times New Roman"/>
          <w:color w:val="auto"/>
          <w:sz w:val="24"/>
          <w:highlight w:val="none"/>
          <w:u w:val="single"/>
        </w:rPr>
        <w:t xml:space="preserve">                </w:t>
      </w:r>
    </w:p>
    <w:p w14:paraId="2E06E81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传真：</w:t>
      </w:r>
      <w:r>
        <w:rPr>
          <w:rFonts w:hint="default" w:ascii="Times New Roman" w:hAnsi="Times New Roman" w:cs="Times New Roman"/>
          <w:color w:val="auto"/>
          <w:sz w:val="24"/>
          <w:highlight w:val="none"/>
          <w:u w:val="single"/>
        </w:rPr>
        <w:t xml:space="preserve">                 </w:t>
      </w:r>
    </w:p>
    <w:p w14:paraId="34757AC6">
      <w:pPr>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供应商代表姓名：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职务：</w:t>
      </w:r>
      <w:r>
        <w:rPr>
          <w:rFonts w:hint="default" w:ascii="Times New Roman" w:hAnsi="Times New Roman" w:cs="Times New Roman"/>
          <w:color w:val="auto"/>
          <w:sz w:val="24"/>
          <w:highlight w:val="none"/>
          <w:u w:val="single"/>
        </w:rPr>
        <w:t xml:space="preserve">                 </w:t>
      </w:r>
    </w:p>
    <w:p w14:paraId="1CEEA63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r>
        <w:rPr>
          <w:rFonts w:hint="default" w:ascii="Times New Roman" w:hAnsi="Times New Roman" w:cs="Times New Roman"/>
          <w:color w:val="auto"/>
          <w:sz w:val="24"/>
          <w:highlight w:val="none"/>
          <w:u w:val="single"/>
        </w:rPr>
        <w:t xml:space="preserve">                      </w:t>
      </w:r>
    </w:p>
    <w:p w14:paraId="3333E71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（公章）：</w:t>
      </w:r>
    </w:p>
    <w:p w14:paraId="55B7150B">
      <w:pPr>
        <w:spacing w:line="360" w:lineRule="auto"/>
        <w:ind w:left="3780" w:leftChars="180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法定代表人签名（或签名章）：</w:t>
      </w:r>
    </w:p>
    <w:p w14:paraId="0B5E83BB">
      <w:pPr>
        <w:spacing w:line="360" w:lineRule="auto"/>
        <w:ind w:left="3780" w:leftChars="180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p w14:paraId="324B95B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63804B95">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102" w:name="_Toc130094925"/>
      <w:bookmarkStart w:id="103" w:name="_Toc98731771"/>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w:t>
      </w:r>
    </w:p>
    <w:p w14:paraId="7AEA3E3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101"/>
      <w:bookmarkEnd w:id="102"/>
      <w:bookmarkEnd w:id="103"/>
    </w:p>
    <w:p w14:paraId="7D6E4512">
      <w:pPr>
        <w:pStyle w:val="11"/>
        <w:spacing w:line="360" w:lineRule="auto"/>
        <w:rPr>
          <w:rFonts w:hint="eastAsia" w:ascii="宋体" w:hAnsi="宋体" w:eastAsia="宋体" w:cs="宋体"/>
          <w:color w:val="auto"/>
          <w:sz w:val="24"/>
          <w:szCs w:val="24"/>
          <w:highlight w:val="none"/>
        </w:rPr>
      </w:pPr>
    </w:p>
    <w:p w14:paraId="38D4FA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C1E43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2BFD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9" w:hRule="atLeast"/>
          <w:jc w:val="center"/>
        </w:trPr>
        <w:tc>
          <w:tcPr>
            <w:tcW w:w="2089" w:type="dxa"/>
            <w:vAlign w:val="center"/>
          </w:tcPr>
          <w:p w14:paraId="5D6BB7C5">
            <w:pPr>
              <w:pStyle w:val="1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投标总价</w:t>
            </w:r>
          </w:p>
        </w:tc>
        <w:tc>
          <w:tcPr>
            <w:tcW w:w="6707" w:type="dxa"/>
            <w:vAlign w:val="center"/>
          </w:tcPr>
          <w:p w14:paraId="18359465">
            <w:pPr>
              <w:pStyle w:val="11"/>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大写：</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元（小写：</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w:t>
            </w:r>
          </w:p>
        </w:tc>
      </w:tr>
      <w:tr w14:paraId="73C9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5DEF5B4F">
            <w:pPr>
              <w:pStyle w:val="11"/>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本次报价应包含项目所需全部服务，不得缺漏，是履行合同的最终价格（服务费、交通费、检测费、报告费、人工费、税金、招标代理费以及成交供应商认为有必要计入</w:t>
            </w:r>
            <w:r>
              <w:rPr>
                <w:rFonts w:hint="eastAsia" w:hAnsi="宋体" w:cs="宋体"/>
                <w:b/>
                <w:bCs/>
                <w:color w:val="auto"/>
                <w:sz w:val="24"/>
                <w:szCs w:val="24"/>
                <w:highlight w:val="none"/>
                <w:lang w:eastAsia="zh-CN"/>
              </w:rPr>
              <w:t>的其他费用</w:t>
            </w:r>
            <w:r>
              <w:rPr>
                <w:rFonts w:hint="eastAsia" w:ascii="宋体" w:hAnsi="宋体" w:eastAsia="宋体" w:cs="宋体"/>
                <w:b/>
                <w:bCs/>
                <w:color w:val="auto"/>
                <w:sz w:val="24"/>
                <w:szCs w:val="24"/>
                <w:highlight w:val="none"/>
              </w:rPr>
              <w:t>等一切费用）。</w:t>
            </w:r>
          </w:p>
        </w:tc>
      </w:tr>
    </w:tbl>
    <w:p w14:paraId="14CAD28E">
      <w:pPr>
        <w:pStyle w:val="11"/>
        <w:spacing w:line="360" w:lineRule="auto"/>
        <w:rPr>
          <w:rFonts w:hint="eastAsia" w:ascii="宋体" w:hAnsi="宋体" w:eastAsia="宋体" w:cs="宋体"/>
          <w:color w:val="auto"/>
          <w:sz w:val="24"/>
          <w:szCs w:val="24"/>
          <w:highlight w:val="none"/>
        </w:rPr>
      </w:pPr>
    </w:p>
    <w:p w14:paraId="7610094F">
      <w:pPr>
        <w:pStyle w:val="11"/>
        <w:spacing w:line="360" w:lineRule="auto"/>
        <w:rPr>
          <w:rFonts w:hint="eastAsia" w:ascii="宋体" w:hAnsi="宋体" w:eastAsia="宋体" w:cs="宋体"/>
          <w:color w:val="auto"/>
          <w:sz w:val="24"/>
          <w:szCs w:val="24"/>
          <w:highlight w:val="none"/>
        </w:rPr>
      </w:pPr>
    </w:p>
    <w:p w14:paraId="17D6AA56">
      <w:pPr>
        <w:pStyle w:val="11"/>
        <w:spacing w:line="360" w:lineRule="auto"/>
        <w:rPr>
          <w:rFonts w:hint="eastAsia" w:ascii="宋体" w:hAnsi="宋体" w:eastAsia="宋体" w:cs="宋体"/>
          <w:color w:val="auto"/>
          <w:sz w:val="24"/>
          <w:szCs w:val="24"/>
          <w:highlight w:val="none"/>
        </w:rPr>
      </w:pPr>
    </w:p>
    <w:p w14:paraId="61433467">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6071AB6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47EA21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CF0784A">
      <w:pPr>
        <w:snapToGrid w:val="0"/>
        <w:spacing w:line="360" w:lineRule="auto"/>
        <w:ind w:firstLine="435"/>
        <w:rPr>
          <w:rFonts w:hint="eastAsia" w:ascii="宋体" w:hAnsi="宋体" w:eastAsia="宋体" w:cs="宋体"/>
          <w:color w:val="auto"/>
          <w:highlight w:val="none"/>
        </w:rPr>
      </w:pPr>
    </w:p>
    <w:p w14:paraId="3D8DD3D1">
      <w:pPr>
        <w:snapToGrid w:val="0"/>
        <w:spacing w:line="360" w:lineRule="auto"/>
        <w:ind w:firstLine="435"/>
        <w:rPr>
          <w:rFonts w:hint="eastAsia" w:ascii="宋体" w:hAnsi="宋体" w:eastAsia="宋体" w:cs="宋体"/>
          <w:color w:val="auto"/>
          <w:highlight w:val="none"/>
        </w:rPr>
      </w:pPr>
    </w:p>
    <w:p w14:paraId="6170DEB3">
      <w:pPr>
        <w:snapToGrid w:val="0"/>
        <w:spacing w:line="360" w:lineRule="auto"/>
        <w:ind w:firstLine="435"/>
        <w:rPr>
          <w:rFonts w:hint="eastAsia" w:ascii="宋体" w:hAnsi="宋体" w:eastAsia="宋体" w:cs="宋体"/>
          <w:color w:val="auto"/>
          <w:highlight w:val="none"/>
        </w:rPr>
      </w:pPr>
    </w:p>
    <w:p w14:paraId="6A7C997C">
      <w:pPr>
        <w:snapToGrid w:val="0"/>
        <w:spacing w:line="360" w:lineRule="auto"/>
        <w:ind w:firstLine="435"/>
        <w:rPr>
          <w:rFonts w:hint="eastAsia" w:ascii="宋体" w:hAnsi="宋体" w:eastAsia="宋体" w:cs="宋体"/>
          <w:color w:val="auto"/>
          <w:highlight w:val="none"/>
        </w:rPr>
      </w:pPr>
    </w:p>
    <w:p w14:paraId="143F1D7D">
      <w:pPr>
        <w:snapToGrid w:val="0"/>
        <w:spacing w:line="360" w:lineRule="auto"/>
        <w:ind w:firstLine="435"/>
        <w:rPr>
          <w:rFonts w:hint="eastAsia" w:ascii="宋体" w:hAnsi="宋体" w:eastAsia="宋体" w:cs="宋体"/>
          <w:color w:val="auto"/>
          <w:highlight w:val="none"/>
        </w:rPr>
      </w:pPr>
    </w:p>
    <w:p w14:paraId="3B7FE85D">
      <w:pP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04" w:name="_Toc7196"/>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lang w:val="zh-CN"/>
        </w:rPr>
        <w:t>：</w:t>
      </w:r>
    </w:p>
    <w:p w14:paraId="7E8681B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2F1C6C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9FDF3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129A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25D1A9F8">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w:t>
            </w:r>
          </w:p>
          <w:p w14:paraId="67C2B824">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w:t>
            </w:r>
          </w:p>
        </w:tc>
        <w:tc>
          <w:tcPr>
            <w:tcW w:w="2492" w:type="dxa"/>
            <w:vMerge w:val="restart"/>
            <w:vAlign w:val="center"/>
          </w:tcPr>
          <w:p w14:paraId="7F7CCD97">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915" w:type="dxa"/>
            <w:vMerge w:val="restart"/>
            <w:vAlign w:val="center"/>
          </w:tcPr>
          <w:p w14:paraId="429AD9A6">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1876" w:type="dxa"/>
            <w:vMerge w:val="restart"/>
            <w:vAlign w:val="center"/>
          </w:tcPr>
          <w:p w14:paraId="53C28514">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495" w:type="dxa"/>
            <w:vMerge w:val="restart"/>
            <w:vAlign w:val="center"/>
          </w:tcPr>
          <w:p w14:paraId="18487FFB">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11594F5F">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498" w:type="dxa"/>
            <w:vMerge w:val="restart"/>
            <w:vAlign w:val="center"/>
          </w:tcPr>
          <w:p w14:paraId="4A683074">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272" w:type="dxa"/>
            <w:gridSpan w:val="2"/>
            <w:vAlign w:val="center"/>
          </w:tcPr>
          <w:p w14:paraId="09C1C936">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r>
      <w:tr w14:paraId="192B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46B5E684">
            <w:pPr>
              <w:pStyle w:val="11"/>
              <w:spacing w:line="360" w:lineRule="auto"/>
              <w:jc w:val="center"/>
              <w:rPr>
                <w:rFonts w:hint="eastAsia" w:ascii="宋体" w:hAnsi="宋体" w:eastAsia="宋体" w:cs="宋体"/>
                <w:color w:val="auto"/>
                <w:sz w:val="22"/>
                <w:szCs w:val="22"/>
                <w:highlight w:val="none"/>
              </w:rPr>
            </w:pPr>
          </w:p>
        </w:tc>
        <w:tc>
          <w:tcPr>
            <w:tcW w:w="2492" w:type="dxa"/>
            <w:vMerge w:val="continue"/>
            <w:vAlign w:val="center"/>
          </w:tcPr>
          <w:p w14:paraId="0EA60D97">
            <w:pPr>
              <w:pStyle w:val="11"/>
              <w:spacing w:line="360" w:lineRule="auto"/>
              <w:jc w:val="center"/>
              <w:rPr>
                <w:rFonts w:hint="eastAsia" w:ascii="宋体" w:hAnsi="宋体" w:eastAsia="宋体" w:cs="宋体"/>
                <w:color w:val="auto"/>
                <w:sz w:val="22"/>
                <w:szCs w:val="22"/>
                <w:highlight w:val="none"/>
              </w:rPr>
            </w:pPr>
          </w:p>
        </w:tc>
        <w:tc>
          <w:tcPr>
            <w:tcW w:w="915" w:type="dxa"/>
            <w:vMerge w:val="continue"/>
            <w:vAlign w:val="center"/>
          </w:tcPr>
          <w:p w14:paraId="609B0B68">
            <w:pPr>
              <w:pStyle w:val="11"/>
              <w:spacing w:line="360" w:lineRule="auto"/>
              <w:jc w:val="center"/>
              <w:rPr>
                <w:rFonts w:hint="eastAsia" w:ascii="宋体" w:hAnsi="宋体" w:eastAsia="宋体" w:cs="宋体"/>
                <w:color w:val="auto"/>
                <w:sz w:val="22"/>
                <w:szCs w:val="22"/>
                <w:highlight w:val="none"/>
              </w:rPr>
            </w:pPr>
          </w:p>
        </w:tc>
        <w:tc>
          <w:tcPr>
            <w:tcW w:w="1876" w:type="dxa"/>
            <w:vMerge w:val="continue"/>
            <w:vAlign w:val="center"/>
          </w:tcPr>
          <w:p w14:paraId="708B8F6C">
            <w:pPr>
              <w:pStyle w:val="11"/>
              <w:spacing w:line="360" w:lineRule="auto"/>
              <w:jc w:val="center"/>
              <w:rPr>
                <w:rFonts w:hint="eastAsia" w:ascii="宋体" w:hAnsi="宋体" w:eastAsia="宋体" w:cs="宋体"/>
                <w:color w:val="auto"/>
                <w:sz w:val="22"/>
                <w:szCs w:val="22"/>
                <w:highlight w:val="none"/>
              </w:rPr>
            </w:pPr>
          </w:p>
        </w:tc>
        <w:tc>
          <w:tcPr>
            <w:tcW w:w="495" w:type="dxa"/>
            <w:vMerge w:val="continue"/>
            <w:vAlign w:val="center"/>
          </w:tcPr>
          <w:p w14:paraId="1B2E6FC7">
            <w:pPr>
              <w:pStyle w:val="11"/>
              <w:spacing w:line="360" w:lineRule="auto"/>
              <w:jc w:val="center"/>
              <w:rPr>
                <w:rFonts w:hint="eastAsia" w:ascii="宋体" w:hAnsi="宋体" w:eastAsia="宋体" w:cs="宋体"/>
                <w:color w:val="auto"/>
                <w:sz w:val="22"/>
                <w:szCs w:val="22"/>
                <w:highlight w:val="none"/>
              </w:rPr>
            </w:pPr>
          </w:p>
        </w:tc>
        <w:tc>
          <w:tcPr>
            <w:tcW w:w="498" w:type="dxa"/>
            <w:vMerge w:val="continue"/>
            <w:vAlign w:val="center"/>
          </w:tcPr>
          <w:p w14:paraId="4AC91E67">
            <w:pPr>
              <w:pStyle w:val="11"/>
              <w:spacing w:line="360" w:lineRule="auto"/>
              <w:jc w:val="center"/>
              <w:rPr>
                <w:rFonts w:hint="eastAsia" w:ascii="宋体" w:hAnsi="宋体" w:eastAsia="宋体" w:cs="宋体"/>
                <w:color w:val="auto"/>
                <w:sz w:val="22"/>
                <w:szCs w:val="22"/>
                <w:highlight w:val="none"/>
              </w:rPr>
            </w:pPr>
          </w:p>
        </w:tc>
        <w:tc>
          <w:tcPr>
            <w:tcW w:w="1148" w:type="dxa"/>
            <w:vAlign w:val="center"/>
          </w:tcPr>
          <w:p w14:paraId="692FF607">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124" w:type="dxa"/>
            <w:vAlign w:val="center"/>
          </w:tcPr>
          <w:p w14:paraId="5D833DB4">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小计</w:t>
            </w:r>
          </w:p>
        </w:tc>
      </w:tr>
      <w:tr w14:paraId="15A1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8C55A77">
            <w:pPr>
              <w:pStyle w:val="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2" w:type="dxa"/>
            <w:vAlign w:val="center"/>
          </w:tcPr>
          <w:p w14:paraId="4AA43015">
            <w:pPr>
              <w:pStyle w:val="11"/>
              <w:rPr>
                <w:rFonts w:hint="eastAsia" w:ascii="宋体" w:hAnsi="宋体" w:eastAsia="宋体" w:cs="宋体"/>
                <w:color w:val="auto"/>
                <w:sz w:val="22"/>
                <w:szCs w:val="22"/>
                <w:highlight w:val="none"/>
              </w:rPr>
            </w:pPr>
          </w:p>
        </w:tc>
        <w:tc>
          <w:tcPr>
            <w:tcW w:w="915" w:type="dxa"/>
            <w:vAlign w:val="center"/>
          </w:tcPr>
          <w:p w14:paraId="0C8A2804">
            <w:pPr>
              <w:pStyle w:val="11"/>
              <w:spacing w:line="360" w:lineRule="auto"/>
              <w:rPr>
                <w:rFonts w:hint="eastAsia" w:ascii="宋体" w:hAnsi="宋体" w:eastAsia="宋体" w:cs="宋体"/>
                <w:b/>
                <w:bCs/>
                <w:color w:val="auto"/>
                <w:sz w:val="22"/>
                <w:szCs w:val="22"/>
                <w:highlight w:val="none"/>
              </w:rPr>
            </w:pPr>
          </w:p>
        </w:tc>
        <w:tc>
          <w:tcPr>
            <w:tcW w:w="1876" w:type="dxa"/>
            <w:vAlign w:val="center"/>
          </w:tcPr>
          <w:p w14:paraId="6B1A4C87">
            <w:pPr>
              <w:pStyle w:val="11"/>
              <w:spacing w:line="360" w:lineRule="auto"/>
              <w:rPr>
                <w:rFonts w:hint="eastAsia" w:ascii="宋体" w:hAnsi="宋体" w:eastAsia="宋体" w:cs="宋体"/>
                <w:b/>
                <w:bCs/>
                <w:color w:val="auto"/>
                <w:sz w:val="22"/>
                <w:szCs w:val="22"/>
                <w:highlight w:val="none"/>
              </w:rPr>
            </w:pPr>
          </w:p>
        </w:tc>
        <w:tc>
          <w:tcPr>
            <w:tcW w:w="495" w:type="dxa"/>
            <w:vAlign w:val="center"/>
          </w:tcPr>
          <w:p w14:paraId="61E8556E">
            <w:pPr>
              <w:pStyle w:val="11"/>
              <w:spacing w:line="360" w:lineRule="auto"/>
              <w:rPr>
                <w:rFonts w:hint="eastAsia" w:ascii="宋体" w:hAnsi="宋体" w:eastAsia="宋体" w:cs="宋体"/>
                <w:b/>
                <w:bCs/>
                <w:color w:val="auto"/>
                <w:sz w:val="22"/>
                <w:szCs w:val="22"/>
                <w:highlight w:val="none"/>
              </w:rPr>
            </w:pPr>
          </w:p>
        </w:tc>
        <w:tc>
          <w:tcPr>
            <w:tcW w:w="498" w:type="dxa"/>
            <w:vAlign w:val="center"/>
          </w:tcPr>
          <w:p w14:paraId="5E971D48">
            <w:pPr>
              <w:pStyle w:val="11"/>
              <w:spacing w:line="360" w:lineRule="auto"/>
              <w:rPr>
                <w:rFonts w:hint="eastAsia" w:ascii="宋体" w:hAnsi="宋体" w:eastAsia="宋体" w:cs="宋体"/>
                <w:b/>
                <w:bCs/>
                <w:color w:val="auto"/>
                <w:sz w:val="22"/>
                <w:szCs w:val="22"/>
                <w:highlight w:val="none"/>
              </w:rPr>
            </w:pPr>
          </w:p>
        </w:tc>
        <w:tc>
          <w:tcPr>
            <w:tcW w:w="1148" w:type="dxa"/>
          </w:tcPr>
          <w:p w14:paraId="59C2742B">
            <w:pPr>
              <w:pStyle w:val="11"/>
              <w:spacing w:line="360" w:lineRule="auto"/>
              <w:rPr>
                <w:rFonts w:hint="eastAsia" w:ascii="宋体" w:hAnsi="宋体" w:eastAsia="宋体" w:cs="宋体"/>
                <w:color w:val="auto"/>
                <w:sz w:val="22"/>
                <w:szCs w:val="22"/>
                <w:highlight w:val="none"/>
              </w:rPr>
            </w:pPr>
          </w:p>
        </w:tc>
        <w:tc>
          <w:tcPr>
            <w:tcW w:w="1124" w:type="dxa"/>
          </w:tcPr>
          <w:p w14:paraId="4E3E58D2">
            <w:pPr>
              <w:pStyle w:val="11"/>
              <w:spacing w:line="360" w:lineRule="auto"/>
              <w:rPr>
                <w:rFonts w:hint="eastAsia" w:ascii="宋体" w:hAnsi="宋体" w:eastAsia="宋体" w:cs="宋体"/>
                <w:color w:val="auto"/>
                <w:sz w:val="22"/>
                <w:szCs w:val="22"/>
                <w:highlight w:val="none"/>
              </w:rPr>
            </w:pPr>
          </w:p>
        </w:tc>
      </w:tr>
      <w:tr w14:paraId="0B96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DE95755">
            <w:pPr>
              <w:pStyle w:val="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492" w:type="dxa"/>
            <w:vAlign w:val="center"/>
          </w:tcPr>
          <w:p w14:paraId="109F13A6">
            <w:pPr>
              <w:pStyle w:val="11"/>
              <w:rPr>
                <w:rFonts w:hint="eastAsia" w:ascii="宋体" w:hAnsi="宋体" w:eastAsia="宋体" w:cs="宋体"/>
                <w:color w:val="auto"/>
                <w:sz w:val="22"/>
                <w:szCs w:val="22"/>
                <w:highlight w:val="none"/>
              </w:rPr>
            </w:pPr>
          </w:p>
        </w:tc>
        <w:tc>
          <w:tcPr>
            <w:tcW w:w="915" w:type="dxa"/>
            <w:vAlign w:val="center"/>
          </w:tcPr>
          <w:p w14:paraId="665F0914">
            <w:pPr>
              <w:pStyle w:val="11"/>
              <w:spacing w:line="360" w:lineRule="auto"/>
              <w:rPr>
                <w:rFonts w:hint="eastAsia" w:ascii="宋体" w:hAnsi="宋体" w:eastAsia="宋体" w:cs="宋体"/>
                <w:b/>
                <w:bCs/>
                <w:color w:val="auto"/>
                <w:sz w:val="22"/>
                <w:szCs w:val="22"/>
                <w:highlight w:val="none"/>
              </w:rPr>
            </w:pPr>
          </w:p>
        </w:tc>
        <w:tc>
          <w:tcPr>
            <w:tcW w:w="1876" w:type="dxa"/>
            <w:vAlign w:val="center"/>
          </w:tcPr>
          <w:p w14:paraId="2A01C697">
            <w:pPr>
              <w:pStyle w:val="11"/>
              <w:spacing w:line="360" w:lineRule="auto"/>
              <w:rPr>
                <w:rFonts w:hint="eastAsia" w:ascii="宋体" w:hAnsi="宋体" w:eastAsia="宋体" w:cs="宋体"/>
                <w:b/>
                <w:bCs/>
                <w:color w:val="auto"/>
                <w:sz w:val="22"/>
                <w:szCs w:val="22"/>
                <w:highlight w:val="none"/>
              </w:rPr>
            </w:pPr>
          </w:p>
        </w:tc>
        <w:tc>
          <w:tcPr>
            <w:tcW w:w="495" w:type="dxa"/>
            <w:vAlign w:val="center"/>
          </w:tcPr>
          <w:p w14:paraId="362DBBC9">
            <w:pPr>
              <w:pStyle w:val="11"/>
              <w:spacing w:line="360" w:lineRule="auto"/>
              <w:rPr>
                <w:rFonts w:hint="eastAsia" w:ascii="宋体" w:hAnsi="宋体" w:eastAsia="宋体" w:cs="宋体"/>
                <w:b/>
                <w:bCs/>
                <w:color w:val="auto"/>
                <w:sz w:val="22"/>
                <w:szCs w:val="22"/>
                <w:highlight w:val="none"/>
              </w:rPr>
            </w:pPr>
          </w:p>
        </w:tc>
        <w:tc>
          <w:tcPr>
            <w:tcW w:w="498" w:type="dxa"/>
            <w:vAlign w:val="center"/>
          </w:tcPr>
          <w:p w14:paraId="2989086D">
            <w:pPr>
              <w:pStyle w:val="11"/>
              <w:spacing w:line="360" w:lineRule="auto"/>
              <w:rPr>
                <w:rFonts w:hint="eastAsia" w:ascii="宋体" w:hAnsi="宋体" w:eastAsia="宋体" w:cs="宋体"/>
                <w:b/>
                <w:bCs/>
                <w:color w:val="auto"/>
                <w:sz w:val="22"/>
                <w:szCs w:val="22"/>
                <w:highlight w:val="none"/>
              </w:rPr>
            </w:pPr>
          </w:p>
        </w:tc>
        <w:tc>
          <w:tcPr>
            <w:tcW w:w="1148" w:type="dxa"/>
          </w:tcPr>
          <w:p w14:paraId="31AF272F">
            <w:pPr>
              <w:pStyle w:val="11"/>
              <w:spacing w:line="360" w:lineRule="auto"/>
              <w:rPr>
                <w:rFonts w:hint="eastAsia" w:ascii="宋体" w:hAnsi="宋体" w:eastAsia="宋体" w:cs="宋体"/>
                <w:color w:val="auto"/>
                <w:sz w:val="22"/>
                <w:szCs w:val="22"/>
                <w:highlight w:val="none"/>
              </w:rPr>
            </w:pPr>
          </w:p>
        </w:tc>
        <w:tc>
          <w:tcPr>
            <w:tcW w:w="1124" w:type="dxa"/>
          </w:tcPr>
          <w:p w14:paraId="58776268">
            <w:pPr>
              <w:pStyle w:val="11"/>
              <w:spacing w:line="360" w:lineRule="auto"/>
              <w:rPr>
                <w:rFonts w:hint="eastAsia" w:ascii="宋体" w:hAnsi="宋体" w:eastAsia="宋体" w:cs="宋体"/>
                <w:color w:val="auto"/>
                <w:sz w:val="22"/>
                <w:szCs w:val="22"/>
                <w:highlight w:val="none"/>
              </w:rPr>
            </w:pPr>
          </w:p>
        </w:tc>
      </w:tr>
      <w:tr w14:paraId="1E9E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540812D">
            <w:pPr>
              <w:pStyle w:val="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492" w:type="dxa"/>
            <w:vAlign w:val="center"/>
          </w:tcPr>
          <w:p w14:paraId="2DC5C427">
            <w:pPr>
              <w:pStyle w:val="11"/>
              <w:rPr>
                <w:rFonts w:hint="eastAsia" w:ascii="宋体" w:hAnsi="宋体" w:eastAsia="宋体" w:cs="宋体"/>
                <w:color w:val="auto"/>
                <w:sz w:val="22"/>
                <w:szCs w:val="22"/>
                <w:highlight w:val="none"/>
              </w:rPr>
            </w:pPr>
          </w:p>
        </w:tc>
        <w:tc>
          <w:tcPr>
            <w:tcW w:w="915" w:type="dxa"/>
            <w:vAlign w:val="center"/>
          </w:tcPr>
          <w:p w14:paraId="023DF481">
            <w:pPr>
              <w:pStyle w:val="11"/>
              <w:spacing w:line="360" w:lineRule="auto"/>
              <w:rPr>
                <w:rFonts w:hint="eastAsia" w:ascii="宋体" w:hAnsi="宋体" w:eastAsia="宋体" w:cs="宋体"/>
                <w:b/>
                <w:bCs/>
                <w:color w:val="auto"/>
                <w:sz w:val="22"/>
                <w:szCs w:val="22"/>
                <w:highlight w:val="none"/>
              </w:rPr>
            </w:pPr>
          </w:p>
        </w:tc>
        <w:tc>
          <w:tcPr>
            <w:tcW w:w="1876" w:type="dxa"/>
            <w:vAlign w:val="center"/>
          </w:tcPr>
          <w:p w14:paraId="5F4826FE">
            <w:pPr>
              <w:pStyle w:val="11"/>
              <w:spacing w:line="360" w:lineRule="auto"/>
              <w:rPr>
                <w:rFonts w:hint="eastAsia" w:ascii="宋体" w:hAnsi="宋体" w:eastAsia="宋体" w:cs="宋体"/>
                <w:b/>
                <w:bCs/>
                <w:color w:val="auto"/>
                <w:sz w:val="22"/>
                <w:szCs w:val="22"/>
                <w:highlight w:val="none"/>
              </w:rPr>
            </w:pPr>
          </w:p>
        </w:tc>
        <w:tc>
          <w:tcPr>
            <w:tcW w:w="495" w:type="dxa"/>
            <w:vAlign w:val="center"/>
          </w:tcPr>
          <w:p w14:paraId="21B7E23D">
            <w:pPr>
              <w:pStyle w:val="11"/>
              <w:spacing w:line="360" w:lineRule="auto"/>
              <w:rPr>
                <w:rFonts w:hint="eastAsia" w:ascii="宋体" w:hAnsi="宋体" w:eastAsia="宋体" w:cs="宋体"/>
                <w:b/>
                <w:bCs/>
                <w:color w:val="auto"/>
                <w:sz w:val="22"/>
                <w:szCs w:val="22"/>
                <w:highlight w:val="none"/>
              </w:rPr>
            </w:pPr>
          </w:p>
        </w:tc>
        <w:tc>
          <w:tcPr>
            <w:tcW w:w="498" w:type="dxa"/>
            <w:vAlign w:val="center"/>
          </w:tcPr>
          <w:p w14:paraId="43C1A485">
            <w:pPr>
              <w:pStyle w:val="11"/>
              <w:spacing w:line="360" w:lineRule="auto"/>
              <w:rPr>
                <w:rFonts w:hint="eastAsia" w:ascii="宋体" w:hAnsi="宋体" w:eastAsia="宋体" w:cs="宋体"/>
                <w:b/>
                <w:bCs/>
                <w:color w:val="auto"/>
                <w:sz w:val="22"/>
                <w:szCs w:val="22"/>
                <w:highlight w:val="none"/>
              </w:rPr>
            </w:pPr>
          </w:p>
        </w:tc>
        <w:tc>
          <w:tcPr>
            <w:tcW w:w="1148" w:type="dxa"/>
          </w:tcPr>
          <w:p w14:paraId="01D36BF9">
            <w:pPr>
              <w:pStyle w:val="11"/>
              <w:spacing w:line="360" w:lineRule="auto"/>
              <w:rPr>
                <w:rFonts w:hint="eastAsia" w:ascii="宋体" w:hAnsi="宋体" w:eastAsia="宋体" w:cs="宋体"/>
                <w:color w:val="auto"/>
                <w:sz w:val="22"/>
                <w:szCs w:val="22"/>
                <w:highlight w:val="none"/>
              </w:rPr>
            </w:pPr>
          </w:p>
        </w:tc>
        <w:tc>
          <w:tcPr>
            <w:tcW w:w="1124" w:type="dxa"/>
          </w:tcPr>
          <w:p w14:paraId="1BE2C9C8">
            <w:pPr>
              <w:pStyle w:val="11"/>
              <w:spacing w:line="360" w:lineRule="auto"/>
              <w:rPr>
                <w:rFonts w:hint="eastAsia" w:ascii="宋体" w:hAnsi="宋体" w:eastAsia="宋体" w:cs="宋体"/>
                <w:color w:val="auto"/>
                <w:sz w:val="22"/>
                <w:szCs w:val="22"/>
                <w:highlight w:val="none"/>
              </w:rPr>
            </w:pPr>
          </w:p>
        </w:tc>
      </w:tr>
      <w:tr w14:paraId="45DF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9C6B208">
            <w:pPr>
              <w:pStyle w:val="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492" w:type="dxa"/>
            <w:vAlign w:val="center"/>
          </w:tcPr>
          <w:p w14:paraId="75B41D82">
            <w:pPr>
              <w:pStyle w:val="11"/>
              <w:rPr>
                <w:rFonts w:hint="eastAsia" w:ascii="宋体" w:hAnsi="宋体" w:eastAsia="宋体" w:cs="宋体"/>
                <w:color w:val="auto"/>
                <w:sz w:val="22"/>
                <w:szCs w:val="22"/>
                <w:highlight w:val="none"/>
              </w:rPr>
            </w:pPr>
          </w:p>
        </w:tc>
        <w:tc>
          <w:tcPr>
            <w:tcW w:w="915" w:type="dxa"/>
            <w:vAlign w:val="center"/>
          </w:tcPr>
          <w:p w14:paraId="53565C96">
            <w:pPr>
              <w:pStyle w:val="11"/>
              <w:spacing w:line="360" w:lineRule="auto"/>
              <w:jc w:val="center"/>
              <w:rPr>
                <w:rFonts w:hint="eastAsia" w:ascii="宋体" w:hAnsi="宋体" w:eastAsia="宋体" w:cs="宋体"/>
                <w:color w:val="auto"/>
                <w:sz w:val="22"/>
                <w:szCs w:val="22"/>
                <w:highlight w:val="none"/>
              </w:rPr>
            </w:pPr>
          </w:p>
        </w:tc>
        <w:tc>
          <w:tcPr>
            <w:tcW w:w="1876" w:type="dxa"/>
            <w:vAlign w:val="center"/>
          </w:tcPr>
          <w:p w14:paraId="6C3A96E7">
            <w:pPr>
              <w:pStyle w:val="11"/>
              <w:spacing w:line="360" w:lineRule="auto"/>
              <w:jc w:val="center"/>
              <w:rPr>
                <w:rFonts w:hint="eastAsia" w:ascii="宋体" w:hAnsi="宋体" w:eastAsia="宋体" w:cs="宋体"/>
                <w:color w:val="auto"/>
                <w:sz w:val="22"/>
                <w:szCs w:val="22"/>
                <w:highlight w:val="none"/>
              </w:rPr>
            </w:pPr>
          </w:p>
        </w:tc>
        <w:tc>
          <w:tcPr>
            <w:tcW w:w="495" w:type="dxa"/>
            <w:vAlign w:val="center"/>
          </w:tcPr>
          <w:p w14:paraId="0DE4A25E">
            <w:pPr>
              <w:pStyle w:val="11"/>
              <w:spacing w:line="360" w:lineRule="auto"/>
              <w:jc w:val="center"/>
              <w:rPr>
                <w:rFonts w:hint="eastAsia" w:ascii="宋体" w:hAnsi="宋体" w:eastAsia="宋体" w:cs="宋体"/>
                <w:color w:val="auto"/>
                <w:sz w:val="22"/>
                <w:szCs w:val="22"/>
                <w:highlight w:val="none"/>
              </w:rPr>
            </w:pPr>
          </w:p>
        </w:tc>
        <w:tc>
          <w:tcPr>
            <w:tcW w:w="498" w:type="dxa"/>
            <w:vAlign w:val="center"/>
          </w:tcPr>
          <w:p w14:paraId="72E7ED3D">
            <w:pPr>
              <w:pStyle w:val="11"/>
              <w:spacing w:line="360" w:lineRule="auto"/>
              <w:jc w:val="center"/>
              <w:rPr>
                <w:rFonts w:hint="eastAsia" w:ascii="宋体" w:hAnsi="宋体" w:eastAsia="宋体" w:cs="宋体"/>
                <w:color w:val="auto"/>
                <w:sz w:val="22"/>
                <w:szCs w:val="22"/>
                <w:highlight w:val="none"/>
              </w:rPr>
            </w:pPr>
          </w:p>
        </w:tc>
        <w:tc>
          <w:tcPr>
            <w:tcW w:w="1148" w:type="dxa"/>
          </w:tcPr>
          <w:p w14:paraId="0C36EF1C">
            <w:pPr>
              <w:pStyle w:val="11"/>
              <w:spacing w:line="360" w:lineRule="auto"/>
              <w:rPr>
                <w:rFonts w:hint="eastAsia" w:ascii="宋体" w:hAnsi="宋体" w:eastAsia="宋体" w:cs="宋体"/>
                <w:color w:val="auto"/>
                <w:sz w:val="22"/>
                <w:szCs w:val="22"/>
                <w:highlight w:val="none"/>
              </w:rPr>
            </w:pPr>
          </w:p>
        </w:tc>
        <w:tc>
          <w:tcPr>
            <w:tcW w:w="1124" w:type="dxa"/>
          </w:tcPr>
          <w:p w14:paraId="1F52FC39">
            <w:pPr>
              <w:pStyle w:val="11"/>
              <w:spacing w:line="360" w:lineRule="auto"/>
              <w:rPr>
                <w:rFonts w:hint="eastAsia" w:ascii="宋体" w:hAnsi="宋体" w:eastAsia="宋体" w:cs="宋体"/>
                <w:color w:val="auto"/>
                <w:sz w:val="22"/>
                <w:szCs w:val="22"/>
                <w:highlight w:val="none"/>
              </w:rPr>
            </w:pPr>
          </w:p>
        </w:tc>
      </w:tr>
      <w:tr w14:paraId="7A7A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634C86EA">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492" w:type="dxa"/>
            <w:vAlign w:val="center"/>
          </w:tcPr>
          <w:p w14:paraId="134E4BD6">
            <w:pPr>
              <w:pStyle w:val="11"/>
              <w:spacing w:line="360" w:lineRule="auto"/>
              <w:jc w:val="center"/>
              <w:rPr>
                <w:rFonts w:hint="eastAsia" w:ascii="宋体" w:hAnsi="宋体" w:eastAsia="宋体" w:cs="宋体"/>
                <w:color w:val="auto"/>
                <w:sz w:val="22"/>
                <w:szCs w:val="22"/>
                <w:highlight w:val="none"/>
              </w:rPr>
            </w:pPr>
          </w:p>
        </w:tc>
        <w:tc>
          <w:tcPr>
            <w:tcW w:w="915" w:type="dxa"/>
            <w:vAlign w:val="center"/>
          </w:tcPr>
          <w:p w14:paraId="1065B54B">
            <w:pPr>
              <w:jc w:val="center"/>
              <w:rPr>
                <w:rFonts w:hint="eastAsia" w:ascii="宋体" w:hAnsi="宋体" w:eastAsia="宋体" w:cs="宋体"/>
                <w:b/>
                <w:bCs/>
                <w:color w:val="auto"/>
                <w:sz w:val="22"/>
                <w:szCs w:val="22"/>
                <w:highlight w:val="none"/>
              </w:rPr>
            </w:pPr>
          </w:p>
        </w:tc>
        <w:tc>
          <w:tcPr>
            <w:tcW w:w="1876" w:type="dxa"/>
            <w:vAlign w:val="center"/>
          </w:tcPr>
          <w:p w14:paraId="32821FD5">
            <w:pPr>
              <w:jc w:val="center"/>
              <w:rPr>
                <w:rFonts w:hint="eastAsia" w:ascii="宋体" w:hAnsi="宋体" w:eastAsia="宋体" w:cs="宋体"/>
                <w:b/>
                <w:bCs/>
                <w:color w:val="auto"/>
                <w:sz w:val="22"/>
                <w:szCs w:val="22"/>
                <w:highlight w:val="none"/>
              </w:rPr>
            </w:pPr>
          </w:p>
        </w:tc>
        <w:tc>
          <w:tcPr>
            <w:tcW w:w="495" w:type="dxa"/>
            <w:vAlign w:val="center"/>
          </w:tcPr>
          <w:p w14:paraId="7F29E457">
            <w:pPr>
              <w:pStyle w:val="11"/>
              <w:spacing w:line="360" w:lineRule="auto"/>
              <w:jc w:val="center"/>
              <w:rPr>
                <w:rFonts w:hint="eastAsia" w:ascii="宋体" w:hAnsi="宋体" w:eastAsia="宋体" w:cs="宋体"/>
                <w:b/>
                <w:bCs/>
                <w:color w:val="auto"/>
                <w:sz w:val="22"/>
                <w:szCs w:val="22"/>
                <w:highlight w:val="none"/>
              </w:rPr>
            </w:pPr>
          </w:p>
        </w:tc>
        <w:tc>
          <w:tcPr>
            <w:tcW w:w="498" w:type="dxa"/>
            <w:vAlign w:val="center"/>
          </w:tcPr>
          <w:p w14:paraId="40E7D143">
            <w:pPr>
              <w:pStyle w:val="11"/>
              <w:spacing w:line="360" w:lineRule="auto"/>
              <w:jc w:val="center"/>
              <w:rPr>
                <w:rFonts w:hint="eastAsia" w:ascii="宋体" w:hAnsi="宋体" w:eastAsia="宋体" w:cs="宋体"/>
                <w:b/>
                <w:bCs/>
                <w:color w:val="auto"/>
                <w:sz w:val="22"/>
                <w:szCs w:val="22"/>
                <w:highlight w:val="none"/>
              </w:rPr>
            </w:pPr>
          </w:p>
        </w:tc>
        <w:tc>
          <w:tcPr>
            <w:tcW w:w="1148" w:type="dxa"/>
            <w:vAlign w:val="center"/>
          </w:tcPr>
          <w:p w14:paraId="14687FAF">
            <w:pPr>
              <w:pStyle w:val="11"/>
              <w:spacing w:line="360" w:lineRule="auto"/>
              <w:jc w:val="center"/>
              <w:rPr>
                <w:rFonts w:hint="eastAsia" w:ascii="宋体" w:hAnsi="宋体" w:eastAsia="宋体" w:cs="宋体"/>
                <w:b/>
                <w:bCs/>
                <w:color w:val="auto"/>
                <w:sz w:val="22"/>
                <w:szCs w:val="22"/>
                <w:highlight w:val="none"/>
              </w:rPr>
            </w:pPr>
          </w:p>
        </w:tc>
        <w:tc>
          <w:tcPr>
            <w:tcW w:w="1124" w:type="dxa"/>
            <w:vAlign w:val="center"/>
          </w:tcPr>
          <w:p w14:paraId="4B5E9ECC">
            <w:pPr>
              <w:pStyle w:val="11"/>
              <w:spacing w:line="360" w:lineRule="auto"/>
              <w:jc w:val="center"/>
              <w:rPr>
                <w:rFonts w:hint="eastAsia" w:ascii="宋体" w:hAnsi="宋体" w:eastAsia="宋体" w:cs="宋体"/>
                <w:b/>
                <w:bCs/>
                <w:color w:val="auto"/>
                <w:sz w:val="22"/>
                <w:szCs w:val="22"/>
                <w:highlight w:val="none"/>
              </w:rPr>
            </w:pPr>
          </w:p>
        </w:tc>
      </w:tr>
      <w:tr w14:paraId="677B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3BA92465">
            <w:pPr>
              <w:pStyle w:val="11"/>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492" w:type="dxa"/>
            <w:vAlign w:val="center"/>
          </w:tcPr>
          <w:p w14:paraId="264A190B">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915" w:type="dxa"/>
            <w:vAlign w:val="center"/>
          </w:tcPr>
          <w:p w14:paraId="5A531314">
            <w:pPr>
              <w:jc w:val="center"/>
              <w:rPr>
                <w:rFonts w:hint="eastAsia" w:ascii="宋体" w:hAnsi="宋体" w:eastAsia="宋体" w:cs="宋体"/>
                <w:color w:val="auto"/>
                <w:sz w:val="22"/>
                <w:szCs w:val="22"/>
                <w:highlight w:val="none"/>
              </w:rPr>
            </w:pPr>
          </w:p>
        </w:tc>
        <w:tc>
          <w:tcPr>
            <w:tcW w:w="1876" w:type="dxa"/>
            <w:vAlign w:val="center"/>
          </w:tcPr>
          <w:p w14:paraId="1371F5CC">
            <w:pPr>
              <w:jc w:val="center"/>
              <w:rPr>
                <w:rFonts w:hint="eastAsia" w:ascii="宋体" w:hAnsi="宋体" w:eastAsia="宋体" w:cs="宋体"/>
                <w:color w:val="auto"/>
                <w:sz w:val="22"/>
                <w:szCs w:val="22"/>
                <w:highlight w:val="none"/>
              </w:rPr>
            </w:pPr>
          </w:p>
        </w:tc>
        <w:tc>
          <w:tcPr>
            <w:tcW w:w="495" w:type="dxa"/>
            <w:vAlign w:val="center"/>
          </w:tcPr>
          <w:p w14:paraId="6ECE7DFF">
            <w:pPr>
              <w:pStyle w:val="11"/>
              <w:spacing w:line="360" w:lineRule="auto"/>
              <w:jc w:val="center"/>
              <w:rPr>
                <w:rFonts w:hint="eastAsia" w:ascii="宋体" w:hAnsi="宋体" w:eastAsia="宋体" w:cs="宋体"/>
                <w:color w:val="auto"/>
                <w:sz w:val="22"/>
                <w:szCs w:val="22"/>
                <w:highlight w:val="none"/>
              </w:rPr>
            </w:pPr>
          </w:p>
        </w:tc>
        <w:tc>
          <w:tcPr>
            <w:tcW w:w="498" w:type="dxa"/>
            <w:vAlign w:val="center"/>
          </w:tcPr>
          <w:p w14:paraId="41DD2A98">
            <w:pPr>
              <w:pStyle w:val="11"/>
              <w:spacing w:line="360" w:lineRule="auto"/>
              <w:jc w:val="center"/>
              <w:rPr>
                <w:rFonts w:hint="eastAsia" w:ascii="宋体" w:hAnsi="宋体" w:eastAsia="宋体" w:cs="宋体"/>
                <w:color w:val="auto"/>
                <w:sz w:val="22"/>
                <w:szCs w:val="22"/>
                <w:highlight w:val="none"/>
              </w:rPr>
            </w:pPr>
          </w:p>
        </w:tc>
        <w:tc>
          <w:tcPr>
            <w:tcW w:w="1148" w:type="dxa"/>
          </w:tcPr>
          <w:p w14:paraId="5145D8DE">
            <w:pPr>
              <w:pStyle w:val="11"/>
              <w:spacing w:line="360" w:lineRule="auto"/>
              <w:rPr>
                <w:rFonts w:hint="eastAsia" w:ascii="宋体" w:hAnsi="宋体" w:eastAsia="宋体" w:cs="宋体"/>
                <w:color w:val="auto"/>
                <w:sz w:val="22"/>
                <w:szCs w:val="22"/>
                <w:highlight w:val="none"/>
              </w:rPr>
            </w:pPr>
          </w:p>
        </w:tc>
        <w:tc>
          <w:tcPr>
            <w:tcW w:w="1124" w:type="dxa"/>
          </w:tcPr>
          <w:p w14:paraId="26265FF1">
            <w:pPr>
              <w:pStyle w:val="11"/>
              <w:spacing w:line="360" w:lineRule="auto"/>
              <w:rPr>
                <w:rFonts w:hint="eastAsia" w:ascii="宋体" w:hAnsi="宋体" w:eastAsia="宋体" w:cs="宋体"/>
                <w:color w:val="auto"/>
                <w:sz w:val="22"/>
                <w:szCs w:val="22"/>
                <w:highlight w:val="none"/>
              </w:rPr>
            </w:pPr>
          </w:p>
        </w:tc>
      </w:tr>
      <w:tr w14:paraId="33EF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3A33D09D">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6056" w:type="dxa"/>
            <w:gridSpan w:val="6"/>
            <w:vAlign w:val="center"/>
          </w:tcPr>
          <w:p w14:paraId="7A721F0F">
            <w:pPr>
              <w:pStyle w:val="11"/>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　　　　                元（小写：　　　　　）</w:t>
            </w:r>
          </w:p>
        </w:tc>
      </w:tr>
      <w:tr w14:paraId="4D6D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0233BDF9">
            <w:pPr>
              <w:pStyle w:val="11"/>
              <w:spacing w:line="360" w:lineRule="auto"/>
              <w:ind w:firstLine="48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本次报价应包含项目所需全部服务，不得缺漏，是履行合同的最终价格（服务费、交通费、检测费、报告费、人工费、税金、招标代理费以及成交供应商认为有必要计入</w:t>
            </w:r>
            <w:r>
              <w:rPr>
                <w:rFonts w:hint="eastAsia" w:hAnsi="宋体" w:cs="宋体"/>
                <w:color w:val="auto"/>
                <w:sz w:val="24"/>
                <w:szCs w:val="24"/>
                <w:highlight w:val="none"/>
                <w:lang w:eastAsia="zh-CN"/>
              </w:rPr>
              <w:t>的其他费用</w:t>
            </w:r>
            <w:r>
              <w:rPr>
                <w:rFonts w:hint="eastAsia" w:ascii="宋体" w:hAnsi="宋体" w:eastAsia="宋体" w:cs="宋体"/>
                <w:color w:val="auto"/>
                <w:sz w:val="24"/>
                <w:szCs w:val="24"/>
                <w:highlight w:val="none"/>
              </w:rPr>
              <w:t>等一切费用）。</w:t>
            </w:r>
          </w:p>
        </w:tc>
      </w:tr>
    </w:tbl>
    <w:p w14:paraId="67DA293C">
      <w:pPr>
        <w:spacing w:line="360" w:lineRule="auto"/>
        <w:ind w:firstLine="480" w:firstLineChars="200"/>
        <w:rPr>
          <w:rFonts w:hint="eastAsia" w:ascii="宋体" w:hAnsi="宋体" w:eastAsia="宋体" w:cs="宋体"/>
          <w:color w:val="auto"/>
          <w:sz w:val="24"/>
          <w:szCs w:val="24"/>
          <w:highlight w:val="none"/>
        </w:rPr>
      </w:pPr>
    </w:p>
    <w:p w14:paraId="5F5A81C3">
      <w:pPr>
        <w:pStyle w:val="11"/>
        <w:spacing w:line="360" w:lineRule="auto"/>
        <w:ind w:firstLine="480" w:firstLineChars="200"/>
        <w:rPr>
          <w:rFonts w:hint="eastAsia" w:ascii="宋体" w:hAnsi="宋体" w:eastAsia="宋体" w:cs="宋体"/>
          <w:color w:val="auto"/>
          <w:sz w:val="24"/>
          <w:szCs w:val="24"/>
          <w:highlight w:val="none"/>
        </w:rPr>
      </w:pPr>
    </w:p>
    <w:p w14:paraId="37F38B5D">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2BC5325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6817AAE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7AD47AE">
      <w:pPr>
        <w:spacing w:line="360" w:lineRule="auto"/>
        <w:ind w:left="3780" w:leftChars="1800"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供应商全称（公章）</w:t>
      </w:r>
      <w:bookmarkEnd w:id="104"/>
      <w:r>
        <w:rPr>
          <w:rFonts w:hint="eastAsia" w:ascii="宋体" w:hAnsi="宋体" w:cs="宋体"/>
          <w:color w:val="auto"/>
          <w:sz w:val="24"/>
          <w:szCs w:val="24"/>
          <w:highlight w:val="none"/>
          <w:lang w:eastAsia="zh-CN"/>
        </w:rPr>
        <w:t>：</w:t>
      </w:r>
    </w:p>
    <w:p w14:paraId="4100D5CD">
      <w:pPr>
        <w:pStyle w:val="8"/>
        <w:rPr>
          <w:rFonts w:hint="eastAsia" w:ascii="宋体" w:hAnsi="宋体" w:cs="宋体"/>
          <w:color w:val="auto"/>
          <w:sz w:val="24"/>
          <w:szCs w:val="24"/>
          <w:highlight w:val="none"/>
          <w:lang w:eastAsia="zh-CN"/>
        </w:rPr>
      </w:pPr>
    </w:p>
    <w:p w14:paraId="6596211B">
      <w:pPr>
        <w:pStyle w:val="8"/>
        <w:rPr>
          <w:rFonts w:hint="eastAsia" w:ascii="宋体" w:hAnsi="宋体" w:cs="宋体"/>
          <w:color w:val="auto"/>
          <w:sz w:val="24"/>
          <w:szCs w:val="24"/>
          <w:highlight w:val="none"/>
          <w:lang w:eastAsia="zh-CN"/>
        </w:rPr>
      </w:pPr>
    </w:p>
    <w:p w14:paraId="5CA99236">
      <w:pPr>
        <w:pStyle w:val="8"/>
        <w:rPr>
          <w:rFonts w:hint="eastAsia" w:ascii="宋体" w:hAnsi="宋体" w:cs="宋体"/>
          <w:color w:val="auto"/>
          <w:sz w:val="24"/>
          <w:szCs w:val="24"/>
          <w:highlight w:val="none"/>
          <w:lang w:eastAsia="zh-CN"/>
        </w:rPr>
      </w:pPr>
    </w:p>
    <w:p w14:paraId="125DBD3B">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5D0B781E">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lang w:val="zh-CN"/>
        </w:rPr>
        <w:t>：</w:t>
      </w:r>
    </w:p>
    <w:p w14:paraId="1620468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3E992305">
      <w:pPr>
        <w:widowControl/>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【不属于中小企业的无需填写、递交】</w:t>
      </w:r>
    </w:p>
    <w:p w14:paraId="0CB3A8A9">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6317FC5A">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，从业人员人，营业收入为万元，资产总额为万元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FAADE92">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647C4C6">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0F6CB5">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569801C">
      <w:pPr>
        <w:spacing w:line="288" w:lineRule="auto"/>
        <w:ind w:right="420" w:firstLine="4320" w:firstLineChars="1800"/>
        <w:rPr>
          <w:rFonts w:hint="eastAsia" w:ascii="宋体" w:hAnsi="宋体" w:eastAsia="宋体" w:cs="宋体"/>
          <w:color w:val="auto"/>
          <w:sz w:val="24"/>
          <w:szCs w:val="24"/>
          <w:highlight w:val="none"/>
        </w:rPr>
      </w:pPr>
    </w:p>
    <w:p w14:paraId="296DE6F3">
      <w:pPr>
        <w:spacing w:line="288" w:lineRule="auto"/>
        <w:ind w:right="420" w:firstLine="4320" w:firstLineChars="1800"/>
        <w:rPr>
          <w:rFonts w:hint="eastAsia" w:ascii="宋体" w:hAnsi="宋体" w:eastAsia="宋体" w:cs="宋体"/>
          <w:color w:val="auto"/>
          <w:sz w:val="24"/>
          <w:szCs w:val="24"/>
          <w:highlight w:val="none"/>
        </w:rPr>
      </w:pPr>
    </w:p>
    <w:p w14:paraId="65D295BF">
      <w:pPr>
        <w:spacing w:line="288" w:lineRule="auto"/>
        <w:ind w:right="420"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583EF10">
      <w:pPr>
        <w:spacing w:line="288" w:lineRule="auto"/>
        <w:ind w:left="3780" w:leftChars="180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793BACE">
      <w:pPr>
        <w:pStyle w:val="6"/>
        <w:spacing w:line="288" w:lineRule="auto"/>
        <w:rPr>
          <w:rFonts w:hint="eastAsia" w:ascii="宋体" w:hAnsi="宋体" w:eastAsia="宋体" w:cs="宋体"/>
          <w:color w:val="auto"/>
          <w:sz w:val="24"/>
          <w:szCs w:val="24"/>
          <w:highlight w:val="none"/>
        </w:rPr>
      </w:pPr>
    </w:p>
    <w:p w14:paraId="3C6F18F6">
      <w:pPr>
        <w:spacing w:line="288" w:lineRule="auto"/>
        <w:ind w:firstLine="480" w:firstLineChars="200"/>
        <w:jc w:val="left"/>
        <w:rPr>
          <w:rFonts w:hint="eastAsia" w:ascii="宋体" w:hAnsi="宋体" w:eastAsia="宋体" w:cs="宋体"/>
          <w:color w:val="auto"/>
          <w:sz w:val="24"/>
          <w:szCs w:val="24"/>
          <w:highlight w:val="none"/>
        </w:rPr>
      </w:pPr>
    </w:p>
    <w:p w14:paraId="6CA665CC">
      <w:pPr>
        <w:spacing w:line="288" w:lineRule="auto"/>
        <w:ind w:firstLine="480" w:firstLineChars="200"/>
        <w:jc w:val="left"/>
        <w:rPr>
          <w:rFonts w:hint="eastAsia" w:ascii="宋体" w:hAnsi="宋体" w:eastAsia="宋体" w:cs="宋体"/>
          <w:color w:val="auto"/>
          <w:sz w:val="24"/>
          <w:szCs w:val="24"/>
          <w:highlight w:val="none"/>
        </w:rPr>
      </w:pPr>
    </w:p>
    <w:p w14:paraId="7428141C">
      <w:pPr>
        <w:spacing w:line="288" w:lineRule="auto"/>
        <w:ind w:firstLine="480" w:firstLineChars="200"/>
        <w:jc w:val="left"/>
        <w:rPr>
          <w:rFonts w:hint="eastAsia" w:ascii="宋体" w:hAnsi="宋体" w:eastAsia="宋体" w:cs="宋体"/>
          <w:color w:val="auto"/>
          <w:sz w:val="24"/>
          <w:szCs w:val="24"/>
          <w:highlight w:val="none"/>
        </w:rPr>
      </w:pPr>
    </w:p>
    <w:p w14:paraId="50BE46D3">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6D1AD1F0">
      <w:pPr>
        <w:widowControl/>
        <w:snapToGrid w:val="0"/>
        <w:spacing w:line="324" w:lineRule="auto"/>
        <w:ind w:firstLine="480" w:firstLineChars="200"/>
        <w:jc w:val="left"/>
        <w:rPr>
          <w:rFonts w:hint="eastAsia" w:ascii="宋体" w:hAnsi="宋体" w:eastAsia="宋体" w:cs="宋体"/>
          <w:color w:val="auto"/>
          <w:sz w:val="24"/>
          <w:szCs w:val="24"/>
          <w:highlight w:val="none"/>
        </w:rPr>
      </w:pPr>
    </w:p>
    <w:p w14:paraId="3515C749">
      <w:pPr>
        <w:pStyle w:val="3"/>
        <w:spacing w:line="360" w:lineRule="auto"/>
        <w:jc w:val="center"/>
        <w:rPr>
          <w:rFonts w:hint="eastAsia" w:ascii="宋体" w:hAnsi="宋体" w:eastAsia="宋体" w:cs="宋体"/>
          <w:color w:val="auto"/>
          <w:sz w:val="24"/>
          <w:szCs w:val="24"/>
          <w:highlight w:val="none"/>
        </w:rPr>
      </w:pPr>
    </w:p>
    <w:p w14:paraId="520D429B">
      <w:pPr>
        <w:pStyle w:val="3"/>
        <w:spacing w:line="360" w:lineRule="auto"/>
        <w:jc w:val="center"/>
        <w:rPr>
          <w:rFonts w:hint="eastAsia" w:ascii="宋体" w:hAnsi="宋体" w:eastAsia="宋体" w:cs="宋体"/>
          <w:color w:val="auto"/>
          <w:sz w:val="24"/>
          <w:szCs w:val="24"/>
          <w:highlight w:val="none"/>
        </w:rPr>
      </w:pPr>
    </w:p>
    <w:p w14:paraId="17762F5E">
      <w:pPr>
        <w:jc w:val="center"/>
        <w:rPr>
          <w:rFonts w:hint="eastAsia" w:ascii="宋体" w:hAnsi="宋体" w:eastAsia="宋体" w:cs="宋体"/>
          <w:color w:val="auto"/>
          <w:highlight w:val="none"/>
          <w:lang w:val="zh-CN"/>
        </w:rPr>
      </w:pPr>
      <w:bookmarkStart w:id="105" w:name="_Toc30916"/>
      <w:bookmarkStart w:id="106" w:name="_Toc2071"/>
      <w:bookmarkStart w:id="107" w:name="_Toc3295"/>
      <w:r>
        <w:rPr>
          <w:rFonts w:hint="eastAsia" w:ascii="宋体" w:hAnsi="宋体" w:eastAsia="宋体" w:cs="宋体"/>
          <w:color w:val="auto"/>
          <w:highlight w:val="none"/>
        </w:rPr>
        <w:br w:type="page"/>
      </w:r>
      <w:bookmarkEnd w:id="105"/>
      <w:bookmarkEnd w:id="106"/>
      <w:bookmarkEnd w:id="107"/>
    </w:p>
    <w:p w14:paraId="22D59703">
      <w:pPr>
        <w:rPr>
          <w:rFonts w:hint="eastAsia" w:ascii="宋体" w:hAnsi="宋体" w:eastAsia="宋体" w:cs="宋体"/>
          <w:b/>
          <w:bCs/>
          <w:color w:val="auto"/>
          <w:sz w:val="24"/>
          <w:szCs w:val="24"/>
          <w:highlight w:val="none"/>
          <w:lang w:val="zh-CN"/>
        </w:rPr>
      </w:pPr>
      <w:bookmarkStart w:id="108" w:name="_Toc9715"/>
      <w:bookmarkStart w:id="109" w:name="_Toc31472"/>
      <w:bookmarkStart w:id="110" w:name="_Toc25017"/>
      <w:bookmarkStart w:id="111" w:name="_Toc16150"/>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十四</w:t>
      </w:r>
      <w:r>
        <w:rPr>
          <w:rFonts w:hint="eastAsia" w:ascii="宋体" w:hAnsi="宋体" w:eastAsia="宋体" w:cs="宋体"/>
          <w:b/>
          <w:bCs/>
          <w:color w:val="auto"/>
          <w:sz w:val="24"/>
          <w:szCs w:val="24"/>
          <w:highlight w:val="none"/>
        </w:rPr>
        <w:t>：</w:t>
      </w:r>
    </w:p>
    <w:p w14:paraId="0E0774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108"/>
      <w:bookmarkEnd w:id="109"/>
      <w:bookmarkEnd w:id="110"/>
      <w:bookmarkEnd w:id="111"/>
    </w:p>
    <w:p w14:paraId="2D510F82">
      <w:pPr>
        <w:widowControl/>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【不属于残疾人福利性单位的无需填写、递交】</w:t>
      </w:r>
    </w:p>
    <w:p w14:paraId="5C31A59E">
      <w:pPr>
        <w:spacing w:line="588" w:lineRule="exact"/>
        <w:rPr>
          <w:rFonts w:hint="eastAsia" w:ascii="宋体" w:hAnsi="宋体" w:eastAsia="宋体" w:cs="宋体"/>
          <w:b/>
          <w:bCs/>
          <w:color w:val="auto"/>
          <w:spacing w:val="6"/>
          <w:sz w:val="30"/>
          <w:szCs w:val="30"/>
          <w:highlight w:val="none"/>
        </w:rPr>
      </w:pPr>
    </w:p>
    <w:p w14:paraId="0CD0DFBD">
      <w:pP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5516F49B">
      <w:pPr>
        <w:pStyle w:val="3"/>
        <w:rPr>
          <w:rFonts w:hint="eastAsia" w:ascii="宋体" w:hAnsi="宋体" w:eastAsia="宋体" w:cs="宋体"/>
          <w:color w:val="auto"/>
          <w:highlight w:val="none"/>
        </w:rPr>
      </w:pPr>
    </w:p>
    <w:p w14:paraId="7BAA3DE8">
      <w:pPr>
        <w:pStyle w:val="6"/>
        <w:rPr>
          <w:rFonts w:hint="eastAsia" w:ascii="宋体" w:hAnsi="宋体" w:eastAsia="宋体" w:cs="宋体"/>
          <w:color w:val="auto"/>
          <w:highlight w:val="none"/>
        </w:rPr>
      </w:pPr>
    </w:p>
    <w:p w14:paraId="47604C68">
      <w:pPr>
        <w:spacing w:line="588" w:lineRule="exact"/>
        <w:rPr>
          <w:rFonts w:hint="eastAsia" w:ascii="宋体" w:hAnsi="宋体" w:eastAsia="宋体" w:cs="宋体"/>
          <w:color w:val="auto"/>
          <w:sz w:val="24"/>
          <w:szCs w:val="24"/>
          <w:highlight w:val="none"/>
        </w:rPr>
      </w:pPr>
    </w:p>
    <w:p w14:paraId="18F39F2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59F758C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A4AF5C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B9199FC">
      <w:pPr>
        <w:rPr>
          <w:rFonts w:hint="eastAsia" w:ascii="宋体" w:hAnsi="宋体" w:eastAsia="宋体" w:cs="宋体"/>
          <w:b/>
          <w:bCs/>
          <w:color w:val="auto"/>
          <w:sz w:val="24"/>
          <w:szCs w:val="24"/>
          <w:highlight w:val="none"/>
          <w:lang w:val="zh-CN"/>
        </w:rPr>
      </w:pPr>
      <w:bookmarkStart w:id="112" w:name="_Toc2386"/>
      <w:bookmarkStart w:id="113" w:name="_Toc5441"/>
      <w:bookmarkStart w:id="114" w:name="_Toc24"/>
      <w:bookmarkStart w:id="115" w:name="_Toc15966"/>
      <w:r>
        <w:rPr>
          <w:rFonts w:hint="eastAsia" w:ascii="宋体" w:hAnsi="宋体" w:eastAsia="宋体" w:cs="宋体"/>
          <w:color w:val="auto"/>
          <w:sz w:val="24"/>
          <w:szCs w:val="24"/>
          <w:highlight w:val="none"/>
          <w:lang w:val="zh-CN"/>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十五</w:t>
      </w:r>
      <w:r>
        <w:rPr>
          <w:rFonts w:hint="eastAsia" w:ascii="宋体" w:hAnsi="宋体" w:eastAsia="宋体" w:cs="宋体"/>
          <w:b/>
          <w:bCs/>
          <w:color w:val="auto"/>
          <w:sz w:val="24"/>
          <w:szCs w:val="24"/>
          <w:highlight w:val="none"/>
        </w:rPr>
        <w:t>：</w:t>
      </w:r>
    </w:p>
    <w:p w14:paraId="20AA702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监狱企业证明文件</w:t>
      </w:r>
      <w:bookmarkEnd w:id="112"/>
      <w:bookmarkEnd w:id="113"/>
      <w:bookmarkEnd w:id="114"/>
      <w:bookmarkEnd w:id="115"/>
    </w:p>
    <w:p w14:paraId="3B6294C6">
      <w:pPr>
        <w:widowControl/>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【不属于监狱企业的无需填写、递交】</w:t>
      </w:r>
    </w:p>
    <w:p w14:paraId="7689A21E">
      <w:pPr>
        <w:widowControl/>
        <w:snapToGrid w:val="0"/>
        <w:spacing w:line="324" w:lineRule="auto"/>
        <w:jc w:val="center"/>
        <w:rPr>
          <w:rFonts w:hint="eastAsia" w:ascii="宋体" w:hAnsi="宋体" w:eastAsia="宋体" w:cs="宋体"/>
          <w:color w:val="auto"/>
          <w:kern w:val="0"/>
          <w:sz w:val="24"/>
          <w:szCs w:val="24"/>
          <w:highlight w:val="none"/>
        </w:rPr>
      </w:pPr>
    </w:p>
    <w:p w14:paraId="6FE55D8E">
      <w:pPr>
        <w:spacing w:line="588" w:lineRule="exact"/>
        <w:ind w:firstLine="480" w:firstLineChars="200"/>
        <w:rPr>
          <w:rFonts w:hint="eastAsia" w:ascii="宋体" w:hAnsi="宋体" w:eastAsia="宋体" w:cs="宋体"/>
          <w:color w:val="auto"/>
          <w:sz w:val="24"/>
          <w:szCs w:val="24"/>
          <w:highlight w:val="none"/>
        </w:rPr>
      </w:pPr>
    </w:p>
    <w:p w14:paraId="76175A26">
      <w:pPr>
        <w:adjustRightInd w:val="0"/>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监狱企业需提供省级以上的监狱管理局、戒毒管理局（含新疆生产建设兵团）出具的属于监狱企业的证明文件。</w:t>
      </w:r>
    </w:p>
    <w:p w14:paraId="02ACEB89">
      <w:pPr>
        <w:pStyle w:val="3"/>
        <w:rPr>
          <w:rFonts w:hint="eastAsia" w:ascii="宋体" w:hAnsi="宋体" w:eastAsia="宋体" w:cs="宋体"/>
          <w:color w:val="auto"/>
          <w:highlight w:val="none"/>
        </w:rPr>
      </w:pPr>
    </w:p>
    <w:p w14:paraId="420EBA70">
      <w:pPr>
        <w:pStyle w:val="6"/>
        <w:rPr>
          <w:rFonts w:hint="eastAsia" w:ascii="宋体" w:hAnsi="宋体" w:eastAsia="宋体" w:cs="宋体"/>
          <w:color w:val="auto"/>
          <w:highlight w:val="none"/>
        </w:rPr>
      </w:pPr>
    </w:p>
    <w:p w14:paraId="40D87E9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1F60AD8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5143E2C">
      <w:pPr>
        <w:pStyle w:val="4"/>
        <w:ind w:firstLine="4320" w:firstLineChars="1800"/>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rPr>
        <w:t>供应商全称（公章）：</w:t>
      </w:r>
    </w:p>
    <w:p w14:paraId="4AF2748A">
      <w:pPr>
        <w:rPr>
          <w:rFonts w:hint="eastAsia" w:ascii="宋体" w:hAnsi="宋体" w:eastAsia="宋体" w:cs="宋体"/>
          <w:color w:val="auto"/>
          <w:sz w:val="24"/>
          <w:szCs w:val="24"/>
          <w:highlight w:val="none"/>
        </w:rPr>
      </w:pPr>
    </w:p>
    <w:p w14:paraId="4D5B91B9">
      <w:pPr>
        <w:pStyle w:val="3"/>
        <w:rPr>
          <w:rFonts w:hint="eastAsia" w:ascii="宋体" w:hAnsi="宋体" w:eastAsia="宋体" w:cs="宋体"/>
          <w:color w:val="auto"/>
          <w:sz w:val="24"/>
          <w:szCs w:val="24"/>
          <w:highlight w:val="none"/>
        </w:rPr>
      </w:pPr>
    </w:p>
    <w:p w14:paraId="61390D90">
      <w:pPr>
        <w:rPr>
          <w:rFonts w:hint="eastAsia" w:ascii="宋体" w:hAnsi="宋体" w:eastAsia="宋体" w:cs="宋体"/>
          <w:color w:val="auto"/>
          <w:sz w:val="24"/>
          <w:szCs w:val="24"/>
          <w:highlight w:val="none"/>
        </w:rPr>
      </w:pPr>
    </w:p>
    <w:p w14:paraId="539536D3">
      <w:pPr>
        <w:pStyle w:val="8"/>
        <w:rPr>
          <w:rFonts w:hint="eastAsia" w:ascii="宋体" w:hAnsi="宋体" w:cs="宋体"/>
          <w:color w:val="auto"/>
          <w:sz w:val="24"/>
          <w:szCs w:val="24"/>
          <w:highlight w:val="none"/>
          <w:lang w:eastAsia="zh-CN"/>
        </w:rPr>
      </w:pPr>
    </w:p>
    <w:sectPr>
      <w:headerReference r:id="rId6" w:type="default"/>
      <w:footerReference r:id="rId7" w:type="default"/>
      <w:pgSz w:w="11906" w:h="16838"/>
      <w:pgMar w:top="1440" w:right="1803" w:bottom="1440" w:left="1803"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5F5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6D5FB">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8DA52">
                          <w:pPr>
                            <w:pStyle w:val="13"/>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2ED8DA52">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F4F8">
    <w:pPr>
      <w:pStyle w:val="13"/>
      <w:jc w:val="center"/>
      <w:rPr>
        <w:rFonts w:ascii="宋体"/>
        <w:sz w:val="28"/>
        <w:szCs w:val="28"/>
      </w:rPr>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ascii="宋体"/>
        <w:sz w:val="28"/>
        <w:szCs w:val="28"/>
        <w:lang w:val="zh-CN"/>
      </w:rPr>
      <w:t>28</w:t>
    </w:r>
    <w:r>
      <w:rPr>
        <w:rFonts w:hint="eastAsia" w:ascii="宋体"/>
        <w:sz w:val="28"/>
        <w:szCs w:val="28"/>
      </w:rPr>
      <w:fldChar w:fldCharType="end"/>
    </w:r>
  </w:p>
  <w:p w14:paraId="67D47A7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61E3">
    <w:pPr>
      <w:pStyle w:val="13"/>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216775DC">
                          <w:pPr>
                            <w:pStyle w:val="13"/>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216775DC">
                    <w:pPr>
                      <w:pStyle w:val="13"/>
                    </w:pPr>
                    <w:r>
                      <w:fldChar w:fldCharType="begin"/>
                    </w:r>
                    <w:r>
                      <w:instrText xml:space="preserve"> PAGE  \* MERGEFORMAT </w:instrText>
                    </w:r>
                    <w:r>
                      <w:fldChar w:fldCharType="separate"/>
                    </w:r>
                    <w:r>
                      <w:t>52</w:t>
                    </w:r>
                    <w:r>
                      <w:fldChar w:fldCharType="end"/>
                    </w:r>
                  </w:p>
                </w:txbxContent>
              </v:textbox>
            </v:shape>
          </w:pict>
        </mc:Fallback>
      </mc:AlternateContent>
    </w:r>
  </w:p>
  <w:p w14:paraId="7D919891">
    <w:pPr>
      <w:pStyle w:val="13"/>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0D22">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7C9F9"/>
    <w:multiLevelType w:val="singleLevel"/>
    <w:tmpl w:val="8F57C9F9"/>
    <w:lvl w:ilvl="0" w:tentative="0">
      <w:start w:val="2"/>
      <w:numFmt w:val="decimal"/>
      <w:suff w:val="nothing"/>
      <w:lvlText w:val="%1、"/>
      <w:lvlJc w:val="left"/>
    </w:lvl>
  </w:abstractNum>
  <w:abstractNum w:abstractNumId="1">
    <w:nsid w:val="95312621"/>
    <w:multiLevelType w:val="singleLevel"/>
    <w:tmpl w:val="95312621"/>
    <w:lvl w:ilvl="0" w:tentative="0">
      <w:start w:val="1"/>
      <w:numFmt w:val="decimal"/>
      <w:suff w:val="nothing"/>
      <w:lvlText w:val="%1．"/>
      <w:lvlJc w:val="left"/>
      <w:pPr>
        <w:ind w:left="0" w:firstLine="397"/>
      </w:pPr>
      <w:rPr>
        <w:rFonts w:hint="default"/>
      </w:rPr>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AF502816"/>
    <w:multiLevelType w:val="singleLevel"/>
    <w:tmpl w:val="AF502816"/>
    <w:lvl w:ilvl="0" w:tentative="0">
      <w:start w:val="1"/>
      <w:numFmt w:val="decimal"/>
      <w:suff w:val="nothing"/>
      <w:lvlText w:val="%1．"/>
      <w:lvlJc w:val="left"/>
      <w:pPr>
        <w:ind w:left="0" w:firstLine="400"/>
      </w:pPr>
      <w:rPr>
        <w:rFonts w:hint="default"/>
      </w:rPr>
    </w:lvl>
  </w:abstractNum>
  <w:abstractNum w:abstractNumId="5">
    <w:nsid w:val="C9ACC317"/>
    <w:multiLevelType w:val="singleLevel"/>
    <w:tmpl w:val="C9ACC317"/>
    <w:lvl w:ilvl="0" w:tentative="0">
      <w:start w:val="1"/>
      <w:numFmt w:val="decimal"/>
      <w:suff w:val="nothing"/>
      <w:lvlText w:val="%1．"/>
      <w:lvlJc w:val="left"/>
      <w:pPr>
        <w:ind w:left="0" w:firstLine="397"/>
      </w:pPr>
      <w:rPr>
        <w:rFonts w:hint="default"/>
      </w:rPr>
    </w:lvl>
  </w:abstractNum>
  <w:abstractNum w:abstractNumId="6">
    <w:nsid w:val="E140FCDC"/>
    <w:multiLevelType w:val="singleLevel"/>
    <w:tmpl w:val="E140FCDC"/>
    <w:lvl w:ilvl="0" w:tentative="0">
      <w:start w:val="1"/>
      <w:numFmt w:val="decimal"/>
      <w:suff w:val="nothing"/>
      <w:lvlText w:val="%1、"/>
      <w:lvlJc w:val="left"/>
    </w:lvl>
  </w:abstractNum>
  <w:abstractNum w:abstractNumId="7">
    <w:nsid w:val="EB01619C"/>
    <w:multiLevelType w:val="singleLevel"/>
    <w:tmpl w:val="EB01619C"/>
    <w:lvl w:ilvl="0" w:tentative="0">
      <w:start w:val="1"/>
      <w:numFmt w:val="decimal"/>
      <w:suff w:val="nothing"/>
      <w:lvlText w:val="%1．"/>
      <w:lvlJc w:val="left"/>
      <w:pPr>
        <w:ind w:left="0" w:firstLine="397"/>
      </w:pPr>
      <w:rPr>
        <w:rFonts w:hint="default"/>
      </w:rPr>
    </w:lvl>
  </w:abstractNum>
  <w:abstractNum w:abstractNumId="8">
    <w:nsid w:val="F4396F3A"/>
    <w:multiLevelType w:val="singleLevel"/>
    <w:tmpl w:val="F4396F3A"/>
    <w:lvl w:ilvl="0" w:tentative="0">
      <w:start w:val="2"/>
      <w:numFmt w:val="chineseCounting"/>
      <w:suff w:val="nothing"/>
      <w:lvlText w:val="%1、"/>
      <w:lvlJc w:val="left"/>
      <w:rPr>
        <w:rFonts w:hint="eastAsia"/>
      </w:rPr>
    </w:lvl>
  </w:abstractNum>
  <w:abstractNum w:abstractNumId="9">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0">
    <w:nsid w:val="12F353C5"/>
    <w:multiLevelType w:val="singleLevel"/>
    <w:tmpl w:val="12F353C5"/>
    <w:lvl w:ilvl="0" w:tentative="0">
      <w:start w:val="1"/>
      <w:numFmt w:val="chineseCounting"/>
      <w:suff w:val="nothing"/>
      <w:lvlText w:val="%1、"/>
      <w:lvlJc w:val="left"/>
      <w:rPr>
        <w:rFonts w:hint="eastAsia"/>
      </w:rPr>
    </w:lvl>
  </w:abstractNum>
  <w:abstractNum w:abstractNumId="11">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2">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3">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4">
    <w:nsid w:val="211911C0"/>
    <w:multiLevelType w:val="singleLevel"/>
    <w:tmpl w:val="211911C0"/>
    <w:lvl w:ilvl="0" w:tentative="0">
      <w:start w:val="1"/>
      <w:numFmt w:val="decimalEnclosedCircleChinese"/>
      <w:suff w:val="nothing"/>
      <w:lvlText w:val="%1　"/>
      <w:lvlJc w:val="left"/>
      <w:pPr>
        <w:ind w:left="150" w:firstLine="400"/>
      </w:pPr>
      <w:rPr>
        <w:rFonts w:hint="eastAsia"/>
      </w:rPr>
    </w:lvl>
  </w:abstractNum>
  <w:abstractNum w:abstractNumId="15">
    <w:nsid w:val="22FDA9A5"/>
    <w:multiLevelType w:val="singleLevel"/>
    <w:tmpl w:val="22FDA9A5"/>
    <w:lvl w:ilvl="0" w:tentative="0">
      <w:start w:val="1"/>
      <w:numFmt w:val="chineseCounting"/>
      <w:suff w:val="nothing"/>
      <w:lvlText w:val="%1、"/>
      <w:lvlJc w:val="left"/>
      <w:rPr>
        <w:rFonts w:hint="eastAsia"/>
      </w:rPr>
    </w:lvl>
  </w:abstractNum>
  <w:abstractNum w:abstractNumId="16">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7">
    <w:nsid w:val="2BCCD9E4"/>
    <w:multiLevelType w:val="singleLevel"/>
    <w:tmpl w:val="2BCCD9E4"/>
    <w:lvl w:ilvl="0" w:tentative="0">
      <w:start w:val="1"/>
      <w:numFmt w:val="decimalEnclosedCircleChinese"/>
      <w:suff w:val="nothing"/>
      <w:lvlText w:val="%1　"/>
      <w:lvlJc w:val="left"/>
      <w:pPr>
        <w:ind w:firstLine="1134"/>
      </w:pPr>
      <w:rPr>
        <w:rFonts w:hint="eastAsia"/>
      </w:rPr>
    </w:lvl>
  </w:abstractNum>
  <w:abstractNum w:abstractNumId="18">
    <w:nsid w:val="31213A5A"/>
    <w:multiLevelType w:val="singleLevel"/>
    <w:tmpl w:val="31213A5A"/>
    <w:lvl w:ilvl="0" w:tentative="0">
      <w:start w:val="4"/>
      <w:numFmt w:val="chineseCounting"/>
      <w:suff w:val="nothing"/>
      <w:lvlText w:val="%1、"/>
      <w:lvlJc w:val="left"/>
      <w:rPr>
        <w:rFonts w:hint="eastAsia"/>
      </w:rPr>
    </w:lvl>
  </w:abstractNum>
  <w:abstractNum w:abstractNumId="19">
    <w:nsid w:val="3CDB5186"/>
    <w:multiLevelType w:val="multilevel"/>
    <w:tmpl w:val="3CDB518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45F4B8F6"/>
    <w:multiLevelType w:val="singleLevel"/>
    <w:tmpl w:val="45F4B8F6"/>
    <w:lvl w:ilvl="0" w:tentative="0">
      <w:start w:val="1"/>
      <w:numFmt w:val="decimalEnclosedCircleChinese"/>
      <w:suff w:val="nothing"/>
      <w:lvlText w:val="%1　"/>
      <w:lvlJc w:val="left"/>
      <w:pPr>
        <w:ind w:left="150" w:firstLine="400"/>
      </w:pPr>
      <w:rPr>
        <w:rFonts w:hint="eastAsia"/>
      </w:rPr>
    </w:lvl>
  </w:abstractNum>
  <w:abstractNum w:abstractNumId="21">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2">
    <w:nsid w:val="483C6E98"/>
    <w:multiLevelType w:val="singleLevel"/>
    <w:tmpl w:val="483C6E98"/>
    <w:lvl w:ilvl="0" w:tentative="0">
      <w:start w:val="1"/>
      <w:numFmt w:val="decimal"/>
      <w:suff w:val="nothing"/>
      <w:lvlText w:val="%1、"/>
      <w:lvlJc w:val="left"/>
    </w:lvl>
  </w:abstractNum>
  <w:abstractNum w:abstractNumId="23">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4">
    <w:nsid w:val="5E2C7587"/>
    <w:multiLevelType w:val="singleLevel"/>
    <w:tmpl w:val="5E2C7587"/>
    <w:lvl w:ilvl="0" w:tentative="0">
      <w:start w:val="1"/>
      <w:numFmt w:val="chineseCounting"/>
      <w:suff w:val="nothing"/>
      <w:lvlText w:val="%1、"/>
      <w:lvlJc w:val="left"/>
      <w:rPr>
        <w:rFonts w:hint="eastAsia"/>
      </w:rPr>
    </w:lvl>
  </w:abstractNum>
  <w:abstractNum w:abstractNumId="25">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6">
    <w:nsid w:val="6EF45FDB"/>
    <w:multiLevelType w:val="multilevel"/>
    <w:tmpl w:val="6EF45FD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720EC783"/>
    <w:multiLevelType w:val="singleLevel"/>
    <w:tmpl w:val="720EC783"/>
    <w:lvl w:ilvl="0" w:tentative="0">
      <w:start w:val="1"/>
      <w:numFmt w:val="decimal"/>
      <w:suff w:val="nothing"/>
      <w:lvlText w:val="%1．"/>
      <w:lvlJc w:val="left"/>
      <w:pPr>
        <w:ind w:left="0" w:firstLine="400"/>
      </w:pPr>
      <w:rPr>
        <w:rFonts w:hint="default"/>
      </w:rPr>
    </w:lvl>
  </w:abstractNum>
  <w:abstractNum w:abstractNumId="28">
    <w:nsid w:val="734E7D60"/>
    <w:multiLevelType w:val="singleLevel"/>
    <w:tmpl w:val="734E7D60"/>
    <w:lvl w:ilvl="0" w:tentative="0">
      <w:start w:val="1"/>
      <w:numFmt w:val="decimal"/>
      <w:suff w:val="nothing"/>
      <w:lvlText w:val="%1．"/>
      <w:lvlJc w:val="left"/>
      <w:pPr>
        <w:ind w:left="0" w:firstLine="397"/>
      </w:pPr>
      <w:rPr>
        <w:rFonts w:hint="default"/>
      </w:rPr>
    </w:lvl>
  </w:abstractNum>
  <w:abstractNum w:abstractNumId="2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9"/>
  </w:num>
  <w:num w:numId="2">
    <w:abstractNumId w:val="23"/>
  </w:num>
  <w:num w:numId="3">
    <w:abstractNumId w:val="12"/>
  </w:num>
  <w:num w:numId="4">
    <w:abstractNumId w:val="29"/>
  </w:num>
  <w:num w:numId="5">
    <w:abstractNumId w:val="13"/>
  </w:num>
  <w:num w:numId="6">
    <w:abstractNumId w:val="25"/>
  </w:num>
  <w:num w:numId="7">
    <w:abstractNumId w:val="22"/>
  </w:num>
  <w:num w:numId="8">
    <w:abstractNumId w:val="10"/>
  </w:num>
  <w:num w:numId="9">
    <w:abstractNumId w:val="11"/>
  </w:num>
  <w:num w:numId="10">
    <w:abstractNumId w:val="21"/>
  </w:num>
  <w:num w:numId="11">
    <w:abstractNumId w:val="14"/>
  </w:num>
  <w:num w:numId="12">
    <w:abstractNumId w:val="17"/>
  </w:num>
  <w:num w:numId="13">
    <w:abstractNumId w:val="2"/>
  </w:num>
  <w:num w:numId="14">
    <w:abstractNumId w:val="16"/>
  </w:num>
  <w:num w:numId="15">
    <w:abstractNumId w:val="15"/>
  </w:num>
  <w:num w:numId="16">
    <w:abstractNumId w:val="26"/>
  </w:num>
  <w:num w:numId="17">
    <w:abstractNumId w:val="19"/>
  </w:num>
  <w:num w:numId="18">
    <w:abstractNumId w:val="5"/>
  </w:num>
  <w:num w:numId="19">
    <w:abstractNumId w:val="28"/>
  </w:num>
  <w:num w:numId="20">
    <w:abstractNumId w:val="4"/>
  </w:num>
  <w:num w:numId="21">
    <w:abstractNumId w:val="3"/>
  </w:num>
  <w:num w:numId="22">
    <w:abstractNumId w:val="18"/>
  </w:num>
  <w:num w:numId="23">
    <w:abstractNumId w:val="8"/>
  </w:num>
  <w:num w:numId="24">
    <w:abstractNumId w:val="6"/>
  </w:num>
  <w:num w:numId="25">
    <w:abstractNumId w:val="0"/>
  </w:num>
  <w:num w:numId="26">
    <w:abstractNumId w:val="24"/>
  </w:num>
  <w:num w:numId="27">
    <w:abstractNumId w:val="1"/>
  </w:num>
  <w:num w:numId="28">
    <w:abstractNumId w:val="7"/>
  </w:num>
  <w:num w:numId="29">
    <w:abstractNumId w:val="2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WFjYjgwMWY2ZGNhMmY5ZjBjZmMxYmE0MDRhYWUifQ=="/>
  </w:docVars>
  <w:rsids>
    <w:rsidRoot w:val="00000000"/>
    <w:rsid w:val="005B3C4E"/>
    <w:rsid w:val="007D1BF7"/>
    <w:rsid w:val="008871D9"/>
    <w:rsid w:val="008A2738"/>
    <w:rsid w:val="0166540A"/>
    <w:rsid w:val="018F4EBE"/>
    <w:rsid w:val="019C1192"/>
    <w:rsid w:val="01AE6C84"/>
    <w:rsid w:val="01BB1ECC"/>
    <w:rsid w:val="02172392"/>
    <w:rsid w:val="029D7A80"/>
    <w:rsid w:val="02AB390E"/>
    <w:rsid w:val="03A72469"/>
    <w:rsid w:val="04EC458F"/>
    <w:rsid w:val="05804498"/>
    <w:rsid w:val="059A18C2"/>
    <w:rsid w:val="05A43A27"/>
    <w:rsid w:val="05BF4111"/>
    <w:rsid w:val="05C63333"/>
    <w:rsid w:val="060F7DF2"/>
    <w:rsid w:val="06460E8D"/>
    <w:rsid w:val="06C13B23"/>
    <w:rsid w:val="070D0B30"/>
    <w:rsid w:val="0833559E"/>
    <w:rsid w:val="0834033F"/>
    <w:rsid w:val="095945EF"/>
    <w:rsid w:val="096B69D0"/>
    <w:rsid w:val="09E34F03"/>
    <w:rsid w:val="09FC0922"/>
    <w:rsid w:val="0AB83A5C"/>
    <w:rsid w:val="0AF4146F"/>
    <w:rsid w:val="0B9C79DA"/>
    <w:rsid w:val="0BA871D4"/>
    <w:rsid w:val="0CFA54CF"/>
    <w:rsid w:val="0D3E0ED6"/>
    <w:rsid w:val="0DC25855"/>
    <w:rsid w:val="0E93747B"/>
    <w:rsid w:val="0EBD0A5A"/>
    <w:rsid w:val="0EF0772A"/>
    <w:rsid w:val="0F0C3DC3"/>
    <w:rsid w:val="0F1D1B2D"/>
    <w:rsid w:val="0F294985"/>
    <w:rsid w:val="0F933B9D"/>
    <w:rsid w:val="10340AC2"/>
    <w:rsid w:val="10A07E3F"/>
    <w:rsid w:val="11621E57"/>
    <w:rsid w:val="12112DCD"/>
    <w:rsid w:val="123E4294"/>
    <w:rsid w:val="12653702"/>
    <w:rsid w:val="133B3544"/>
    <w:rsid w:val="13AE6E45"/>
    <w:rsid w:val="13BD568C"/>
    <w:rsid w:val="151B6B0E"/>
    <w:rsid w:val="154A0179"/>
    <w:rsid w:val="16E71656"/>
    <w:rsid w:val="17BB4B13"/>
    <w:rsid w:val="18133754"/>
    <w:rsid w:val="18A94556"/>
    <w:rsid w:val="18C756A6"/>
    <w:rsid w:val="18DB6A95"/>
    <w:rsid w:val="18DE232D"/>
    <w:rsid w:val="19353092"/>
    <w:rsid w:val="19362169"/>
    <w:rsid w:val="1ABF0599"/>
    <w:rsid w:val="1B171B26"/>
    <w:rsid w:val="1B6D7151"/>
    <w:rsid w:val="1B72462C"/>
    <w:rsid w:val="1B776A68"/>
    <w:rsid w:val="1B841782"/>
    <w:rsid w:val="1B9B060F"/>
    <w:rsid w:val="1CC37A0C"/>
    <w:rsid w:val="1D920DEA"/>
    <w:rsid w:val="1DBB05FE"/>
    <w:rsid w:val="1E696B3C"/>
    <w:rsid w:val="1EA41352"/>
    <w:rsid w:val="1F28542F"/>
    <w:rsid w:val="201E2FC5"/>
    <w:rsid w:val="208337BA"/>
    <w:rsid w:val="20A66641"/>
    <w:rsid w:val="21BF0821"/>
    <w:rsid w:val="22EE43F4"/>
    <w:rsid w:val="237B69CA"/>
    <w:rsid w:val="23DC0A4C"/>
    <w:rsid w:val="248368E0"/>
    <w:rsid w:val="24D40A88"/>
    <w:rsid w:val="254B55DF"/>
    <w:rsid w:val="264F6618"/>
    <w:rsid w:val="269B71D5"/>
    <w:rsid w:val="27826232"/>
    <w:rsid w:val="27C13545"/>
    <w:rsid w:val="28EA3129"/>
    <w:rsid w:val="292C1E16"/>
    <w:rsid w:val="297F6DF4"/>
    <w:rsid w:val="29C63095"/>
    <w:rsid w:val="29CE5DA6"/>
    <w:rsid w:val="2AAA058C"/>
    <w:rsid w:val="2AD74E2E"/>
    <w:rsid w:val="2B4C0D09"/>
    <w:rsid w:val="2B9F3B9D"/>
    <w:rsid w:val="2C90612D"/>
    <w:rsid w:val="2CB35427"/>
    <w:rsid w:val="2D401D7D"/>
    <w:rsid w:val="2DAF2092"/>
    <w:rsid w:val="2DB63985"/>
    <w:rsid w:val="2E116452"/>
    <w:rsid w:val="2E3D769E"/>
    <w:rsid w:val="2E7F2A5D"/>
    <w:rsid w:val="2EB721E2"/>
    <w:rsid w:val="30B57FCF"/>
    <w:rsid w:val="3131716D"/>
    <w:rsid w:val="3168534C"/>
    <w:rsid w:val="31A77CA8"/>
    <w:rsid w:val="320550BB"/>
    <w:rsid w:val="3288698A"/>
    <w:rsid w:val="329D695D"/>
    <w:rsid w:val="336B20D1"/>
    <w:rsid w:val="336E20A7"/>
    <w:rsid w:val="33752BC2"/>
    <w:rsid w:val="33A57990"/>
    <w:rsid w:val="33D37E50"/>
    <w:rsid w:val="340D0AE3"/>
    <w:rsid w:val="34BD33C3"/>
    <w:rsid w:val="35270760"/>
    <w:rsid w:val="353213A0"/>
    <w:rsid w:val="35FB4B57"/>
    <w:rsid w:val="362B07DC"/>
    <w:rsid w:val="364A3791"/>
    <w:rsid w:val="36735251"/>
    <w:rsid w:val="36E36A42"/>
    <w:rsid w:val="37AA5E7E"/>
    <w:rsid w:val="38474C15"/>
    <w:rsid w:val="384B0848"/>
    <w:rsid w:val="386D0B7F"/>
    <w:rsid w:val="38CC1665"/>
    <w:rsid w:val="396A50BF"/>
    <w:rsid w:val="3A0947DF"/>
    <w:rsid w:val="3A5F47A0"/>
    <w:rsid w:val="3BCC3F21"/>
    <w:rsid w:val="3BE21AFB"/>
    <w:rsid w:val="3CC27654"/>
    <w:rsid w:val="3CD45252"/>
    <w:rsid w:val="3CE42F1D"/>
    <w:rsid w:val="3D285260"/>
    <w:rsid w:val="3D913748"/>
    <w:rsid w:val="3DBE1F94"/>
    <w:rsid w:val="3DD80F91"/>
    <w:rsid w:val="3E0E7312"/>
    <w:rsid w:val="3E15733A"/>
    <w:rsid w:val="3E593851"/>
    <w:rsid w:val="3E6502E3"/>
    <w:rsid w:val="3E805CCE"/>
    <w:rsid w:val="3EED7957"/>
    <w:rsid w:val="3EFE27D5"/>
    <w:rsid w:val="3F731171"/>
    <w:rsid w:val="3FBB52FF"/>
    <w:rsid w:val="40E225F0"/>
    <w:rsid w:val="40E93B81"/>
    <w:rsid w:val="416B18DE"/>
    <w:rsid w:val="418A4550"/>
    <w:rsid w:val="42504106"/>
    <w:rsid w:val="43210EE4"/>
    <w:rsid w:val="434A2EFA"/>
    <w:rsid w:val="438E3061"/>
    <w:rsid w:val="43A37B74"/>
    <w:rsid w:val="440A5A5D"/>
    <w:rsid w:val="44141B83"/>
    <w:rsid w:val="44191701"/>
    <w:rsid w:val="44A122DD"/>
    <w:rsid w:val="44EF1588"/>
    <w:rsid w:val="452C70DB"/>
    <w:rsid w:val="455049B9"/>
    <w:rsid w:val="46A53D0D"/>
    <w:rsid w:val="475875BB"/>
    <w:rsid w:val="47AC48AF"/>
    <w:rsid w:val="47D7542C"/>
    <w:rsid w:val="488C7EAF"/>
    <w:rsid w:val="48F77CAC"/>
    <w:rsid w:val="492D1A36"/>
    <w:rsid w:val="49492942"/>
    <w:rsid w:val="49824284"/>
    <w:rsid w:val="49BB026C"/>
    <w:rsid w:val="4A3A4459"/>
    <w:rsid w:val="4AD8457E"/>
    <w:rsid w:val="4B6D6758"/>
    <w:rsid w:val="4BA163BC"/>
    <w:rsid w:val="4BEB2F3F"/>
    <w:rsid w:val="4CBB7459"/>
    <w:rsid w:val="4D42277A"/>
    <w:rsid w:val="4E42401E"/>
    <w:rsid w:val="4E9F0FF5"/>
    <w:rsid w:val="4EC8766C"/>
    <w:rsid w:val="4EF16300"/>
    <w:rsid w:val="4F7175F5"/>
    <w:rsid w:val="4F757DDE"/>
    <w:rsid w:val="4FEE7C5B"/>
    <w:rsid w:val="501748CD"/>
    <w:rsid w:val="50550552"/>
    <w:rsid w:val="51133B73"/>
    <w:rsid w:val="516B447C"/>
    <w:rsid w:val="51EF4C91"/>
    <w:rsid w:val="51FD72AA"/>
    <w:rsid w:val="52346539"/>
    <w:rsid w:val="52460E0D"/>
    <w:rsid w:val="5265409F"/>
    <w:rsid w:val="5288658E"/>
    <w:rsid w:val="54034147"/>
    <w:rsid w:val="5442626B"/>
    <w:rsid w:val="544F6377"/>
    <w:rsid w:val="551A1C1B"/>
    <w:rsid w:val="556708FB"/>
    <w:rsid w:val="56151E85"/>
    <w:rsid w:val="562F770E"/>
    <w:rsid w:val="570C66F2"/>
    <w:rsid w:val="575D7B26"/>
    <w:rsid w:val="586804F3"/>
    <w:rsid w:val="591D5539"/>
    <w:rsid w:val="59893635"/>
    <w:rsid w:val="5A2D2B8A"/>
    <w:rsid w:val="5B0A3D77"/>
    <w:rsid w:val="5B3531AA"/>
    <w:rsid w:val="5B4F0DC7"/>
    <w:rsid w:val="5B593D82"/>
    <w:rsid w:val="5BA85751"/>
    <w:rsid w:val="5C6D4B06"/>
    <w:rsid w:val="5C87788A"/>
    <w:rsid w:val="5D0D2DD8"/>
    <w:rsid w:val="5E101875"/>
    <w:rsid w:val="5E7C2BF7"/>
    <w:rsid w:val="5EB94076"/>
    <w:rsid w:val="5EBC5859"/>
    <w:rsid w:val="5F487A20"/>
    <w:rsid w:val="5FD74F6A"/>
    <w:rsid w:val="6009588A"/>
    <w:rsid w:val="6061130C"/>
    <w:rsid w:val="6128732F"/>
    <w:rsid w:val="618A35DC"/>
    <w:rsid w:val="62233915"/>
    <w:rsid w:val="62A42226"/>
    <w:rsid w:val="62D3266B"/>
    <w:rsid w:val="62F33965"/>
    <w:rsid w:val="62FD5252"/>
    <w:rsid w:val="64760C38"/>
    <w:rsid w:val="64BC4FB6"/>
    <w:rsid w:val="65623DBD"/>
    <w:rsid w:val="65B172DB"/>
    <w:rsid w:val="65DE046F"/>
    <w:rsid w:val="662D1F7B"/>
    <w:rsid w:val="663279EE"/>
    <w:rsid w:val="66CC0FE3"/>
    <w:rsid w:val="66DA6AF8"/>
    <w:rsid w:val="66E96F94"/>
    <w:rsid w:val="67187EC9"/>
    <w:rsid w:val="67420919"/>
    <w:rsid w:val="694C2535"/>
    <w:rsid w:val="695B3EF6"/>
    <w:rsid w:val="69A91168"/>
    <w:rsid w:val="6A4D7F02"/>
    <w:rsid w:val="6A6E56A3"/>
    <w:rsid w:val="6A9D7623"/>
    <w:rsid w:val="6AF64881"/>
    <w:rsid w:val="6BF57693"/>
    <w:rsid w:val="6C046B2A"/>
    <w:rsid w:val="6C650D7D"/>
    <w:rsid w:val="6C803403"/>
    <w:rsid w:val="6CC335A1"/>
    <w:rsid w:val="6CCB33F0"/>
    <w:rsid w:val="6CFC39A7"/>
    <w:rsid w:val="6D7328F4"/>
    <w:rsid w:val="6DAF583F"/>
    <w:rsid w:val="6DCE32B7"/>
    <w:rsid w:val="6F196606"/>
    <w:rsid w:val="6F3663A1"/>
    <w:rsid w:val="6F9E18E0"/>
    <w:rsid w:val="7040062D"/>
    <w:rsid w:val="70711057"/>
    <w:rsid w:val="70A71437"/>
    <w:rsid w:val="71844ED3"/>
    <w:rsid w:val="71AB7145"/>
    <w:rsid w:val="72E503E5"/>
    <w:rsid w:val="736A53B8"/>
    <w:rsid w:val="73D03795"/>
    <w:rsid w:val="74214194"/>
    <w:rsid w:val="7431692A"/>
    <w:rsid w:val="74831A34"/>
    <w:rsid w:val="75040571"/>
    <w:rsid w:val="756F0FB6"/>
    <w:rsid w:val="76252FA5"/>
    <w:rsid w:val="763F302D"/>
    <w:rsid w:val="776C0ED2"/>
    <w:rsid w:val="782311A6"/>
    <w:rsid w:val="78C60970"/>
    <w:rsid w:val="78F3567D"/>
    <w:rsid w:val="793D6FB0"/>
    <w:rsid w:val="7A245285"/>
    <w:rsid w:val="7B3B008E"/>
    <w:rsid w:val="7B813DFE"/>
    <w:rsid w:val="7BBD0FCA"/>
    <w:rsid w:val="7C3A0345"/>
    <w:rsid w:val="7C77104F"/>
    <w:rsid w:val="7CAB3D98"/>
    <w:rsid w:val="7D88756D"/>
    <w:rsid w:val="7E046E5D"/>
    <w:rsid w:val="7E2748DB"/>
    <w:rsid w:val="7E3A7A8B"/>
    <w:rsid w:val="7E415EE8"/>
    <w:rsid w:val="7E804E74"/>
    <w:rsid w:val="7EEC7327"/>
    <w:rsid w:val="7FBA5A25"/>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qFormat="1" w:unhideWhenUsed="0" w:uiPriority="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spacing w:line="576" w:lineRule="auto"/>
      <w:jc w:val="center"/>
      <w:outlineLvl w:val="0"/>
    </w:pPr>
    <w:rPr>
      <w:rFonts w:ascii="Calibri" w:hAnsi="Calibri" w:eastAsia="宋体" w:cs="Calibri"/>
      <w:b/>
      <w:bCs/>
      <w:kern w:val="44"/>
      <w:sz w:val="36"/>
      <w:szCs w:val="44"/>
    </w:rPr>
  </w:style>
  <w:style w:type="paragraph" w:styleId="3">
    <w:name w:val="heading 2"/>
    <w:basedOn w:val="1"/>
    <w:next w:val="1"/>
    <w:qFormat/>
    <w:uiPriority w:val="99"/>
    <w:pPr>
      <w:keepNext/>
      <w:spacing w:line="216" w:lineRule="auto"/>
      <w:jc w:val="center"/>
      <w:outlineLvl w:val="1"/>
    </w:pPr>
    <w:rPr>
      <w:rFonts w:ascii="宋体" w:hAnsi="宋体" w:eastAsia="宋体" w:cs="宋体"/>
      <w:b/>
      <w:bCs/>
      <w:sz w:val="28"/>
      <w:szCs w:val="28"/>
    </w:rPr>
  </w:style>
  <w:style w:type="paragraph" w:styleId="4">
    <w:name w:val="heading 4"/>
    <w:basedOn w:val="1"/>
    <w:next w:val="1"/>
    <w:qFormat/>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5">
    <w:name w:val="heading 5"/>
    <w:basedOn w:val="1"/>
    <w:next w:val="1"/>
    <w:qFormat/>
    <w:uiPriority w:val="0"/>
    <w:pPr>
      <w:keepNext/>
      <w:keepLines/>
      <w:outlineLvl w:val="4"/>
    </w:pPr>
    <w:rPr>
      <w:b/>
      <w:bCs/>
      <w:color w:val="000000"/>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Body Text 3"/>
    <w:basedOn w:val="1"/>
    <w:qFormat/>
    <w:uiPriority w:val="0"/>
    <w:pPr>
      <w:spacing w:after="120"/>
      <w:ind w:left="425" w:hanging="425"/>
    </w:pPr>
    <w:rPr>
      <w:sz w:val="16"/>
      <w:szCs w:val="16"/>
    </w:rPr>
  </w:style>
  <w:style w:type="paragraph" w:styleId="8">
    <w:name w:val="Body Text"/>
    <w:basedOn w:val="1"/>
    <w:next w:val="9"/>
    <w:qFormat/>
    <w:uiPriority w:val="99"/>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Body Text Indent"/>
    <w:basedOn w:val="1"/>
    <w:qFormat/>
    <w:uiPriority w:val="99"/>
    <w:pPr>
      <w:adjustRightInd w:val="0"/>
      <w:spacing w:line="360" w:lineRule="auto"/>
      <w:ind w:firstLine="490"/>
      <w:jc w:val="left"/>
    </w:pPr>
    <w:rPr>
      <w:rFonts w:ascii="宋体" w:hAnsi="宋体" w:cs="宋体"/>
      <w:sz w:val="24"/>
      <w:szCs w:val="24"/>
    </w:rPr>
  </w:style>
  <w:style w:type="paragraph" w:styleId="11">
    <w:name w:val="Plain Text"/>
    <w:basedOn w:val="1"/>
    <w:next w:val="1"/>
    <w:qFormat/>
    <w:uiPriority w:val="99"/>
    <w:rPr>
      <w:rFonts w:ascii="宋体" w:hAnsi="Courier New" w:cs="宋体"/>
    </w:rPr>
  </w:style>
  <w:style w:type="paragraph" w:styleId="12">
    <w:name w:val="Date"/>
    <w:basedOn w:val="1"/>
    <w:next w:val="1"/>
    <w:qFormat/>
    <w:uiPriority w:val="99"/>
    <w:pPr>
      <w:ind w:left="100" w:leftChars="2500"/>
    </w:pPr>
    <w:rPr>
      <w:rFonts w:ascii="宋体" w:hAnsi="宋体" w:cs="宋体"/>
      <w:color w:val="000000"/>
      <w:sz w:val="24"/>
      <w:szCs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5">
    <w:name w:val="toc 1"/>
    <w:basedOn w:val="1"/>
    <w:next w:val="1"/>
    <w:semiHidden/>
    <w:qFormat/>
    <w:uiPriority w:val="99"/>
  </w:style>
  <w:style w:type="paragraph" w:styleId="16">
    <w:name w:val="toc 4"/>
    <w:basedOn w:val="1"/>
    <w:next w:val="1"/>
    <w:semiHidden/>
    <w:qFormat/>
    <w:uiPriority w:val="0"/>
    <w:pPr>
      <w:ind w:left="1260" w:leftChars="600"/>
    </w:pPr>
  </w:style>
  <w:style w:type="paragraph" w:styleId="17">
    <w:name w:val="toc 6"/>
    <w:basedOn w:val="1"/>
    <w:next w:val="1"/>
    <w:qFormat/>
    <w:uiPriority w:val="99"/>
    <w:pPr>
      <w:ind w:left="2100" w:leftChars="1000"/>
    </w:pPr>
    <w:rPr>
      <w:szCs w:val="22"/>
    </w:rPr>
  </w:style>
  <w:style w:type="paragraph" w:styleId="18">
    <w:name w:val="toc 2"/>
    <w:basedOn w:val="1"/>
    <w:next w:val="1"/>
    <w:link w:val="43"/>
    <w:semiHidden/>
    <w:qFormat/>
    <w:uiPriority w:val="99"/>
    <w:pPr>
      <w:ind w:left="420" w:leftChars="200"/>
    </w:pPr>
  </w:style>
  <w:style w:type="paragraph" w:styleId="19">
    <w:name w:val="Body Text 2"/>
    <w:basedOn w:val="1"/>
    <w:qFormat/>
    <w:uiPriority w:val="0"/>
    <w:pPr>
      <w:spacing w:after="120" w:line="480" w:lineRule="auto"/>
    </w:pPr>
    <w:rPr>
      <w:rFonts w:ascii="Times New Roman" w:hAnsi="Times New Roman"/>
      <w:szCs w:val="20"/>
    </w:rPr>
  </w:style>
  <w:style w:type="paragraph" w:styleId="20">
    <w:name w:val="Normal (Web)"/>
    <w:basedOn w:val="1"/>
    <w:qFormat/>
    <w:uiPriority w:val="99"/>
    <w:pPr>
      <w:widowControl/>
      <w:spacing w:before="100" w:beforeAutospacing="1" w:after="100" w:afterAutospacing="1"/>
      <w:jc w:val="left"/>
    </w:pPr>
    <w:rPr>
      <w:color w:val="000000"/>
      <w:kern w:val="0"/>
    </w:rPr>
  </w:style>
  <w:style w:type="paragraph" w:styleId="21">
    <w:name w:val="Title"/>
    <w:basedOn w:val="1"/>
    <w:next w:val="1"/>
    <w:qFormat/>
    <w:uiPriority w:val="0"/>
    <w:pPr>
      <w:jc w:val="center"/>
    </w:pPr>
    <w:rPr>
      <w:b/>
      <w:bCs/>
      <w:sz w:val="28"/>
    </w:rPr>
  </w:style>
  <w:style w:type="paragraph" w:styleId="22">
    <w:name w:val="Body Text First Indent"/>
    <w:basedOn w:val="8"/>
    <w:next w:val="1"/>
    <w:qFormat/>
    <w:uiPriority w:val="99"/>
    <w:pPr>
      <w:ind w:firstLine="420" w:firstLineChars="100"/>
    </w:pPr>
  </w:style>
  <w:style w:type="paragraph" w:styleId="23">
    <w:name w:val="Body Text First Indent 2"/>
    <w:basedOn w:val="10"/>
    <w:next w:val="1"/>
    <w:qFormat/>
    <w:uiPriority w:val="0"/>
    <w:pPr>
      <w:ind w:firstLine="42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style>
  <w:style w:type="character" w:styleId="28">
    <w:name w:val="HTML Sample"/>
    <w:basedOn w:val="26"/>
    <w:qFormat/>
    <w:uiPriority w:val="0"/>
    <w:rPr>
      <w:rFonts w:ascii="Courier New" w:hAnsi="Courier New"/>
    </w:rPr>
  </w:style>
  <w:style w:type="paragraph" w:customStyle="1" w:styleId="2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30">
    <w:name w:val="正文文字"/>
    <w:basedOn w:val="1"/>
    <w:qFormat/>
    <w:uiPriority w:val="0"/>
    <w:pPr>
      <w:ind w:firstLine="200" w:firstLineChars="200"/>
    </w:pPr>
    <w:rPr>
      <w:i/>
    </w:rPr>
  </w:style>
  <w:style w:type="paragraph" w:customStyle="1" w:styleId="31">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32">
    <w:name w:val="正文文本首行缩进 2"/>
    <w:basedOn w:val="10"/>
    <w:qFormat/>
    <w:uiPriority w:val="99"/>
    <w:pPr>
      <w:spacing w:line="200" w:lineRule="atLeast"/>
      <w:ind w:firstLine="420"/>
    </w:pPr>
    <w:rPr>
      <w:rFonts w:ascii="宋体" w:hAnsi="Courier New"/>
      <w:spacing w:val="-4"/>
      <w:sz w:val="18"/>
    </w:rPr>
  </w:style>
  <w:style w:type="character" w:customStyle="1" w:styleId="33">
    <w:name w:val="标题 1 Char"/>
    <w:basedOn w:val="26"/>
    <w:link w:val="2"/>
    <w:qFormat/>
    <w:locked/>
    <w:uiPriority w:val="99"/>
    <w:rPr>
      <w:rFonts w:ascii="Calibri" w:hAnsi="Calibri" w:eastAsia="宋体" w:cs="Calibri"/>
      <w:b/>
      <w:bCs/>
      <w:kern w:val="44"/>
      <w:sz w:val="36"/>
      <w:szCs w:val="44"/>
    </w:rPr>
  </w:style>
  <w:style w:type="paragraph" w:customStyle="1" w:styleId="34">
    <w:name w:val="正文2"/>
    <w:basedOn w:val="19"/>
    <w:qFormat/>
    <w:uiPriority w:val="99"/>
    <w:pPr>
      <w:adjustRightInd w:val="0"/>
      <w:spacing w:before="156" w:line="360" w:lineRule="auto"/>
      <w:ind w:firstLine="510" w:firstLineChars="200"/>
    </w:pPr>
    <w:rPr>
      <w:sz w:val="24"/>
      <w:szCs w:val="24"/>
    </w:rPr>
  </w:style>
  <w:style w:type="paragraph" w:customStyle="1" w:styleId="35">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36">
    <w:name w:val="NormalCharacter"/>
    <w:semiHidden/>
    <w:qFormat/>
    <w:uiPriority w:val="0"/>
  </w:style>
  <w:style w:type="paragraph" w:customStyle="1" w:styleId="37">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styleId="38">
    <w:name w:val="List Paragraph"/>
    <w:basedOn w:val="1"/>
    <w:qFormat/>
    <w:uiPriority w:val="99"/>
    <w:pPr>
      <w:widowControl/>
      <w:ind w:firstLine="420" w:firstLineChars="200"/>
      <w:jc w:val="left"/>
    </w:pPr>
    <w:rPr>
      <w:rFonts w:ascii="Times New Roman" w:hAnsi="Times New Roman"/>
      <w:kern w:val="0"/>
      <w:sz w:val="24"/>
    </w:rPr>
  </w:style>
  <w:style w:type="paragraph" w:customStyle="1" w:styleId="39">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1">
    <w:name w:val="纯文本1"/>
    <w:basedOn w:val="1"/>
    <w:qFormat/>
    <w:uiPriority w:val="0"/>
    <w:pPr>
      <w:adjustRightInd/>
    </w:pPr>
    <w:rPr>
      <w:rFonts w:ascii="宋体" w:hAnsi="Courier New"/>
      <w:kern w:val="0"/>
      <w:sz w:val="20"/>
      <w:szCs w:val="20"/>
    </w:rPr>
  </w:style>
  <w:style w:type="paragraph" w:customStyle="1" w:styleId="42">
    <w:name w:val="标准文字"/>
    <w:basedOn w:val="1"/>
    <w:qFormat/>
    <w:uiPriority w:val="0"/>
    <w:pPr>
      <w:snapToGrid w:val="0"/>
      <w:spacing w:line="360" w:lineRule="auto"/>
      <w:ind w:firstLine="200" w:firstLineChars="200"/>
    </w:pPr>
    <w:rPr>
      <w:rFonts w:eastAsia="仿宋_GB2312"/>
      <w:color w:val="000000"/>
      <w:kern w:val="0"/>
      <w:sz w:val="32"/>
      <w:szCs w:val="32"/>
    </w:rPr>
  </w:style>
  <w:style w:type="character" w:customStyle="1" w:styleId="43">
    <w:name w:val="目录 2 Char"/>
    <w:link w:val="18"/>
    <w:qFormat/>
    <w:uiPriority w:val="99"/>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Body Text First Indent 21"/>
    <w:basedOn w:val="46"/>
    <w:qFormat/>
    <w:uiPriority w:val="0"/>
    <w:pPr>
      <w:widowControl/>
      <w:ind w:firstLine="420" w:firstLineChars="192"/>
      <w:jc w:val="left"/>
    </w:pPr>
    <w:rPr>
      <w:rFonts w:ascii="仿宋_GB2312" w:hAnsi="Arial" w:eastAsia="宋体" w:cs="Times New Roman"/>
      <w:kern w:val="0"/>
    </w:rPr>
  </w:style>
  <w:style w:type="paragraph" w:customStyle="1" w:styleId="46">
    <w:name w:val="Body Text Indent1"/>
    <w:basedOn w:val="1"/>
    <w:qFormat/>
    <w:uiPriority w:val="0"/>
    <w:pPr>
      <w:spacing w:line="200" w:lineRule="exact"/>
      <w:ind w:firstLine="301"/>
    </w:pPr>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12336</Words>
  <Characters>13351</Characters>
  <Lines>0</Lines>
  <Paragraphs>0</Paragraphs>
  <TotalTime>15</TotalTime>
  <ScaleCrop>false</ScaleCrop>
  <LinksUpToDate>false</LinksUpToDate>
  <CharactersWithSpaces>13587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2024-07-04T02:43:00Z</dcterms:created>
  <dc:creator>Administrator</dc:creator>
  <cp:lastModifiedBy>Administrator</cp:lastModifiedBy>
  <dcterms:modified xsi:type="dcterms:W3CDTF">2024-12-13T05:31:25Z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E355486BE9A2414492E6CB331D3E458A_13</vt:lpwstr>
  </property>
</Properties>
</file>