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EF90E0">
      <w:pPr>
        <w:kinsoku/>
        <w:wordWrap w:val="0"/>
        <w:overflowPunct/>
        <w:topLinePunct w:val="0"/>
        <w:bidi w:val="0"/>
        <w:spacing w:line="360" w:lineRule="auto"/>
        <w:jc w:val="center"/>
        <w:rPr>
          <w:rFonts w:ascii="宋体" w:hAnsi="宋体" w:cs="宋体"/>
          <w:b/>
          <w:color w:val="auto"/>
          <w:sz w:val="24"/>
          <w:highlight w:val="none"/>
        </w:rPr>
      </w:pPr>
    </w:p>
    <w:p w14:paraId="0441392C">
      <w:pPr>
        <w:kinsoku/>
        <w:wordWrap w:val="0"/>
        <w:overflowPunct/>
        <w:topLinePunct w:val="0"/>
        <w:bidi w:val="0"/>
        <w:adjustRightInd/>
        <w:spacing w:line="360" w:lineRule="auto"/>
        <w:jc w:val="center"/>
        <w:rPr>
          <w:rFonts w:hint="eastAsia" w:ascii="仿宋" w:hAnsi="仿宋" w:eastAsia="仿宋" w:cs="仿宋"/>
          <w:b/>
          <w:color w:val="auto"/>
          <w:spacing w:val="-12"/>
          <w:sz w:val="48"/>
          <w:szCs w:val="48"/>
          <w:highlight w:val="none"/>
          <w:lang w:eastAsia="zh-CN"/>
        </w:rPr>
      </w:pPr>
      <w:bookmarkStart w:id="0" w:name="_Hlt67893495"/>
      <w:bookmarkEnd w:id="0"/>
      <w:r>
        <w:rPr>
          <w:rFonts w:hint="eastAsia" w:ascii="仿宋" w:hAnsi="仿宋" w:eastAsia="仿宋" w:cs="仿宋"/>
          <w:b/>
          <w:color w:val="auto"/>
          <w:spacing w:val="-12"/>
          <w:sz w:val="48"/>
          <w:szCs w:val="48"/>
          <w:highlight w:val="none"/>
          <w:lang w:eastAsia="zh-CN"/>
        </w:rPr>
        <w:t>绍兴市殡仪馆</w:t>
      </w:r>
    </w:p>
    <w:p w14:paraId="24BFD932">
      <w:pPr>
        <w:kinsoku/>
        <w:wordWrap w:val="0"/>
        <w:overflowPunct/>
        <w:topLinePunct w:val="0"/>
        <w:bidi w:val="0"/>
        <w:adjustRightInd/>
        <w:spacing w:line="360" w:lineRule="auto"/>
        <w:jc w:val="center"/>
        <w:rPr>
          <w:rFonts w:hint="eastAsia" w:ascii="仿宋" w:hAnsi="仿宋" w:eastAsia="仿宋" w:cs="仿宋"/>
          <w:b/>
          <w:color w:val="auto"/>
          <w:spacing w:val="-12"/>
          <w:sz w:val="48"/>
          <w:szCs w:val="48"/>
          <w:highlight w:val="none"/>
          <w:lang w:eastAsia="zh-CN"/>
        </w:rPr>
      </w:pPr>
      <w:r>
        <w:rPr>
          <w:rFonts w:hint="eastAsia" w:ascii="仿宋" w:hAnsi="仿宋" w:eastAsia="仿宋" w:cs="仿宋"/>
          <w:b/>
          <w:color w:val="auto"/>
          <w:spacing w:val="-12"/>
          <w:sz w:val="48"/>
          <w:szCs w:val="48"/>
          <w:highlight w:val="none"/>
          <w:lang w:eastAsia="zh-CN"/>
        </w:rPr>
        <w:t>火化设备（含后处理等配套设施）采购项目</w:t>
      </w:r>
    </w:p>
    <w:p w14:paraId="40E52F82">
      <w:pPr>
        <w:kinsoku/>
        <w:wordWrap w:val="0"/>
        <w:overflowPunct/>
        <w:topLinePunct w:val="0"/>
        <w:bidi w:val="0"/>
        <w:jc w:val="center"/>
        <w:outlineLvl w:val="0"/>
        <w:rPr>
          <w:rFonts w:hint="eastAsia" w:ascii="仿宋" w:hAnsi="仿宋" w:eastAsia="仿宋" w:cs="仿宋"/>
          <w:b/>
          <w:color w:val="auto"/>
          <w:sz w:val="72"/>
          <w:szCs w:val="72"/>
          <w:highlight w:val="none"/>
        </w:rPr>
      </w:pPr>
    </w:p>
    <w:p w14:paraId="0AA01EAD">
      <w:pPr>
        <w:kinsoku/>
        <w:wordWrap w:val="0"/>
        <w:overflowPunct/>
        <w:topLinePunct w:val="0"/>
        <w:bidi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387E6D78">
      <w:pPr>
        <w:kinsoku/>
        <w:wordWrap w:val="0"/>
        <w:overflowPunct/>
        <w:topLinePunct w:val="0"/>
        <w:bidi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1E2C6552">
      <w:pPr>
        <w:kinsoku/>
        <w:wordWrap w:val="0"/>
        <w:overflowPunct/>
        <w:topLinePunct w:val="0"/>
        <w:bidi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bookmarkStart w:id="53" w:name="_GoBack"/>
      <w:bookmarkEnd w:id="53"/>
    </w:p>
    <w:p w14:paraId="0EA07956">
      <w:pPr>
        <w:kinsoku/>
        <w:wordWrap w:val="0"/>
        <w:overflowPunct/>
        <w:topLinePunct w:val="0"/>
        <w:bidi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CC2F575">
      <w:pPr>
        <w:kinsoku/>
        <w:wordWrap w:val="0"/>
        <w:overflowPunct/>
        <w:topLinePunct w:val="0"/>
        <w:bidi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5EDDB0A0">
      <w:pPr>
        <w:kinsoku/>
        <w:wordWrap w:val="0"/>
        <w:overflowPunct/>
        <w:topLinePunct w:val="0"/>
        <w:bidi w:val="0"/>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36B39635">
      <w:pPr>
        <w:kinsoku/>
        <w:wordWrap w:val="0"/>
        <w:overflowPunct/>
        <w:topLinePunct w:val="0"/>
        <w:bidi w:val="0"/>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53042AB6">
      <w:pPr>
        <w:kinsoku/>
        <w:wordWrap w:val="0"/>
        <w:overflowPunct/>
        <w:topLinePunct w:val="0"/>
        <w:bidi w:val="0"/>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6D9CB7E0">
      <w:pPr>
        <w:kinsoku/>
        <w:wordWrap w:val="0"/>
        <w:overflowPunct/>
        <w:topLinePunct w:val="0"/>
        <w:bidi w:val="0"/>
        <w:jc w:val="center"/>
        <w:rPr>
          <w:rFonts w:hint="eastAsia" w:ascii="仿宋" w:hAnsi="仿宋" w:eastAsia="仿宋" w:cs="仿宋"/>
          <w:b w:val="0"/>
          <w:bCs/>
          <w:color w:val="auto"/>
          <w:sz w:val="28"/>
          <w:szCs w:val="28"/>
          <w:highlight w:val="none"/>
          <w:lang w:eastAsia="zh-CN"/>
        </w:rPr>
      </w:pPr>
      <w:r>
        <w:rPr>
          <w:rFonts w:hint="eastAsia" w:ascii="仿宋" w:hAnsi="仿宋" w:eastAsia="仿宋" w:cs="仿宋"/>
          <w:b w:val="0"/>
          <w:bCs/>
          <w:color w:val="auto"/>
          <w:sz w:val="28"/>
          <w:szCs w:val="28"/>
          <w:highlight w:val="none"/>
          <w:lang w:eastAsia="zh-CN"/>
        </w:rPr>
        <w:t>招标编号:</w:t>
      </w:r>
      <w:r>
        <w:rPr>
          <w:rFonts w:hint="eastAsia" w:ascii="仿宋" w:hAnsi="仿宋" w:eastAsia="仿宋" w:cs="仿宋"/>
          <w:b/>
          <w:bCs w:val="0"/>
          <w:color w:val="auto"/>
          <w:sz w:val="28"/>
          <w:szCs w:val="28"/>
          <w:highlight w:val="none"/>
          <w:lang w:eastAsia="zh-CN"/>
        </w:rPr>
        <w:t>CGSHZJ-2025-N001123</w:t>
      </w:r>
    </w:p>
    <w:tbl>
      <w:tblPr>
        <w:tblStyle w:val="62"/>
        <w:tblW w:w="7801" w:type="dxa"/>
        <w:jc w:val="center"/>
        <w:tblLayout w:type="fixed"/>
        <w:tblCellMar>
          <w:top w:w="0" w:type="dxa"/>
          <w:left w:w="108" w:type="dxa"/>
          <w:bottom w:w="0" w:type="dxa"/>
          <w:right w:w="108" w:type="dxa"/>
        </w:tblCellMar>
      </w:tblPr>
      <w:tblGrid>
        <w:gridCol w:w="2356"/>
        <w:gridCol w:w="5445"/>
      </w:tblGrid>
      <w:tr w14:paraId="581B3EB5">
        <w:tblPrEx>
          <w:tblCellMar>
            <w:top w:w="0" w:type="dxa"/>
            <w:left w:w="108" w:type="dxa"/>
            <w:bottom w:w="0" w:type="dxa"/>
            <w:right w:w="108" w:type="dxa"/>
          </w:tblCellMar>
        </w:tblPrEx>
        <w:trPr>
          <w:trHeight w:val="443" w:hRule="atLeast"/>
          <w:jc w:val="center"/>
        </w:trPr>
        <w:tc>
          <w:tcPr>
            <w:tcW w:w="2356" w:type="dxa"/>
          </w:tcPr>
          <w:p w14:paraId="0E4AACB6">
            <w:pPr>
              <w:kinsoku/>
              <w:wordWrap w:val="0"/>
              <w:overflowPunct/>
              <w:topLinePunct w:val="0"/>
              <w:bidi w:val="0"/>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62E6DA2D">
            <w:pPr>
              <w:kinsoku/>
              <w:wordWrap w:val="0"/>
              <w:overflowPunct/>
              <w:topLinePunct w:val="0"/>
              <w:bidi w:val="0"/>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绍兴市殡仪馆</w:t>
            </w:r>
          </w:p>
        </w:tc>
      </w:tr>
      <w:tr w14:paraId="364CF0F3">
        <w:tblPrEx>
          <w:tblCellMar>
            <w:top w:w="0" w:type="dxa"/>
            <w:left w:w="108" w:type="dxa"/>
            <w:bottom w:w="0" w:type="dxa"/>
            <w:right w:w="108" w:type="dxa"/>
          </w:tblCellMar>
        </w:tblPrEx>
        <w:trPr>
          <w:trHeight w:val="494" w:hRule="atLeast"/>
          <w:jc w:val="center"/>
        </w:trPr>
        <w:tc>
          <w:tcPr>
            <w:tcW w:w="2356" w:type="dxa"/>
          </w:tcPr>
          <w:p w14:paraId="3F0A6402">
            <w:pPr>
              <w:kinsoku/>
              <w:wordWrap w:val="0"/>
              <w:overflowPunct/>
              <w:topLinePunct w:val="0"/>
              <w:bidi w:val="0"/>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68503609"/>
              </w:rPr>
              <w:t>采购代理机构</w:t>
            </w:r>
            <w:r>
              <w:rPr>
                <w:rFonts w:hint="eastAsia" w:ascii="仿宋" w:hAnsi="仿宋" w:eastAsia="仿宋" w:cs="仿宋"/>
                <w:color w:val="auto"/>
                <w:sz w:val="28"/>
                <w:szCs w:val="28"/>
                <w:highlight w:val="none"/>
              </w:rPr>
              <w:t>：</w:t>
            </w:r>
          </w:p>
        </w:tc>
        <w:tc>
          <w:tcPr>
            <w:tcW w:w="5445" w:type="dxa"/>
            <w:vAlign w:val="top"/>
          </w:tcPr>
          <w:p w14:paraId="1279552F">
            <w:pPr>
              <w:kinsoku/>
              <w:wordWrap w:val="0"/>
              <w:overflowPunct/>
              <w:topLinePunct w:val="0"/>
              <w:bidi w:val="0"/>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浙江华夏工程管理有限公司</w:t>
            </w:r>
          </w:p>
        </w:tc>
      </w:tr>
      <w:tr w14:paraId="72925C03">
        <w:tblPrEx>
          <w:tblCellMar>
            <w:top w:w="0" w:type="dxa"/>
            <w:left w:w="108" w:type="dxa"/>
            <w:bottom w:w="0" w:type="dxa"/>
            <w:right w:w="108" w:type="dxa"/>
          </w:tblCellMar>
        </w:tblPrEx>
        <w:trPr>
          <w:trHeight w:val="397" w:hRule="atLeast"/>
          <w:jc w:val="center"/>
        </w:trPr>
        <w:tc>
          <w:tcPr>
            <w:tcW w:w="2356" w:type="dxa"/>
            <w:vMerge w:val="restart"/>
            <w:vAlign w:val="center"/>
          </w:tcPr>
          <w:p w14:paraId="3AF541E9">
            <w:pPr>
              <w:kinsoku/>
              <w:wordWrap w:val="0"/>
              <w:overflowPunct/>
              <w:topLinePunct w:val="0"/>
              <w:bidi w:val="0"/>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14:paraId="7E556630">
            <w:pPr>
              <w:kinsoku/>
              <w:wordWrap w:val="0"/>
              <w:overflowPunct/>
              <w:topLinePunct w:val="0"/>
              <w:bidi w:val="0"/>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4A3D9315">
        <w:tblPrEx>
          <w:tblCellMar>
            <w:top w:w="0" w:type="dxa"/>
            <w:left w:w="108" w:type="dxa"/>
            <w:bottom w:w="0" w:type="dxa"/>
            <w:right w:w="108" w:type="dxa"/>
          </w:tblCellMar>
        </w:tblPrEx>
        <w:trPr>
          <w:trHeight w:val="397" w:hRule="atLeast"/>
          <w:jc w:val="center"/>
        </w:trPr>
        <w:tc>
          <w:tcPr>
            <w:tcW w:w="2356" w:type="dxa"/>
            <w:vMerge w:val="continue"/>
            <w:vAlign w:val="center"/>
          </w:tcPr>
          <w:p w14:paraId="0D07A088">
            <w:pPr>
              <w:kinsoku/>
              <w:wordWrap w:val="0"/>
              <w:overflowPunct/>
              <w:topLinePunct w:val="0"/>
              <w:bidi w:val="0"/>
              <w:spacing w:after="100" w:afterAutospacing="1" w:line="440" w:lineRule="exact"/>
              <w:rPr>
                <w:rFonts w:hint="eastAsia" w:ascii="仿宋" w:hAnsi="仿宋" w:eastAsia="仿宋" w:cs="仿宋"/>
                <w:color w:val="auto"/>
                <w:spacing w:val="1400"/>
                <w:kern w:val="0"/>
                <w:sz w:val="28"/>
                <w:szCs w:val="28"/>
                <w:highlight w:val="none"/>
                <w:fitText w:val="1680" w:id="1"/>
              </w:rPr>
            </w:pPr>
          </w:p>
        </w:tc>
        <w:tc>
          <w:tcPr>
            <w:tcW w:w="5445" w:type="dxa"/>
            <w:vAlign w:val="top"/>
          </w:tcPr>
          <w:p w14:paraId="17C90805">
            <w:pPr>
              <w:kinsoku/>
              <w:wordWrap w:val="0"/>
              <w:overflowPunct/>
              <w:topLinePunct w:val="0"/>
              <w:bidi w:val="0"/>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绍兴市政务服务办公室</w:t>
            </w:r>
          </w:p>
        </w:tc>
      </w:tr>
      <w:tr w14:paraId="0BC9FC4A">
        <w:tblPrEx>
          <w:tblCellMar>
            <w:top w:w="0" w:type="dxa"/>
            <w:left w:w="108" w:type="dxa"/>
            <w:bottom w:w="0" w:type="dxa"/>
            <w:right w:w="108" w:type="dxa"/>
          </w:tblCellMar>
        </w:tblPrEx>
        <w:trPr>
          <w:trHeight w:val="333" w:hRule="atLeast"/>
          <w:jc w:val="center"/>
        </w:trPr>
        <w:tc>
          <w:tcPr>
            <w:tcW w:w="7801" w:type="dxa"/>
            <w:gridSpan w:val="2"/>
          </w:tcPr>
          <w:p w14:paraId="2B324A91">
            <w:pPr>
              <w:kinsoku/>
              <w:wordWrap w:val="0"/>
              <w:overflowPunct/>
              <w:topLinePunct w:val="0"/>
              <w:bidi w:val="0"/>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二</w:t>
            </w:r>
            <w:r>
              <w:rPr>
                <w:rFonts w:hint="eastAsia" w:ascii="仿宋" w:hAnsi="仿宋" w:eastAsia="仿宋" w:cs="仿宋"/>
                <w:color w:val="auto"/>
                <w:sz w:val="28"/>
                <w:szCs w:val="28"/>
                <w:highlight w:val="none"/>
              </w:rPr>
              <w:t>月</w:t>
            </w:r>
          </w:p>
        </w:tc>
      </w:tr>
    </w:tbl>
    <w:p w14:paraId="4F6970D0">
      <w:pPr>
        <w:pStyle w:val="637"/>
        <w:kinsoku/>
        <w:wordWrap w:val="0"/>
        <w:overflowPunct/>
        <w:topLinePunct w:val="0"/>
        <w:bidi w:val="0"/>
        <w:rPr>
          <w:rFonts w:hint="eastAsia" w:ascii="隶书" w:hAnsi="隶书" w:eastAsia="隶书" w:cs="隶书"/>
          <w:color w:val="auto"/>
          <w:highlight w:val="none"/>
        </w:rPr>
        <w:sectPr>
          <w:headerReference r:id="rId3" w:type="default"/>
          <w:footerReference r:id="rId4" w:type="default"/>
          <w:footerReference r:id="rId5" w:type="even"/>
          <w:pgSz w:w="11906" w:h="16838"/>
          <w:pgMar w:top="1814" w:right="1474" w:bottom="1814" w:left="1474" w:header="851" w:footer="992" w:gutter="0"/>
          <w:pgNumType w:fmt="decimal" w:start="1"/>
          <w:cols w:space="720" w:num="1"/>
          <w:titlePg/>
          <w:docGrid w:linePitch="312" w:charSpace="0"/>
        </w:sectPr>
      </w:pPr>
    </w:p>
    <w:p w14:paraId="1498BCA9">
      <w:pPr>
        <w:kinsoku/>
        <w:wordWrap w:val="0"/>
        <w:overflowPunct/>
        <w:topLinePunct w:val="0"/>
        <w:bidi w:val="0"/>
        <w:spacing w:line="360" w:lineRule="auto"/>
        <w:jc w:val="center"/>
        <w:rPr>
          <w:rFonts w:hint="eastAsia" w:ascii="仿宋" w:hAnsi="仿宋" w:eastAsia="仿宋" w:cs="仿宋"/>
          <w:color w:val="auto"/>
          <w:sz w:val="24"/>
          <w:highlight w:val="none"/>
        </w:rPr>
      </w:pPr>
    </w:p>
    <w:p w14:paraId="3F5118E8">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76C6C8B0">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3FD10B36">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6A79DD3A">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6C945B3F">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1B9E1138">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0EDB88D">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2431355C">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AB2F264">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31A4B034">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61EA3F45">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56B4923F">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2D01A979">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03C8ACD0">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010DD241">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5117B423">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12ACF9B3">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4215FD6B">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453CA87E">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49EC2338">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4D57DE02">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7E310FA3">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4F385522">
      <w:pPr>
        <w:kinsoku/>
        <w:wordWrap w:val="0"/>
        <w:overflowPunct/>
        <w:topLinePunct w:val="0"/>
        <w:bidi w:val="0"/>
        <w:spacing w:line="360" w:lineRule="auto"/>
        <w:rPr>
          <w:rFonts w:hint="eastAsia" w:ascii="仿宋" w:hAnsi="仿宋" w:eastAsia="仿宋" w:cs="仿宋"/>
          <w:color w:val="auto"/>
          <w:sz w:val="24"/>
          <w:highlight w:val="none"/>
        </w:rPr>
      </w:pPr>
    </w:p>
    <w:bookmarkEnd w:id="2"/>
    <w:p w14:paraId="371339F5">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9" w:type="first"/>
          <w:headerReference r:id="rId6" w:type="default"/>
          <w:footerReference r:id="rId7" w:type="default"/>
          <w:footerReference r:id="rId8" w:type="even"/>
          <w:pgSz w:w="11906" w:h="16838"/>
          <w:pgMar w:top="1814" w:right="1474" w:bottom="1814" w:left="1474" w:header="851" w:footer="992" w:gutter="0"/>
          <w:pgNumType w:fmt="decimal"/>
          <w:cols w:space="720" w:num="1"/>
          <w:titlePg/>
          <w:docGrid w:linePitch="312" w:charSpace="0"/>
        </w:sectPr>
      </w:pPr>
      <w:bookmarkStart w:id="3" w:name="_Hlt74707423"/>
      <w:bookmarkEnd w:id="3"/>
      <w:bookmarkStart w:id="4" w:name="_Hlt74729822"/>
      <w:bookmarkEnd w:id="4"/>
      <w:bookmarkStart w:id="5" w:name="_Hlt74649545"/>
      <w:bookmarkEnd w:id="5"/>
      <w:bookmarkStart w:id="6" w:name="_Hlt74728647"/>
      <w:bookmarkEnd w:id="6"/>
      <w:bookmarkStart w:id="7" w:name="_Toc91899870"/>
      <w:bookmarkStart w:id="8" w:name="第二部分"/>
      <w:bookmarkStart w:id="9" w:name="_Toc91899871"/>
    </w:p>
    <w:p w14:paraId="2C39D35C">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6BB2F87">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14:paraId="0E1A346E">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val="en-US" w:eastAsia="zh-CN"/>
        </w:rPr>
        <w:t xml:space="preserve"> 绍兴市殡仪馆火化设备（含后处理等配套设施）采购项目 </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6"/>
          <w:rFonts w:hint="eastAsia" w:ascii="仿宋_GB2312" w:hAnsi="仿宋_GB2312" w:eastAsia="仿宋_GB2312" w:cs="仿宋_GB2312"/>
          <w:snapToGrid/>
          <w:color w:val="auto"/>
          <w:kern w:val="2"/>
          <w:sz w:val="24"/>
          <w:szCs w:val="24"/>
          <w:highlight w:val="none"/>
        </w:rPr>
        <w:t>https://www.zcygov.cn/）获取（下载）招标文件，并于202</w:t>
      </w:r>
      <w:r>
        <w:rPr>
          <w:rStyle w:val="76"/>
          <w:rFonts w:hint="eastAsia" w:ascii="仿宋_GB2312" w:hAnsi="仿宋_GB2312" w:eastAsia="仿宋_GB2312" w:cs="仿宋_GB2312"/>
          <w:snapToGrid/>
          <w:color w:val="auto"/>
          <w:kern w:val="2"/>
          <w:sz w:val="24"/>
          <w:szCs w:val="24"/>
          <w:highlight w:val="none"/>
          <w:lang w:val="en-US" w:eastAsia="zh-CN"/>
        </w:rPr>
        <w:t>5</w:t>
      </w:r>
      <w:r>
        <w:rPr>
          <w:rStyle w:val="76"/>
          <w:rFonts w:hint="eastAsia" w:ascii="仿宋_GB2312" w:hAnsi="仿宋_GB2312" w:eastAsia="仿宋_GB2312" w:cs="仿宋_GB2312"/>
          <w:snapToGrid/>
          <w:color w:val="auto"/>
          <w:kern w:val="2"/>
          <w:sz w:val="24"/>
          <w:szCs w:val="24"/>
          <w:highlight w:val="none"/>
        </w:rPr>
        <w:t>年</w:t>
      </w:r>
      <w:r>
        <w:rPr>
          <w:rStyle w:val="76"/>
          <w:rFonts w:hint="eastAsia" w:ascii="仿宋_GB2312" w:hAnsi="仿宋_GB2312" w:eastAsia="仿宋_GB2312" w:cs="仿宋_GB2312"/>
          <w:snapToGrid/>
          <w:color w:val="auto"/>
          <w:kern w:val="2"/>
          <w:sz w:val="24"/>
          <w:szCs w:val="24"/>
          <w:highlight w:val="none"/>
          <w:lang w:val="en-US" w:eastAsia="zh-CN"/>
        </w:rPr>
        <w:t>3</w:t>
      </w:r>
      <w:r>
        <w:rPr>
          <w:rStyle w:val="76"/>
          <w:rFonts w:hint="eastAsia" w:ascii="仿宋_GB2312" w:hAnsi="仿宋_GB2312" w:eastAsia="仿宋_GB2312" w:cs="仿宋_GB2312"/>
          <w:snapToGrid/>
          <w:color w:val="auto"/>
          <w:kern w:val="2"/>
          <w:sz w:val="24"/>
          <w:szCs w:val="24"/>
          <w:highlight w:val="none"/>
        </w:rPr>
        <w:t>月</w:t>
      </w:r>
      <w:r>
        <w:rPr>
          <w:rStyle w:val="76"/>
          <w:rFonts w:hint="eastAsia" w:ascii="仿宋_GB2312" w:hAnsi="仿宋_GB2312" w:eastAsia="仿宋_GB2312" w:cs="仿宋_GB2312"/>
          <w:snapToGrid/>
          <w:color w:val="auto"/>
          <w:kern w:val="2"/>
          <w:sz w:val="24"/>
          <w:szCs w:val="24"/>
          <w:highlight w:val="none"/>
          <w:lang w:val="en-US" w:eastAsia="zh-CN"/>
        </w:rPr>
        <w:t>13</w:t>
      </w:r>
      <w:r>
        <w:rPr>
          <w:rStyle w:val="76"/>
          <w:rFonts w:hint="eastAsia" w:ascii="仿宋_GB2312" w:hAnsi="仿宋_GB2312" w:eastAsia="仿宋_GB2312" w:cs="仿宋_GB2312"/>
          <w:snapToGrid/>
          <w:color w:val="auto"/>
          <w:kern w:val="2"/>
          <w:sz w:val="24"/>
          <w:szCs w:val="24"/>
          <w:highlight w:val="none"/>
        </w:rPr>
        <w:t xml:space="preserve">日 </w:t>
      </w:r>
      <w:r>
        <w:rPr>
          <w:rStyle w:val="76"/>
          <w:rFonts w:hint="eastAsia" w:ascii="仿宋_GB2312" w:hAnsi="仿宋_GB2312" w:eastAsia="仿宋_GB2312" w:cs="仿宋_GB2312"/>
          <w:snapToGrid/>
          <w:color w:val="auto"/>
          <w:kern w:val="2"/>
          <w:sz w:val="24"/>
          <w:szCs w:val="24"/>
          <w:highlight w:val="none"/>
          <w:lang w:val="en-US" w:eastAsia="zh-CN"/>
        </w:rPr>
        <w:t>9</w:t>
      </w:r>
      <w:r>
        <w:rPr>
          <w:rStyle w:val="76"/>
          <w:rFonts w:hint="eastAsia" w:ascii="仿宋_GB2312" w:hAnsi="仿宋_GB2312" w:eastAsia="仿宋_GB2312" w:cs="仿宋_GB2312"/>
          <w:snapToGrid/>
          <w:color w:val="auto"/>
          <w:kern w:val="2"/>
          <w:sz w:val="24"/>
          <w:szCs w:val="24"/>
          <w:highlight w:val="none"/>
        </w:rPr>
        <w:t>点</w:t>
      </w:r>
      <w:r>
        <w:rPr>
          <w:rStyle w:val="76"/>
          <w:rFonts w:hint="eastAsia" w:ascii="仿宋_GB2312" w:hAnsi="仿宋_GB2312" w:eastAsia="仿宋_GB2312" w:cs="仿宋_GB2312"/>
          <w:snapToGrid/>
          <w:color w:val="auto"/>
          <w:kern w:val="2"/>
          <w:sz w:val="24"/>
          <w:szCs w:val="24"/>
          <w:highlight w:val="none"/>
          <w:lang w:val="en-US" w:eastAsia="zh-CN"/>
        </w:rPr>
        <w:t>00</w:t>
      </w:r>
      <w:r>
        <w:rPr>
          <w:rStyle w:val="76"/>
          <w:rFonts w:hint="eastAsia" w:ascii="仿宋_GB2312" w:hAnsi="仿宋_GB2312" w:eastAsia="仿宋_GB2312" w:cs="仿宋_GB2312"/>
          <w:snapToGrid/>
          <w:color w:val="auto"/>
          <w:kern w:val="2"/>
          <w:sz w:val="24"/>
          <w:szCs w:val="24"/>
          <w:highlight w:val="none"/>
        </w:rPr>
        <w:t xml:space="preserve"> 分</w:t>
      </w:r>
      <w:r>
        <w:rPr>
          <w:rStyle w:val="76"/>
          <w:rFonts w:hint="eastAsia" w:ascii="仿宋_GB2312" w:hAnsi="仿宋_GB2312" w:eastAsia="仿宋_GB2312" w:cs="仿宋_GB2312"/>
          <w:bCs/>
          <w:snapToGrid/>
          <w:color w:val="auto"/>
          <w:kern w:val="2"/>
          <w:sz w:val="24"/>
          <w:szCs w:val="24"/>
          <w:highlight w:val="none"/>
        </w:rPr>
        <w:t>00秒</w:t>
      </w:r>
      <w:r>
        <w:rPr>
          <w:rStyle w:val="76"/>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14:paraId="0CDBDC2C">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14:paraId="7C134558">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CGSHZJ-2025-N001123</w:t>
      </w:r>
    </w:p>
    <w:p w14:paraId="2295966F">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 w:val="0"/>
          <w:bCs/>
          <w:color w:val="auto"/>
          <w:sz w:val="24"/>
          <w:highlight w:val="none"/>
          <w:lang w:eastAsia="zh-CN"/>
        </w:rPr>
        <w:t>绍兴市殡仪馆火化设备（含后处理等配套设施）采购项目</w:t>
      </w:r>
    </w:p>
    <w:p w14:paraId="405307F1">
      <w:pPr>
        <w:pageBreakBefore w:val="0"/>
        <w:widowControl w:val="0"/>
        <w:kinsoku/>
        <w:wordWrap w:val="0"/>
        <w:overflowPunct/>
        <w:topLinePunct w:val="0"/>
        <w:autoSpaceDE/>
        <w:autoSpaceDN/>
        <w:bidi w:val="0"/>
        <w:spacing w:line="440" w:lineRule="exact"/>
        <w:ind w:left="0" w:firstLine="482" w:firstLineChars="200"/>
        <w:textAlignment w:val="auto"/>
        <w:rPr>
          <w:rFonts w:hint="default" w:ascii="仿宋_GB2312" w:hAnsi="仿宋_GB2312" w:eastAsia="仿宋_GB2312" w:cs="仿宋_GB2312"/>
          <w:b/>
          <w:bCs w:val="0"/>
          <w:color w:val="auto"/>
          <w:sz w:val="24"/>
          <w:highlight w:val="none"/>
          <w:lang w:val="en-US" w:eastAsia="zh-CN"/>
        </w:rPr>
      </w:pPr>
      <w:r>
        <w:rPr>
          <w:rFonts w:hint="eastAsia" w:ascii="仿宋_GB2312" w:hAnsi="仿宋_GB2312" w:eastAsia="仿宋_GB2312" w:cs="仿宋_GB2312"/>
          <w:b/>
          <w:bCs w:val="0"/>
          <w:color w:val="auto"/>
          <w:sz w:val="24"/>
          <w:highlight w:val="none"/>
        </w:rPr>
        <w:t>预算金额（元）：</w:t>
      </w:r>
      <w:r>
        <w:rPr>
          <w:rFonts w:hint="eastAsia" w:ascii="仿宋_GB2312" w:hAnsi="仿宋_GB2312" w:eastAsia="仿宋_GB2312" w:cs="仿宋_GB2312"/>
          <w:b/>
          <w:bCs w:val="0"/>
          <w:color w:val="auto"/>
          <w:sz w:val="24"/>
          <w:highlight w:val="none"/>
          <w:lang w:val="en-US" w:eastAsia="zh-CN"/>
        </w:rPr>
        <w:t>7660000</w:t>
      </w:r>
    </w:p>
    <w:p w14:paraId="5F94A53B">
      <w:pPr>
        <w:pageBreakBefore w:val="0"/>
        <w:widowControl w:val="0"/>
        <w:kinsoku/>
        <w:wordWrap w:val="0"/>
        <w:overflowPunct/>
        <w:topLinePunct w:val="0"/>
        <w:autoSpaceDE/>
        <w:autoSpaceDN/>
        <w:bidi w:val="0"/>
        <w:spacing w:line="440" w:lineRule="exact"/>
        <w:ind w:left="0" w:firstLine="482" w:firstLineChars="200"/>
        <w:textAlignment w:val="auto"/>
        <w:rPr>
          <w:rFonts w:hint="default" w:ascii="仿宋_GB2312" w:hAnsi="仿宋_GB2312" w:eastAsia="仿宋_GB2312" w:cs="仿宋_GB2312"/>
          <w:b/>
          <w:bCs w:val="0"/>
          <w:color w:val="auto"/>
          <w:sz w:val="24"/>
          <w:highlight w:val="none"/>
          <w:lang w:val="en-US" w:eastAsia="zh-CN"/>
        </w:rPr>
      </w:pPr>
      <w:r>
        <w:rPr>
          <w:rFonts w:hint="eastAsia" w:ascii="仿宋_GB2312" w:hAnsi="仿宋_GB2312" w:eastAsia="仿宋_GB2312" w:cs="仿宋_GB2312"/>
          <w:b/>
          <w:bCs w:val="0"/>
          <w:color w:val="auto"/>
          <w:sz w:val="24"/>
          <w:highlight w:val="none"/>
        </w:rPr>
        <w:t>最高限价（元）：</w:t>
      </w:r>
      <w:r>
        <w:rPr>
          <w:rFonts w:hint="eastAsia" w:ascii="仿宋_GB2312" w:hAnsi="仿宋_GB2312" w:eastAsia="仿宋_GB2312" w:cs="仿宋_GB2312"/>
          <w:b/>
          <w:bCs w:val="0"/>
          <w:color w:val="auto"/>
          <w:sz w:val="24"/>
          <w:highlight w:val="none"/>
          <w:lang w:val="en-US" w:eastAsia="zh-CN"/>
        </w:rPr>
        <w:t>7660000</w:t>
      </w:r>
    </w:p>
    <w:p w14:paraId="0B86D4BE">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14:paraId="4CB4120D">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14:paraId="7CB74ADA">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标项名称：绍兴市殡仪馆火化设备（含后处理等配套设施）采购项目</w:t>
      </w:r>
    </w:p>
    <w:p w14:paraId="22303BFD">
      <w:pPr>
        <w:pageBreakBefore w:val="0"/>
        <w:widowControl w:val="0"/>
        <w:kinsoku/>
        <w:wordWrap w:val="0"/>
        <w:overflowPunct/>
        <w:topLinePunct w:val="0"/>
        <w:autoSpaceDE/>
        <w:autoSpaceDN/>
        <w:bidi w:val="0"/>
        <w:spacing w:line="440" w:lineRule="exact"/>
        <w:ind w:left="0" w:firstLine="480" w:firstLineChars="200"/>
        <w:textAlignment w:val="auto"/>
        <w:rPr>
          <w:rFonts w:hint="default"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14:paraId="5F837F30">
      <w:pPr>
        <w:pageBreakBefore w:val="0"/>
        <w:widowControl w:val="0"/>
        <w:kinsoku/>
        <w:wordWrap w:val="0"/>
        <w:overflowPunct/>
        <w:topLinePunct w:val="0"/>
        <w:autoSpaceDE/>
        <w:autoSpaceDN/>
        <w:bidi w:val="0"/>
        <w:spacing w:line="440" w:lineRule="exact"/>
        <w:ind w:left="0" w:firstLine="480" w:firstLineChars="200"/>
        <w:textAlignment w:val="auto"/>
        <w:rPr>
          <w:rFonts w:hint="default"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预算金额（元）：7660000</w:t>
      </w:r>
    </w:p>
    <w:p w14:paraId="65E024C3">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Cs/>
          <w:color w:val="auto"/>
          <w:sz w:val="24"/>
          <w:highlight w:val="none"/>
        </w:rPr>
        <w:t>主要内容：简要规格描述或项目基本概况介绍、用途，详见采购文件</w:t>
      </w:r>
      <w:r>
        <w:rPr>
          <w:rFonts w:hint="eastAsia" w:ascii="仿宋_GB2312" w:hAnsi="仿宋_GB2312" w:eastAsia="仿宋_GB2312" w:cs="仿宋_GB2312"/>
          <w:b w:val="0"/>
          <w:bCs/>
          <w:color w:val="auto"/>
          <w:sz w:val="24"/>
          <w:highlight w:val="none"/>
        </w:rPr>
        <w:t>。</w:t>
      </w:r>
    </w:p>
    <w:p w14:paraId="6AA04C08">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14:paraId="0B8A6095">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本项目接受联合体投标：</w:t>
      </w:r>
      <w:r>
        <w:rPr>
          <w:rFonts w:hint="default" w:ascii="Wingdings 2" w:hAnsi="Wingdings 2" w:eastAsia="仿宋_GB2312" w:cs="Wingdings 2"/>
          <w:b/>
          <w:color w:val="auto"/>
          <w:kern w:val="2"/>
          <w:sz w:val="24"/>
          <w:szCs w:val="24"/>
          <w:highlight w:val="none"/>
          <w:lang w:val="en-US" w:eastAsia="zh-CN" w:bidi="ar-SA"/>
        </w:rPr>
        <w:sym w:font="Wingdings 2" w:char="0052"/>
      </w:r>
      <w:r>
        <w:rPr>
          <w:rFonts w:hint="eastAsia" w:ascii="仿宋_GB2312" w:hAnsi="仿宋_GB2312" w:eastAsia="仿宋_GB2312" w:cs="仿宋_GB2312"/>
          <w:b/>
          <w:color w:val="auto"/>
          <w:sz w:val="24"/>
          <w:highlight w:val="none"/>
        </w:rPr>
        <w:t>是，☐否。</w:t>
      </w:r>
    </w:p>
    <w:p w14:paraId="4A9552D7">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14:paraId="5064C5BE">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6BC11F4E">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2.以联合体形式投标的，提供联合协议(本项目不接受联合体投标或者投标人不以联合体形式投标的，则不需要提供) ；</w:t>
      </w:r>
    </w:p>
    <w:p w14:paraId="476E08B0">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14:paraId="0A455EE9">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无；</w:t>
      </w:r>
    </w:p>
    <w:p w14:paraId="5E9617A7">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default" w:ascii="Wingdings 2" w:hAnsi="Wingdings 2" w:eastAsia="仿宋_GB2312" w:cs="Wingdings 2"/>
          <w:b w:val="0"/>
          <w:bCs/>
          <w:color w:val="auto"/>
          <w:kern w:val="2"/>
          <w:sz w:val="24"/>
          <w:szCs w:val="24"/>
          <w:highlight w:val="none"/>
          <w:lang w:val="en-US" w:eastAsia="zh-CN" w:bidi="ar-SA"/>
        </w:rPr>
        <w:sym w:font="Wingdings 2" w:char="0052"/>
      </w:r>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14:paraId="557107D0">
      <w:pPr>
        <w:pageBreakBefore w:val="0"/>
        <w:widowControl w:val="0"/>
        <w:kinsoku/>
        <w:wordWrap w:val="0"/>
        <w:overflowPunct/>
        <w:topLinePunct w:val="0"/>
        <w:autoSpaceDE/>
        <w:autoSpaceDN/>
        <w:bidi w:val="0"/>
        <w:spacing w:line="440" w:lineRule="exact"/>
        <w:ind w:firstLine="897" w:firstLineChars="374"/>
        <w:textAlignment w:val="auto"/>
        <w:rPr>
          <w:rFonts w:hint="eastAsia" w:ascii="仿宋_GB2312" w:hAnsi="仿宋_GB2312" w:eastAsia="仿宋_GB2312" w:cs="仿宋_GB2312"/>
          <w:color w:val="auto"/>
          <w:sz w:val="24"/>
          <w:highlight w:val="none"/>
          <w:u w:val="single"/>
        </w:rPr>
      </w:pPr>
      <w:r>
        <w:rPr>
          <w:rFonts w:hint="default" w:ascii="Wingdings 2" w:hAnsi="Wingdings 2" w:eastAsia="仿宋_GB2312" w:cs="Wingdings 2"/>
          <w:b w:val="0"/>
          <w:bCs/>
          <w:color w:val="auto"/>
          <w:kern w:val="2"/>
          <w:sz w:val="24"/>
          <w:szCs w:val="24"/>
          <w:highlight w:val="none"/>
          <w:lang w:val="en-US" w:eastAsia="zh-CN" w:bidi="ar-SA"/>
        </w:rPr>
        <w:sym w:font="Wingdings 2" w:char="0052"/>
      </w:r>
      <w:r>
        <w:rPr>
          <w:rFonts w:hint="eastAsia" w:ascii="仿宋_GB2312" w:hAnsi="仿宋_GB2312" w:eastAsia="仿宋_GB2312" w:cs="仿宋_GB2312"/>
          <w:color w:val="auto"/>
          <w:sz w:val="24"/>
          <w:highlight w:val="none"/>
        </w:rPr>
        <w:t>货物全部由符合政策要求的中小企业制造，提供中小企业声明函；</w:t>
      </w:r>
    </w:p>
    <w:p w14:paraId="59C41857">
      <w:pPr>
        <w:pageBreakBefore w:val="0"/>
        <w:widowControl w:val="0"/>
        <w:kinsoku/>
        <w:wordWrap w:val="0"/>
        <w:overflowPunct/>
        <w:topLinePunct w:val="0"/>
        <w:autoSpaceDE/>
        <w:autoSpaceDN/>
        <w:bidi w:val="0"/>
        <w:spacing w:line="440" w:lineRule="exact"/>
        <w:ind w:firstLine="897" w:firstLineChars="374"/>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货物全部由符合政策要求的小微企业制造，提供中小企业声明函；</w:t>
      </w:r>
    </w:p>
    <w:p w14:paraId="70E55FF9">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bookmarkStart w:id="10" w:name="_Hlk101132524"/>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bookmarkEnd w:id="10"/>
    <w:p w14:paraId="43C481E9">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14:paraId="7B7DAFAB">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w:t>
      </w:r>
      <w:r>
        <w:rPr>
          <w:rFonts w:hint="eastAsia" w:ascii="仿宋_GB2312" w:hAnsi="仿宋_GB2312" w:eastAsia="仿宋_GB2312" w:cs="仿宋_GB2312"/>
          <w:color w:val="auto"/>
          <w:sz w:val="24"/>
          <w:highlight w:val="none"/>
          <w:lang w:val="en-US" w:eastAsia="zh-CN"/>
        </w:rPr>
        <w:t>无</w:t>
      </w:r>
      <w:r>
        <w:rPr>
          <w:rFonts w:hint="eastAsia" w:ascii="仿宋_GB2312" w:hAnsi="仿宋_GB2312" w:eastAsia="仿宋_GB2312" w:cs="仿宋_GB2312"/>
          <w:color w:val="auto"/>
          <w:sz w:val="24"/>
          <w:highlight w:val="none"/>
        </w:rPr>
        <w:t>；</w:t>
      </w:r>
    </w:p>
    <w:p w14:paraId="2F54D9CD">
      <w:pPr>
        <w:pageBreakBefore w:val="0"/>
        <w:widowControl w:val="0"/>
        <w:kinsoku/>
        <w:wordWrap w:val="0"/>
        <w:overflowPunct/>
        <w:topLinePunct w:val="0"/>
        <w:autoSpaceDE/>
        <w:autoSpaceDN/>
        <w:bidi w:val="0"/>
        <w:snapToGrid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8EF0429">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14:paraId="48DA1CB4">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 xml:space="preserve"> 年</w:t>
      </w:r>
      <w:r>
        <w:rPr>
          <w:rFonts w:hint="eastAsia" w:ascii="仿宋_GB2312" w:hAnsi="仿宋_GB2312" w:eastAsia="仿宋_GB2312" w:cs="仿宋_GB2312"/>
          <w:color w:val="auto"/>
          <w:sz w:val="24"/>
          <w:highlight w:val="none"/>
          <w:u w:val="single"/>
          <w:lang w:val="en-US" w:eastAsia="zh-CN"/>
        </w:rPr>
        <w:t>3</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13</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14:paraId="7AF4DB26">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14:paraId="4B6A9210">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14:paraId="0696FCB5">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14:paraId="043D2C2D">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14:paraId="13AC0EA0">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 xml:space="preserve"> 年</w:t>
      </w:r>
      <w:r>
        <w:rPr>
          <w:rFonts w:hint="eastAsia" w:ascii="仿宋_GB2312" w:hAnsi="仿宋_GB2312" w:eastAsia="仿宋_GB2312" w:cs="仿宋_GB2312"/>
          <w:color w:val="auto"/>
          <w:sz w:val="24"/>
          <w:highlight w:val="none"/>
          <w:u w:val="single"/>
          <w:lang w:val="en-US" w:eastAsia="zh-CN"/>
        </w:rPr>
        <w:t>3</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13</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u w:val="single"/>
          <w:lang w:val="en-US" w:eastAsia="zh-CN"/>
        </w:rPr>
        <w:t>9</w:t>
      </w:r>
      <w:r>
        <w:rPr>
          <w:rFonts w:hint="eastAsia" w:ascii="仿宋_GB2312" w:hAnsi="仿宋_GB2312" w:eastAsia="仿宋_GB2312" w:cs="仿宋_GB2312"/>
          <w:color w:val="auto"/>
          <w:sz w:val="24"/>
          <w:highlight w:val="none"/>
          <w:u w:val="single"/>
        </w:rPr>
        <w:t xml:space="preserve"> 点</w:t>
      </w:r>
      <w:r>
        <w:rPr>
          <w:rFonts w:hint="eastAsia" w:ascii="仿宋_GB2312" w:hAnsi="仿宋_GB2312" w:eastAsia="仿宋_GB2312" w:cs="仿宋_GB2312"/>
          <w:color w:val="auto"/>
          <w:sz w:val="24"/>
          <w:highlight w:val="none"/>
          <w:u w:val="single"/>
          <w:lang w:val="en-US" w:eastAsia="zh-CN"/>
        </w:rPr>
        <w:t>00</w:t>
      </w:r>
      <w:r>
        <w:rPr>
          <w:rFonts w:hint="eastAsia" w:ascii="仿宋_GB2312" w:hAnsi="仿宋_GB2312" w:eastAsia="仿宋_GB2312" w:cs="仿宋_GB2312"/>
          <w:color w:val="auto"/>
          <w:sz w:val="24"/>
          <w:highlight w:val="none"/>
          <w:u w:val="single"/>
        </w:rPr>
        <w:t xml:space="preserve"> 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14:paraId="70FB7A3A">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14:paraId="68E80C3F">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w:t>
      </w:r>
      <w:r>
        <w:rPr>
          <w:rFonts w:hint="eastAsia" w:ascii="仿宋_GB2312" w:hAnsi="仿宋_GB2312" w:eastAsia="仿宋_GB2312" w:cs="仿宋_GB2312"/>
          <w:color w:val="auto"/>
          <w:sz w:val="24"/>
          <w:highlight w:val="none"/>
          <w:u w:val="single"/>
          <w:lang w:val="en-US" w:eastAsia="zh-CN"/>
        </w:rPr>
        <w:t>3</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13</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u w:val="single"/>
          <w:lang w:val="en-US" w:eastAsia="zh-CN"/>
        </w:rPr>
        <w:t>9</w:t>
      </w:r>
      <w:r>
        <w:rPr>
          <w:rFonts w:hint="eastAsia" w:ascii="仿宋_GB2312" w:hAnsi="仿宋_GB2312" w:eastAsia="仿宋_GB2312" w:cs="仿宋_GB2312"/>
          <w:color w:val="auto"/>
          <w:sz w:val="24"/>
          <w:highlight w:val="none"/>
          <w:u w:val="single"/>
        </w:rPr>
        <w:t xml:space="preserve"> 点</w:t>
      </w:r>
      <w:r>
        <w:rPr>
          <w:rFonts w:hint="eastAsia" w:ascii="仿宋_GB2312" w:hAnsi="仿宋_GB2312" w:eastAsia="仿宋_GB2312" w:cs="仿宋_GB2312"/>
          <w:color w:val="auto"/>
          <w:sz w:val="24"/>
          <w:highlight w:val="none"/>
          <w:u w:val="single"/>
          <w:lang w:val="en-US" w:eastAsia="zh-CN"/>
        </w:rPr>
        <w:t>00</w:t>
      </w:r>
      <w:r>
        <w:rPr>
          <w:rFonts w:hint="eastAsia" w:ascii="仿宋_GB2312" w:hAnsi="仿宋_GB2312" w:eastAsia="仿宋_GB2312" w:cs="仿宋_GB2312"/>
          <w:color w:val="auto"/>
          <w:sz w:val="24"/>
          <w:highlight w:val="none"/>
          <w:u w:val="single"/>
        </w:rPr>
        <w:t xml:space="preserve"> 分00秒</w:t>
      </w:r>
      <w:r>
        <w:rPr>
          <w:rFonts w:hint="eastAsia" w:ascii="仿宋_GB2312" w:hAnsi="仿宋_GB2312" w:eastAsia="仿宋_GB2312" w:cs="仿宋_GB2312"/>
          <w:bCs/>
          <w:color w:val="auto"/>
          <w:sz w:val="24"/>
          <w:highlight w:val="none"/>
          <w:u w:val="single"/>
        </w:rPr>
        <w:t xml:space="preserve">  </w:t>
      </w:r>
    </w:p>
    <w:p w14:paraId="4E759678">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_GB2312" w:hAnsi="仿宋_GB2312" w:eastAsia="仿宋_GB2312" w:cs="仿宋_GB2312"/>
          <w:color w:val="auto"/>
          <w:sz w:val="24"/>
          <w:highlight w:val="none"/>
        </w:rPr>
        <w:t>政采云平台（https://www.zcygov.cn/）</w:t>
      </w:r>
    </w:p>
    <w:p w14:paraId="0BAA0664">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14:paraId="44368988">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14:paraId="35A9BFB4">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14:paraId="418C22D5">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8号）已分别于2022年1月29日、2022年2月1日和2022年7月1日开始实施，此前有关规定与上述文件内容不一致的，按上述文件要求执行。</w:t>
      </w:r>
    </w:p>
    <w:p w14:paraId="7B23C785">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2.根据《浙江省财政厅关于进一步促进政府采购公平竞争打造最优营商环境的通知》（浙财采监〔2021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14:paraId="403BCF98">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AF877B8">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29454875">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14:paraId="7AA40292">
      <w:pPr>
        <w:pStyle w:val="5"/>
        <w:pageBreakBefore w:val="0"/>
        <w:widowControl w:val="0"/>
        <w:numPr>
          <w:ilvl w:val="0"/>
          <w:numId w:val="0"/>
        </w:numPr>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szCs w:val="24"/>
          <w:highlight w:val="none"/>
        </w:rPr>
      </w:pPr>
      <w:bookmarkStart w:id="11" w:name="_Toc35393637"/>
      <w:bookmarkStart w:id="12" w:name="_Toc28359019"/>
      <w:bookmarkStart w:id="13" w:name="_Toc28359096"/>
      <w:bookmarkStart w:id="14" w:name="_Toc35393806"/>
      <w:r>
        <w:rPr>
          <w:rFonts w:hint="eastAsia" w:ascii="仿宋_GB2312" w:hAnsi="仿宋_GB2312" w:eastAsia="仿宋_GB2312" w:cs="仿宋_GB2312"/>
          <w:color w:val="auto"/>
          <w:sz w:val="24"/>
          <w:szCs w:val="24"/>
          <w:highlight w:val="none"/>
        </w:rPr>
        <w:t>1.采购人信息</w:t>
      </w:r>
      <w:bookmarkEnd w:id="11"/>
      <w:bookmarkEnd w:id="12"/>
      <w:bookmarkEnd w:id="13"/>
      <w:bookmarkEnd w:id="14"/>
      <w:r>
        <w:rPr>
          <w:rFonts w:hint="eastAsia" w:ascii="仿宋_GB2312" w:hAnsi="仿宋_GB2312" w:eastAsia="仿宋_GB2312" w:cs="仿宋_GB2312"/>
          <w:color w:val="auto"/>
          <w:sz w:val="24"/>
          <w:szCs w:val="24"/>
          <w:highlight w:val="none"/>
        </w:rPr>
        <w:t>：</w:t>
      </w:r>
    </w:p>
    <w:p w14:paraId="6C36ACAC">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 xml:space="preserve">名    称： </w:t>
      </w:r>
      <w:r>
        <w:rPr>
          <w:rFonts w:hint="eastAsia" w:ascii="仿宋_GB2312" w:hAnsi="仿宋_GB2312" w:eastAsia="仿宋_GB2312" w:cs="仿宋_GB2312"/>
          <w:color w:val="auto"/>
          <w:sz w:val="24"/>
          <w:highlight w:val="none"/>
          <w:lang w:eastAsia="zh-CN"/>
        </w:rPr>
        <w:t>绍兴市殡仪馆</w:t>
      </w:r>
    </w:p>
    <w:p w14:paraId="52A16866">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lang w:val="en-US" w:eastAsia="zh-CN"/>
        </w:rPr>
        <w:t xml:space="preserve"> </w:t>
      </w:r>
      <w:r>
        <w:rPr>
          <w:rFonts w:hint="eastAsia" w:ascii="仿宋" w:hAnsi="仿宋" w:eastAsia="仿宋" w:cs="仿宋"/>
          <w:color w:val="auto"/>
          <w:sz w:val="24"/>
          <w:highlight w:val="none"/>
        </w:rPr>
        <w:t>绍兴市越城区212省道望秦山陵园</w:t>
      </w:r>
      <w:r>
        <w:rPr>
          <w:rFonts w:hint="eastAsia" w:ascii="仿宋_GB2312" w:hAnsi="仿宋_GB2312" w:eastAsia="仿宋_GB2312" w:cs="仿宋_GB2312"/>
          <w:color w:val="auto"/>
          <w:sz w:val="24"/>
          <w:highlight w:val="none"/>
        </w:rPr>
        <w:t xml:space="preserve"> </w:t>
      </w:r>
    </w:p>
    <w:p w14:paraId="076D2F21">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传    真：</w:t>
      </w:r>
      <w:r>
        <w:rPr>
          <w:rFonts w:hint="eastAsia" w:ascii="仿宋_GB2312" w:hAnsi="仿宋_GB2312" w:eastAsia="仿宋_GB2312" w:cs="仿宋_GB2312"/>
          <w:color w:val="auto"/>
          <w:sz w:val="24"/>
          <w:highlight w:val="none"/>
          <w:lang w:val="en-US" w:eastAsia="zh-CN"/>
        </w:rPr>
        <w:t xml:space="preserve"> / </w:t>
      </w:r>
    </w:p>
    <w:p w14:paraId="34932EB5">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项目联系人（询问）：</w:t>
      </w:r>
      <w:r>
        <w:rPr>
          <w:rFonts w:hint="eastAsia" w:ascii="仿宋" w:hAnsi="仿宋" w:eastAsia="仿宋" w:cs="仿宋"/>
          <w:color w:val="auto"/>
          <w:sz w:val="24"/>
          <w:highlight w:val="none"/>
        </w:rPr>
        <w:t>夏懿超</w:t>
      </w:r>
    </w:p>
    <w:p w14:paraId="5AA11C65">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项目联系方式（询问）：</w:t>
      </w:r>
      <w:r>
        <w:rPr>
          <w:rFonts w:hint="eastAsia" w:ascii="仿宋" w:hAnsi="仿宋" w:eastAsia="仿宋" w:cs="仿宋"/>
          <w:color w:val="auto"/>
          <w:sz w:val="24"/>
          <w:highlight w:val="none"/>
        </w:rPr>
        <w:t>0575-88906150</w:t>
      </w:r>
      <w:r>
        <w:rPr>
          <w:rFonts w:hint="eastAsia" w:ascii="仿宋_GB2312" w:hAnsi="仿宋_GB2312" w:eastAsia="仿宋_GB2312" w:cs="仿宋_GB2312"/>
          <w:color w:val="auto"/>
          <w:sz w:val="24"/>
          <w:highlight w:val="none"/>
        </w:rPr>
        <w:t xml:space="preserve"> </w:t>
      </w:r>
    </w:p>
    <w:p w14:paraId="22A403AB">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质疑联系人：</w:t>
      </w:r>
      <w:r>
        <w:rPr>
          <w:rFonts w:hint="eastAsia" w:ascii="仿宋" w:hAnsi="仿宋" w:eastAsia="仿宋" w:cs="仿宋"/>
          <w:color w:val="auto"/>
          <w:sz w:val="24"/>
          <w:highlight w:val="none"/>
        </w:rPr>
        <w:t>王宝华</w:t>
      </w:r>
      <w:r>
        <w:rPr>
          <w:rFonts w:hint="eastAsia" w:ascii="仿宋_GB2312" w:hAnsi="仿宋_GB2312" w:eastAsia="仿宋_GB2312" w:cs="仿宋_GB2312"/>
          <w:color w:val="auto"/>
          <w:sz w:val="24"/>
          <w:highlight w:val="none"/>
        </w:rPr>
        <w:t xml:space="preserve"> </w:t>
      </w:r>
    </w:p>
    <w:p w14:paraId="5273F44F">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质疑联系方式：</w:t>
      </w:r>
      <w:r>
        <w:rPr>
          <w:rFonts w:hint="eastAsia" w:ascii="仿宋" w:hAnsi="仿宋" w:eastAsia="仿宋" w:cs="仿宋"/>
          <w:color w:val="auto"/>
          <w:sz w:val="24"/>
          <w:highlight w:val="none"/>
        </w:rPr>
        <w:t>0575-88906155</w:t>
      </w:r>
    </w:p>
    <w:p w14:paraId="52AC3AD2">
      <w:pPr>
        <w:pStyle w:val="5"/>
        <w:pageBreakBefore w:val="0"/>
        <w:widowControl w:val="0"/>
        <w:numPr>
          <w:ilvl w:val="0"/>
          <w:numId w:val="0"/>
        </w:numPr>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bookmarkStart w:id="15" w:name="_Toc28359020"/>
      <w:bookmarkStart w:id="16" w:name="_Toc35393807"/>
      <w:bookmarkStart w:id="17" w:name="_Toc28359097"/>
      <w:bookmarkStart w:id="18" w:name="_Toc35393638"/>
      <w:r>
        <w:rPr>
          <w:rFonts w:hint="eastAsia" w:ascii="仿宋_GB2312" w:hAnsi="仿宋_GB2312" w:eastAsia="仿宋_GB2312" w:cs="仿宋_GB2312"/>
          <w:color w:val="auto"/>
          <w:sz w:val="24"/>
          <w:szCs w:val="24"/>
          <w:highlight w:val="none"/>
        </w:rPr>
        <w:t>2.采购代理机构信息</w:t>
      </w:r>
      <w:bookmarkEnd w:id="15"/>
      <w:bookmarkEnd w:id="16"/>
      <w:bookmarkEnd w:id="17"/>
      <w:bookmarkEnd w:id="18"/>
      <w:r>
        <w:rPr>
          <w:rFonts w:hint="eastAsia" w:ascii="仿宋_GB2312" w:hAnsi="仿宋_GB2312" w:eastAsia="仿宋_GB2312" w:cs="仿宋_GB2312"/>
          <w:color w:val="auto"/>
          <w:sz w:val="24"/>
          <w:szCs w:val="24"/>
          <w:highlight w:val="none"/>
        </w:rPr>
        <w:t>：</w:t>
      </w:r>
    </w:p>
    <w:p w14:paraId="030BDCA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bookmarkStart w:id="19" w:name="_Toc28359021"/>
      <w:bookmarkStart w:id="20" w:name="_Toc35393639"/>
      <w:bookmarkStart w:id="21" w:name="_Toc28359098"/>
      <w:bookmarkStart w:id="22" w:name="_Toc35393808"/>
      <w:r>
        <w:rPr>
          <w:rFonts w:hint="eastAsia" w:ascii="仿宋" w:hAnsi="仿宋" w:eastAsia="仿宋" w:cs="仿宋"/>
          <w:color w:val="auto"/>
          <w:sz w:val="24"/>
          <w:highlight w:val="none"/>
        </w:rPr>
        <w:t xml:space="preserve">名    称：浙江华夏工程管理有限公司             </w:t>
      </w:r>
    </w:p>
    <w:p w14:paraId="530C2D4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址：绍兴市越城区迪荡街道迅腾大厦1404室 </w:t>
      </w:r>
    </w:p>
    <w:p w14:paraId="2D10F5A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1DB4513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项目联系人（询问）：张峰</w:t>
      </w:r>
    </w:p>
    <w:p w14:paraId="6F37ECB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项目联系方式（询问）：13625856780 </w:t>
      </w:r>
    </w:p>
    <w:p w14:paraId="3F73CF0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质疑联系人：俞洪波             </w:t>
      </w:r>
    </w:p>
    <w:p w14:paraId="61E2F160">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 w:hAnsi="仿宋" w:eastAsia="仿宋" w:cs="仿宋"/>
          <w:color w:val="auto"/>
          <w:sz w:val="24"/>
          <w:highlight w:val="none"/>
        </w:rPr>
        <w:t>质疑联系方式：18106849337</w:t>
      </w:r>
      <w:r>
        <w:rPr>
          <w:rFonts w:hint="eastAsia" w:ascii="仿宋_GB2312" w:hAnsi="仿宋_GB2312" w:eastAsia="仿宋_GB2312" w:cs="仿宋_GB2312"/>
          <w:b w:val="0"/>
          <w:bCs w:val="0"/>
          <w:color w:val="auto"/>
          <w:sz w:val="24"/>
          <w:highlight w:val="none"/>
        </w:rPr>
        <w:t> 　　</w:t>
      </w:r>
    </w:p>
    <w:p w14:paraId="2F618227">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bCs/>
          <w:color w:val="auto"/>
          <w:sz w:val="24"/>
          <w:highlight w:val="none"/>
        </w:rPr>
        <w:t>3.</w:t>
      </w:r>
      <w:r>
        <w:rPr>
          <w:rFonts w:hint="eastAsia" w:ascii="仿宋_GB2312" w:hAnsi="仿宋_GB2312" w:eastAsia="仿宋_GB2312" w:cs="仿宋_GB2312"/>
          <w:b/>
          <w:color w:val="auto"/>
          <w:sz w:val="24"/>
          <w:highlight w:val="none"/>
        </w:rPr>
        <w:t xml:space="preserve">同级政府采购监督管理部门：            </w:t>
      </w:r>
    </w:p>
    <w:bookmarkEnd w:id="19"/>
    <w:bookmarkEnd w:id="20"/>
    <w:bookmarkEnd w:id="21"/>
    <w:bookmarkEnd w:id="22"/>
    <w:p w14:paraId="214D11FC">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名称：绍兴市财政局       </w:t>
      </w:r>
    </w:p>
    <w:p w14:paraId="48248D47">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地址：绍兴市越城区凤林西路151号       </w:t>
      </w:r>
    </w:p>
    <w:p w14:paraId="7C7C0951">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传真：0575-85209697       </w:t>
      </w:r>
    </w:p>
    <w:p w14:paraId="4E997C79">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联系人 ：张婷婷      </w:t>
      </w:r>
    </w:p>
    <w:p w14:paraId="1627340D">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监督投诉电话：0575-85209697 </w:t>
      </w:r>
      <w:r>
        <w:rPr>
          <w:rFonts w:hint="eastAsia" w:ascii="仿宋_GB2312" w:hAnsi="仿宋_GB2312" w:eastAsia="仿宋_GB2312" w:cs="仿宋_GB2312"/>
          <w:color w:val="auto"/>
          <w:sz w:val="24"/>
          <w:highlight w:val="none"/>
        </w:rPr>
        <w:t xml:space="preserve">   </w:t>
      </w:r>
    </w:p>
    <w:p w14:paraId="7D811888">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2963B56B">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14:paraId="7F28EE29">
      <w:pPr>
        <w:widowControl/>
        <w:kinsoku/>
        <w:wordWrap w:val="0"/>
        <w:overflowPunct/>
        <w:topLinePunct w:val="0"/>
        <w:bidi w:val="0"/>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14:paraId="170FBB86">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563A7EFE">
      <w:pPr>
        <w:kinsoku/>
        <w:wordWrap w:val="0"/>
        <w:overflowPunct/>
        <w:topLinePunct w:val="0"/>
        <w:bidi w:val="0"/>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638"/>
      </w:tblGrid>
      <w:tr w14:paraId="6C3BE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6653226">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493" w:type="dxa"/>
            <w:gridSpan w:val="2"/>
            <w:vAlign w:val="center"/>
          </w:tcPr>
          <w:p w14:paraId="7CF6466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14:paraId="4912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1708EE1">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493" w:type="dxa"/>
            <w:gridSpan w:val="2"/>
            <w:vAlign w:val="center"/>
          </w:tcPr>
          <w:p w14:paraId="1011D2E8">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投标人按照项目要求特许资格、资信证明文件（如有）：</w:t>
            </w:r>
          </w:p>
          <w:p w14:paraId="73C9B2D3">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DBA5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892FD85">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493" w:type="dxa"/>
            <w:gridSpan w:val="2"/>
            <w:vAlign w:val="center"/>
          </w:tcPr>
          <w:p w14:paraId="7155DA7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14:paraId="45B81B11">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14:paraId="23482384">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A96B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1F507774">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493" w:type="dxa"/>
            <w:gridSpan w:val="2"/>
            <w:vAlign w:val="center"/>
          </w:tcPr>
          <w:p w14:paraId="53685D0C">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14:paraId="210D5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34106E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493" w:type="dxa"/>
            <w:gridSpan w:val="2"/>
            <w:vAlign w:val="center"/>
          </w:tcPr>
          <w:p w14:paraId="6E9B040B">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14:paraId="3F873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900BD2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493" w:type="dxa"/>
            <w:gridSpan w:val="2"/>
            <w:vAlign w:val="center"/>
          </w:tcPr>
          <w:p w14:paraId="72E4DD7E">
            <w:pPr>
              <w:kinsoku/>
              <w:wordWrap w:val="0"/>
              <w:overflowPunct/>
              <w:topLinePunct w:val="0"/>
              <w:bidi w:val="0"/>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仿宋_GB2312" w:hAnsi="仿宋" w:eastAsia="仿宋_GB2312" w:cs="Arial"/>
                <w:color w:val="auto"/>
                <w:kern w:val="0"/>
                <w:sz w:val="24"/>
                <w:highlight w:val="none"/>
              </w:rPr>
              <w:sym w:font="Wingdings" w:char="00A8"/>
            </w:r>
            <w:r>
              <w:rPr>
                <w:rFonts w:ascii="仿宋_GB2312" w:hAnsi="仿宋" w:eastAsia="仿宋_GB2312" w:cs="Arial"/>
                <w:color w:val="auto"/>
                <w:kern w:val="0"/>
                <w:sz w:val="24"/>
                <w:highlight w:val="none"/>
              </w:rPr>
              <w:t xml:space="preserve"> 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14:paraId="3CF5B368">
            <w:pPr>
              <w:kinsoku/>
              <w:wordWrap w:val="0"/>
              <w:overflowPunct/>
              <w:topLinePunct w:val="0"/>
              <w:bidi w:val="0"/>
              <w:spacing w:line="440" w:lineRule="exact"/>
              <w:ind w:firstLine="720" w:firstLineChars="3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14:paraId="5D64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F712EE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493" w:type="dxa"/>
            <w:gridSpan w:val="2"/>
            <w:vAlign w:val="center"/>
          </w:tcPr>
          <w:p w14:paraId="7648EEA2">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14:paraId="774A6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93C8762">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493" w:type="dxa"/>
            <w:gridSpan w:val="2"/>
            <w:vAlign w:val="center"/>
          </w:tcPr>
          <w:p w14:paraId="0AFE2A28">
            <w:pPr>
              <w:kinsoku/>
              <w:wordWrap w:val="0"/>
              <w:overflowPunct/>
              <w:topLinePunct w:val="0"/>
              <w:autoSpaceDE w:val="0"/>
              <w:autoSpaceDN w:val="0"/>
              <w:bidi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14:paraId="1DEA378F">
            <w:pPr>
              <w:keepNext w:val="0"/>
              <w:keepLines w:val="0"/>
              <w:pageBreakBefore w:val="0"/>
              <w:widowControl w:val="0"/>
              <w:kinsoku/>
              <w:wordWrap w:val="0"/>
              <w:overflowPunct/>
              <w:topLinePunct w:val="0"/>
              <w:autoSpaceDE/>
              <w:autoSpaceDN/>
              <w:bidi w:val="0"/>
              <w:adjustRightInd w:val="0"/>
              <w:snapToGrid/>
              <w:spacing w:line="240" w:lineRule="auto"/>
              <w:textAlignment w:val="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7"/>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0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14:paraId="5430A638">
            <w:pPr>
              <w:kinsoku/>
              <w:wordWrap w:val="0"/>
              <w:overflowPunct/>
              <w:topLinePunct w:val="0"/>
              <w:autoSpaceDE w:val="0"/>
              <w:autoSpaceDN w:val="0"/>
              <w:bidi w:val="0"/>
              <w:spacing w:line="440" w:lineRule="exact"/>
              <w:textAlignment w:val="bottom"/>
              <w:rPr>
                <w:rFonts w:hint="eastAsia"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366665488"/>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14:paraId="30DA1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9236F83">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493" w:type="dxa"/>
            <w:gridSpan w:val="2"/>
            <w:vAlign w:val="center"/>
          </w:tcPr>
          <w:p w14:paraId="21663D07">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14:paraId="50F57C1B">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14:paraId="1582A327">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sym w:font="Wingdings 2" w:char="00A3"/>
            </w:r>
            <w:r>
              <w:rPr>
                <w:rFonts w:hint="eastAsia" w:ascii="仿宋_GB2312" w:hAnsi="仿宋_GB2312" w:eastAsia="仿宋_GB2312" w:cs="仿宋_GB2312"/>
                <w:color w:val="auto"/>
                <w:kern w:val="0"/>
                <w:sz w:val="24"/>
                <w:highlight w:val="none"/>
              </w:rPr>
              <w:t>B要求提供，</w:t>
            </w:r>
          </w:p>
          <w:p w14:paraId="71A5F8A6">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118EE229">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2F584002">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color w:val="auto"/>
                <w:sz w:val="24"/>
                <w:highlight w:val="none"/>
                <w:u w:val="single"/>
              </w:rPr>
              <w:t>评标办法</w:t>
            </w:r>
            <w:r>
              <w:rPr>
                <w:rFonts w:hint="eastAsia" w:ascii="仿宋_GB2312" w:hAnsi="仿宋_GB2312" w:eastAsia="仿宋_GB2312" w:cs="仿宋_GB2312"/>
                <w:color w:val="auto"/>
                <w:kern w:val="0"/>
                <w:sz w:val="24"/>
                <w:highlight w:val="none"/>
              </w:rPr>
              <w:t>；</w:t>
            </w:r>
          </w:p>
          <w:p w14:paraId="54046486">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w:t>
            </w:r>
            <w:r>
              <w:rPr>
                <w:rFonts w:hint="eastAsia" w:ascii="仿宋_GB2312" w:hAnsi="仿宋_GB2312" w:eastAsia="仿宋_GB2312" w:cs="仿宋_GB2312"/>
                <w:color w:val="auto"/>
                <w:kern w:val="0"/>
                <w:sz w:val="24"/>
                <w:highlight w:val="none"/>
              </w:rPr>
              <w:sym w:font="Wingdings 2" w:char="00A3"/>
            </w:r>
            <w:r>
              <w:rPr>
                <w:rFonts w:hint="eastAsia" w:ascii="仿宋_GB2312" w:hAnsi="仿宋_GB2312" w:eastAsia="仿宋_GB2312" w:cs="仿宋_GB2312"/>
                <w:color w:val="auto"/>
                <w:kern w:val="0"/>
                <w:sz w:val="24"/>
                <w:highlight w:val="none"/>
              </w:rPr>
              <w:t>否；□是，检测机构的要求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34993E16">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14:paraId="142E8CD8">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6439069">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p w14:paraId="30883675">
            <w:pPr>
              <w:pStyle w:val="81"/>
              <w:kinsoku/>
              <w:wordWrap w:val="0"/>
              <w:overflowPunct/>
              <w:topLinePunct w:val="0"/>
              <w:bidi w:val="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bCs/>
                <w:color w:val="auto"/>
                <w:sz w:val="24"/>
                <w:highlight w:val="none"/>
              </w:rPr>
              <w:t>（</w:t>
            </w:r>
            <w:r>
              <w:rPr>
                <w:rFonts w:hint="eastAsia" w:hAnsi="仿宋_GB2312" w:cs="仿宋_GB2312"/>
                <w:b/>
                <w:bCs/>
                <w:color w:val="auto"/>
                <w:sz w:val="24"/>
                <w:highlight w:val="none"/>
                <w:lang w:val="en-US" w:eastAsia="zh-CN"/>
              </w:rPr>
              <w:t>8</w:t>
            </w:r>
            <w:r>
              <w:rPr>
                <w:rFonts w:hint="eastAsia" w:ascii="仿宋_GB2312" w:hAnsi="仿宋_GB2312" w:eastAsia="仿宋_GB2312" w:cs="仿宋_GB2312"/>
                <w:b/>
                <w:bCs/>
                <w:color w:val="auto"/>
                <w:sz w:val="24"/>
                <w:highlight w:val="none"/>
              </w:rPr>
              <w:t>）</w:t>
            </w:r>
            <w:r>
              <w:rPr>
                <w:rFonts w:hint="eastAsia" w:ascii="仿宋_GB2312" w:hAnsi="仿宋_GB2312" w:eastAsia="仿宋_GB2312" w:cs="仿宋_GB2312"/>
                <w:b/>
                <w:bCs/>
                <w:color w:val="auto"/>
                <w:sz w:val="24"/>
                <w:highlight w:val="none"/>
                <w:lang w:eastAsia="zh-CN"/>
              </w:rPr>
              <w:t>未按招标文件要求提供样品或提供样品不满足采购需求实质性条件的，投标无效。</w:t>
            </w:r>
          </w:p>
        </w:tc>
      </w:tr>
      <w:tr w14:paraId="1ABF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82E6E82">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493" w:type="dxa"/>
            <w:gridSpan w:val="2"/>
            <w:vAlign w:val="center"/>
          </w:tcPr>
          <w:p w14:paraId="0B13509C">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方案讲解演示：</w:t>
            </w:r>
          </w:p>
          <w:p w14:paraId="7D8A786B">
            <w:pPr>
              <w:tabs>
                <w:tab w:val="center" w:pos="4077"/>
              </w:tabs>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sym w:font="Wingdings 2" w:char="0052"/>
            </w:r>
            <w:r>
              <w:rPr>
                <w:rFonts w:hint="eastAsia" w:ascii="仿宋_GB2312" w:hAnsi="仿宋_GB2312" w:eastAsia="仿宋_GB2312" w:cs="仿宋_GB2312"/>
                <w:color w:val="auto"/>
                <w:sz w:val="24"/>
                <w:szCs w:val="24"/>
                <w:highlight w:val="none"/>
              </w:rPr>
              <w:t>A无方案讲解演示。</w:t>
            </w:r>
            <w:r>
              <w:rPr>
                <w:rFonts w:hint="eastAsia" w:ascii="仿宋_GB2312" w:hAnsi="仿宋_GB2312" w:eastAsia="仿宋_GB2312" w:cs="仿宋_GB2312"/>
                <w:color w:val="auto"/>
                <w:sz w:val="24"/>
                <w:szCs w:val="24"/>
                <w:highlight w:val="none"/>
                <w:lang w:eastAsia="zh-CN"/>
              </w:rPr>
              <w:tab/>
            </w:r>
          </w:p>
          <w:p w14:paraId="6C83BB47">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□B有方案讲解演示：</w:t>
            </w:r>
          </w:p>
          <w:p w14:paraId="6704273F">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szCs w:val="24"/>
                <w:highlight w:val="none"/>
                <w:u w:val="single"/>
                <w:lang w:val="en-US" w:eastAsia="zh-CN"/>
              </w:rPr>
              <w:t>20</w:t>
            </w:r>
            <w:r>
              <w:rPr>
                <w:rFonts w:hint="eastAsia" w:ascii="仿宋_GB2312" w:hAnsi="仿宋_GB2312" w:eastAsia="仿宋_GB2312" w:cs="仿宋_GB2312"/>
                <w:color w:val="auto"/>
                <w:sz w:val="24"/>
                <w:szCs w:val="24"/>
                <w:highlight w:val="none"/>
                <w:lang w:val="zh-CN"/>
              </w:rPr>
              <w:t>分钟，讲解次序以投标文件解密时间先后次序为准。讲解演示结束后按要求解答评标委员会提问。</w:t>
            </w:r>
          </w:p>
          <w:p w14:paraId="522122F7">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（2）方案讲解演示可选择以下其中一种方式：</w:t>
            </w:r>
          </w:p>
          <w:p w14:paraId="6E85AD3F">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方式一：政采云平台在线讲解演示。政采云平台在线讲解需供应商根据政采云平台操作要求做好准备工作，提前完善软硬件配置环境。</w:t>
            </w:r>
          </w:p>
          <w:p w14:paraId="612F5372">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方式二：现场讲解演示。现场讲解地点为</w:t>
            </w:r>
            <w:r>
              <w:rPr>
                <w:rFonts w:hint="eastAsia" w:ascii="仿宋_GB2312" w:hAnsi="仿宋_GB2312" w:eastAsia="仿宋_GB2312" w:cs="仿宋_GB2312"/>
                <w:color w:val="auto"/>
                <w:sz w:val="24"/>
                <w:szCs w:val="24"/>
                <w:highlight w:val="none"/>
                <w:u w:val="single"/>
                <w:lang w:val="zh-CN"/>
              </w:rPr>
              <w:t xml:space="preserve">     </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lang w:val="en-US" w:eastAsia="zh-CN"/>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1444284C">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4C4E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B87139F">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14:paraId="1BDDB605">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lang w:eastAsia="zh-CN"/>
              </w:rPr>
              <w:t>进口</w:t>
            </w:r>
            <w:r>
              <w:rPr>
                <w:rFonts w:hint="eastAsia" w:ascii="仿宋_GB2312" w:hAnsi="仿宋_GB2312" w:eastAsia="仿宋_GB2312" w:cs="仿宋_GB2312"/>
                <w:b/>
                <w:color w:val="auto"/>
                <w:sz w:val="24"/>
                <w:highlight w:val="none"/>
              </w:rPr>
              <w:t>产品</w:t>
            </w:r>
          </w:p>
        </w:tc>
        <w:tc>
          <w:tcPr>
            <w:tcW w:w="7638" w:type="dxa"/>
            <w:vAlign w:val="center"/>
          </w:tcPr>
          <w:p w14:paraId="1EDC3282">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hint="eastAsia" w:ascii="仿宋_GB2312" w:hAnsi="仿宋_GB2312" w:eastAsia="仿宋_GB2312" w:cs="仿宋_GB2312"/>
                <w:color w:val="auto"/>
                <w:kern w:val="0"/>
                <w:sz w:val="24"/>
                <w:highlight w:val="none"/>
              </w:rPr>
              <w:t>本项目不允许采购进口产品。</w:t>
            </w:r>
          </w:p>
          <w:p w14:paraId="59E94BBB">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DEFD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BEDE7CA">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855" w:type="dxa"/>
            <w:vAlign w:val="center"/>
          </w:tcPr>
          <w:p w14:paraId="19473666">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638" w:type="dxa"/>
            <w:vAlign w:val="center"/>
          </w:tcPr>
          <w:p w14:paraId="67641C8F">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货物类，单一产品或</w:t>
            </w:r>
            <w:r>
              <w:rPr>
                <w:rFonts w:hint="eastAsia" w:ascii="仿宋_GB2312" w:hAnsi="仿宋_GB2312" w:eastAsia="仿宋_GB2312" w:cs="仿宋_GB2312"/>
                <w:color w:val="auto"/>
                <w:kern w:val="0"/>
                <w:sz w:val="24"/>
                <w:highlight w:val="none"/>
              </w:rPr>
              <w:t>核心产品为：</w:t>
            </w:r>
            <w:r>
              <w:rPr>
                <w:rFonts w:hint="eastAsia" w:ascii="仿宋" w:hAnsi="仿宋" w:eastAsia="仿宋" w:cs="仿宋"/>
                <w:color w:val="auto"/>
                <w:sz w:val="24"/>
                <w:highlight w:val="none"/>
                <w:u w:val="single"/>
                <w:lang w:val="en-US" w:eastAsia="zh-CN"/>
              </w:rPr>
              <w:t>智能平板火化炉（含炉内、外烟道）</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775990DF">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☐B</w:t>
            </w:r>
            <w:r>
              <w:rPr>
                <w:rFonts w:hint="eastAsia" w:ascii="仿宋_GB2312" w:hAnsi="仿宋_GB2312" w:eastAsia="仿宋_GB2312" w:cs="仿宋_GB2312"/>
                <w:color w:val="auto"/>
                <w:sz w:val="24"/>
                <w:highlight w:val="none"/>
              </w:rPr>
              <w:t>服务类。</w:t>
            </w:r>
          </w:p>
        </w:tc>
      </w:tr>
      <w:tr w14:paraId="5E14B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E94C755">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855" w:type="dxa"/>
            <w:vAlign w:val="center"/>
          </w:tcPr>
          <w:p w14:paraId="45104FF3">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638" w:type="dxa"/>
            <w:vAlign w:val="center"/>
          </w:tcPr>
          <w:p w14:paraId="6403A7B5">
            <w:pPr>
              <w:snapToGrid w:val="0"/>
              <w:spacing w:line="360" w:lineRule="auto"/>
              <w:rPr>
                <w:rFonts w:hint="eastAsia" w:ascii="仿宋_GB2312" w:hAnsi="仿宋_GB2312" w:eastAsia="仿宋_GB2312" w:cs="仿宋_GB2312"/>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01标</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工业</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p>
        </w:tc>
      </w:tr>
      <w:tr w14:paraId="612E8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7034D2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855" w:type="dxa"/>
            <w:vMerge w:val="restart"/>
            <w:vAlign w:val="center"/>
          </w:tcPr>
          <w:p w14:paraId="46FF6BC8">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638" w:type="dxa"/>
            <w:vAlign w:val="center"/>
          </w:tcPr>
          <w:p w14:paraId="33F7CF5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14:paraId="2E314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957F8D7">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14:paraId="4D26E2EA">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638" w:type="dxa"/>
            <w:vAlign w:val="center"/>
          </w:tcPr>
          <w:p w14:paraId="2BD45F8E">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14:paraId="1D16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4B2F7DF">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14:paraId="3EC73EFF">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638" w:type="dxa"/>
            <w:vAlign w:val="center"/>
          </w:tcPr>
          <w:p w14:paraId="153A824E">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经查询列入失信被执行人名单、重大税收违法案件当事人名单、政府采购严重违法失信行为记录名单的投标人将被拒绝参与政府采购活动。</w:t>
            </w:r>
          </w:p>
          <w:p w14:paraId="6229CCBA">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200F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162F411">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4</w:t>
            </w:r>
          </w:p>
        </w:tc>
        <w:tc>
          <w:tcPr>
            <w:tcW w:w="8493" w:type="dxa"/>
            <w:gridSpan w:val="2"/>
            <w:vAlign w:val="center"/>
          </w:tcPr>
          <w:p w14:paraId="56B99793">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14:paraId="22BCD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1686B4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5</w:t>
            </w:r>
          </w:p>
        </w:tc>
        <w:tc>
          <w:tcPr>
            <w:tcW w:w="8493" w:type="dxa"/>
            <w:gridSpan w:val="2"/>
            <w:vAlign w:val="center"/>
          </w:tcPr>
          <w:p w14:paraId="42ADEED0">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14:paraId="6171E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74355C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w:t>
            </w:r>
          </w:p>
        </w:tc>
        <w:tc>
          <w:tcPr>
            <w:tcW w:w="8493" w:type="dxa"/>
            <w:gridSpan w:val="2"/>
            <w:vAlign w:val="center"/>
          </w:tcPr>
          <w:p w14:paraId="1DA9A61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14:paraId="326A7C2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14:paraId="084DBC84">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754597D">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14:paraId="0AC6A49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14:paraId="0942C060">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_GB2312" w:hAnsi="仿宋_GB2312" w:eastAsia="仿宋_GB2312" w:cs="仿宋_GB2312"/>
                <w:color w:val="auto"/>
                <w:sz w:val="24"/>
                <w:highlight w:val="none"/>
                <w:lang w:eastAsia="zh-CN"/>
              </w:rPr>
              <w:t>95763</w:t>
            </w:r>
            <w:r>
              <w:rPr>
                <w:rFonts w:hint="eastAsia" w:ascii="仿宋_GB2312" w:hAnsi="仿宋_GB2312" w:eastAsia="仿宋_GB2312" w:cs="仿宋_GB2312"/>
                <w:color w:val="auto"/>
                <w:sz w:val="24"/>
                <w:highlight w:val="none"/>
              </w:rPr>
              <w:t>。</w:t>
            </w:r>
          </w:p>
          <w:p w14:paraId="2A9E7598">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14:paraId="4974153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14:paraId="1E383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847B9A2">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7</w:t>
            </w:r>
          </w:p>
        </w:tc>
        <w:tc>
          <w:tcPr>
            <w:tcW w:w="8493" w:type="dxa"/>
            <w:gridSpan w:val="2"/>
            <w:vAlign w:val="center"/>
          </w:tcPr>
          <w:p w14:paraId="4FE90BB4">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14:paraId="7C0DEC37">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14:paraId="500D5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5C278AE">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p>
        </w:tc>
        <w:tc>
          <w:tcPr>
            <w:tcW w:w="8493" w:type="dxa"/>
            <w:gridSpan w:val="2"/>
            <w:vAlign w:val="center"/>
          </w:tcPr>
          <w:p w14:paraId="36774388">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snapToGrid w:val="0"/>
                <w:color w:val="auto"/>
                <w:kern w:val="28"/>
                <w:sz w:val="24"/>
                <w:highlight w:val="none"/>
              </w:rPr>
            </w:pPr>
            <w:r>
              <w:rPr>
                <w:rFonts w:hint="eastAsia" w:ascii="仿宋_GB2312" w:hAnsi="仿宋_GB2312" w:eastAsia="仿宋_GB2312" w:cs="仿宋_GB2312"/>
                <w:color w:val="auto"/>
                <w:kern w:val="0"/>
                <w:sz w:val="24"/>
                <w:highlight w:val="none"/>
                <w:lang w:eastAsia="zh-CN"/>
              </w:rPr>
              <w:sym w:font="Wingdings 2" w:char="00A3"/>
            </w:r>
            <w:r>
              <w:rPr>
                <w:rFonts w:hint="eastAsia" w:ascii="仿宋_GB2312" w:hAnsi="仿宋_GB2312" w:eastAsia="仿宋_GB2312" w:cs="仿宋_GB2312"/>
                <w:snapToGrid w:val="0"/>
                <w:color w:val="auto"/>
                <w:kern w:val="28"/>
                <w:sz w:val="24"/>
                <w:highlight w:val="none"/>
              </w:rPr>
              <w:t>联合体投标的，联合体各方均需按招标文件第五部分评标标准要求提供资信证明文件，否则视为不符合相关要求。</w:t>
            </w:r>
          </w:p>
          <w:p w14:paraId="5409A88D">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hint="eastAsia" w:ascii="仿宋_GB2312" w:hAnsi="仿宋_GB2312" w:eastAsia="仿宋_GB2312" w:cs="仿宋_GB2312"/>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855F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1CC1BDA">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18</w:t>
            </w:r>
          </w:p>
        </w:tc>
        <w:tc>
          <w:tcPr>
            <w:tcW w:w="8493" w:type="dxa"/>
            <w:gridSpan w:val="2"/>
            <w:vAlign w:val="center"/>
          </w:tcPr>
          <w:p w14:paraId="1E2A557E">
            <w:pPr>
              <w:keepNext w:val="0"/>
              <w:keepLines w:val="0"/>
              <w:suppressLineNumbers w:val="0"/>
              <w:spacing w:before="0" w:beforeAutospacing="0" w:after="0" w:afterAutospacing="0" w:line="288" w:lineRule="auto"/>
              <w:ind w:left="0" w:right="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采购代理服务费：</w:t>
            </w:r>
          </w:p>
          <w:p w14:paraId="15E88741">
            <w:pPr>
              <w:keepNext w:val="0"/>
              <w:keepLines w:val="0"/>
              <w:suppressLineNumbers w:val="0"/>
              <w:spacing w:before="0" w:beforeAutospacing="0" w:after="0" w:afterAutospacing="0" w:line="288"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采购代理服务费按下列货物招标差额定率累进法计算方式计取后由中标人支付。成交金额100万元以下的部分,货物类采购费率1.50%; 成交金额100万元至500万元的部分,货物类采购费率1.10%; 成交金额500万元至1000万元的部分,货物类采购费率0.80%。</w:t>
            </w:r>
          </w:p>
          <w:p w14:paraId="30481AC8">
            <w:pPr>
              <w:keepNext w:val="0"/>
              <w:keepLines w:val="0"/>
              <w:suppressLineNumbers w:val="0"/>
              <w:spacing w:before="0" w:beforeAutospacing="0" w:after="0" w:afterAutospacing="0" w:line="288"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代理服务费的交纳方式：</w:t>
            </w:r>
          </w:p>
          <w:p w14:paraId="4D9105FA">
            <w:pPr>
              <w:keepNext w:val="0"/>
              <w:keepLines w:val="0"/>
              <w:suppressLineNumbers w:val="0"/>
              <w:spacing w:before="0" w:beforeAutospacing="0" w:after="0" w:afterAutospacing="0" w:line="288"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32F65614">
            <w:pPr>
              <w:keepNext w:val="0"/>
              <w:keepLines w:val="0"/>
              <w:suppressLineNumbers w:val="0"/>
              <w:spacing w:before="0" w:beforeAutospacing="0" w:after="0" w:afterAutospacing="0" w:line="288"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公司名称：浙江华夏工程管理有限公司绍兴分公司</w:t>
            </w:r>
          </w:p>
          <w:p w14:paraId="51E3C0CD">
            <w:pPr>
              <w:keepNext w:val="0"/>
              <w:keepLines w:val="0"/>
              <w:suppressLineNumbers w:val="0"/>
              <w:spacing w:before="0" w:beforeAutospacing="0" w:after="0" w:afterAutospacing="0" w:line="288"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号：1211018109200094088</w:t>
            </w:r>
          </w:p>
          <w:p w14:paraId="72D2AEDA">
            <w:pPr>
              <w:keepNext w:val="0"/>
              <w:keepLines w:val="0"/>
              <w:suppressLineNumbers w:val="0"/>
              <w:spacing w:before="0" w:beforeAutospacing="0" w:after="0" w:afterAutospacing="0" w:line="288"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开 户 行：工商银行城东新区支行</w:t>
            </w:r>
          </w:p>
          <w:p w14:paraId="6DF57F64">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szCs w:val="21"/>
                <w:highlight w:val="none"/>
                <w:lang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领取中标通知书前交纳。</w:t>
            </w:r>
          </w:p>
        </w:tc>
      </w:tr>
      <w:tr w14:paraId="62C7C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14:paraId="50128A6F">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14:paraId="4027E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14:paraId="42A7FE9D">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9"/>
    </w:tbl>
    <w:p w14:paraId="2B09D0D3">
      <w:pPr>
        <w:keepNext w:val="0"/>
        <w:keepLines w:val="0"/>
        <w:pageBreakBefore/>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2"/>
          <w:szCs w:val="32"/>
          <w:highlight w:val="none"/>
        </w:rPr>
      </w:pPr>
      <w:bookmarkStart w:id="23" w:name="_Hlt74707468"/>
      <w:bookmarkEnd w:id="23"/>
      <w:bookmarkStart w:id="24" w:name="_Hlt68057669"/>
      <w:bookmarkEnd w:id="24"/>
      <w:bookmarkStart w:id="25" w:name="_Hlt68073093"/>
      <w:bookmarkEnd w:id="25"/>
      <w:bookmarkStart w:id="26" w:name="_Hlt74714665"/>
      <w:bookmarkEnd w:id="26"/>
      <w:bookmarkStart w:id="27" w:name="_Hlt75236011"/>
      <w:bookmarkEnd w:id="27"/>
      <w:bookmarkStart w:id="28" w:name="_Hlt75236101"/>
      <w:bookmarkEnd w:id="28"/>
      <w:bookmarkStart w:id="29" w:name="_Hlt68072990"/>
      <w:bookmarkEnd w:id="29"/>
      <w:bookmarkStart w:id="30" w:name="_Hlt68403820"/>
      <w:bookmarkEnd w:id="30"/>
      <w:bookmarkStart w:id="31" w:name="_Hlt68072998"/>
      <w:bookmarkEnd w:id="31"/>
      <w:bookmarkStart w:id="32" w:name="_Hlt74730295"/>
      <w:bookmarkEnd w:id="32"/>
      <w:bookmarkStart w:id="33" w:name="_Hlt75236290"/>
      <w:bookmarkEnd w:id="33"/>
      <w:bookmarkStart w:id="34" w:name="_Hlt74729768"/>
      <w:bookmarkEnd w:id="34"/>
      <w:bookmarkStart w:id="35" w:name="第三部分"/>
      <w:bookmarkStart w:id="36" w:name="_Toc164416483"/>
      <w:r>
        <w:rPr>
          <w:rFonts w:hint="eastAsia" w:ascii="仿宋_GB2312" w:hAnsi="仿宋_GB2312" w:eastAsia="仿宋_GB2312" w:cs="仿宋_GB2312"/>
          <w:b/>
          <w:color w:val="auto"/>
          <w:sz w:val="32"/>
          <w:szCs w:val="32"/>
          <w:highlight w:val="none"/>
        </w:rPr>
        <w:t>一、总则</w:t>
      </w:r>
    </w:p>
    <w:p w14:paraId="2C43A2C7">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14:paraId="4D5C9BB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14:paraId="38F04FDA">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14:paraId="12A41ABA">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14:paraId="7EBB894B">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14:paraId="43087A49">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14:paraId="675B3659">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14:paraId="30CB7160">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14:paraId="072B5FDB">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9CD03D1">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14:paraId="1822AD1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sz w:val="24"/>
          <w:highlight w:val="none"/>
          <w:lang w:val="en" w:eastAsia="zh-CN"/>
        </w:rPr>
        <w:t>☑</w:t>
      </w:r>
      <w:r>
        <w:rPr>
          <w:rFonts w:hint="eastAsia" w:ascii="仿宋_GB2312" w:hAnsi="仿宋_GB2312" w:eastAsia="仿宋_GB2312" w:cs="仿宋_GB2312"/>
          <w:color w:val="auto"/>
          <w:sz w:val="24"/>
          <w:highlight w:val="none"/>
        </w:rPr>
        <w:t>” 系指适用本项目的要求，“☐” 系指不适用本项目的要求。</w:t>
      </w:r>
    </w:p>
    <w:p w14:paraId="42ED76F4">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14:paraId="6619DFFD">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6E3F93D">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14:paraId="4F5D9C36">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D462FFD">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40A3EC84">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14:paraId="2473F249">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11E2152">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14:paraId="4DE817D7">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14:paraId="67F8A996">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3DF5826">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14:paraId="6414B05C">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14:paraId="64A32CAB">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14:paraId="1834CB8F">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14:paraId="42723516">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w:t>
      </w:r>
    </w:p>
    <w:p w14:paraId="01FD6DCE">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172709B7">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14:paraId="4533E300">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14:paraId="71EFED0E">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0FABED0">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3.4支持科技创新发展</w:t>
      </w:r>
    </w:p>
    <w:p w14:paraId="04DC127B">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14:paraId="10FDE1B3">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14:paraId="50EEDC3D">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14:paraId="3D125A74">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14:paraId="71757F27">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14:paraId="0D5F130B">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14:paraId="2DFE70D9">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17DC339">
      <w:pPr>
        <w:pStyle w:val="81"/>
        <w:kinsoku/>
        <w:wordWrap w:val="0"/>
        <w:overflowPunct/>
        <w:topLinePunct w:val="0"/>
        <w:bidi w:val="0"/>
        <w:rPr>
          <w:rFonts w:hint="eastAsia" w:ascii="仿宋_GB2312" w:hAnsi="仿宋_GB2312" w:eastAsia="仿宋_GB2312" w:cs="仿宋_GB2312"/>
          <w:color w:val="auto"/>
          <w:highlight w:val="none"/>
        </w:rPr>
      </w:pPr>
    </w:p>
    <w:p w14:paraId="2168C582">
      <w:pPr>
        <w:pStyle w:val="132"/>
        <w:pageBreakBefore w:val="0"/>
        <w:kinsoku/>
        <w:wordWrap w:val="0"/>
        <w:overflowPunct/>
        <w:topLinePunct w:val="0"/>
        <w:bidi w:val="0"/>
        <w:snapToGrid w:val="0"/>
        <w:spacing w:before="0" w:beforeAutospacing="0" w:line="440" w:lineRule="exact"/>
        <w:ind w:left="0" w:leftChars="0" w:firstLine="360"/>
        <w:textAlignment w:val="auto"/>
        <w:rPr>
          <w:rFonts w:hint="eastAsia" w:ascii="仿宋_GB2312" w:hAnsi="仿宋_GB2312" w:eastAsia="仿宋_GB2312" w:cs="仿宋_GB2312"/>
          <w:color w:val="auto"/>
          <w:sz w:val="32"/>
          <w:szCs w:val="32"/>
          <w:highlight w:val="none"/>
        </w:rPr>
      </w:pPr>
    </w:p>
    <w:p w14:paraId="28B051D9">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14:paraId="77A4FC78">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14:paraId="5DEDEAA2">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14:paraId="02433EE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14:paraId="7AFD9C8A">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14:paraId="2C7FC2A9">
      <w:pPr>
        <w:pStyle w:val="25"/>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14:paraId="2C412B7B">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14:paraId="75EAF2C1">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 投标费用</w:t>
      </w:r>
    </w:p>
    <w:p w14:paraId="159401B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14:paraId="62688B3C">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 招标文件的修改</w:t>
      </w:r>
    </w:p>
    <w:p w14:paraId="41C440C1">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14:paraId="283B63EB">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14:paraId="198959AF">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071D35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14:paraId="5780345F">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E82D4A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31AF0CF">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14:paraId="4CAC167D">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3EC6A376">
      <w:pPr>
        <w:pStyle w:val="23"/>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14:paraId="135FB3C1">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14:paraId="343F7E88">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14:paraId="5594EE2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14:paraId="0423250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14:paraId="75BA7EA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14:paraId="0BF11F3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14:paraId="2AE1C58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14:paraId="785C4AE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14:paraId="3EA4AC6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14:paraId="5536B80A">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14:paraId="4261AA7A">
      <w:pPr>
        <w:pStyle w:val="33"/>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14:paraId="54E22D47">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w:t>
      </w:r>
      <w:r>
        <w:rPr>
          <w:rFonts w:hint="eastAsia" w:ascii="仿宋_GB2312" w:hAnsi="仿宋_GB2312" w:eastAsia="仿宋_GB2312" w:cs="仿宋_GB2312"/>
          <w:color w:val="auto"/>
          <w:sz w:val="24"/>
          <w:highlight w:val="none"/>
        </w:rPr>
        <w:t>“商务技术文件资料”、“报价文件资料”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14:paraId="23325605">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14:paraId="7CE9D7DB">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14:paraId="27A614D3">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2.1.2联合协议（如果有)；</w:t>
      </w:r>
    </w:p>
    <w:p w14:paraId="777249B3">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14:paraId="7A7E1F65">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落实政府采购政策需满足的资格要求（如果有)；</w:t>
      </w:r>
    </w:p>
    <w:p w14:paraId="5836B6B5">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本项目的特定资格要求（如果有)。</w:t>
      </w:r>
    </w:p>
    <w:p w14:paraId="780444E3">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2.</w:t>
      </w:r>
      <w:r>
        <w:rPr>
          <w:rFonts w:hint="eastAsia" w:ascii="仿宋_GB2312" w:hAnsi="仿宋_GB2312" w:eastAsia="仿宋_GB2312" w:cs="仿宋_GB2312"/>
          <w:b/>
          <w:color w:val="auto"/>
          <w:sz w:val="24"/>
          <w:highlight w:val="none"/>
        </w:rPr>
        <w:t>2商务技术</w:t>
      </w:r>
      <w:r>
        <w:rPr>
          <w:rFonts w:hint="eastAsia" w:ascii="仿宋_GB2312" w:hAnsi="仿宋_GB2312" w:eastAsia="仿宋_GB2312" w:cs="仿宋_GB2312"/>
          <w:b/>
          <w:color w:val="auto"/>
          <w:sz w:val="24"/>
          <w:highlight w:val="none"/>
          <w:lang w:val="zh-CN"/>
        </w:rPr>
        <w:t>文件：</w:t>
      </w:r>
    </w:p>
    <w:p w14:paraId="469A5612">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.2.1投标函；</w:t>
      </w:r>
      <w:r>
        <w:rPr>
          <w:rFonts w:hint="eastAsia" w:ascii="仿宋_GB2312" w:hAnsi="仿宋_GB2312" w:eastAsia="仿宋_GB2312" w:cs="仿宋_GB2312"/>
          <w:color w:val="auto"/>
          <w:sz w:val="24"/>
          <w:highlight w:val="none"/>
          <w:lang w:val="zh-CN"/>
        </w:rPr>
        <w:t xml:space="preserve"> </w:t>
      </w:r>
    </w:p>
    <w:p w14:paraId="08F84610">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2.2.2法定代表人授权委托书；</w:t>
      </w:r>
    </w:p>
    <w:p w14:paraId="14B0305E">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法定代表人及其授权代表身份证复印件；</w:t>
      </w:r>
    </w:p>
    <w:p w14:paraId="1E5AD8C3">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授权代表社保证明；</w:t>
      </w:r>
    </w:p>
    <w:p w14:paraId="5A621D4E">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法定代表人身份证明书；</w:t>
      </w:r>
    </w:p>
    <w:p w14:paraId="448381D7">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713975F">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14:paraId="105101AC">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D0A4F2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2.2.9供应商应提供针对项目的完整技术解决方案：</w:t>
      </w:r>
    </w:p>
    <w:p w14:paraId="6A106DEB">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4B8F5D96">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8AB7CE3">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647E7227">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7C639697">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67513A7">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14:paraId="37C411B4">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CBD1781">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44DEF895">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27D37984">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14:paraId="258810E3">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14:paraId="7468FF4E">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14:paraId="6500E190">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14:paraId="6788BAEF">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14:paraId="39FBFFBC">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.3.1开标一览表（报价表）；</w:t>
      </w:r>
    </w:p>
    <w:p w14:paraId="0C3ECF70">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.3.2中小企业声明函</w:t>
      </w:r>
      <w:r>
        <w:rPr>
          <w:rFonts w:hint="eastAsia" w:ascii="仿宋_GB2312" w:hAnsi="仿宋_GB2312" w:eastAsia="仿宋_GB2312" w:cs="仿宋_GB2312"/>
          <w:color w:val="auto"/>
          <w:sz w:val="24"/>
          <w:highlight w:val="none"/>
          <w:lang w:eastAsia="zh-CN"/>
        </w:rPr>
        <w:t>（如有）</w:t>
      </w:r>
      <w:r>
        <w:rPr>
          <w:rFonts w:hint="eastAsia" w:ascii="仿宋_GB2312" w:hAnsi="仿宋_GB2312" w:eastAsia="仿宋_GB2312" w:cs="仿宋_GB2312"/>
          <w:color w:val="auto"/>
          <w:sz w:val="24"/>
          <w:highlight w:val="none"/>
        </w:rPr>
        <w:t>。</w:t>
      </w:r>
    </w:p>
    <w:p w14:paraId="55455C6D">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val="0"/>
          <w:bCs w:val="0"/>
          <w:i w:val="0"/>
          <w:iCs w:val="0"/>
          <w:snapToGrid w:val="0"/>
          <w:color w:val="auto"/>
          <w:kern w:val="2"/>
          <w:sz w:val="24"/>
          <w:szCs w:val="24"/>
          <w:highlight w:val="none"/>
          <w:vertAlign w:val="baseline"/>
          <w:lang w:val="en-US" w:eastAsia="zh-CN" w:bidi="ar-SA"/>
        </w:rPr>
        <w:t>2.3.3 残疾人福利性单位声明函（如有）</w:t>
      </w:r>
    </w:p>
    <w:p w14:paraId="10DDCD7D">
      <w:pPr>
        <w:kinsoku/>
        <w:wordWrap w:val="0"/>
        <w:overflowPunct/>
        <w:topLinePunct w:val="0"/>
        <w:bidi w:val="0"/>
        <w:adjustRightInd w:val="0"/>
        <w:snapToGrid w:val="0"/>
        <w:spacing w:line="440" w:lineRule="exact"/>
        <w:ind w:firstLine="482" w:firstLineChars="200"/>
        <w:jc w:val="both"/>
        <w:rPr>
          <w:rFonts w:hint="eastAsia" w:ascii="仿宋_GB2312" w:hAnsi="仿宋_GB2312" w:eastAsia="仿宋_GB2312" w:cs="仿宋_GB2312"/>
          <w:b/>
          <w:bCs/>
          <w:color w:val="auto"/>
          <w:sz w:val="32"/>
          <w:highlight w:val="none"/>
        </w:rPr>
      </w:pPr>
      <w:r>
        <w:rPr>
          <w:rFonts w:hint="eastAsia" w:ascii="仿宋_GB2312" w:hAnsi="仿宋_GB2312" w:eastAsia="仿宋_GB2312" w:cs="仿宋_GB2312"/>
          <w:b/>
          <w:bCs/>
          <w:i w:val="0"/>
          <w:iCs w:val="0"/>
          <w:snapToGrid/>
          <w:color w:val="auto"/>
          <w:kern w:val="2"/>
          <w:sz w:val="24"/>
          <w:szCs w:val="20"/>
          <w:highlight w:val="none"/>
          <w:vertAlign w:val="baseline"/>
          <w:lang w:val="en-US" w:eastAsia="zh-CN" w:bidi="ar-SA"/>
        </w:rPr>
        <w:t>3.投标报价</w:t>
      </w:r>
    </w:p>
    <w:p w14:paraId="176C66EF">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1D425763">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3.2招标文件未列明，而投标人认为必需的费用也需列入报价。</w:t>
      </w:r>
    </w:p>
    <w:p w14:paraId="480AEC92">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39B34630">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3.4投标人提供虚假材料投标的，投标无效。</w:t>
      </w:r>
    </w:p>
    <w:p w14:paraId="4E8D8397">
      <w:pPr>
        <w:pStyle w:val="132"/>
        <w:kinsoku/>
        <w:wordWrap w:val="0"/>
        <w:overflowPunct/>
        <w:topLinePunct w:val="0"/>
        <w:bidi w:val="0"/>
        <w:snapToGrid w:val="0"/>
        <w:spacing w:before="0" w:line="440" w:lineRule="exact"/>
        <w:ind w:firstLine="482" w:firstLineChars="200"/>
        <w:outlineLvl w:val="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14:paraId="5FF65224">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85EB80B">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868D877">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14:paraId="140C2B98">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14:paraId="232C4D6E">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7EF6B51">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14:paraId="0D5D4AFB">
      <w:pPr>
        <w:pStyle w:val="132"/>
        <w:kinsoku/>
        <w:wordWrap w:val="0"/>
        <w:overflowPunct/>
        <w:topLinePunct w:val="0"/>
        <w:bidi w:val="0"/>
        <w:spacing w:before="0" w:line="440" w:lineRule="exact"/>
        <w:ind w:firstLine="482"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14:paraId="4A6524F3">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D720F70">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13AEACD7">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630E25C1">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14:paraId="0B02E8F6">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6D18967B">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3ED96F9B">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2227D7E4">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37" w:name="_Toc91899903"/>
      <w:r>
        <w:rPr>
          <w:rFonts w:hint="eastAsia" w:ascii="仿宋_GB2312" w:hAnsi="仿宋_GB2312" w:eastAsia="仿宋_GB2312" w:cs="仿宋_GB2312"/>
          <w:b/>
          <w:color w:val="auto"/>
          <w:sz w:val="32"/>
          <w:szCs w:val="32"/>
          <w:highlight w:val="none"/>
        </w:rPr>
        <w:t>四、开标和评标</w:t>
      </w:r>
    </w:p>
    <w:p w14:paraId="0AAE3FA5">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14:paraId="1934DC7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14:paraId="4390250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14:paraId="469FF52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14:paraId="782180D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14:paraId="3D7DE2D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0D3A4E24">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14:paraId="7A186AB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14:paraId="09094CE4">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14:paraId="434C1A52">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14:paraId="41AD689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14:paraId="7DD60AF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14:paraId="3A87610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14:paraId="247565E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14:paraId="78B2CC3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14:paraId="79256F9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0CEE45A">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14:paraId="2FDD4D24">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14:paraId="6E9FB7C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3.2评标委员会由采购人代表和有关方面的专家组成，成员人数为五人以上单数。</w:t>
      </w:r>
    </w:p>
    <w:p w14:paraId="441AC37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14:paraId="25E52B8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5F37454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934FED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14:paraId="4F18F23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BE45BB4">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14:paraId="184F15B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14:paraId="6129656F">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14:paraId="49559394">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14:paraId="1F63CCC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14:paraId="478C3F8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14:paraId="1C2F47A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D63516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3B6D151B">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14:paraId="68C7959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14:paraId="50E67CF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14:paraId="67F1A99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14:paraId="095002B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14:paraId="7311113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6105C45">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14:paraId="60280A3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14:paraId="2BD7F6E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254BBF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14:paraId="17FE528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6604CD1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14:paraId="3C572BF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14:paraId="7E2269F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14:paraId="5ABBAE0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035931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3306063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14:paraId="0F0184B4">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4C6AE71B">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14:paraId="3A78E570">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E5CC5D2">
      <w:pPr>
        <w:pStyle w:val="33"/>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14:paraId="7B401011">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14:paraId="1957A72E">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14:paraId="21EA54E9">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14:paraId="381B37EE">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14:paraId="7F48403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14:paraId="1688CE61">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14:paraId="1695D813">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14:paraId="68C9EEE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14:paraId="44356888">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14:paraId="11460A37">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14:paraId="3DC03C7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14:paraId="3F0EAEC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178F6E76">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14:paraId="07F0A61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14:paraId="64FEF5DA">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A71E59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14:paraId="4DFF9962">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14:paraId="226D1928">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342DE5DA">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14:paraId="67BE623E">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14:paraId="2F6EEDB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14:paraId="5636C819">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14:paraId="19362CB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14:paraId="17143596">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14:paraId="7FA8C577">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14:paraId="572976CF">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14:paraId="09F16797">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14:paraId="5A34BACD">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14:paraId="06D0BD41">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14:paraId="00019AD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14:paraId="5274662C">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14:paraId="05FE239F">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14:paraId="7ACC1C66">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7DA9F61">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14:paraId="29A82317">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14:paraId="4125EA8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14:paraId="6D064B4A">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14:paraId="7B222B2E">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14:paraId="2D332391">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14:paraId="681C5820">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14:paraId="1381438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14:paraId="6167DCB6">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14:paraId="5320D526">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8.24投标文件出现不是唯一的、有选择性投标报价的；</w:t>
      </w:r>
    </w:p>
    <w:p w14:paraId="2BFAEA7F">
      <w:pPr>
        <w:kinsoku/>
        <w:wordWrap w:val="0"/>
        <w:overflowPunct/>
        <w:topLinePunct w:val="0"/>
        <w:autoSpaceDE/>
        <w:autoSpaceDN/>
        <w:bidi w:val="0"/>
        <w:snapToGrid w:val="0"/>
        <w:spacing w:line="440" w:lineRule="exact"/>
        <w:ind w:firstLine="482" w:firstLineChars="200"/>
        <w:rPr>
          <w:rFonts w:hint="eastAsia" w:ascii="仿宋_GB2312" w:hAnsi="仿宋_GB2312" w:eastAsia="仿宋_GB2312" w:cs="仿宋_GB2312"/>
          <w:b/>
          <w:bCs w:val="0"/>
          <w:color w:val="auto"/>
          <w:sz w:val="24"/>
          <w:highlight w:val="none"/>
        </w:rPr>
      </w:pPr>
      <w:r>
        <w:rPr>
          <w:rFonts w:hint="eastAsia" w:ascii="仿宋_GB2312" w:hAnsi="仿宋_GB2312" w:eastAsia="仿宋_GB2312" w:cs="仿宋_GB2312"/>
          <w:b/>
          <w:bCs w:val="0"/>
          <w:color w:val="auto"/>
          <w:sz w:val="24"/>
          <w:highlight w:val="none"/>
        </w:rPr>
        <w:t>8.2</w:t>
      </w:r>
      <w:r>
        <w:rPr>
          <w:rFonts w:hint="eastAsia" w:ascii="仿宋_GB2312" w:hAnsi="仿宋_GB2312" w:eastAsia="仿宋_GB2312" w:cs="仿宋_GB2312"/>
          <w:b/>
          <w:bCs w:val="0"/>
          <w:color w:val="auto"/>
          <w:kern w:val="2"/>
          <w:sz w:val="24"/>
          <w:highlight w:val="none"/>
          <w:lang w:val="en-US" w:eastAsia="zh-CN"/>
        </w:rPr>
        <w:t>5</w:t>
      </w:r>
      <w:r>
        <w:rPr>
          <w:rFonts w:hint="eastAsia" w:ascii="仿宋_GB2312" w:hAnsi="仿宋_GB2312" w:eastAsia="仿宋_GB2312" w:cs="仿宋_GB2312"/>
          <w:b/>
          <w:bCs w:val="0"/>
          <w:color w:val="auto"/>
          <w:sz w:val="24"/>
          <w:highlight w:val="none"/>
        </w:rPr>
        <w:t>未按招标文件要求提供样品或提供样品不满足采购需求实质性条件的；</w:t>
      </w:r>
    </w:p>
    <w:p w14:paraId="6495CFAC">
      <w:pPr>
        <w:kinsoku/>
        <w:wordWrap w:val="0"/>
        <w:overflowPunct/>
        <w:topLinePunct w:val="0"/>
        <w:autoSpaceDE/>
        <w:autoSpaceDN/>
        <w:bidi w:val="0"/>
        <w:snapToGrid w:val="0"/>
        <w:spacing w:line="440" w:lineRule="exact"/>
        <w:ind w:firstLine="482" w:firstLineChars="200"/>
        <w:rPr>
          <w:rFonts w:hint="eastAsia" w:ascii="仿宋_GB2312" w:hAnsi="仿宋_GB2312" w:eastAsia="仿宋_GB2312" w:cs="仿宋_GB2312"/>
          <w:b/>
          <w:bCs w:val="0"/>
          <w:color w:val="auto"/>
          <w:kern w:val="2"/>
          <w:sz w:val="24"/>
          <w:highlight w:val="none"/>
          <w:lang w:val="en-US" w:eastAsia="zh-CN"/>
        </w:rPr>
      </w:pPr>
      <w:r>
        <w:rPr>
          <w:rFonts w:hint="eastAsia" w:ascii="仿宋_GB2312" w:hAnsi="仿宋_GB2312" w:eastAsia="仿宋_GB2312" w:cs="仿宋_GB2312"/>
          <w:b/>
          <w:bCs w:val="0"/>
          <w:color w:val="auto"/>
          <w:sz w:val="24"/>
          <w:highlight w:val="none"/>
          <w:lang w:val="en-US" w:eastAsia="zh-CN"/>
        </w:rPr>
        <w:t>8.26参与同一个采购包(标段)的供应商存在下列情形之一的其投标(响应)文件无效:</w:t>
      </w:r>
    </w:p>
    <w:p w14:paraId="7C6E1DB0">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8.26.1</w:t>
      </w:r>
      <w:r>
        <w:rPr>
          <w:rFonts w:hint="eastAsia" w:ascii="仿宋_GB2312" w:hAnsi="仿宋_GB2312" w:eastAsia="仿宋_GB2312" w:cs="仿宋_GB2312"/>
          <w:b w:val="0"/>
          <w:bCs/>
          <w:color w:val="auto"/>
          <w:sz w:val="24"/>
          <w:highlight w:val="none"/>
          <w:lang w:val="en-US" w:eastAsia="zh-CN"/>
        </w:rPr>
        <w:t>不同供应商的电子投标(响应)文件上传计算机的网卡MAC地址、CPU序列号和硬盘序列号等硬件信息相同的;</w:t>
      </w:r>
    </w:p>
    <w:p w14:paraId="0EB644E4">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8.26.2</w:t>
      </w:r>
      <w:r>
        <w:rPr>
          <w:rFonts w:hint="eastAsia" w:ascii="仿宋_GB2312" w:hAnsi="仿宋_GB2312" w:eastAsia="仿宋_GB2312" w:cs="仿宋_GB2312"/>
          <w:b w:val="0"/>
          <w:bCs/>
          <w:color w:val="auto"/>
          <w:sz w:val="24"/>
          <w:highlight w:val="none"/>
          <w:lang w:val="en-US" w:eastAsia="zh-CN"/>
        </w:rPr>
        <w:t>上传的电子投标(响应)文件若出现使用本项目其他投标(响应)供应商的数字证书加密的，或者加盖本项目其他投标(响应)供应商的电子印章的;</w:t>
      </w:r>
    </w:p>
    <w:p w14:paraId="66854F8B">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8.26.3</w:t>
      </w:r>
      <w:r>
        <w:rPr>
          <w:rFonts w:hint="eastAsia" w:ascii="仿宋_GB2312" w:hAnsi="仿宋_GB2312" w:eastAsia="仿宋_GB2312" w:cs="仿宋_GB2312"/>
          <w:b w:val="0"/>
          <w:bCs/>
          <w:color w:val="auto"/>
          <w:sz w:val="24"/>
          <w:highlight w:val="none"/>
          <w:lang w:val="en-US" w:eastAsia="zh-CN"/>
        </w:rPr>
        <w:t>不同供应商的投标(响应)文件的内容存在三处(含)以上错误一致，且无法合理解释的;</w:t>
      </w:r>
    </w:p>
    <w:p w14:paraId="2C6D9426">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kern w:val="2"/>
          <w:sz w:val="24"/>
          <w:highlight w:val="none"/>
          <w:lang w:val="en-US" w:eastAsia="zh-CN"/>
        </w:rPr>
        <w:t>8.26.4</w:t>
      </w:r>
      <w:r>
        <w:rPr>
          <w:rFonts w:hint="eastAsia" w:ascii="仿宋_GB2312" w:hAnsi="仿宋_GB2312" w:eastAsia="仿宋_GB2312" w:cs="仿宋_GB2312"/>
          <w:b w:val="0"/>
          <w:bCs/>
          <w:color w:val="auto"/>
          <w:sz w:val="24"/>
          <w:highlight w:val="none"/>
          <w:lang w:val="en-US" w:eastAsia="zh-CN"/>
        </w:rPr>
        <w:t>不同供应商联系人为同一人或不同联系人的联系电话一致，且无法合理解释的。</w:t>
      </w:r>
    </w:p>
    <w:p w14:paraId="5201DFE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其他违反法律、法规的情形。</w:t>
      </w:r>
    </w:p>
    <w:p w14:paraId="361CBFA8">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 评标过程保密</w:t>
      </w:r>
    </w:p>
    <w:p w14:paraId="565DA403">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422E9AA">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14:paraId="3C9F30AA">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auto"/>
          <w:sz w:val="32"/>
          <w:highlight w:val="none"/>
        </w:rPr>
      </w:pPr>
    </w:p>
    <w:bookmarkEnd w:id="37"/>
    <w:p w14:paraId="1B2453F5">
      <w:pPr>
        <w:pStyle w:val="33"/>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38" w:name="_Toc81372776"/>
      <w:bookmarkStart w:id="39" w:name="_Toc81372953"/>
      <w:bookmarkStart w:id="40" w:name="_Toc84325929"/>
      <w:r>
        <w:rPr>
          <w:rFonts w:hint="eastAsia" w:ascii="仿宋_GB2312" w:hAnsi="仿宋_GB2312" w:eastAsia="仿宋_GB2312" w:cs="仿宋_GB2312"/>
          <w:b/>
          <w:color w:val="auto"/>
          <w:sz w:val="32"/>
          <w:szCs w:val="32"/>
          <w:highlight w:val="none"/>
        </w:rPr>
        <w:t>五、授予合同</w:t>
      </w:r>
    </w:p>
    <w:bookmarkEnd w:id="38"/>
    <w:bookmarkEnd w:id="39"/>
    <w:bookmarkEnd w:id="40"/>
    <w:p w14:paraId="441BD4FA">
      <w:pPr>
        <w:pStyle w:val="15"/>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14:paraId="4DBF6A25">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14:paraId="02C83FBF">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14:paraId="2860A4BD">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14:paraId="0117977E">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14:paraId="6B4EFC3B">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14:paraId="653CCA47">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14:paraId="2D36A692">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14:paraId="67744339">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14:paraId="597478F8">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14:paraId="79E324AF">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14:paraId="2C608730">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14:paraId="23795F3A">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14:paraId="61EBA280">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14:paraId="4851B6FA">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14:paraId="189CA1DE">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72BCF5A">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14:paraId="68AB6773">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14:paraId="20EC54C0">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14:paraId="60340908">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14:paraId="19D755F3">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14:paraId="7016C27D">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14:paraId="484A0053">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14:paraId="04DE757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E899F8D">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77AC857D">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063FE85D">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14:paraId="0218BF29">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73039A5">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14:paraId="5C9E1096">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14:paraId="73E8FA81">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14:paraId="4E4D6AE5">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2369129A">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2.供应商询问</w:t>
      </w:r>
    </w:p>
    <w:p w14:paraId="250FFEC2">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044BA24">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3.供应商质疑</w:t>
      </w:r>
    </w:p>
    <w:p w14:paraId="3C986636">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14:paraId="6CE14FC3">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AA4A527">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A51BDB6">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5EB432A6">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255C725C">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7D717E7">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14:paraId="5F160DA1">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14:paraId="581BEA3F">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23E5B13D">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14:paraId="4DC72426">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14:paraId="0559E617">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14:paraId="0962EB0E">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14:paraId="02CB42F9">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14:paraId="36F966AE">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14:paraId="652C518E">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1AC8C85">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14:paraId="403C8E2D">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14:paraId="5663A6E4">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6FB613C6">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2539CDF8">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14:paraId="0A09D332">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5222088F">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both"/>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14:paraId="03DB07CB">
      <w:pPr>
        <w:pStyle w:val="23"/>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kern w:val="0"/>
          <w:sz w:val="24"/>
          <w:highlight w:val="none"/>
        </w:rPr>
        <w:sectPr>
          <w:footerReference r:id="rId11" w:type="first"/>
          <w:footerReference r:id="rId10" w:type="default"/>
          <w:pgSz w:w="11906" w:h="16838"/>
          <w:pgMar w:top="1814" w:right="1474" w:bottom="1814" w:left="1474" w:header="851" w:footer="992" w:gutter="0"/>
          <w:pgNumType w:fmt="decimal"/>
          <w:cols w:space="720" w:num="1"/>
          <w:docGrid w:linePitch="312" w:charSpace="0"/>
        </w:sectPr>
      </w:pPr>
    </w:p>
    <w:bookmarkEnd w:id="35"/>
    <w:bookmarkEnd w:id="36"/>
    <w:p w14:paraId="0F6AE367">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1" w:name="_Toc86217003"/>
      <w:bookmarkStart w:id="42" w:name="第五部分"/>
      <w:r>
        <w:rPr>
          <w:rFonts w:hint="eastAsia" w:ascii="仿宋" w:hAnsi="仿宋" w:eastAsia="仿宋" w:cs="仿宋"/>
          <w:b/>
          <w:color w:val="auto"/>
          <w:sz w:val="36"/>
          <w:szCs w:val="36"/>
          <w:highlight w:val="none"/>
        </w:rPr>
        <w:t>第三部分   招标项目范围及要求</w:t>
      </w:r>
    </w:p>
    <w:p w14:paraId="3FA365DF">
      <w:pPr>
        <w:spacing w:line="440" w:lineRule="exact"/>
        <w:ind w:right="420"/>
        <w:rPr>
          <w:rFonts w:hint="eastAsia" w:ascii="仿宋_GB2312" w:hAnsi="新宋体" w:eastAsia="仿宋_GB2312" w:cs="Arial"/>
          <w:b/>
          <w:bCs/>
          <w:color w:val="auto"/>
          <w:sz w:val="24"/>
          <w:szCs w:val="24"/>
          <w:highlight w:val="none"/>
          <w:bdr w:val="single" w:color="auto" w:sz="4" w:space="0"/>
          <w:lang w:eastAsia="zh-CN"/>
        </w:rPr>
      </w:pPr>
      <w:r>
        <w:rPr>
          <w:rFonts w:hint="eastAsia" w:ascii="仿宋_GB2312" w:hAnsi="新宋体" w:eastAsia="仿宋_GB2312" w:cs="Arial"/>
          <w:b/>
          <w:bCs/>
          <w:color w:val="auto"/>
          <w:sz w:val="24"/>
          <w:szCs w:val="24"/>
          <w:highlight w:val="none"/>
          <w:lang w:eastAsia="zh-CN"/>
        </w:rPr>
        <w:t>绍兴市殡仪馆火化设备（含后处理等配套设施）采购项目（</w:t>
      </w:r>
      <w:r>
        <w:rPr>
          <w:rFonts w:hint="eastAsia" w:ascii="仿宋_GB2312" w:hAnsi="新宋体" w:eastAsia="仿宋_GB2312" w:cs="Arial"/>
          <w:b/>
          <w:bCs/>
          <w:color w:val="auto"/>
          <w:sz w:val="24"/>
          <w:szCs w:val="24"/>
          <w:highlight w:val="none"/>
          <w:lang w:val="en-US" w:eastAsia="zh-CN"/>
        </w:rPr>
        <w:t>预算金额：766万元</w:t>
      </w:r>
      <w:r>
        <w:rPr>
          <w:rFonts w:hint="eastAsia" w:ascii="仿宋_GB2312" w:hAnsi="新宋体" w:eastAsia="仿宋_GB2312" w:cs="Arial"/>
          <w:b/>
          <w:bCs/>
          <w:color w:val="auto"/>
          <w:sz w:val="24"/>
          <w:szCs w:val="24"/>
          <w:highlight w:val="none"/>
          <w:lang w:eastAsia="zh-CN"/>
        </w:rPr>
        <w:t>）</w:t>
      </w:r>
    </w:p>
    <w:p w14:paraId="6AA0A71D">
      <w:pPr>
        <w:keepNext w:val="0"/>
        <w:keepLines w:val="0"/>
        <w:pageBreakBefore w:val="0"/>
        <w:widowControl w:val="0"/>
        <w:kinsoku/>
        <w:wordWrap/>
        <w:overflowPunct/>
        <w:topLinePunct w:val="0"/>
        <w:autoSpaceDE/>
        <w:autoSpaceDN/>
        <w:bidi w:val="0"/>
        <w:adjustRightInd/>
        <w:snapToGrid/>
        <w:spacing w:line="440" w:lineRule="exact"/>
        <w:ind w:right="0"/>
        <w:textAlignment w:val="auto"/>
        <w:rPr>
          <w:rFonts w:hint="eastAsia" w:ascii="仿宋_GB2312" w:hAnsi="新宋体" w:eastAsia="仿宋_GB2312" w:cs="Arial"/>
          <w:b/>
          <w:bCs/>
          <w:color w:val="auto"/>
          <w:sz w:val="24"/>
          <w:highlight w:val="none"/>
          <w:lang w:val="en-US" w:eastAsia="zh-CN"/>
        </w:rPr>
      </w:pPr>
      <w:r>
        <w:rPr>
          <w:rFonts w:hint="eastAsia" w:ascii="仿宋_GB2312" w:hAnsi="新宋体" w:eastAsia="仿宋_GB2312" w:cs="Arial"/>
          <w:b/>
          <w:bCs/>
          <w:color w:val="auto"/>
          <w:sz w:val="24"/>
          <w:highlight w:val="none"/>
          <w:lang w:val="en-US" w:eastAsia="zh-CN"/>
        </w:rPr>
        <w:t>一、</w:t>
      </w:r>
      <w:r>
        <w:rPr>
          <w:rFonts w:hint="default" w:ascii="仿宋" w:hAnsi="仿宋" w:eastAsia="仿宋" w:cs="仿宋"/>
          <w:b/>
          <w:bCs/>
          <w:i w:val="0"/>
          <w:iCs w:val="0"/>
          <w:color w:val="auto"/>
          <w:kern w:val="2"/>
          <w:sz w:val="24"/>
          <w:szCs w:val="20"/>
          <w:highlight w:val="none"/>
          <w:vertAlign w:val="baseline"/>
          <w:lang w:val="en-US" w:eastAsia="zh-CN" w:bidi="ar-SA"/>
        </w:rPr>
        <w:t>项目概况</w:t>
      </w:r>
    </w:p>
    <w:p w14:paraId="1F759ADA">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本项目为绍兴市殡仪馆火化设备（含后处理等配套设施）采购项目，包括供货、运输、安装、调试和售后服务等。投标报价包括设备费、材料费、保管费、安装调试费、运输费、税收、售后服务、采购需求中未提到但在实际采购和安装过程中需要配置的各种设备、材料、垃圾清运、整体调试所需的辅助材料及其他费用等须由投标人支付的所有费用。</w:t>
      </w:r>
    </w:p>
    <w:p w14:paraId="5C48EF22">
      <w:pPr>
        <w:spacing w:line="360" w:lineRule="auto"/>
        <w:outlineLvl w:val="0"/>
        <w:rPr>
          <w:rFonts w:hint="default" w:ascii="仿宋" w:hAnsi="仿宋" w:eastAsia="仿宋" w:cs="仿宋"/>
          <w:b/>
          <w:bCs/>
          <w:i w:val="0"/>
          <w:iCs w:val="0"/>
          <w:color w:val="auto"/>
          <w:kern w:val="2"/>
          <w:sz w:val="24"/>
          <w:szCs w:val="20"/>
          <w:highlight w:val="none"/>
          <w:vertAlign w:val="baseline"/>
          <w:lang w:val="en-US" w:eastAsia="zh-CN" w:bidi="ar-SA"/>
        </w:rPr>
      </w:pPr>
      <w:r>
        <w:rPr>
          <w:rFonts w:hint="eastAsia" w:ascii="仿宋" w:hAnsi="仿宋" w:eastAsia="仿宋" w:cs="仿宋"/>
          <w:b/>
          <w:bCs/>
          <w:i w:val="0"/>
          <w:iCs w:val="0"/>
          <w:color w:val="auto"/>
          <w:kern w:val="2"/>
          <w:sz w:val="24"/>
          <w:szCs w:val="20"/>
          <w:highlight w:val="none"/>
          <w:vertAlign w:val="baseline"/>
          <w:lang w:val="en-US" w:eastAsia="zh-CN" w:bidi="ar-SA"/>
        </w:rPr>
        <w:t>二、</w:t>
      </w:r>
      <w:r>
        <w:rPr>
          <w:rFonts w:hint="default" w:ascii="仿宋" w:hAnsi="仿宋" w:eastAsia="仿宋" w:cs="仿宋"/>
          <w:b/>
          <w:bCs/>
          <w:i w:val="0"/>
          <w:iCs w:val="0"/>
          <w:color w:val="auto"/>
          <w:kern w:val="2"/>
          <w:sz w:val="24"/>
          <w:szCs w:val="20"/>
          <w:highlight w:val="none"/>
          <w:vertAlign w:val="baseline"/>
          <w:lang w:val="en-US" w:eastAsia="zh-CN" w:bidi="ar-SA"/>
        </w:rPr>
        <w:t>采购内容、数量及要求</w:t>
      </w:r>
    </w:p>
    <w:tbl>
      <w:tblPr>
        <w:tblStyle w:val="62"/>
        <w:tblW w:w="50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6565"/>
        <w:gridCol w:w="1011"/>
      </w:tblGrid>
      <w:tr w14:paraId="0A9E2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562" w:type="pct"/>
            <w:noWrap w:val="0"/>
            <w:vAlign w:val="center"/>
          </w:tcPr>
          <w:p w14:paraId="6736FD5A">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bCs/>
                <w:color w:val="auto"/>
                <w:sz w:val="24"/>
                <w:szCs w:val="24"/>
                <w:highlight w:val="none"/>
                <w:lang w:eastAsia="zh-CN"/>
              </w:rPr>
            </w:pPr>
            <w:r>
              <w:rPr>
                <w:rFonts w:hint="eastAsia" w:ascii="CESI仿宋-GB2312" w:hAnsi="CESI仿宋-GB2312" w:eastAsia="CESI仿宋-GB2312" w:cs="CESI仿宋-GB2312"/>
                <w:b/>
                <w:bCs/>
                <w:color w:val="auto"/>
                <w:sz w:val="24"/>
                <w:szCs w:val="24"/>
                <w:highlight w:val="none"/>
                <w:lang w:val="en-US" w:eastAsia="zh-CN"/>
              </w:rPr>
              <w:t>序号</w:t>
            </w:r>
          </w:p>
        </w:tc>
        <w:tc>
          <w:tcPr>
            <w:tcW w:w="3844" w:type="pct"/>
            <w:noWrap w:val="0"/>
            <w:vAlign w:val="center"/>
          </w:tcPr>
          <w:p w14:paraId="04416045">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bCs/>
                <w:color w:val="auto"/>
                <w:sz w:val="24"/>
                <w:szCs w:val="24"/>
                <w:highlight w:val="none"/>
              </w:rPr>
            </w:pPr>
            <w:r>
              <w:rPr>
                <w:rFonts w:hint="eastAsia" w:ascii="CESI仿宋-GB2312" w:hAnsi="CESI仿宋-GB2312" w:eastAsia="CESI仿宋-GB2312" w:cs="CESI仿宋-GB2312"/>
                <w:b/>
                <w:bCs/>
                <w:color w:val="auto"/>
                <w:sz w:val="24"/>
                <w:szCs w:val="24"/>
                <w:highlight w:val="none"/>
              </w:rPr>
              <w:t>采购内容</w:t>
            </w:r>
          </w:p>
        </w:tc>
        <w:tc>
          <w:tcPr>
            <w:tcW w:w="592" w:type="pct"/>
            <w:noWrap w:val="0"/>
            <w:vAlign w:val="center"/>
          </w:tcPr>
          <w:p w14:paraId="5CF9DE1C">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bCs/>
                <w:color w:val="auto"/>
                <w:sz w:val="24"/>
                <w:szCs w:val="24"/>
                <w:highlight w:val="none"/>
              </w:rPr>
            </w:pPr>
            <w:r>
              <w:rPr>
                <w:rFonts w:hint="eastAsia" w:ascii="CESI仿宋-GB2312" w:hAnsi="CESI仿宋-GB2312" w:eastAsia="CESI仿宋-GB2312" w:cs="CESI仿宋-GB2312"/>
                <w:b/>
                <w:bCs/>
                <w:color w:val="auto"/>
                <w:sz w:val="24"/>
                <w:szCs w:val="24"/>
                <w:highlight w:val="none"/>
              </w:rPr>
              <w:t>数量</w:t>
            </w:r>
          </w:p>
        </w:tc>
      </w:tr>
      <w:tr w14:paraId="6EE30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62" w:type="pct"/>
            <w:vMerge w:val="restart"/>
            <w:noWrap w:val="0"/>
            <w:vAlign w:val="center"/>
          </w:tcPr>
          <w:p w14:paraId="5E2C0ECA">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color w:val="auto"/>
                <w:sz w:val="24"/>
                <w:szCs w:val="24"/>
                <w:highlight w:val="none"/>
              </w:rPr>
            </w:pPr>
            <w:r>
              <w:rPr>
                <w:rFonts w:hint="eastAsia" w:ascii="CESI仿宋-GB2312" w:hAnsi="CESI仿宋-GB2312" w:eastAsia="CESI仿宋-GB2312" w:cs="CESI仿宋-GB2312"/>
                <w:color w:val="auto"/>
                <w:sz w:val="24"/>
                <w:szCs w:val="24"/>
                <w:highlight w:val="none"/>
              </w:rPr>
              <w:t>1</w:t>
            </w:r>
          </w:p>
          <w:p w14:paraId="2237AC89">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color w:val="auto"/>
                <w:kern w:val="2"/>
                <w:sz w:val="24"/>
                <w:szCs w:val="24"/>
                <w:highlight w:val="none"/>
                <w:lang w:val="en-US" w:eastAsia="zh-CN" w:bidi="ar-SA"/>
              </w:rPr>
            </w:pPr>
          </w:p>
        </w:tc>
        <w:tc>
          <w:tcPr>
            <w:tcW w:w="3844" w:type="pct"/>
            <w:noWrap w:val="0"/>
            <w:vAlign w:val="center"/>
          </w:tcPr>
          <w:p w14:paraId="2F16E3F1">
            <w:pPr>
              <w:keepNext w:val="0"/>
              <w:keepLines w:val="0"/>
              <w:suppressLineNumbers w:val="0"/>
              <w:adjustRightInd w:val="0"/>
              <w:spacing w:before="0" w:beforeAutospacing="0" w:after="0" w:afterAutospacing="0" w:line="336" w:lineRule="auto"/>
              <w:ind w:left="0" w:right="0" w:firstLine="480" w:firstLineChars="200"/>
              <w:jc w:val="both"/>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智能平板火化炉（含炉内、外烟道）</w:t>
            </w:r>
            <w:r>
              <w:rPr>
                <w:rFonts w:hint="eastAsia" w:ascii="仿宋" w:hAnsi="仿宋" w:eastAsia="仿宋" w:cs="仿宋"/>
                <w:b w:val="0"/>
                <w:bCs w:val="0"/>
                <w:i w:val="0"/>
                <w:iCs w:val="0"/>
                <w:color w:val="auto"/>
                <w:kern w:val="2"/>
                <w:sz w:val="24"/>
                <w:szCs w:val="20"/>
                <w:highlight w:val="none"/>
                <w:vertAlign w:val="baseline"/>
                <w:lang w:val="en-US" w:eastAsia="zh-CN" w:bidi="ar-SA"/>
              </w:rPr>
              <w:t>（</w:t>
            </w:r>
            <w:r>
              <w:rPr>
                <w:rFonts w:hint="eastAsia" w:ascii="仿宋" w:hAnsi="仿宋" w:eastAsia="仿宋" w:cs="仿宋"/>
                <w:b/>
                <w:bCs/>
                <w:i w:val="0"/>
                <w:iCs w:val="0"/>
                <w:color w:val="auto"/>
                <w:kern w:val="2"/>
                <w:sz w:val="24"/>
                <w:szCs w:val="20"/>
                <w:highlight w:val="none"/>
                <w:vertAlign w:val="baseline"/>
                <w:lang w:val="en-US" w:eastAsia="zh-CN" w:bidi="ar-SA"/>
              </w:rPr>
              <w:t>核心产品</w:t>
            </w:r>
            <w:r>
              <w:rPr>
                <w:rFonts w:hint="eastAsia" w:ascii="仿宋" w:hAnsi="仿宋" w:eastAsia="仿宋" w:cs="仿宋"/>
                <w:b w:val="0"/>
                <w:bCs w:val="0"/>
                <w:i w:val="0"/>
                <w:iCs w:val="0"/>
                <w:color w:val="auto"/>
                <w:kern w:val="2"/>
                <w:sz w:val="24"/>
                <w:szCs w:val="20"/>
                <w:highlight w:val="none"/>
                <w:vertAlign w:val="baseline"/>
                <w:lang w:val="en-US" w:eastAsia="zh-CN" w:bidi="ar-SA"/>
              </w:rPr>
              <w:t>）</w:t>
            </w:r>
          </w:p>
        </w:tc>
        <w:tc>
          <w:tcPr>
            <w:tcW w:w="592" w:type="pct"/>
            <w:noWrap w:val="0"/>
            <w:vAlign w:val="center"/>
          </w:tcPr>
          <w:p w14:paraId="314CF863">
            <w:pPr>
              <w:keepNext w:val="0"/>
              <w:keepLines w:val="0"/>
              <w:suppressLineNumbers w:val="0"/>
              <w:adjustRightInd w:val="0"/>
              <w:spacing w:before="0" w:beforeAutospacing="0" w:after="0" w:afterAutospacing="0" w:line="336" w:lineRule="auto"/>
              <w:ind w:left="0" w:right="0"/>
              <w:jc w:val="center"/>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5套</w:t>
            </w:r>
          </w:p>
        </w:tc>
      </w:tr>
      <w:tr w14:paraId="00AFB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62" w:type="pct"/>
            <w:vMerge w:val="continue"/>
            <w:noWrap w:val="0"/>
            <w:vAlign w:val="center"/>
          </w:tcPr>
          <w:p w14:paraId="7BD9CA3D">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color w:val="auto"/>
                <w:kern w:val="2"/>
                <w:sz w:val="24"/>
                <w:szCs w:val="24"/>
                <w:highlight w:val="none"/>
                <w:lang w:val="en-US" w:eastAsia="zh-CN" w:bidi="ar-SA"/>
              </w:rPr>
            </w:pPr>
          </w:p>
        </w:tc>
        <w:tc>
          <w:tcPr>
            <w:tcW w:w="3844" w:type="pct"/>
            <w:noWrap w:val="0"/>
            <w:vAlign w:val="center"/>
          </w:tcPr>
          <w:p w14:paraId="467685E4">
            <w:pPr>
              <w:keepNext w:val="0"/>
              <w:keepLines w:val="0"/>
              <w:suppressLineNumbers w:val="0"/>
              <w:adjustRightInd w:val="0"/>
              <w:spacing w:before="0" w:beforeAutospacing="0" w:after="0" w:afterAutospacing="0" w:line="336" w:lineRule="auto"/>
              <w:ind w:left="0" w:right="0"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配套独立尾气净化后处理设备</w:t>
            </w:r>
          </w:p>
        </w:tc>
        <w:tc>
          <w:tcPr>
            <w:tcW w:w="592" w:type="pct"/>
            <w:noWrap w:val="0"/>
            <w:vAlign w:val="center"/>
          </w:tcPr>
          <w:p w14:paraId="685349A3">
            <w:pPr>
              <w:keepNext w:val="0"/>
              <w:keepLines w:val="0"/>
              <w:suppressLineNumbers w:val="0"/>
              <w:adjustRightInd w:val="0"/>
              <w:spacing w:before="0" w:beforeAutospacing="0" w:after="0" w:afterAutospacing="0" w:line="336" w:lineRule="auto"/>
              <w:ind w:left="0" w:right="0"/>
              <w:jc w:val="center"/>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5套</w:t>
            </w:r>
          </w:p>
        </w:tc>
      </w:tr>
      <w:tr w14:paraId="52F3F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62" w:type="pct"/>
            <w:vMerge w:val="continue"/>
            <w:noWrap w:val="0"/>
            <w:vAlign w:val="center"/>
          </w:tcPr>
          <w:p w14:paraId="55A78333">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color w:val="auto"/>
                <w:kern w:val="2"/>
                <w:sz w:val="24"/>
                <w:szCs w:val="24"/>
                <w:highlight w:val="none"/>
                <w:lang w:val="en-US" w:eastAsia="zh-CN" w:bidi="ar-SA"/>
              </w:rPr>
            </w:pPr>
          </w:p>
        </w:tc>
        <w:tc>
          <w:tcPr>
            <w:tcW w:w="3844" w:type="pct"/>
            <w:noWrap w:val="0"/>
            <w:vAlign w:val="center"/>
          </w:tcPr>
          <w:p w14:paraId="53DDCA0A">
            <w:pPr>
              <w:keepNext w:val="0"/>
              <w:keepLines w:val="0"/>
              <w:suppressLineNumbers w:val="0"/>
              <w:adjustRightInd w:val="0"/>
              <w:spacing w:before="0" w:beforeAutospacing="0" w:after="0" w:afterAutospacing="0" w:line="336" w:lineRule="auto"/>
              <w:ind w:left="0" w:right="0"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地面喷涂等其他辅助工程</w:t>
            </w:r>
          </w:p>
        </w:tc>
        <w:tc>
          <w:tcPr>
            <w:tcW w:w="592" w:type="pct"/>
            <w:noWrap w:val="0"/>
            <w:vAlign w:val="center"/>
          </w:tcPr>
          <w:p w14:paraId="2FCBBC0C">
            <w:pPr>
              <w:keepNext w:val="0"/>
              <w:keepLines w:val="0"/>
              <w:suppressLineNumbers w:val="0"/>
              <w:adjustRightInd w:val="0"/>
              <w:spacing w:before="0" w:beforeAutospacing="0" w:after="0" w:afterAutospacing="0" w:line="336" w:lineRule="auto"/>
              <w:ind w:left="0" w:right="0"/>
              <w:jc w:val="center"/>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1项</w:t>
            </w:r>
          </w:p>
        </w:tc>
      </w:tr>
      <w:tr w14:paraId="20D4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62" w:type="pct"/>
            <w:vMerge w:val="continue"/>
            <w:noWrap w:val="0"/>
            <w:vAlign w:val="center"/>
          </w:tcPr>
          <w:p w14:paraId="76B3C023">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color w:val="auto"/>
                <w:kern w:val="2"/>
                <w:sz w:val="24"/>
                <w:szCs w:val="24"/>
                <w:highlight w:val="none"/>
                <w:lang w:val="en-US" w:eastAsia="zh-CN" w:bidi="ar-SA"/>
              </w:rPr>
            </w:pPr>
          </w:p>
        </w:tc>
        <w:tc>
          <w:tcPr>
            <w:tcW w:w="3844" w:type="pct"/>
            <w:noWrap w:val="0"/>
            <w:vAlign w:val="center"/>
          </w:tcPr>
          <w:p w14:paraId="22654807">
            <w:pPr>
              <w:keepNext w:val="0"/>
              <w:keepLines w:val="0"/>
              <w:suppressLineNumbers w:val="0"/>
              <w:adjustRightInd w:val="0"/>
              <w:spacing w:before="0" w:beforeAutospacing="0" w:after="0" w:afterAutospacing="0" w:line="336" w:lineRule="auto"/>
              <w:ind w:left="0" w:right="0"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自动清灰系统</w:t>
            </w:r>
          </w:p>
        </w:tc>
        <w:tc>
          <w:tcPr>
            <w:tcW w:w="592" w:type="pct"/>
            <w:noWrap w:val="0"/>
            <w:vAlign w:val="center"/>
          </w:tcPr>
          <w:p w14:paraId="22A8F44B">
            <w:pPr>
              <w:keepNext w:val="0"/>
              <w:keepLines w:val="0"/>
              <w:suppressLineNumbers w:val="0"/>
              <w:adjustRightInd w:val="0"/>
              <w:spacing w:before="0" w:beforeAutospacing="0" w:after="0" w:afterAutospacing="0" w:line="336" w:lineRule="auto"/>
              <w:ind w:left="0" w:right="0"/>
              <w:jc w:val="center"/>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5套</w:t>
            </w:r>
          </w:p>
        </w:tc>
      </w:tr>
      <w:tr w14:paraId="27D2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62" w:type="pct"/>
            <w:vMerge w:val="continue"/>
            <w:noWrap w:val="0"/>
            <w:vAlign w:val="center"/>
          </w:tcPr>
          <w:p w14:paraId="3F4E9E9E">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color w:val="auto"/>
                <w:kern w:val="2"/>
                <w:sz w:val="24"/>
                <w:szCs w:val="24"/>
                <w:highlight w:val="none"/>
                <w:lang w:val="en-US" w:eastAsia="zh-CN" w:bidi="ar-SA"/>
              </w:rPr>
            </w:pPr>
          </w:p>
        </w:tc>
        <w:tc>
          <w:tcPr>
            <w:tcW w:w="3844" w:type="pct"/>
            <w:noWrap w:val="0"/>
            <w:vAlign w:val="center"/>
          </w:tcPr>
          <w:p w14:paraId="603A4619">
            <w:pPr>
              <w:keepNext w:val="0"/>
              <w:keepLines w:val="0"/>
              <w:suppressLineNumbers w:val="0"/>
              <w:adjustRightInd w:val="0"/>
              <w:spacing w:before="0" w:beforeAutospacing="0" w:after="0" w:afterAutospacing="0" w:line="336" w:lineRule="auto"/>
              <w:ind w:left="0" w:right="0"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备用风机</w:t>
            </w:r>
          </w:p>
        </w:tc>
        <w:tc>
          <w:tcPr>
            <w:tcW w:w="592" w:type="pct"/>
            <w:noWrap w:val="0"/>
            <w:vAlign w:val="center"/>
          </w:tcPr>
          <w:p w14:paraId="21531BD4">
            <w:pPr>
              <w:keepNext w:val="0"/>
              <w:keepLines w:val="0"/>
              <w:suppressLineNumbers w:val="0"/>
              <w:adjustRightInd w:val="0"/>
              <w:spacing w:before="0" w:beforeAutospacing="0" w:after="0" w:afterAutospacing="0" w:line="336" w:lineRule="auto"/>
              <w:ind w:left="0" w:right="0"/>
              <w:jc w:val="center"/>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3套</w:t>
            </w:r>
          </w:p>
        </w:tc>
      </w:tr>
      <w:tr w14:paraId="0BE7E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62" w:type="pct"/>
            <w:vMerge w:val="continue"/>
            <w:noWrap w:val="0"/>
            <w:vAlign w:val="center"/>
          </w:tcPr>
          <w:p w14:paraId="3CCCA733">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color w:val="auto"/>
                <w:kern w:val="2"/>
                <w:sz w:val="24"/>
                <w:szCs w:val="24"/>
                <w:highlight w:val="none"/>
                <w:lang w:val="en-US" w:eastAsia="zh-CN" w:bidi="ar-SA"/>
              </w:rPr>
            </w:pPr>
          </w:p>
        </w:tc>
        <w:tc>
          <w:tcPr>
            <w:tcW w:w="3844" w:type="pct"/>
            <w:noWrap w:val="0"/>
            <w:vAlign w:val="center"/>
          </w:tcPr>
          <w:p w14:paraId="3767BD1E">
            <w:pPr>
              <w:keepNext w:val="0"/>
              <w:keepLines w:val="0"/>
              <w:suppressLineNumbers w:val="0"/>
              <w:adjustRightInd w:val="0"/>
              <w:spacing w:before="0" w:beforeAutospacing="0" w:after="0" w:afterAutospacing="0" w:line="336" w:lineRule="auto"/>
              <w:ind w:left="0" w:right="0"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1T油罐6只及油路管道连接（含控制、油泵及油泵房等）</w:t>
            </w:r>
          </w:p>
        </w:tc>
        <w:tc>
          <w:tcPr>
            <w:tcW w:w="592" w:type="pct"/>
            <w:noWrap w:val="0"/>
            <w:vAlign w:val="center"/>
          </w:tcPr>
          <w:p w14:paraId="5696FBB4">
            <w:pPr>
              <w:keepNext w:val="0"/>
              <w:keepLines w:val="0"/>
              <w:suppressLineNumbers w:val="0"/>
              <w:adjustRightInd w:val="0"/>
              <w:spacing w:before="0" w:beforeAutospacing="0" w:after="0" w:afterAutospacing="0" w:line="336" w:lineRule="auto"/>
              <w:ind w:left="0" w:right="0"/>
              <w:jc w:val="center"/>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1项</w:t>
            </w:r>
          </w:p>
        </w:tc>
      </w:tr>
      <w:tr w14:paraId="5CA78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62" w:type="pct"/>
            <w:vMerge w:val="continue"/>
            <w:noWrap w:val="0"/>
            <w:vAlign w:val="center"/>
          </w:tcPr>
          <w:p w14:paraId="2FD8CA07">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color w:val="auto"/>
                <w:kern w:val="2"/>
                <w:sz w:val="24"/>
                <w:szCs w:val="24"/>
                <w:highlight w:val="none"/>
                <w:lang w:val="en-US" w:eastAsia="zh-CN" w:bidi="ar-SA"/>
              </w:rPr>
            </w:pPr>
          </w:p>
        </w:tc>
        <w:tc>
          <w:tcPr>
            <w:tcW w:w="3844" w:type="pct"/>
            <w:noWrap w:val="0"/>
            <w:vAlign w:val="center"/>
          </w:tcPr>
          <w:p w14:paraId="5BAF9D26">
            <w:pPr>
              <w:keepNext w:val="0"/>
              <w:keepLines w:val="0"/>
              <w:suppressLineNumbers w:val="0"/>
              <w:adjustRightInd w:val="0"/>
              <w:spacing w:before="0" w:beforeAutospacing="0" w:after="0" w:afterAutospacing="0" w:line="336" w:lineRule="auto"/>
              <w:ind w:left="0" w:right="0"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骨灰冷却整理平台（带除尘）</w:t>
            </w:r>
          </w:p>
        </w:tc>
        <w:tc>
          <w:tcPr>
            <w:tcW w:w="592" w:type="pct"/>
            <w:noWrap w:val="0"/>
            <w:vAlign w:val="center"/>
          </w:tcPr>
          <w:p w14:paraId="63CF4B25">
            <w:pPr>
              <w:keepNext w:val="0"/>
              <w:keepLines w:val="0"/>
              <w:suppressLineNumbers w:val="0"/>
              <w:adjustRightInd w:val="0"/>
              <w:spacing w:before="0" w:beforeAutospacing="0" w:after="0" w:afterAutospacing="0" w:line="336" w:lineRule="auto"/>
              <w:ind w:left="0" w:right="0"/>
              <w:jc w:val="center"/>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5套</w:t>
            </w:r>
          </w:p>
        </w:tc>
      </w:tr>
      <w:tr w14:paraId="01803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62" w:type="pct"/>
            <w:vMerge w:val="continue"/>
            <w:noWrap w:val="0"/>
            <w:vAlign w:val="center"/>
          </w:tcPr>
          <w:p w14:paraId="3ABDC6D3">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color w:val="auto"/>
                <w:kern w:val="2"/>
                <w:sz w:val="24"/>
                <w:szCs w:val="24"/>
                <w:highlight w:val="none"/>
                <w:lang w:val="en-US" w:eastAsia="zh-CN" w:bidi="ar-SA"/>
              </w:rPr>
            </w:pPr>
          </w:p>
        </w:tc>
        <w:tc>
          <w:tcPr>
            <w:tcW w:w="3844" w:type="pct"/>
            <w:noWrap w:val="0"/>
            <w:vAlign w:val="center"/>
          </w:tcPr>
          <w:p w14:paraId="64B493DA">
            <w:pPr>
              <w:keepNext w:val="0"/>
              <w:keepLines w:val="0"/>
              <w:suppressLineNumbers w:val="0"/>
              <w:adjustRightInd w:val="0"/>
              <w:spacing w:before="0" w:beforeAutospacing="0" w:after="0" w:afterAutospacing="0" w:line="336" w:lineRule="auto"/>
              <w:ind w:left="0" w:right="0"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火化操作工具及工具架</w:t>
            </w:r>
          </w:p>
        </w:tc>
        <w:tc>
          <w:tcPr>
            <w:tcW w:w="592" w:type="pct"/>
            <w:noWrap w:val="0"/>
            <w:vAlign w:val="center"/>
          </w:tcPr>
          <w:p w14:paraId="084C3EF1">
            <w:pPr>
              <w:keepNext w:val="0"/>
              <w:keepLines w:val="0"/>
              <w:suppressLineNumbers w:val="0"/>
              <w:adjustRightInd w:val="0"/>
              <w:spacing w:before="0" w:beforeAutospacing="0" w:after="0" w:afterAutospacing="0" w:line="336" w:lineRule="auto"/>
              <w:ind w:left="0" w:right="0"/>
              <w:jc w:val="center"/>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5套</w:t>
            </w:r>
          </w:p>
        </w:tc>
      </w:tr>
    </w:tbl>
    <w:p w14:paraId="40DAD6DC">
      <w:pPr>
        <w:pStyle w:val="5"/>
        <w:rPr>
          <w:rFonts w:hint="eastAsia" w:ascii="仿宋" w:hAnsi="仿宋" w:eastAsia="仿宋" w:cs="仿宋"/>
          <w:b/>
          <w:bCs/>
          <w:i w:val="0"/>
          <w:iCs w:val="0"/>
          <w:color w:val="auto"/>
          <w:kern w:val="2"/>
          <w:sz w:val="24"/>
          <w:szCs w:val="20"/>
          <w:highlight w:val="none"/>
          <w:vertAlign w:val="baseline"/>
          <w:lang w:val="en-US" w:eastAsia="zh-CN" w:bidi="ar-SA"/>
        </w:rPr>
      </w:pPr>
      <w:r>
        <w:rPr>
          <w:rFonts w:hint="eastAsia" w:ascii="仿宋" w:hAnsi="仿宋" w:eastAsia="仿宋" w:cs="仿宋"/>
          <w:b/>
          <w:bCs/>
          <w:i w:val="0"/>
          <w:iCs w:val="0"/>
          <w:color w:val="auto"/>
          <w:kern w:val="2"/>
          <w:sz w:val="24"/>
          <w:szCs w:val="20"/>
          <w:highlight w:val="none"/>
          <w:vertAlign w:val="baseline"/>
          <w:lang w:val="en-US" w:eastAsia="zh-CN" w:bidi="ar-SA"/>
        </w:rPr>
        <w:t>1.智能平板火化炉</w:t>
      </w:r>
      <w:r>
        <w:rPr>
          <w:rFonts w:hint="eastAsia" w:ascii="仿宋" w:eastAsia="仿宋" w:cs="仿宋"/>
          <w:b/>
          <w:bCs/>
          <w:i w:val="0"/>
          <w:iCs w:val="0"/>
          <w:color w:val="auto"/>
          <w:kern w:val="2"/>
          <w:sz w:val="24"/>
          <w:szCs w:val="20"/>
          <w:highlight w:val="none"/>
          <w:vertAlign w:val="baseline"/>
          <w:lang w:val="en-US" w:eastAsia="zh-CN" w:bidi="ar-SA"/>
        </w:rPr>
        <w:t>（含炉内、外烟道）</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6"/>
        <w:gridCol w:w="7226"/>
      </w:tblGrid>
      <w:tr w14:paraId="0DFF3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06E286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0" w:type="auto"/>
            <w:noWrap w:val="0"/>
            <w:vAlign w:val="center"/>
          </w:tcPr>
          <w:p w14:paraId="0D42EF2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技术参数要求</w:t>
            </w:r>
          </w:p>
        </w:tc>
      </w:tr>
      <w:tr w14:paraId="62F73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37AB229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w:t>
            </w:r>
          </w:p>
        </w:tc>
        <w:tc>
          <w:tcPr>
            <w:tcW w:w="0" w:type="auto"/>
            <w:noWrap w:val="0"/>
            <w:vAlign w:val="center"/>
          </w:tcPr>
          <w:p w14:paraId="09634D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炉体主炉膛尺寸及要求</w:t>
            </w:r>
          </w:p>
        </w:tc>
      </w:tr>
      <w:tr w14:paraId="32626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6BE82D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仿宋" w:hAnsi="仿宋" w:eastAsia="仿宋" w:cs="仿宋"/>
                <w:bCs/>
                <w:color w:val="auto"/>
                <w:sz w:val="24"/>
                <w:szCs w:val="24"/>
                <w:highlight w:val="none"/>
              </w:rPr>
            </w:pPr>
            <w:r>
              <w:rPr>
                <w:rFonts w:hint="eastAsia" w:ascii="仿宋" w:hAnsi="仿宋" w:eastAsia="仿宋" w:cs="仿宋"/>
                <w:color w:val="auto"/>
                <w:kern w:val="0"/>
                <w:sz w:val="24"/>
                <w:szCs w:val="24"/>
                <w:highlight w:val="none"/>
                <w:lang w:bidi="ar"/>
              </w:rPr>
              <w:t>1.1</w:t>
            </w:r>
          </w:p>
        </w:tc>
        <w:tc>
          <w:tcPr>
            <w:tcW w:w="0" w:type="auto"/>
            <w:noWrap w:val="0"/>
            <w:vAlign w:val="center"/>
          </w:tcPr>
          <w:p w14:paraId="42528AB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主燃烧室尺寸： 2250㎜×700㎜×700㎜（允许偏离±10%）</w:t>
            </w:r>
            <w:r>
              <w:rPr>
                <w:rFonts w:hint="eastAsia" w:ascii="仿宋" w:hAnsi="仿宋" w:eastAsia="仿宋" w:cs="仿宋"/>
                <w:bCs/>
                <w:color w:val="auto"/>
                <w:sz w:val="24"/>
                <w:szCs w:val="24"/>
                <w:highlight w:val="none"/>
                <w:lang w:eastAsia="zh-CN"/>
              </w:rPr>
              <w:t>，其中</w:t>
            </w:r>
            <w:r>
              <w:rPr>
                <w:rFonts w:hint="eastAsia" w:ascii="仿宋" w:hAnsi="仿宋" w:eastAsia="仿宋" w:cs="仿宋"/>
                <w:bCs/>
                <w:color w:val="auto"/>
                <w:sz w:val="24"/>
                <w:szCs w:val="24"/>
                <w:highlight w:val="none"/>
                <w:lang w:val="en-US" w:eastAsia="zh-CN"/>
              </w:rPr>
              <w:t>1台为特型炉，主燃烧室尺寸：2300</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8</w:t>
            </w:r>
            <w:r>
              <w:rPr>
                <w:rFonts w:hint="eastAsia" w:ascii="仿宋" w:hAnsi="仿宋" w:eastAsia="仿宋" w:cs="仿宋"/>
                <w:bCs/>
                <w:color w:val="auto"/>
                <w:sz w:val="24"/>
                <w:szCs w:val="24"/>
                <w:highlight w:val="none"/>
              </w:rPr>
              <w:t>00㎜×700㎜（允许偏离±</w:t>
            </w:r>
            <w:r>
              <w:rPr>
                <w:rFonts w:hint="eastAsia" w:ascii="仿宋" w:hAnsi="仿宋" w:eastAsia="仿宋" w:cs="仿宋"/>
                <w:bCs/>
                <w:color w:val="auto"/>
                <w:sz w:val="24"/>
                <w:szCs w:val="24"/>
                <w:highlight w:val="none"/>
                <w:lang w:val="en-US" w:eastAsia="zh-CN"/>
              </w:rPr>
              <w:t>10</w:t>
            </w:r>
            <w:r>
              <w:rPr>
                <w:rFonts w:hint="eastAsia" w:ascii="仿宋" w:hAnsi="仿宋" w:eastAsia="仿宋" w:cs="仿宋"/>
                <w:bCs/>
                <w:color w:val="auto"/>
                <w:sz w:val="24"/>
                <w:szCs w:val="24"/>
                <w:highlight w:val="none"/>
              </w:rPr>
              <w:t>%）；</w:t>
            </w:r>
          </w:p>
          <w:p w14:paraId="567B4D2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二次燃烧室尺寸：1600㎜×700㎜×400㎜（允许偏离±10%）必须具有二次燃烧室，且具有增加燃烧器的预留孔。</w:t>
            </w:r>
          </w:p>
        </w:tc>
      </w:tr>
      <w:tr w14:paraId="153AA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37F1A9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仿宋" w:hAnsi="仿宋" w:eastAsia="仿宋" w:cs="仿宋"/>
                <w:bCs/>
                <w:color w:val="auto"/>
                <w:sz w:val="24"/>
                <w:szCs w:val="24"/>
                <w:highlight w:val="none"/>
              </w:rPr>
            </w:pPr>
            <w:r>
              <w:rPr>
                <w:rFonts w:hint="eastAsia" w:ascii="仿宋" w:hAnsi="仿宋" w:eastAsia="仿宋" w:cs="仿宋"/>
                <w:color w:val="auto"/>
                <w:kern w:val="0"/>
                <w:sz w:val="24"/>
                <w:szCs w:val="24"/>
                <w:highlight w:val="none"/>
                <w:lang w:bidi="ar"/>
              </w:rPr>
              <w:t>1.2</w:t>
            </w:r>
          </w:p>
        </w:tc>
        <w:tc>
          <w:tcPr>
            <w:tcW w:w="0" w:type="auto"/>
            <w:noWrap w:val="0"/>
            <w:vAlign w:val="center"/>
          </w:tcPr>
          <w:p w14:paraId="00F271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使用燃料：-10~0#轻柴油</w:t>
            </w:r>
          </w:p>
        </w:tc>
      </w:tr>
      <w:tr w14:paraId="47C3F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45D8E4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仿宋" w:hAnsi="仿宋" w:eastAsia="仿宋" w:cs="仿宋"/>
                <w:bCs/>
                <w:color w:val="auto"/>
                <w:sz w:val="24"/>
                <w:szCs w:val="24"/>
                <w:highlight w:val="none"/>
              </w:rPr>
            </w:pPr>
            <w:r>
              <w:rPr>
                <w:rFonts w:hint="eastAsia" w:ascii="仿宋" w:hAnsi="仿宋" w:eastAsia="仿宋" w:cs="仿宋"/>
                <w:color w:val="auto"/>
                <w:kern w:val="0"/>
                <w:sz w:val="24"/>
                <w:szCs w:val="24"/>
                <w:highlight w:val="none"/>
                <w:lang w:bidi="ar"/>
              </w:rPr>
              <w:t>1.3</w:t>
            </w:r>
          </w:p>
        </w:tc>
        <w:tc>
          <w:tcPr>
            <w:tcW w:w="0" w:type="auto"/>
            <w:noWrap w:val="0"/>
            <w:vAlign w:val="center"/>
          </w:tcPr>
          <w:p w14:paraId="37D2571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首具遗体火化耗油量：≤12公斤</w:t>
            </w:r>
          </w:p>
        </w:tc>
      </w:tr>
      <w:tr w14:paraId="33B5D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504CA0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仿宋" w:hAnsi="仿宋" w:eastAsia="仿宋" w:cs="仿宋"/>
                <w:bCs/>
                <w:color w:val="auto"/>
                <w:sz w:val="24"/>
                <w:szCs w:val="24"/>
                <w:highlight w:val="none"/>
              </w:rPr>
            </w:pPr>
            <w:r>
              <w:rPr>
                <w:rFonts w:hint="eastAsia" w:ascii="仿宋" w:hAnsi="仿宋" w:eastAsia="仿宋" w:cs="仿宋"/>
                <w:color w:val="auto"/>
                <w:kern w:val="0"/>
                <w:sz w:val="24"/>
                <w:szCs w:val="24"/>
                <w:highlight w:val="none"/>
                <w:lang w:bidi="ar"/>
              </w:rPr>
              <w:t>1.4</w:t>
            </w:r>
          </w:p>
        </w:tc>
        <w:tc>
          <w:tcPr>
            <w:tcW w:w="0" w:type="auto"/>
            <w:noWrap w:val="0"/>
            <w:vAlign w:val="center"/>
          </w:tcPr>
          <w:p w14:paraId="37E257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连续火化耗油量：≤9公斤/具（以连续三具进行计算）</w:t>
            </w:r>
          </w:p>
        </w:tc>
      </w:tr>
      <w:tr w14:paraId="27FC4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39212F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仿宋" w:hAnsi="仿宋" w:eastAsia="仿宋" w:cs="仿宋"/>
                <w:bCs/>
                <w:color w:val="auto"/>
                <w:sz w:val="24"/>
                <w:szCs w:val="24"/>
                <w:highlight w:val="none"/>
              </w:rPr>
            </w:pPr>
            <w:r>
              <w:rPr>
                <w:rFonts w:hint="eastAsia" w:ascii="仿宋" w:hAnsi="仿宋" w:eastAsia="仿宋" w:cs="仿宋"/>
                <w:color w:val="auto"/>
                <w:kern w:val="0"/>
                <w:sz w:val="24"/>
                <w:szCs w:val="24"/>
                <w:highlight w:val="none"/>
                <w:lang w:bidi="ar"/>
              </w:rPr>
              <w:t>1.5</w:t>
            </w:r>
          </w:p>
        </w:tc>
        <w:tc>
          <w:tcPr>
            <w:tcW w:w="0" w:type="auto"/>
            <w:noWrap w:val="0"/>
            <w:vAlign w:val="center"/>
          </w:tcPr>
          <w:p w14:paraId="1843FC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单具遗体常温进炉火化时间：≤50分钟/具</w:t>
            </w:r>
          </w:p>
        </w:tc>
      </w:tr>
      <w:tr w14:paraId="5E326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310168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仿宋" w:hAnsi="仿宋" w:eastAsia="仿宋" w:cs="仿宋"/>
                <w:bCs/>
                <w:color w:val="auto"/>
                <w:sz w:val="24"/>
                <w:szCs w:val="24"/>
                <w:highlight w:val="none"/>
              </w:rPr>
            </w:pPr>
            <w:r>
              <w:rPr>
                <w:rFonts w:hint="eastAsia" w:ascii="仿宋" w:hAnsi="仿宋" w:eastAsia="仿宋" w:cs="仿宋"/>
                <w:color w:val="auto"/>
                <w:kern w:val="0"/>
                <w:sz w:val="24"/>
                <w:szCs w:val="24"/>
                <w:highlight w:val="none"/>
                <w:lang w:bidi="ar"/>
              </w:rPr>
              <w:t>1.6</w:t>
            </w:r>
          </w:p>
        </w:tc>
        <w:tc>
          <w:tcPr>
            <w:tcW w:w="0" w:type="auto"/>
            <w:noWrap w:val="0"/>
            <w:vAlign w:val="center"/>
          </w:tcPr>
          <w:p w14:paraId="79CB4FA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连续火化时间（三具遗体连续火化）≤45分钟/具</w:t>
            </w:r>
          </w:p>
        </w:tc>
      </w:tr>
      <w:tr w14:paraId="687ED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73AAD4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仿宋" w:hAnsi="仿宋" w:eastAsia="仿宋" w:cs="仿宋"/>
                <w:bCs/>
                <w:color w:val="auto"/>
                <w:sz w:val="24"/>
                <w:szCs w:val="24"/>
                <w:highlight w:val="none"/>
              </w:rPr>
            </w:pPr>
            <w:r>
              <w:rPr>
                <w:rFonts w:hint="eastAsia" w:ascii="仿宋" w:hAnsi="仿宋" w:eastAsia="仿宋" w:cs="仿宋"/>
                <w:color w:val="auto"/>
                <w:kern w:val="0"/>
                <w:sz w:val="24"/>
                <w:szCs w:val="24"/>
                <w:highlight w:val="none"/>
                <w:lang w:bidi="ar"/>
              </w:rPr>
              <w:t>1.7</w:t>
            </w:r>
          </w:p>
        </w:tc>
        <w:tc>
          <w:tcPr>
            <w:tcW w:w="0" w:type="auto"/>
            <w:noWrap w:val="0"/>
            <w:vAlign w:val="center"/>
          </w:tcPr>
          <w:p w14:paraId="659FB4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主炉膛工作压力：-5.0Pa～-30Pa</w:t>
            </w:r>
          </w:p>
        </w:tc>
      </w:tr>
      <w:tr w14:paraId="499C9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2B0EC2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kern w:val="0"/>
                <w:sz w:val="24"/>
                <w:szCs w:val="24"/>
                <w:highlight w:val="none"/>
                <w:lang w:bidi="ar"/>
              </w:rPr>
              <w:t>1.</w:t>
            </w:r>
            <w:r>
              <w:rPr>
                <w:rFonts w:hint="eastAsia" w:ascii="仿宋" w:hAnsi="仿宋" w:eastAsia="仿宋" w:cs="仿宋"/>
                <w:color w:val="auto"/>
                <w:kern w:val="0"/>
                <w:sz w:val="24"/>
                <w:szCs w:val="24"/>
                <w:highlight w:val="none"/>
                <w:lang w:val="en-US" w:eastAsia="zh-CN" w:bidi="ar"/>
              </w:rPr>
              <w:t>8</w:t>
            </w:r>
          </w:p>
        </w:tc>
        <w:tc>
          <w:tcPr>
            <w:tcW w:w="0" w:type="auto"/>
            <w:noWrap w:val="0"/>
            <w:vAlign w:val="center"/>
          </w:tcPr>
          <w:p w14:paraId="482589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火化炉表面温升：小于30℃；局部小于60℃</w:t>
            </w:r>
          </w:p>
        </w:tc>
      </w:tr>
      <w:tr w14:paraId="50115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0BD3FA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kern w:val="0"/>
                <w:sz w:val="24"/>
                <w:szCs w:val="24"/>
                <w:highlight w:val="none"/>
                <w:lang w:bidi="ar"/>
              </w:rPr>
              <w:t>1.</w:t>
            </w:r>
            <w:r>
              <w:rPr>
                <w:rFonts w:hint="eastAsia" w:ascii="仿宋" w:hAnsi="仿宋" w:eastAsia="仿宋" w:cs="仿宋"/>
                <w:color w:val="auto"/>
                <w:kern w:val="0"/>
                <w:sz w:val="24"/>
                <w:szCs w:val="24"/>
                <w:highlight w:val="none"/>
                <w:lang w:val="en-US" w:eastAsia="zh-CN" w:bidi="ar"/>
              </w:rPr>
              <w:t>9</w:t>
            </w:r>
          </w:p>
        </w:tc>
        <w:tc>
          <w:tcPr>
            <w:tcW w:w="0" w:type="auto"/>
            <w:noWrap w:val="0"/>
            <w:vAlign w:val="center"/>
          </w:tcPr>
          <w:p w14:paraId="73A9D1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保温性能：燃烧室温度900℃，停炉24小时后，主温大于200℃</w:t>
            </w:r>
          </w:p>
        </w:tc>
      </w:tr>
      <w:tr w14:paraId="432F5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06776C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kern w:val="0"/>
                <w:sz w:val="24"/>
                <w:szCs w:val="24"/>
                <w:highlight w:val="none"/>
                <w:lang w:bidi="ar"/>
              </w:rPr>
              <w:t>1.1</w:t>
            </w:r>
            <w:r>
              <w:rPr>
                <w:rFonts w:hint="eastAsia" w:ascii="仿宋" w:hAnsi="仿宋" w:eastAsia="仿宋" w:cs="仿宋"/>
                <w:color w:val="auto"/>
                <w:kern w:val="0"/>
                <w:sz w:val="24"/>
                <w:szCs w:val="24"/>
                <w:highlight w:val="none"/>
                <w:lang w:val="en-US" w:eastAsia="zh-CN" w:bidi="ar"/>
              </w:rPr>
              <w:t>0</w:t>
            </w:r>
          </w:p>
        </w:tc>
        <w:tc>
          <w:tcPr>
            <w:tcW w:w="0" w:type="auto"/>
            <w:noWrap w:val="0"/>
            <w:vAlign w:val="center"/>
          </w:tcPr>
          <w:p w14:paraId="299651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火化正常遗体时，烟气黑度值不大于林格曼一级</w:t>
            </w:r>
          </w:p>
        </w:tc>
      </w:tr>
      <w:tr w14:paraId="61BD6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5E216C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kern w:val="0"/>
                <w:sz w:val="24"/>
                <w:szCs w:val="24"/>
                <w:highlight w:val="none"/>
                <w:lang w:bidi="ar"/>
              </w:rPr>
              <w:t>1.1</w:t>
            </w:r>
            <w:r>
              <w:rPr>
                <w:rFonts w:hint="eastAsia" w:ascii="仿宋" w:hAnsi="仿宋" w:eastAsia="仿宋" w:cs="仿宋"/>
                <w:color w:val="auto"/>
                <w:kern w:val="0"/>
                <w:sz w:val="24"/>
                <w:szCs w:val="24"/>
                <w:highlight w:val="none"/>
                <w:lang w:val="en-US" w:eastAsia="zh-CN" w:bidi="ar"/>
              </w:rPr>
              <w:t>1</w:t>
            </w:r>
          </w:p>
        </w:tc>
        <w:tc>
          <w:tcPr>
            <w:tcW w:w="0" w:type="auto"/>
            <w:noWrap w:val="0"/>
            <w:vAlign w:val="center"/>
          </w:tcPr>
          <w:p w14:paraId="4956A0F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各种污染物排放浓度和总量达到国家标准</w:t>
            </w:r>
          </w:p>
        </w:tc>
      </w:tr>
      <w:tr w14:paraId="5EA22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6E46DD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kern w:val="0"/>
                <w:sz w:val="24"/>
                <w:szCs w:val="24"/>
                <w:highlight w:val="none"/>
                <w:lang w:bidi="ar"/>
              </w:rPr>
              <w:t>1.1</w:t>
            </w:r>
            <w:r>
              <w:rPr>
                <w:rFonts w:hint="eastAsia" w:ascii="仿宋" w:hAnsi="仿宋" w:eastAsia="仿宋" w:cs="仿宋"/>
                <w:color w:val="auto"/>
                <w:kern w:val="0"/>
                <w:sz w:val="24"/>
                <w:szCs w:val="24"/>
                <w:highlight w:val="none"/>
                <w:lang w:val="en-US" w:eastAsia="zh-CN" w:bidi="ar"/>
              </w:rPr>
              <w:t>2</w:t>
            </w:r>
          </w:p>
        </w:tc>
        <w:tc>
          <w:tcPr>
            <w:tcW w:w="0" w:type="auto"/>
            <w:noWrap w:val="0"/>
            <w:vAlign w:val="center"/>
          </w:tcPr>
          <w:p w14:paraId="28543BB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电器总功率：≤25KW</w:t>
            </w:r>
          </w:p>
        </w:tc>
      </w:tr>
      <w:tr w14:paraId="47E99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5461AC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kern w:val="0"/>
                <w:sz w:val="24"/>
                <w:szCs w:val="24"/>
                <w:highlight w:val="none"/>
                <w:lang w:bidi="ar"/>
              </w:rPr>
              <w:t>1.1</w:t>
            </w:r>
            <w:r>
              <w:rPr>
                <w:rFonts w:hint="eastAsia" w:ascii="仿宋" w:hAnsi="仿宋" w:eastAsia="仿宋" w:cs="仿宋"/>
                <w:color w:val="auto"/>
                <w:kern w:val="0"/>
                <w:sz w:val="24"/>
                <w:szCs w:val="24"/>
                <w:highlight w:val="none"/>
                <w:lang w:val="en-US" w:eastAsia="zh-CN" w:bidi="ar"/>
              </w:rPr>
              <w:t>3</w:t>
            </w:r>
          </w:p>
        </w:tc>
        <w:tc>
          <w:tcPr>
            <w:tcW w:w="0" w:type="auto"/>
            <w:noWrap w:val="0"/>
            <w:vAlign w:val="center"/>
          </w:tcPr>
          <w:p w14:paraId="571F1D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系统工作电压：输入电压380V±5%（三相五线制）</w:t>
            </w:r>
          </w:p>
        </w:tc>
      </w:tr>
      <w:tr w14:paraId="7B856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4CE5FC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kern w:val="0"/>
                <w:sz w:val="24"/>
                <w:szCs w:val="24"/>
                <w:highlight w:val="none"/>
                <w:lang w:bidi="ar"/>
              </w:rPr>
              <w:t>1.1</w:t>
            </w:r>
            <w:r>
              <w:rPr>
                <w:rFonts w:hint="eastAsia" w:ascii="仿宋" w:hAnsi="仿宋" w:eastAsia="仿宋" w:cs="仿宋"/>
                <w:color w:val="auto"/>
                <w:kern w:val="0"/>
                <w:sz w:val="24"/>
                <w:szCs w:val="24"/>
                <w:highlight w:val="none"/>
                <w:lang w:val="en-US" w:eastAsia="zh-CN" w:bidi="ar"/>
              </w:rPr>
              <w:t>4</w:t>
            </w:r>
          </w:p>
        </w:tc>
        <w:tc>
          <w:tcPr>
            <w:tcW w:w="0" w:type="auto"/>
            <w:noWrap w:val="0"/>
            <w:vAlign w:val="center"/>
          </w:tcPr>
          <w:p w14:paraId="76F3465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电器控制工作电压：220VAC，24VDC</w:t>
            </w:r>
          </w:p>
        </w:tc>
      </w:tr>
      <w:tr w14:paraId="3E9E7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473F6B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kern w:val="0"/>
                <w:sz w:val="24"/>
                <w:szCs w:val="24"/>
                <w:highlight w:val="none"/>
                <w:lang w:bidi="ar"/>
              </w:rPr>
              <w:t>1.1</w:t>
            </w:r>
            <w:r>
              <w:rPr>
                <w:rFonts w:hint="eastAsia" w:ascii="仿宋" w:hAnsi="仿宋" w:eastAsia="仿宋" w:cs="仿宋"/>
                <w:color w:val="auto"/>
                <w:kern w:val="0"/>
                <w:sz w:val="24"/>
                <w:szCs w:val="24"/>
                <w:highlight w:val="none"/>
                <w:lang w:val="en-US" w:eastAsia="zh-CN" w:bidi="ar"/>
              </w:rPr>
              <w:t>5</w:t>
            </w:r>
          </w:p>
        </w:tc>
        <w:tc>
          <w:tcPr>
            <w:tcW w:w="0" w:type="auto"/>
            <w:noWrap w:val="0"/>
            <w:vAlign w:val="center"/>
          </w:tcPr>
          <w:p w14:paraId="72FBF9C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控制电器部分：电脑全自动控制、半自动控制和手动控制三套控制系统</w:t>
            </w:r>
          </w:p>
        </w:tc>
      </w:tr>
      <w:tr w14:paraId="08B10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310EEC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1.16</w:t>
            </w:r>
          </w:p>
        </w:tc>
        <w:tc>
          <w:tcPr>
            <w:tcW w:w="0" w:type="auto"/>
            <w:noWrap w:val="0"/>
            <w:vAlign w:val="center"/>
          </w:tcPr>
          <w:p w14:paraId="4F976F66">
            <w:pPr>
              <w:pStyle w:val="791"/>
              <w:keepNext w:val="0"/>
              <w:keepLines w:val="0"/>
              <w:suppressLineNumbers w:val="0"/>
              <w:spacing w:before="0" w:beforeAutospacing="0" w:after="0" w:afterAutospacing="0" w:line="240" w:lineRule="auto"/>
              <w:ind w:left="0" w:leftChars="0" w:right="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①</w:t>
            </w:r>
            <w:r>
              <w:rPr>
                <w:rFonts w:hint="eastAsia" w:ascii="仿宋" w:hAnsi="仿宋" w:eastAsia="仿宋" w:cs="仿宋"/>
                <w:color w:val="auto"/>
                <w:sz w:val="24"/>
                <w:szCs w:val="24"/>
                <w:highlight w:val="none"/>
              </w:rPr>
              <w:t>必须配置技术成熟的火化机炉膛</w:t>
            </w:r>
            <w:r>
              <w:rPr>
                <w:rFonts w:hint="eastAsia" w:ascii="仿宋" w:hAnsi="仿宋" w:eastAsia="仿宋" w:cs="仿宋"/>
                <w:color w:val="auto"/>
                <w:sz w:val="24"/>
                <w:szCs w:val="24"/>
                <w:highlight w:val="none"/>
                <w:lang w:val="en-US" w:eastAsia="zh-CN"/>
              </w:rPr>
              <w:t>预热</w:t>
            </w:r>
            <w:r>
              <w:rPr>
                <w:rFonts w:hint="eastAsia" w:ascii="仿宋" w:hAnsi="仿宋" w:eastAsia="仿宋" w:cs="仿宋"/>
                <w:color w:val="auto"/>
                <w:sz w:val="24"/>
                <w:szCs w:val="24"/>
                <w:highlight w:val="none"/>
              </w:rPr>
              <w:t>装置。</w:t>
            </w:r>
          </w:p>
          <w:p w14:paraId="354FFA60">
            <w:pPr>
              <w:pStyle w:val="791"/>
              <w:keepNext w:val="0"/>
              <w:keepLines w:val="0"/>
              <w:suppressLineNumbers w:val="0"/>
              <w:spacing w:before="0" w:beforeAutospacing="0" w:after="0" w:afterAutospacing="0" w:line="240" w:lineRule="auto"/>
              <w:ind w:left="0" w:leftChars="0" w:right="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②</w:t>
            </w:r>
            <w:r>
              <w:rPr>
                <w:rFonts w:hint="eastAsia" w:ascii="仿宋" w:hAnsi="仿宋" w:eastAsia="仿宋" w:cs="仿宋"/>
                <w:color w:val="auto"/>
                <w:sz w:val="24"/>
                <w:szCs w:val="24"/>
                <w:highlight w:val="none"/>
              </w:rPr>
              <w:t>必须配置技术成熟的火化机</w:t>
            </w:r>
            <w:r>
              <w:rPr>
                <w:rFonts w:hint="eastAsia" w:ascii="仿宋" w:hAnsi="仿宋" w:eastAsia="仿宋" w:cs="仿宋"/>
                <w:color w:val="auto"/>
                <w:sz w:val="24"/>
                <w:szCs w:val="24"/>
                <w:highlight w:val="none"/>
                <w:lang w:val="en-US" w:eastAsia="zh-CN"/>
              </w:rPr>
              <w:t>排烟设备</w:t>
            </w:r>
            <w:r>
              <w:rPr>
                <w:rFonts w:hint="eastAsia" w:ascii="仿宋" w:hAnsi="仿宋" w:eastAsia="仿宋" w:cs="仿宋"/>
                <w:color w:val="auto"/>
                <w:sz w:val="24"/>
                <w:szCs w:val="24"/>
                <w:highlight w:val="none"/>
              </w:rPr>
              <w:t>。</w:t>
            </w:r>
          </w:p>
          <w:p w14:paraId="106E7CE0">
            <w:pPr>
              <w:pStyle w:val="791"/>
              <w:keepNext w:val="0"/>
              <w:keepLines w:val="0"/>
              <w:suppressLineNumbers w:val="0"/>
              <w:spacing w:before="0" w:beforeAutospacing="0" w:after="0" w:afterAutospacing="0" w:line="240" w:lineRule="auto"/>
              <w:ind w:left="0" w:leftChars="0" w:right="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③</w:t>
            </w:r>
            <w:r>
              <w:rPr>
                <w:rFonts w:hint="eastAsia" w:ascii="仿宋" w:hAnsi="仿宋" w:eastAsia="仿宋" w:cs="仿宋"/>
                <w:color w:val="auto"/>
                <w:sz w:val="24"/>
                <w:szCs w:val="24"/>
                <w:highlight w:val="none"/>
              </w:rPr>
              <w:t>必须配置技术成熟的火化机</w:t>
            </w:r>
            <w:r>
              <w:rPr>
                <w:rFonts w:hint="eastAsia" w:ascii="仿宋" w:hAnsi="仿宋" w:eastAsia="仿宋" w:cs="仿宋"/>
                <w:color w:val="auto"/>
                <w:sz w:val="24"/>
                <w:szCs w:val="24"/>
                <w:highlight w:val="none"/>
                <w:lang w:val="en-US" w:eastAsia="zh-CN"/>
              </w:rPr>
              <w:t>烟气余热回收装置</w:t>
            </w:r>
            <w:r>
              <w:rPr>
                <w:rFonts w:hint="eastAsia" w:ascii="仿宋" w:hAnsi="仿宋" w:eastAsia="仿宋" w:cs="仿宋"/>
                <w:color w:val="auto"/>
                <w:sz w:val="24"/>
                <w:szCs w:val="24"/>
                <w:highlight w:val="none"/>
              </w:rPr>
              <w:t>。</w:t>
            </w:r>
          </w:p>
          <w:p w14:paraId="20E5A189">
            <w:pPr>
              <w:pStyle w:val="791"/>
              <w:keepNext w:val="0"/>
              <w:keepLines w:val="0"/>
              <w:suppressLineNumbers w:val="0"/>
              <w:spacing w:before="0" w:beforeAutospacing="0" w:after="0" w:afterAutospacing="0" w:line="240" w:lineRule="auto"/>
              <w:ind w:left="0" w:leftChars="0" w:right="0" w:firstLine="0" w:firstLineChars="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lang w:eastAsia="zh-CN"/>
              </w:rPr>
              <w:t>④</w:t>
            </w:r>
            <w:r>
              <w:rPr>
                <w:rFonts w:hint="eastAsia" w:ascii="仿宋" w:hAnsi="仿宋" w:eastAsia="仿宋" w:cs="仿宋"/>
                <w:color w:val="auto"/>
                <w:sz w:val="24"/>
                <w:szCs w:val="24"/>
                <w:highlight w:val="none"/>
              </w:rPr>
              <w:t>必须配置技术成熟的</w:t>
            </w:r>
            <w:r>
              <w:rPr>
                <w:rFonts w:hint="eastAsia" w:ascii="仿宋" w:hAnsi="仿宋" w:eastAsia="仿宋" w:cs="仿宋"/>
                <w:color w:val="auto"/>
                <w:sz w:val="24"/>
                <w:szCs w:val="24"/>
                <w:highlight w:val="none"/>
                <w:lang w:val="en-US" w:eastAsia="zh-CN"/>
              </w:rPr>
              <w:t>焚烧炉尾气处理装置</w:t>
            </w:r>
            <w:r>
              <w:rPr>
                <w:rFonts w:hint="eastAsia" w:ascii="仿宋" w:hAnsi="仿宋" w:eastAsia="仿宋" w:cs="仿宋"/>
                <w:color w:val="auto"/>
                <w:sz w:val="24"/>
                <w:szCs w:val="24"/>
                <w:highlight w:val="none"/>
              </w:rPr>
              <w:t>。</w:t>
            </w:r>
          </w:p>
        </w:tc>
      </w:tr>
      <w:tr w14:paraId="17651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0504B9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kern w:val="0"/>
                <w:sz w:val="24"/>
                <w:szCs w:val="24"/>
                <w:highlight w:val="none"/>
                <w:lang w:bidi="ar"/>
              </w:rPr>
              <w:t>1.1</w:t>
            </w:r>
            <w:r>
              <w:rPr>
                <w:rFonts w:hint="eastAsia" w:ascii="仿宋" w:hAnsi="仿宋" w:eastAsia="仿宋" w:cs="仿宋"/>
                <w:color w:val="auto"/>
                <w:kern w:val="0"/>
                <w:sz w:val="24"/>
                <w:szCs w:val="24"/>
                <w:highlight w:val="none"/>
                <w:lang w:val="en-US" w:eastAsia="zh-CN" w:bidi="ar"/>
              </w:rPr>
              <w:t>7</w:t>
            </w:r>
          </w:p>
        </w:tc>
        <w:tc>
          <w:tcPr>
            <w:tcW w:w="0" w:type="auto"/>
            <w:noWrap w:val="0"/>
            <w:vAlign w:val="center"/>
          </w:tcPr>
          <w:p w14:paraId="0BB75C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排烟方式：下排式烟道，引射式烟囱</w:t>
            </w:r>
          </w:p>
        </w:tc>
      </w:tr>
      <w:tr w14:paraId="7F407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386621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w:t>
            </w:r>
          </w:p>
        </w:tc>
        <w:tc>
          <w:tcPr>
            <w:tcW w:w="0" w:type="auto"/>
            <w:noWrap w:val="0"/>
            <w:vAlign w:val="center"/>
          </w:tcPr>
          <w:p w14:paraId="6CEE5C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平板炉性能及配置要求</w:t>
            </w:r>
          </w:p>
        </w:tc>
      </w:tr>
      <w:tr w14:paraId="4224D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600AD0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w:t>
            </w:r>
          </w:p>
        </w:tc>
        <w:tc>
          <w:tcPr>
            <w:tcW w:w="0" w:type="auto"/>
            <w:noWrap w:val="0"/>
            <w:vAlign w:val="center"/>
          </w:tcPr>
          <w:p w14:paraId="3A86D8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炉体外型尺寸要求：炉体外形尺寸：3600×2</w:t>
            </w:r>
            <w:r>
              <w:rPr>
                <w:rFonts w:hint="eastAsia" w:ascii="仿宋" w:hAnsi="仿宋" w:eastAsia="仿宋" w:cs="仿宋"/>
                <w:bCs/>
                <w:color w:val="auto"/>
                <w:sz w:val="24"/>
                <w:szCs w:val="24"/>
                <w:highlight w:val="none"/>
                <w:lang w:val="en-US" w:eastAsia="zh-CN"/>
              </w:rPr>
              <w:t>7</w:t>
            </w:r>
            <w:r>
              <w:rPr>
                <w:rFonts w:hint="eastAsia" w:ascii="仿宋" w:hAnsi="仿宋" w:eastAsia="仿宋" w:cs="仿宋"/>
                <w:bCs/>
                <w:color w:val="auto"/>
                <w:sz w:val="24"/>
                <w:szCs w:val="24"/>
                <w:highlight w:val="none"/>
              </w:rPr>
              <w:t>00×</w:t>
            </w:r>
            <w:r>
              <w:rPr>
                <w:rFonts w:hint="eastAsia" w:ascii="仿宋" w:hAnsi="仿宋" w:eastAsia="仿宋" w:cs="仿宋"/>
                <w:bCs/>
                <w:color w:val="auto"/>
                <w:sz w:val="24"/>
                <w:szCs w:val="24"/>
                <w:highlight w:val="none"/>
                <w:lang w:val="en-US" w:eastAsia="zh-CN"/>
              </w:rPr>
              <w:t>3000</w:t>
            </w:r>
            <w:r>
              <w:rPr>
                <w:rFonts w:hint="eastAsia" w:ascii="仿宋" w:hAnsi="仿宋" w:eastAsia="仿宋" w:cs="仿宋"/>
                <w:bCs/>
                <w:color w:val="auto"/>
                <w:sz w:val="24"/>
                <w:szCs w:val="24"/>
                <w:highlight w:val="none"/>
              </w:rPr>
              <w:t>mm（允许偏离±10%），炉体外包装采用暗扣式安装，拆装方便。炉体骨架采用40×40×3.5方管焊或角钢焊接制作。</w:t>
            </w:r>
          </w:p>
          <w:p w14:paraId="0D1202DF">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火化</w:t>
            </w:r>
            <w:r>
              <w:rPr>
                <w:rFonts w:hint="eastAsia" w:ascii="仿宋" w:hAnsi="仿宋" w:eastAsia="仿宋" w:cs="仿宋"/>
                <w:bCs/>
                <w:color w:val="auto"/>
                <w:sz w:val="24"/>
                <w:szCs w:val="24"/>
                <w:highlight w:val="none"/>
              </w:rPr>
              <w:t>炉外观由</w:t>
            </w:r>
            <w:r>
              <w:rPr>
                <w:rFonts w:hint="eastAsia" w:ascii="仿宋" w:hAnsi="仿宋" w:eastAsia="仿宋" w:cs="仿宋"/>
                <w:bCs/>
                <w:color w:val="auto"/>
                <w:sz w:val="24"/>
                <w:szCs w:val="24"/>
                <w:highlight w:val="none"/>
                <w:lang w:val="en-US" w:eastAsia="zh-CN"/>
              </w:rPr>
              <w:t>中标人</w:t>
            </w:r>
            <w:r>
              <w:rPr>
                <w:rFonts w:hint="eastAsia" w:ascii="仿宋" w:hAnsi="仿宋" w:eastAsia="仿宋" w:cs="仿宋"/>
                <w:bCs/>
                <w:color w:val="auto"/>
                <w:sz w:val="24"/>
                <w:szCs w:val="24"/>
                <w:highlight w:val="none"/>
              </w:rPr>
              <w:t>设计制作，区别于目前市面上已有的外观，并要体现出新颖、豪华、美观大方，制作工艺精良，并附外观3D设计效果图，由采购人挑选，直至采购人满意。设计制作费用由</w:t>
            </w:r>
            <w:r>
              <w:rPr>
                <w:rFonts w:hint="eastAsia" w:ascii="仿宋" w:hAnsi="仿宋" w:eastAsia="仿宋" w:cs="仿宋"/>
                <w:bCs/>
                <w:color w:val="auto"/>
                <w:sz w:val="24"/>
                <w:szCs w:val="24"/>
                <w:highlight w:val="none"/>
                <w:lang w:val="en-US" w:eastAsia="zh-CN"/>
              </w:rPr>
              <w:t>中标人</w:t>
            </w:r>
            <w:r>
              <w:rPr>
                <w:rFonts w:hint="eastAsia" w:ascii="仿宋" w:hAnsi="仿宋" w:eastAsia="仿宋" w:cs="仿宋"/>
                <w:bCs/>
                <w:color w:val="auto"/>
                <w:sz w:val="24"/>
                <w:szCs w:val="24"/>
                <w:highlight w:val="none"/>
              </w:rPr>
              <w:t>承担，已含在报价内。外观造型设计美观并满足实用、操作方便等要求，外装饰材料采用优质304不锈钢板，</w:t>
            </w:r>
            <w:r>
              <w:rPr>
                <w:rFonts w:hint="eastAsia" w:ascii="仿宋" w:hAnsi="仿宋" w:eastAsia="仿宋" w:cs="仿宋"/>
                <w:bCs/>
                <w:color w:val="auto"/>
                <w:sz w:val="24"/>
                <w:szCs w:val="24"/>
                <w:highlight w:val="none"/>
                <w:lang w:val="en-US" w:eastAsia="zh-CN"/>
              </w:rPr>
              <w:t>外部烤漆，</w:t>
            </w:r>
            <w:r>
              <w:rPr>
                <w:rFonts w:hint="eastAsia" w:ascii="仿宋" w:hAnsi="仿宋" w:eastAsia="仿宋" w:cs="仿宋"/>
                <w:bCs/>
                <w:color w:val="auto"/>
                <w:sz w:val="24"/>
                <w:szCs w:val="24"/>
                <w:highlight w:val="none"/>
              </w:rPr>
              <w:t>厚度1.2mm，或其他新型包装，需附图说明。</w:t>
            </w:r>
          </w:p>
        </w:tc>
      </w:tr>
      <w:tr w14:paraId="07563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3545854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2.2</w:t>
            </w:r>
          </w:p>
        </w:tc>
        <w:tc>
          <w:tcPr>
            <w:tcW w:w="0" w:type="auto"/>
            <w:noWrap w:val="0"/>
            <w:vAlign w:val="center"/>
          </w:tcPr>
          <w:p w14:paraId="430C9F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鼓风机要求</w:t>
            </w:r>
          </w:p>
        </w:tc>
      </w:tr>
      <w:tr w14:paraId="59B1B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43395B0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2.2.1</w:t>
            </w:r>
          </w:p>
        </w:tc>
        <w:tc>
          <w:tcPr>
            <w:tcW w:w="0" w:type="auto"/>
            <w:noWrap w:val="0"/>
            <w:vAlign w:val="center"/>
          </w:tcPr>
          <w:p w14:paraId="695EF3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zh-CN"/>
              </w:rPr>
              <w:t>在</w:t>
            </w:r>
            <w:r>
              <w:rPr>
                <w:rFonts w:hint="eastAsia" w:ascii="仿宋" w:hAnsi="仿宋" w:eastAsia="仿宋" w:cs="仿宋"/>
                <w:bCs/>
                <w:color w:val="auto"/>
                <w:sz w:val="24"/>
                <w:szCs w:val="24"/>
                <w:highlight w:val="none"/>
              </w:rPr>
              <w:t>投标</w:t>
            </w:r>
            <w:r>
              <w:rPr>
                <w:rFonts w:hint="eastAsia" w:ascii="仿宋" w:hAnsi="仿宋" w:eastAsia="仿宋" w:cs="仿宋"/>
                <w:bCs/>
                <w:color w:val="auto"/>
                <w:sz w:val="24"/>
                <w:szCs w:val="24"/>
                <w:highlight w:val="none"/>
                <w:lang w:val="zh-CN"/>
              </w:rPr>
              <w:t>文件</w:t>
            </w:r>
            <w:r>
              <w:rPr>
                <w:rFonts w:hint="eastAsia" w:ascii="仿宋" w:hAnsi="仿宋" w:eastAsia="仿宋" w:cs="仿宋"/>
                <w:bCs/>
                <w:color w:val="auto"/>
                <w:sz w:val="24"/>
                <w:szCs w:val="24"/>
                <w:highlight w:val="none"/>
              </w:rPr>
              <w:t>注明选用风机的类型、品牌、功率、风量、风压、噪音。</w:t>
            </w:r>
          </w:p>
        </w:tc>
      </w:tr>
      <w:tr w14:paraId="754A2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08CF2B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2.2.2</w:t>
            </w:r>
          </w:p>
        </w:tc>
        <w:tc>
          <w:tcPr>
            <w:tcW w:w="0" w:type="auto"/>
            <w:noWrap w:val="0"/>
            <w:vAlign w:val="center"/>
          </w:tcPr>
          <w:p w14:paraId="56A88A7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安装底座水平，无震动，底座应加有</w:t>
            </w:r>
            <w:r>
              <w:rPr>
                <w:rFonts w:hint="eastAsia" w:ascii="仿宋" w:hAnsi="仿宋" w:eastAsia="仿宋" w:cs="仿宋"/>
                <w:bCs/>
                <w:color w:val="auto"/>
                <w:sz w:val="24"/>
                <w:szCs w:val="24"/>
                <w:highlight w:val="none"/>
                <w:lang w:val="zh-CN"/>
              </w:rPr>
              <w:t>优质防振垫，风机装有消音装置，采用低噪音风机。</w:t>
            </w:r>
          </w:p>
        </w:tc>
      </w:tr>
      <w:tr w14:paraId="7E8AF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1442A2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2.2.3</w:t>
            </w:r>
          </w:p>
        </w:tc>
        <w:tc>
          <w:tcPr>
            <w:tcW w:w="0" w:type="auto"/>
            <w:noWrap w:val="0"/>
            <w:vAlign w:val="center"/>
          </w:tcPr>
          <w:p w14:paraId="78C35B4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zh-CN"/>
              </w:rPr>
              <w:t>风机出风口配上</w:t>
            </w:r>
            <w:r>
              <w:rPr>
                <w:rFonts w:hint="eastAsia" w:ascii="仿宋" w:hAnsi="仿宋" w:eastAsia="仿宋" w:cs="仿宋"/>
                <w:bCs/>
                <w:color w:val="auto"/>
                <w:sz w:val="24"/>
                <w:szCs w:val="24"/>
                <w:highlight w:val="none"/>
              </w:rPr>
              <w:t>橡胶伸缩法兰连接套管，进风口配有防护网。</w:t>
            </w:r>
          </w:p>
        </w:tc>
      </w:tr>
      <w:tr w14:paraId="79271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4548B8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2.3</w:t>
            </w:r>
          </w:p>
        </w:tc>
        <w:tc>
          <w:tcPr>
            <w:tcW w:w="0" w:type="auto"/>
            <w:noWrap w:val="0"/>
            <w:vAlign w:val="center"/>
          </w:tcPr>
          <w:p w14:paraId="1CE0E2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供风系统要求：风量控制采用手动、自动双控制方式。炉体布局风管应排列整齐、平顺、有固定点、不漏风、油漆颜色一致。采用全自动炉膛供氧风阀。</w:t>
            </w:r>
          </w:p>
        </w:tc>
      </w:tr>
      <w:tr w14:paraId="3DA16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186464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2.4</w:t>
            </w:r>
          </w:p>
        </w:tc>
        <w:tc>
          <w:tcPr>
            <w:tcW w:w="0" w:type="auto"/>
            <w:noWrap w:val="0"/>
            <w:vAlign w:val="center"/>
          </w:tcPr>
          <w:p w14:paraId="17AF42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遗体输送控制系统</w:t>
            </w:r>
          </w:p>
        </w:tc>
      </w:tr>
      <w:tr w14:paraId="10F25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28BFC7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2.4.1</w:t>
            </w:r>
          </w:p>
        </w:tc>
        <w:tc>
          <w:tcPr>
            <w:tcW w:w="0" w:type="auto"/>
            <w:noWrap w:val="0"/>
            <w:vAlign w:val="center"/>
          </w:tcPr>
          <w:p w14:paraId="38E6283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PLC为控制系统，具有自动控制、手动控制程式。定位系统精确控制炉车，保证与炉门动作协调一致。</w:t>
            </w:r>
          </w:p>
        </w:tc>
      </w:tr>
      <w:tr w14:paraId="3C554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452ADF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2.4.2</w:t>
            </w:r>
          </w:p>
        </w:tc>
        <w:tc>
          <w:tcPr>
            <w:tcW w:w="0" w:type="auto"/>
            <w:noWrap w:val="0"/>
            <w:vAlign w:val="center"/>
          </w:tcPr>
          <w:p w14:paraId="27CCBF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工控产品PLC等选用优质品牌产品。</w:t>
            </w:r>
          </w:p>
        </w:tc>
      </w:tr>
      <w:tr w14:paraId="57B2D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6DFE53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2.5</w:t>
            </w:r>
          </w:p>
        </w:tc>
        <w:tc>
          <w:tcPr>
            <w:tcW w:w="0" w:type="auto"/>
            <w:noWrap w:val="0"/>
            <w:vAlign w:val="center"/>
          </w:tcPr>
          <w:p w14:paraId="74E3BC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炉门技术要求：</w:t>
            </w:r>
          </w:p>
          <w:p w14:paraId="05DB40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炉门、炉膛应确保2100×700×650 mm的卫生棺能正常进出、火化（</w:t>
            </w:r>
            <w:r>
              <w:rPr>
                <w:rFonts w:hint="eastAsia" w:ascii="仿宋" w:hAnsi="仿宋" w:eastAsia="仿宋" w:cs="仿宋"/>
                <w:b/>
                <w:bCs w:val="0"/>
                <w:color w:val="auto"/>
                <w:sz w:val="24"/>
                <w:szCs w:val="24"/>
                <w:highlight w:val="none"/>
                <w:lang w:val="zh-CN"/>
              </w:rPr>
              <w:t>其中一台炉膛应特制，确保</w:t>
            </w:r>
            <w:r>
              <w:rPr>
                <w:rFonts w:hint="eastAsia" w:ascii="仿宋" w:hAnsi="仿宋" w:eastAsia="仿宋" w:cs="仿宋"/>
                <w:b/>
                <w:bCs w:val="0"/>
                <w:color w:val="auto"/>
                <w:sz w:val="24"/>
                <w:szCs w:val="24"/>
                <w:highlight w:val="none"/>
                <w:lang w:val="en-US" w:eastAsia="zh-CN"/>
              </w:rPr>
              <w:t>2200</w:t>
            </w:r>
            <w:r>
              <w:rPr>
                <w:rFonts w:hint="eastAsia" w:ascii="仿宋" w:hAnsi="仿宋" w:eastAsia="仿宋" w:cs="仿宋"/>
                <w:b/>
                <w:bCs w:val="0"/>
                <w:color w:val="auto"/>
                <w:sz w:val="24"/>
                <w:szCs w:val="24"/>
                <w:highlight w:val="none"/>
                <w:lang w:val="zh-CN"/>
              </w:rPr>
              <w:t>×</w:t>
            </w:r>
            <w:r>
              <w:rPr>
                <w:rFonts w:hint="eastAsia" w:ascii="仿宋" w:hAnsi="仿宋" w:eastAsia="仿宋" w:cs="仿宋"/>
                <w:b/>
                <w:bCs w:val="0"/>
                <w:color w:val="auto"/>
                <w:sz w:val="24"/>
                <w:szCs w:val="24"/>
                <w:highlight w:val="none"/>
                <w:lang w:val="en-US" w:eastAsia="zh-CN"/>
              </w:rPr>
              <w:t>8</w:t>
            </w:r>
            <w:r>
              <w:rPr>
                <w:rFonts w:hint="eastAsia" w:ascii="仿宋" w:hAnsi="仿宋" w:eastAsia="仿宋" w:cs="仿宋"/>
                <w:b/>
                <w:bCs w:val="0"/>
                <w:color w:val="auto"/>
                <w:sz w:val="24"/>
                <w:szCs w:val="24"/>
                <w:highlight w:val="none"/>
                <w:lang w:val="zh-CN"/>
              </w:rPr>
              <w:t>00×</w:t>
            </w:r>
            <w:r>
              <w:rPr>
                <w:rFonts w:hint="eastAsia" w:ascii="仿宋" w:hAnsi="仿宋" w:eastAsia="仿宋" w:cs="仿宋"/>
                <w:b/>
                <w:bCs w:val="0"/>
                <w:color w:val="auto"/>
                <w:sz w:val="24"/>
                <w:szCs w:val="24"/>
                <w:highlight w:val="none"/>
                <w:lang w:val="en-US" w:eastAsia="zh-CN"/>
              </w:rPr>
              <w:t>70</w:t>
            </w:r>
            <w:r>
              <w:rPr>
                <w:rFonts w:hint="eastAsia" w:ascii="仿宋" w:hAnsi="仿宋" w:eastAsia="仿宋" w:cs="仿宋"/>
                <w:b/>
                <w:bCs w:val="0"/>
                <w:color w:val="auto"/>
                <w:sz w:val="24"/>
                <w:szCs w:val="24"/>
                <w:highlight w:val="none"/>
                <w:lang w:val="zh-CN"/>
              </w:rPr>
              <w:t>0 mm的卫生棺能正常进出</w:t>
            </w:r>
            <w:r>
              <w:rPr>
                <w:rFonts w:hint="eastAsia" w:ascii="仿宋" w:hAnsi="仿宋" w:eastAsia="仿宋" w:cs="仿宋"/>
                <w:bCs/>
                <w:color w:val="auto"/>
                <w:sz w:val="24"/>
                <w:szCs w:val="24"/>
                <w:highlight w:val="none"/>
                <w:lang w:val="zh-CN"/>
              </w:rPr>
              <w:t>）；</w:t>
            </w:r>
            <w:r>
              <w:rPr>
                <w:rFonts w:hint="eastAsia" w:ascii="仿宋" w:hAnsi="仿宋" w:eastAsia="仿宋" w:cs="仿宋"/>
                <w:bCs/>
                <w:color w:val="auto"/>
                <w:sz w:val="24"/>
                <w:szCs w:val="24"/>
                <w:highlight w:val="none"/>
                <w:lang w:val="en-US" w:eastAsia="zh-CN"/>
              </w:rPr>
              <w:t>投标人</w:t>
            </w:r>
            <w:r>
              <w:rPr>
                <w:rFonts w:hint="eastAsia" w:ascii="仿宋" w:hAnsi="仿宋" w:eastAsia="仿宋" w:cs="仿宋"/>
                <w:bCs/>
                <w:color w:val="auto"/>
                <w:sz w:val="24"/>
                <w:szCs w:val="24"/>
                <w:highlight w:val="none"/>
                <w:lang w:val="zh-CN"/>
              </w:rPr>
              <w:t>在响应文件中对炉门升降装置结构设计、性能、可靠性进行描述。炉门框架使用优质钢材制作，厚度不少于4mm，内部用耐高温（大于1500℃）多晶莫来石纤维制作，外部采用不锈钢装饰。具有应急手动操作功能，轻松启闭炉门。炉门运行低噪音。</w:t>
            </w:r>
          </w:p>
          <w:p w14:paraId="33351B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要求:架体稳固，炉门水平，灵敏性、可靠性、耐用性,炉门提升行程准确，联体传动、低噪音,连续启闭无故障。</w:t>
            </w:r>
          </w:p>
        </w:tc>
      </w:tr>
      <w:tr w14:paraId="6873A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372CC7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2.6</w:t>
            </w:r>
          </w:p>
        </w:tc>
        <w:tc>
          <w:tcPr>
            <w:tcW w:w="0" w:type="auto"/>
            <w:noWrap w:val="0"/>
            <w:vAlign w:val="center"/>
          </w:tcPr>
          <w:p w14:paraId="6B4B6B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炉膛性能技术要求</w:t>
            </w:r>
          </w:p>
        </w:tc>
      </w:tr>
      <w:tr w14:paraId="77744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07381A7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w:t>
            </w:r>
            <w:r>
              <w:rPr>
                <w:rFonts w:hint="eastAsia" w:ascii="仿宋" w:hAnsi="仿宋" w:eastAsia="仿宋" w:cs="仿宋"/>
                <w:bCs/>
                <w:color w:val="auto"/>
                <w:sz w:val="24"/>
                <w:szCs w:val="24"/>
                <w:highlight w:val="none"/>
              </w:rPr>
              <w:t>2.6.1</w:t>
            </w:r>
          </w:p>
        </w:tc>
        <w:tc>
          <w:tcPr>
            <w:tcW w:w="0" w:type="auto"/>
            <w:noWrap w:val="0"/>
            <w:vAlign w:val="center"/>
          </w:tcPr>
          <w:p w14:paraId="31B861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炉膛由主燃室和二燃室组成。主燃室采用高铝磷酸耐火砖（防爆砖，耐火温度≥1760℃，</w:t>
            </w:r>
            <w:r>
              <w:rPr>
                <w:rFonts w:hint="eastAsia" w:ascii="仿宋" w:hAnsi="仿宋" w:eastAsia="仿宋" w:cs="仿宋"/>
                <w:bCs/>
                <w:color w:val="auto"/>
                <w:sz w:val="24"/>
                <w:szCs w:val="24"/>
                <w:highlight w:val="none"/>
              </w:rPr>
              <w:t>（Al</w:t>
            </w:r>
            <w:r>
              <w:rPr>
                <w:rFonts w:hint="eastAsia" w:ascii="仿宋" w:hAnsi="仿宋" w:eastAsia="仿宋" w:cs="仿宋"/>
                <w:bCs/>
                <w:color w:val="auto"/>
                <w:sz w:val="24"/>
                <w:szCs w:val="24"/>
                <w:highlight w:val="none"/>
                <w:vertAlign w:val="subscript"/>
              </w:rPr>
              <w:t>2</w:t>
            </w:r>
            <w:r>
              <w:rPr>
                <w:rFonts w:hint="eastAsia" w:ascii="仿宋" w:hAnsi="仿宋" w:eastAsia="仿宋" w:cs="仿宋"/>
                <w:bCs/>
                <w:color w:val="auto"/>
                <w:sz w:val="24"/>
                <w:szCs w:val="24"/>
                <w:highlight w:val="none"/>
              </w:rPr>
              <w:t>O</w:t>
            </w:r>
            <w:r>
              <w:rPr>
                <w:rFonts w:hint="eastAsia" w:ascii="仿宋" w:hAnsi="仿宋" w:eastAsia="仿宋" w:cs="仿宋"/>
                <w:bCs/>
                <w:color w:val="auto"/>
                <w:sz w:val="24"/>
                <w:szCs w:val="24"/>
                <w:highlight w:val="none"/>
                <w:vertAlign w:val="subscript"/>
              </w:rPr>
              <w:t>3</w:t>
            </w:r>
            <w:r>
              <w:rPr>
                <w:rFonts w:hint="eastAsia" w:ascii="仿宋" w:hAnsi="仿宋" w:eastAsia="仿宋" w:cs="仿宋"/>
                <w:bCs/>
                <w:color w:val="auto"/>
                <w:sz w:val="24"/>
                <w:szCs w:val="24"/>
                <w:highlight w:val="none"/>
              </w:rPr>
              <w:t>）含量≥</w:t>
            </w:r>
            <w:r>
              <w:rPr>
                <w:rFonts w:hint="eastAsia" w:ascii="仿宋" w:hAnsi="仿宋" w:eastAsia="仿宋" w:cs="仿宋"/>
                <w:bCs/>
                <w:color w:val="auto"/>
                <w:sz w:val="24"/>
                <w:szCs w:val="24"/>
                <w:highlight w:val="none"/>
                <w:lang w:val="en-US" w:eastAsia="zh-CN"/>
              </w:rPr>
              <w:t>55</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zh-CN"/>
              </w:rPr>
              <w:t>）材料砌筑。</w:t>
            </w:r>
          </w:p>
          <w:p w14:paraId="1B0412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
                <w:color w:val="auto"/>
                <w:sz w:val="24"/>
                <w:szCs w:val="24"/>
                <w:highlight w:val="none"/>
              </w:rPr>
              <w:t>投标文件中</w:t>
            </w:r>
            <w:r>
              <w:rPr>
                <w:rFonts w:hint="eastAsia" w:ascii="仿宋" w:hAnsi="仿宋" w:eastAsia="仿宋" w:cs="仿宋"/>
                <w:b/>
                <w:color w:val="auto"/>
                <w:sz w:val="24"/>
                <w:szCs w:val="24"/>
                <w:highlight w:val="none"/>
                <w:lang w:val="en-US" w:eastAsia="zh-CN"/>
              </w:rPr>
              <w:t>需</w:t>
            </w:r>
            <w:r>
              <w:rPr>
                <w:rFonts w:hint="eastAsia" w:ascii="仿宋" w:hAnsi="仿宋" w:eastAsia="仿宋" w:cs="仿宋"/>
                <w:b/>
                <w:color w:val="auto"/>
                <w:sz w:val="24"/>
                <w:szCs w:val="24"/>
                <w:highlight w:val="none"/>
              </w:rPr>
              <w:t>提供</w:t>
            </w:r>
            <w:r>
              <w:rPr>
                <w:rFonts w:hint="eastAsia" w:ascii="仿宋" w:hAnsi="仿宋" w:eastAsia="仿宋" w:cs="仿宋"/>
                <w:b/>
                <w:color w:val="auto"/>
                <w:sz w:val="24"/>
                <w:szCs w:val="24"/>
                <w:highlight w:val="none"/>
                <w:lang w:val="zh-CN"/>
              </w:rPr>
              <w:t>检测报告复印件加盖</w:t>
            </w:r>
            <w:r>
              <w:rPr>
                <w:rFonts w:hint="eastAsia" w:ascii="仿宋" w:hAnsi="仿宋" w:eastAsia="仿宋" w:cs="仿宋"/>
                <w:b/>
                <w:color w:val="auto"/>
                <w:sz w:val="24"/>
                <w:szCs w:val="24"/>
                <w:highlight w:val="none"/>
                <w:lang w:val="en-US" w:eastAsia="zh-CN"/>
              </w:rPr>
              <w:t>投标人</w:t>
            </w:r>
            <w:r>
              <w:rPr>
                <w:rFonts w:hint="eastAsia" w:ascii="仿宋" w:hAnsi="仿宋" w:eastAsia="仿宋" w:cs="仿宋"/>
                <w:b/>
                <w:color w:val="auto"/>
                <w:sz w:val="24"/>
                <w:szCs w:val="24"/>
                <w:highlight w:val="none"/>
                <w:lang w:val="zh-CN"/>
              </w:rPr>
              <w:t>公章。</w:t>
            </w:r>
          </w:p>
        </w:tc>
      </w:tr>
      <w:tr w14:paraId="43CA6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3CB01D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2.6.2</w:t>
            </w:r>
          </w:p>
        </w:tc>
        <w:tc>
          <w:tcPr>
            <w:tcW w:w="0" w:type="auto"/>
            <w:noWrap w:val="0"/>
            <w:vAlign w:val="center"/>
          </w:tcPr>
          <w:p w14:paraId="192541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主炉膛砌筑</w:t>
            </w:r>
            <w:r>
              <w:rPr>
                <w:rFonts w:hint="eastAsia" w:ascii="仿宋" w:hAnsi="仿宋" w:eastAsia="仿宋" w:cs="仿宋"/>
                <w:bCs/>
                <w:color w:val="auto"/>
                <w:sz w:val="24"/>
                <w:szCs w:val="24"/>
                <w:highlight w:val="none"/>
                <w:lang w:val="en-US" w:eastAsia="zh-CN"/>
              </w:rPr>
              <w:t>必须</w:t>
            </w:r>
            <w:r>
              <w:rPr>
                <w:rFonts w:hint="eastAsia" w:ascii="仿宋" w:hAnsi="仿宋" w:eastAsia="仿宋" w:cs="仿宋"/>
                <w:bCs/>
                <w:color w:val="auto"/>
                <w:sz w:val="24"/>
                <w:szCs w:val="24"/>
                <w:highlight w:val="none"/>
                <w:lang w:val="zh-CN"/>
              </w:rPr>
              <w:t>采用耐高温大于1600℃高铝胶泥砌筑。</w:t>
            </w:r>
          </w:p>
        </w:tc>
      </w:tr>
      <w:tr w14:paraId="79F21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56D747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2.6.3</w:t>
            </w:r>
          </w:p>
        </w:tc>
        <w:tc>
          <w:tcPr>
            <w:tcW w:w="0" w:type="auto"/>
            <w:noWrap w:val="0"/>
            <w:vAlign w:val="center"/>
          </w:tcPr>
          <w:p w14:paraId="1FF2FD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燃烧器座砖、主燃室火口盖板等均采用耐火材料浇筑或采用碳化硅砖砌筑，碳化硅（sic）含量≥80%。</w:t>
            </w:r>
          </w:p>
        </w:tc>
      </w:tr>
      <w:tr w14:paraId="1F38C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1A13728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w:t>
            </w:r>
            <w:r>
              <w:rPr>
                <w:rFonts w:hint="eastAsia" w:ascii="仿宋" w:hAnsi="仿宋" w:eastAsia="仿宋" w:cs="仿宋"/>
                <w:bCs/>
                <w:color w:val="auto"/>
                <w:sz w:val="24"/>
                <w:szCs w:val="24"/>
                <w:highlight w:val="none"/>
              </w:rPr>
              <w:t>2.6.4</w:t>
            </w:r>
          </w:p>
        </w:tc>
        <w:tc>
          <w:tcPr>
            <w:tcW w:w="0" w:type="auto"/>
            <w:noWrap w:val="0"/>
            <w:vAlign w:val="center"/>
          </w:tcPr>
          <w:p w14:paraId="482F92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zh-CN"/>
              </w:rPr>
              <w:t>二燃室、炉体（烟道）采用一级高铝砖（耐火温度1500℃）耐火材料，使用高铝耐火泥砌筑。</w:t>
            </w:r>
            <w:r>
              <w:rPr>
                <w:rFonts w:hint="eastAsia" w:ascii="仿宋" w:hAnsi="仿宋" w:eastAsia="仿宋" w:cs="仿宋"/>
                <w:bCs/>
                <w:color w:val="auto"/>
                <w:sz w:val="24"/>
                <w:szCs w:val="24"/>
                <w:highlight w:val="none"/>
              </w:rPr>
              <w:t>高铝砖（Al</w:t>
            </w:r>
            <w:r>
              <w:rPr>
                <w:rFonts w:hint="eastAsia" w:ascii="仿宋" w:hAnsi="仿宋" w:eastAsia="仿宋" w:cs="仿宋"/>
                <w:bCs/>
                <w:color w:val="auto"/>
                <w:sz w:val="24"/>
                <w:szCs w:val="24"/>
                <w:highlight w:val="none"/>
                <w:vertAlign w:val="subscript"/>
              </w:rPr>
              <w:t>2</w:t>
            </w:r>
            <w:r>
              <w:rPr>
                <w:rFonts w:hint="eastAsia" w:ascii="仿宋" w:hAnsi="仿宋" w:eastAsia="仿宋" w:cs="仿宋"/>
                <w:bCs/>
                <w:color w:val="auto"/>
                <w:sz w:val="24"/>
                <w:szCs w:val="24"/>
                <w:highlight w:val="none"/>
              </w:rPr>
              <w:t>O</w:t>
            </w:r>
            <w:r>
              <w:rPr>
                <w:rFonts w:hint="eastAsia" w:ascii="仿宋" w:hAnsi="仿宋" w:eastAsia="仿宋" w:cs="仿宋"/>
                <w:bCs/>
                <w:color w:val="auto"/>
                <w:sz w:val="24"/>
                <w:szCs w:val="24"/>
                <w:highlight w:val="none"/>
                <w:vertAlign w:val="subscript"/>
              </w:rPr>
              <w:t>3</w:t>
            </w:r>
            <w:r>
              <w:rPr>
                <w:rFonts w:hint="eastAsia" w:ascii="仿宋" w:hAnsi="仿宋" w:eastAsia="仿宋" w:cs="仿宋"/>
                <w:bCs/>
                <w:color w:val="auto"/>
                <w:sz w:val="24"/>
                <w:szCs w:val="24"/>
                <w:highlight w:val="none"/>
              </w:rPr>
              <w:t>）含量≥70%，</w:t>
            </w:r>
            <w:r>
              <w:rPr>
                <w:rFonts w:hint="eastAsia" w:ascii="仿宋" w:hAnsi="仿宋" w:eastAsia="仿宋" w:cs="仿宋"/>
                <w:bCs/>
                <w:color w:val="auto"/>
                <w:sz w:val="24"/>
                <w:szCs w:val="24"/>
                <w:highlight w:val="none"/>
                <w:lang w:eastAsia="zh-CN"/>
              </w:rPr>
              <w:t>高铝</w:t>
            </w:r>
            <w:r>
              <w:rPr>
                <w:rFonts w:hint="eastAsia" w:ascii="仿宋" w:hAnsi="仿宋" w:eastAsia="仿宋" w:cs="仿宋"/>
                <w:bCs/>
                <w:color w:val="auto"/>
                <w:sz w:val="24"/>
                <w:szCs w:val="24"/>
                <w:highlight w:val="none"/>
                <w:lang w:val="zh-CN"/>
              </w:rPr>
              <w:t>耐火骨料</w:t>
            </w:r>
            <w:r>
              <w:rPr>
                <w:rFonts w:hint="eastAsia" w:ascii="仿宋" w:hAnsi="仿宋" w:eastAsia="仿宋" w:cs="仿宋"/>
                <w:bCs/>
                <w:color w:val="auto"/>
                <w:sz w:val="24"/>
                <w:szCs w:val="24"/>
                <w:highlight w:val="none"/>
              </w:rPr>
              <w:t>（Al</w:t>
            </w:r>
            <w:r>
              <w:rPr>
                <w:rFonts w:hint="eastAsia" w:ascii="仿宋" w:hAnsi="仿宋" w:eastAsia="仿宋" w:cs="仿宋"/>
                <w:bCs/>
                <w:color w:val="auto"/>
                <w:sz w:val="24"/>
                <w:szCs w:val="24"/>
                <w:highlight w:val="none"/>
                <w:vertAlign w:val="subscript"/>
              </w:rPr>
              <w:t>2</w:t>
            </w:r>
            <w:r>
              <w:rPr>
                <w:rFonts w:hint="eastAsia" w:ascii="仿宋" w:hAnsi="仿宋" w:eastAsia="仿宋" w:cs="仿宋"/>
                <w:bCs/>
                <w:color w:val="auto"/>
                <w:sz w:val="24"/>
                <w:szCs w:val="24"/>
                <w:highlight w:val="none"/>
              </w:rPr>
              <w:t>O</w:t>
            </w:r>
            <w:r>
              <w:rPr>
                <w:rFonts w:hint="eastAsia" w:ascii="仿宋" w:hAnsi="仿宋" w:eastAsia="仿宋" w:cs="仿宋"/>
                <w:bCs/>
                <w:color w:val="auto"/>
                <w:sz w:val="24"/>
                <w:szCs w:val="24"/>
                <w:highlight w:val="none"/>
                <w:vertAlign w:val="subscript"/>
              </w:rPr>
              <w:t>3</w:t>
            </w:r>
            <w:r>
              <w:rPr>
                <w:rFonts w:hint="eastAsia" w:ascii="仿宋" w:hAnsi="仿宋" w:eastAsia="仿宋" w:cs="仿宋"/>
                <w:bCs/>
                <w:color w:val="auto"/>
                <w:sz w:val="24"/>
                <w:szCs w:val="24"/>
                <w:highlight w:val="none"/>
              </w:rPr>
              <w:t>）含量≥</w:t>
            </w:r>
            <w:r>
              <w:rPr>
                <w:rFonts w:hint="eastAsia" w:ascii="仿宋" w:hAnsi="仿宋" w:eastAsia="仿宋" w:cs="仿宋"/>
                <w:bCs/>
                <w:color w:val="auto"/>
                <w:sz w:val="24"/>
                <w:szCs w:val="24"/>
                <w:highlight w:val="none"/>
                <w:lang w:val="en-US" w:eastAsia="zh-CN"/>
              </w:rPr>
              <w:t>45</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eastAsia="zh-CN"/>
              </w:rPr>
              <w:t>。</w:t>
            </w:r>
          </w:p>
          <w:p w14:paraId="7AB769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eastAsia="zh-CN"/>
              </w:rPr>
            </w:pPr>
            <w:r>
              <w:rPr>
                <w:rFonts w:hint="eastAsia" w:ascii="仿宋" w:hAnsi="仿宋" w:eastAsia="仿宋" w:cs="仿宋"/>
                <w:b/>
                <w:color w:val="auto"/>
                <w:sz w:val="24"/>
                <w:szCs w:val="24"/>
                <w:highlight w:val="none"/>
              </w:rPr>
              <w:t>投标文件中</w:t>
            </w:r>
            <w:r>
              <w:rPr>
                <w:rFonts w:hint="eastAsia" w:ascii="仿宋" w:hAnsi="仿宋" w:eastAsia="仿宋" w:cs="仿宋"/>
                <w:b/>
                <w:color w:val="auto"/>
                <w:sz w:val="24"/>
                <w:szCs w:val="24"/>
                <w:highlight w:val="none"/>
                <w:lang w:val="en-US" w:eastAsia="zh-CN"/>
              </w:rPr>
              <w:t>需</w:t>
            </w:r>
            <w:r>
              <w:rPr>
                <w:rFonts w:hint="eastAsia" w:ascii="仿宋" w:hAnsi="仿宋" w:eastAsia="仿宋" w:cs="仿宋"/>
                <w:b/>
                <w:color w:val="auto"/>
                <w:sz w:val="24"/>
                <w:szCs w:val="24"/>
                <w:highlight w:val="none"/>
              </w:rPr>
              <w:t>提供</w:t>
            </w:r>
            <w:r>
              <w:rPr>
                <w:rFonts w:hint="eastAsia" w:ascii="仿宋" w:hAnsi="仿宋" w:eastAsia="仿宋" w:cs="仿宋"/>
                <w:b/>
                <w:color w:val="auto"/>
                <w:sz w:val="24"/>
                <w:szCs w:val="24"/>
                <w:highlight w:val="none"/>
                <w:lang w:val="zh-CN"/>
              </w:rPr>
              <w:t>检测报告复印件加盖</w:t>
            </w:r>
            <w:r>
              <w:rPr>
                <w:rFonts w:hint="eastAsia" w:ascii="仿宋" w:hAnsi="仿宋" w:eastAsia="仿宋" w:cs="仿宋"/>
                <w:b/>
                <w:color w:val="auto"/>
                <w:sz w:val="24"/>
                <w:szCs w:val="24"/>
                <w:highlight w:val="none"/>
                <w:lang w:val="en-US" w:eastAsia="zh-CN"/>
              </w:rPr>
              <w:t>投标人</w:t>
            </w:r>
            <w:r>
              <w:rPr>
                <w:rFonts w:hint="eastAsia" w:ascii="仿宋" w:hAnsi="仿宋" w:eastAsia="仿宋" w:cs="仿宋"/>
                <w:b/>
                <w:color w:val="auto"/>
                <w:sz w:val="24"/>
                <w:szCs w:val="24"/>
                <w:highlight w:val="none"/>
                <w:lang w:val="zh-CN"/>
              </w:rPr>
              <w:t>公章。</w:t>
            </w:r>
          </w:p>
        </w:tc>
      </w:tr>
      <w:tr w14:paraId="2AE22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587927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2.6.5</w:t>
            </w:r>
          </w:p>
        </w:tc>
        <w:tc>
          <w:tcPr>
            <w:tcW w:w="0" w:type="auto"/>
            <w:noWrap w:val="0"/>
            <w:vAlign w:val="center"/>
          </w:tcPr>
          <w:p w14:paraId="21BECF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砌筑耐火砖的灰缝不大于3mm，主炉膛灰缝不大于2.8mm，横平竖直、泥浆饱满、砌体平面直线度不大于3/1000，垂直度不大于3/1000。需切断耐火砖时，必须用切割机切割并磨平后使用。</w:t>
            </w:r>
          </w:p>
        </w:tc>
      </w:tr>
      <w:tr w14:paraId="0A732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1BADC8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2.6.6</w:t>
            </w:r>
          </w:p>
        </w:tc>
        <w:tc>
          <w:tcPr>
            <w:tcW w:w="0" w:type="auto"/>
            <w:noWrap w:val="0"/>
            <w:vAlign w:val="center"/>
          </w:tcPr>
          <w:p w14:paraId="7C97FD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结构砌筑工艺要求</w:t>
            </w:r>
          </w:p>
        </w:tc>
      </w:tr>
      <w:tr w14:paraId="2E4B2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416404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w:t>
            </w:r>
            <w:r>
              <w:rPr>
                <w:rFonts w:hint="eastAsia" w:ascii="仿宋" w:hAnsi="仿宋" w:eastAsia="仿宋" w:cs="仿宋"/>
                <w:bCs/>
                <w:color w:val="auto"/>
                <w:sz w:val="24"/>
                <w:szCs w:val="24"/>
                <w:highlight w:val="none"/>
              </w:rPr>
              <w:t>2.6.6.1</w:t>
            </w:r>
          </w:p>
        </w:tc>
        <w:tc>
          <w:tcPr>
            <w:tcW w:w="0" w:type="auto"/>
            <w:noWrap w:val="0"/>
            <w:vAlign w:val="center"/>
          </w:tcPr>
          <w:p w14:paraId="2B81FC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耐火层：粘土耐火砖和耐火高温浇铸预制件砌筑，耐火泥</w:t>
            </w:r>
            <w:r>
              <w:rPr>
                <w:rFonts w:hint="eastAsia" w:ascii="仿宋" w:hAnsi="仿宋" w:eastAsia="仿宋" w:cs="仿宋"/>
                <w:bCs/>
                <w:color w:val="auto"/>
                <w:sz w:val="24"/>
                <w:szCs w:val="24"/>
                <w:highlight w:val="none"/>
              </w:rPr>
              <w:t>（Al</w:t>
            </w:r>
            <w:r>
              <w:rPr>
                <w:rFonts w:hint="eastAsia" w:ascii="仿宋" w:hAnsi="仿宋" w:eastAsia="仿宋" w:cs="仿宋"/>
                <w:bCs/>
                <w:color w:val="auto"/>
                <w:sz w:val="24"/>
                <w:szCs w:val="24"/>
                <w:highlight w:val="none"/>
                <w:vertAlign w:val="subscript"/>
              </w:rPr>
              <w:t>2</w:t>
            </w:r>
            <w:r>
              <w:rPr>
                <w:rFonts w:hint="eastAsia" w:ascii="仿宋" w:hAnsi="仿宋" w:eastAsia="仿宋" w:cs="仿宋"/>
                <w:bCs/>
                <w:color w:val="auto"/>
                <w:sz w:val="24"/>
                <w:szCs w:val="24"/>
                <w:highlight w:val="none"/>
              </w:rPr>
              <w:t>O</w:t>
            </w:r>
            <w:r>
              <w:rPr>
                <w:rFonts w:hint="eastAsia" w:ascii="仿宋" w:hAnsi="仿宋" w:eastAsia="仿宋" w:cs="仿宋"/>
                <w:bCs/>
                <w:color w:val="auto"/>
                <w:sz w:val="24"/>
                <w:szCs w:val="24"/>
                <w:highlight w:val="none"/>
                <w:vertAlign w:val="subscript"/>
              </w:rPr>
              <w:t>3</w:t>
            </w:r>
            <w:r>
              <w:rPr>
                <w:rFonts w:hint="eastAsia" w:ascii="仿宋" w:hAnsi="仿宋" w:eastAsia="仿宋" w:cs="仿宋"/>
                <w:bCs/>
                <w:color w:val="auto"/>
                <w:sz w:val="24"/>
                <w:szCs w:val="24"/>
                <w:highlight w:val="none"/>
              </w:rPr>
              <w:t>）含量≥50%，耐火度≥1700℃</w:t>
            </w:r>
            <w:r>
              <w:rPr>
                <w:rFonts w:hint="eastAsia" w:ascii="仿宋" w:hAnsi="仿宋" w:eastAsia="仿宋" w:cs="仿宋"/>
                <w:bCs/>
                <w:color w:val="auto"/>
                <w:sz w:val="24"/>
                <w:szCs w:val="24"/>
                <w:highlight w:val="none"/>
                <w:lang w:val="zh-CN"/>
              </w:rPr>
              <w:t>。</w:t>
            </w:r>
          </w:p>
          <w:p w14:paraId="1F3ADF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
                <w:color w:val="auto"/>
                <w:sz w:val="24"/>
                <w:szCs w:val="24"/>
                <w:highlight w:val="none"/>
              </w:rPr>
              <w:t>投标文件中</w:t>
            </w:r>
            <w:r>
              <w:rPr>
                <w:rFonts w:hint="eastAsia" w:ascii="仿宋" w:hAnsi="仿宋" w:eastAsia="仿宋" w:cs="仿宋"/>
                <w:b/>
                <w:color w:val="auto"/>
                <w:sz w:val="24"/>
                <w:szCs w:val="24"/>
                <w:highlight w:val="none"/>
                <w:lang w:val="en-US" w:eastAsia="zh-CN"/>
              </w:rPr>
              <w:t>需</w:t>
            </w:r>
            <w:r>
              <w:rPr>
                <w:rFonts w:hint="eastAsia" w:ascii="仿宋" w:hAnsi="仿宋" w:eastAsia="仿宋" w:cs="仿宋"/>
                <w:b/>
                <w:color w:val="auto"/>
                <w:sz w:val="24"/>
                <w:szCs w:val="24"/>
                <w:highlight w:val="none"/>
              </w:rPr>
              <w:t>提供</w:t>
            </w:r>
            <w:r>
              <w:rPr>
                <w:rFonts w:hint="eastAsia" w:ascii="仿宋" w:hAnsi="仿宋" w:eastAsia="仿宋" w:cs="仿宋"/>
                <w:b/>
                <w:color w:val="auto"/>
                <w:sz w:val="24"/>
                <w:szCs w:val="24"/>
                <w:highlight w:val="none"/>
                <w:lang w:val="zh-CN"/>
              </w:rPr>
              <w:t>检测报告复印件加盖</w:t>
            </w:r>
            <w:r>
              <w:rPr>
                <w:rFonts w:hint="eastAsia" w:ascii="仿宋" w:hAnsi="仿宋" w:eastAsia="仿宋" w:cs="仿宋"/>
                <w:b/>
                <w:color w:val="auto"/>
                <w:sz w:val="24"/>
                <w:szCs w:val="24"/>
                <w:highlight w:val="none"/>
                <w:lang w:val="en-US" w:eastAsia="zh-CN"/>
              </w:rPr>
              <w:t>投标人</w:t>
            </w:r>
            <w:r>
              <w:rPr>
                <w:rFonts w:hint="eastAsia" w:ascii="仿宋" w:hAnsi="仿宋" w:eastAsia="仿宋" w:cs="仿宋"/>
                <w:b/>
                <w:color w:val="auto"/>
                <w:sz w:val="24"/>
                <w:szCs w:val="24"/>
                <w:highlight w:val="none"/>
                <w:lang w:val="zh-CN"/>
              </w:rPr>
              <w:t>公章。</w:t>
            </w:r>
          </w:p>
        </w:tc>
      </w:tr>
      <w:tr w14:paraId="348C7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7DB3F4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2.6.6.2</w:t>
            </w:r>
          </w:p>
        </w:tc>
        <w:tc>
          <w:tcPr>
            <w:tcW w:w="0" w:type="auto"/>
            <w:noWrap w:val="0"/>
            <w:vAlign w:val="center"/>
          </w:tcPr>
          <w:p w14:paraId="711619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隔热层：</w:t>
            </w:r>
            <w:r>
              <w:rPr>
                <w:rFonts w:hint="eastAsia" w:ascii="仿宋" w:hAnsi="仿宋" w:eastAsia="仿宋" w:cs="仿宋"/>
                <w:color w:val="auto"/>
                <w:sz w:val="24"/>
                <w:szCs w:val="24"/>
                <w:highlight w:val="none"/>
                <w:lang w:val="zh-CN"/>
              </w:rPr>
              <w:t>耐高温硅酸铝纤维毡（纤维毯）导热度≤0.2W/（m.k），抹耐火泥多层粘制。</w:t>
            </w:r>
          </w:p>
        </w:tc>
      </w:tr>
      <w:tr w14:paraId="35A63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614696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2.6.6.3</w:t>
            </w:r>
          </w:p>
        </w:tc>
        <w:tc>
          <w:tcPr>
            <w:tcW w:w="0" w:type="auto"/>
            <w:noWrap w:val="0"/>
            <w:vAlign w:val="center"/>
          </w:tcPr>
          <w:p w14:paraId="1B41A1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保温层：炉体两侧及炉顶用保温砖和耐火泥砌筑。</w:t>
            </w:r>
          </w:p>
        </w:tc>
      </w:tr>
      <w:tr w14:paraId="56216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2C35CA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2.6.7</w:t>
            </w:r>
          </w:p>
        </w:tc>
        <w:tc>
          <w:tcPr>
            <w:tcW w:w="0" w:type="auto"/>
            <w:noWrap w:val="0"/>
            <w:vAlign w:val="center"/>
          </w:tcPr>
          <w:p w14:paraId="4BA958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耐火层外的保温层必须砌筑，不准堆砌，工艺与耐火层同。</w:t>
            </w:r>
          </w:p>
        </w:tc>
      </w:tr>
      <w:tr w14:paraId="0CBF5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0CAE84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2.6.8</w:t>
            </w:r>
          </w:p>
        </w:tc>
        <w:tc>
          <w:tcPr>
            <w:tcW w:w="0" w:type="auto"/>
            <w:noWrap w:val="0"/>
            <w:vAlign w:val="center"/>
          </w:tcPr>
          <w:p w14:paraId="2313BC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高铝耐火泥、高温耐火泥、粘土质耐火砖、耐火浇注料、耐高温纤维板和保温砖等均采用国内优质产品。</w:t>
            </w:r>
          </w:p>
        </w:tc>
      </w:tr>
      <w:tr w14:paraId="5CAC6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7C9EEC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2.6.9</w:t>
            </w:r>
          </w:p>
        </w:tc>
        <w:tc>
          <w:tcPr>
            <w:tcW w:w="0" w:type="auto"/>
            <w:noWrap w:val="0"/>
            <w:vAlign w:val="center"/>
          </w:tcPr>
          <w:p w14:paraId="3D674DF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炉膛热风配制风阀，密封性能好，不漏气，启闭灵活。</w:t>
            </w:r>
          </w:p>
        </w:tc>
      </w:tr>
      <w:tr w14:paraId="31B2C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3C97F6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2.6.10</w:t>
            </w:r>
          </w:p>
        </w:tc>
        <w:tc>
          <w:tcPr>
            <w:tcW w:w="0" w:type="auto"/>
            <w:noWrap w:val="0"/>
            <w:vAlign w:val="center"/>
          </w:tcPr>
          <w:p w14:paraId="0D69FF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炉膛左右两侧助燃风管，使用直径20mm的高温不锈钢制作。</w:t>
            </w:r>
          </w:p>
        </w:tc>
      </w:tr>
      <w:tr w14:paraId="0ABC1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74C416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2.6.11</w:t>
            </w:r>
          </w:p>
        </w:tc>
        <w:tc>
          <w:tcPr>
            <w:tcW w:w="0" w:type="auto"/>
            <w:noWrap w:val="0"/>
            <w:vAlign w:val="center"/>
          </w:tcPr>
          <w:p w14:paraId="368418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设有防爆装置技术。</w:t>
            </w:r>
          </w:p>
        </w:tc>
      </w:tr>
      <w:tr w14:paraId="5DBC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40E0029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2.6.1</w:t>
            </w:r>
            <w:r>
              <w:rPr>
                <w:rFonts w:hint="eastAsia" w:ascii="仿宋" w:hAnsi="仿宋" w:eastAsia="仿宋" w:cs="仿宋"/>
                <w:bCs/>
                <w:color w:val="auto"/>
                <w:sz w:val="24"/>
                <w:szCs w:val="24"/>
                <w:highlight w:val="none"/>
                <w:lang w:val="en-US" w:eastAsia="zh-CN"/>
              </w:rPr>
              <w:t>1</w:t>
            </w:r>
          </w:p>
        </w:tc>
        <w:tc>
          <w:tcPr>
            <w:tcW w:w="0" w:type="auto"/>
            <w:noWrap w:val="0"/>
            <w:vAlign w:val="center"/>
          </w:tcPr>
          <w:p w14:paraId="680277F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炉密闭性：火化设备（火化炉、冷却室、鼓风装置、引风装置、闸板装置、烟道等）在正常运行工作中及停机后不许出现烟气溢出，倒烟、回烟、异味现象；用热电偶要求：采用优质的高温陶瓷热电偶。</w:t>
            </w:r>
          </w:p>
        </w:tc>
      </w:tr>
      <w:tr w14:paraId="3C5E2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553A8E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2.6.1</w:t>
            </w:r>
            <w:r>
              <w:rPr>
                <w:rFonts w:hint="eastAsia" w:ascii="仿宋" w:hAnsi="仿宋" w:eastAsia="仿宋" w:cs="仿宋"/>
                <w:bCs/>
                <w:color w:val="auto"/>
                <w:sz w:val="24"/>
                <w:szCs w:val="24"/>
                <w:highlight w:val="none"/>
                <w:lang w:val="en-US" w:eastAsia="zh-CN"/>
              </w:rPr>
              <w:t>2</w:t>
            </w:r>
          </w:p>
        </w:tc>
        <w:tc>
          <w:tcPr>
            <w:tcW w:w="0" w:type="auto"/>
            <w:noWrap w:val="0"/>
            <w:vAlign w:val="center"/>
          </w:tcPr>
          <w:p w14:paraId="5C1AA0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炕面使用平板式特质料烧结砖。炕面砖：采用优质浇注料材质，耐急冷急热,连续火化使用寿命不低于1500具。</w:t>
            </w:r>
          </w:p>
        </w:tc>
      </w:tr>
      <w:tr w14:paraId="33933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30E364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2.7</w:t>
            </w:r>
          </w:p>
        </w:tc>
        <w:tc>
          <w:tcPr>
            <w:tcW w:w="0" w:type="auto"/>
            <w:noWrap w:val="0"/>
            <w:vAlign w:val="center"/>
          </w:tcPr>
          <w:p w14:paraId="63CD5B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炉体（内外烟道）技术要求：烟道设计结构合理，烟道截面应加宽加高，降低烟气流速。烟道左右设有清灰门，位置合理，清灰方便。</w:t>
            </w:r>
          </w:p>
        </w:tc>
      </w:tr>
      <w:tr w14:paraId="2960C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noWrap w:val="0"/>
            <w:vAlign w:val="center"/>
          </w:tcPr>
          <w:p w14:paraId="4899C2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2.8</w:t>
            </w:r>
          </w:p>
        </w:tc>
        <w:tc>
          <w:tcPr>
            <w:tcW w:w="0" w:type="auto"/>
            <w:noWrap w:val="0"/>
            <w:vAlign w:val="center"/>
          </w:tcPr>
          <w:p w14:paraId="557354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燃烧系统要求</w:t>
            </w:r>
          </w:p>
        </w:tc>
      </w:tr>
      <w:tr w14:paraId="7767B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19704B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2.8.</w:t>
            </w:r>
            <w:r>
              <w:rPr>
                <w:rFonts w:hint="eastAsia" w:ascii="仿宋" w:hAnsi="仿宋" w:eastAsia="仿宋" w:cs="仿宋"/>
                <w:bCs/>
                <w:color w:val="auto"/>
                <w:sz w:val="24"/>
                <w:szCs w:val="24"/>
                <w:highlight w:val="none"/>
                <w:lang w:val="en-US" w:eastAsia="zh-CN"/>
              </w:rPr>
              <w:t>1</w:t>
            </w:r>
          </w:p>
        </w:tc>
        <w:tc>
          <w:tcPr>
            <w:tcW w:w="0" w:type="auto"/>
            <w:noWrap w:val="0"/>
            <w:vAlign w:val="center"/>
          </w:tcPr>
          <w:p w14:paraId="4460E9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主燃烧器能自动调整角度，钢度强，雾化效果好，风油配比合理。</w:t>
            </w:r>
          </w:p>
        </w:tc>
      </w:tr>
      <w:tr w14:paraId="2912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5C165B2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2.8.</w:t>
            </w:r>
            <w:r>
              <w:rPr>
                <w:rFonts w:hint="eastAsia" w:ascii="仿宋" w:hAnsi="仿宋" w:eastAsia="仿宋" w:cs="仿宋"/>
                <w:bCs/>
                <w:color w:val="auto"/>
                <w:sz w:val="24"/>
                <w:szCs w:val="24"/>
                <w:highlight w:val="none"/>
                <w:lang w:val="en-US" w:eastAsia="zh-CN"/>
              </w:rPr>
              <w:t>2</w:t>
            </w:r>
          </w:p>
        </w:tc>
        <w:tc>
          <w:tcPr>
            <w:tcW w:w="0" w:type="auto"/>
            <w:noWrap w:val="0"/>
            <w:vAlign w:val="center"/>
          </w:tcPr>
          <w:p w14:paraId="1C3CC2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主燃烧器必须有大小火控制装置。</w:t>
            </w:r>
          </w:p>
        </w:tc>
      </w:tr>
      <w:tr w14:paraId="4EDE1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15466AB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2.8.</w:t>
            </w:r>
            <w:r>
              <w:rPr>
                <w:rFonts w:hint="eastAsia" w:ascii="仿宋" w:hAnsi="仿宋" w:eastAsia="仿宋" w:cs="仿宋"/>
                <w:bCs/>
                <w:color w:val="auto"/>
                <w:sz w:val="24"/>
                <w:szCs w:val="24"/>
                <w:highlight w:val="none"/>
                <w:lang w:val="en-US" w:eastAsia="zh-CN"/>
              </w:rPr>
              <w:t>3</w:t>
            </w:r>
          </w:p>
        </w:tc>
        <w:tc>
          <w:tcPr>
            <w:tcW w:w="0" w:type="auto"/>
            <w:noWrap w:val="0"/>
            <w:vAlign w:val="center"/>
          </w:tcPr>
          <w:p w14:paraId="41FB8C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点火必须采用燃烧器点火装置，用燃烧器点火装置把喷嘴喷出的油点燃，安全可靠。</w:t>
            </w:r>
          </w:p>
        </w:tc>
      </w:tr>
      <w:tr w14:paraId="21B8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0057073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2.8.</w:t>
            </w:r>
            <w:r>
              <w:rPr>
                <w:rFonts w:hint="eastAsia" w:ascii="仿宋" w:hAnsi="仿宋" w:eastAsia="仿宋" w:cs="仿宋"/>
                <w:bCs/>
                <w:color w:val="auto"/>
                <w:sz w:val="24"/>
                <w:szCs w:val="24"/>
                <w:highlight w:val="none"/>
                <w:lang w:val="en-US" w:eastAsia="zh-CN"/>
              </w:rPr>
              <w:t>4</w:t>
            </w:r>
          </w:p>
        </w:tc>
        <w:tc>
          <w:tcPr>
            <w:tcW w:w="0" w:type="auto"/>
            <w:noWrap w:val="0"/>
            <w:vAlign w:val="center"/>
          </w:tcPr>
          <w:p w14:paraId="7B9A1E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供油量、供风量的调节采取自动控制和手动操作。</w:t>
            </w:r>
          </w:p>
        </w:tc>
      </w:tr>
      <w:tr w14:paraId="3C723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27868F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2.8.</w:t>
            </w:r>
            <w:r>
              <w:rPr>
                <w:rFonts w:hint="eastAsia" w:ascii="仿宋" w:hAnsi="仿宋" w:eastAsia="仿宋" w:cs="仿宋"/>
                <w:bCs/>
                <w:color w:val="auto"/>
                <w:sz w:val="24"/>
                <w:szCs w:val="24"/>
                <w:highlight w:val="none"/>
                <w:lang w:val="en-US" w:eastAsia="zh-CN"/>
              </w:rPr>
              <w:t>5</w:t>
            </w:r>
          </w:p>
        </w:tc>
        <w:tc>
          <w:tcPr>
            <w:tcW w:w="0" w:type="auto"/>
            <w:noWrap w:val="0"/>
            <w:vAlign w:val="center"/>
          </w:tcPr>
          <w:p w14:paraId="29BA0A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主燃烧器具有不锈钢挡板保护装置，保证燃烧器的使用效果。</w:t>
            </w:r>
          </w:p>
        </w:tc>
      </w:tr>
      <w:tr w14:paraId="36AC1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446F496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2.9</w:t>
            </w:r>
          </w:p>
        </w:tc>
        <w:tc>
          <w:tcPr>
            <w:tcW w:w="0" w:type="auto"/>
            <w:noWrap w:val="0"/>
            <w:vAlign w:val="center"/>
          </w:tcPr>
          <w:p w14:paraId="11CBA6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油路装置要求</w:t>
            </w:r>
          </w:p>
        </w:tc>
      </w:tr>
      <w:tr w14:paraId="6153E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0D14C8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2.9.1</w:t>
            </w:r>
          </w:p>
        </w:tc>
        <w:tc>
          <w:tcPr>
            <w:tcW w:w="0" w:type="auto"/>
            <w:noWrap w:val="0"/>
            <w:vAlign w:val="center"/>
          </w:tcPr>
          <w:p w14:paraId="31A765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每炉配备一只数字油量表，在油量表前端加一个可调固定截流阀。</w:t>
            </w:r>
          </w:p>
        </w:tc>
      </w:tr>
      <w:tr w14:paraId="363BC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4AE6F8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2.9.2</w:t>
            </w:r>
          </w:p>
        </w:tc>
        <w:tc>
          <w:tcPr>
            <w:tcW w:w="0" w:type="auto"/>
            <w:noWrap w:val="0"/>
            <w:vAlign w:val="center"/>
          </w:tcPr>
          <w:p w14:paraId="51CCB7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应排列整齐，横平竖直，有固定支架，不漏油。</w:t>
            </w:r>
          </w:p>
        </w:tc>
      </w:tr>
      <w:tr w14:paraId="2782E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521CA1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2.10</w:t>
            </w:r>
          </w:p>
        </w:tc>
        <w:tc>
          <w:tcPr>
            <w:tcW w:w="0" w:type="auto"/>
            <w:noWrap w:val="0"/>
            <w:vAlign w:val="center"/>
          </w:tcPr>
          <w:p w14:paraId="44B1A0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炉后电器控制部分要求</w:t>
            </w:r>
          </w:p>
        </w:tc>
      </w:tr>
      <w:tr w14:paraId="61A37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7CFF7D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2.10.1</w:t>
            </w:r>
          </w:p>
        </w:tc>
        <w:tc>
          <w:tcPr>
            <w:tcW w:w="0" w:type="auto"/>
            <w:noWrap w:val="0"/>
            <w:vAlign w:val="center"/>
          </w:tcPr>
          <w:p w14:paraId="37BF722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PLC为控制系统，可视化人机界面为操作界面，A/D模块将模拟信号转换为数字信号。控制方式为自动、手动控制，可实现手机</w:t>
            </w:r>
            <w:r>
              <w:rPr>
                <w:rFonts w:hint="eastAsia" w:ascii="仿宋" w:hAnsi="仿宋" w:eastAsia="仿宋" w:cs="仿宋"/>
                <w:bCs/>
                <w:color w:val="auto"/>
                <w:sz w:val="24"/>
                <w:szCs w:val="24"/>
                <w:highlight w:val="none"/>
                <w:lang w:val="en-US" w:eastAsia="zh-CN"/>
              </w:rPr>
              <w:t>app</w:t>
            </w:r>
            <w:r>
              <w:rPr>
                <w:rFonts w:hint="eastAsia" w:ascii="仿宋" w:hAnsi="仿宋" w:eastAsia="仿宋" w:cs="仿宋"/>
                <w:bCs/>
                <w:color w:val="auto"/>
                <w:sz w:val="24"/>
                <w:szCs w:val="24"/>
                <w:highlight w:val="none"/>
                <w:lang w:val="zh-CN"/>
              </w:rPr>
              <w:t>远程监控维护</w:t>
            </w:r>
            <w:r>
              <w:rPr>
                <w:rFonts w:hint="eastAsia" w:ascii="仿宋" w:hAnsi="仿宋" w:eastAsia="仿宋" w:cs="仿宋"/>
                <w:bCs/>
                <w:color w:val="auto"/>
                <w:sz w:val="24"/>
                <w:szCs w:val="24"/>
                <w:highlight w:val="none"/>
                <w:lang w:val="en-US" w:eastAsia="zh-CN"/>
              </w:rPr>
              <w:t>HMI、PLC，实现远程编程、固件升级、系统故障诊断、远程调试等，支持报警推送等功能。</w:t>
            </w:r>
            <w:r>
              <w:rPr>
                <w:rFonts w:hint="eastAsia" w:ascii="仿宋" w:hAnsi="仿宋" w:eastAsia="仿宋" w:cs="仿宋"/>
                <w:bCs/>
                <w:color w:val="auto"/>
                <w:sz w:val="24"/>
                <w:szCs w:val="24"/>
                <w:highlight w:val="none"/>
                <w:lang w:val="zh-CN"/>
              </w:rPr>
              <w:t>人机界面上模拟火化机、尾气设备运行，设备的各种控制功能按钮，引风机频率多级可调，工作时的各部分运行状态，各种参数（炉膛温度、炉膛负压、二燃室温度、布袋温度、电机频率等），布袋超温报警、故障报警、故障部位显示等功能。操作系统可完全控制尾气处理系统，各控制显示画面须在多个层面以上。</w:t>
            </w:r>
          </w:p>
        </w:tc>
      </w:tr>
      <w:tr w14:paraId="37195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64BE7E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2.10.2</w:t>
            </w:r>
          </w:p>
        </w:tc>
        <w:tc>
          <w:tcPr>
            <w:tcW w:w="0" w:type="auto"/>
            <w:noWrap w:val="0"/>
            <w:vAlign w:val="center"/>
          </w:tcPr>
          <w:p w14:paraId="2202EF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控制系统要求可靠性高、安全性好，上位机、下位机出现故障不能相互影响设备的操作，手动、自动无忧切换；必须具备二套操作盘（人机界面、按钮盘），增加一套自动转换强电（220V）手动操作盘。手动操作盘应包含引风机、鼓风机、烟闸、点火、供油等控制按钮，按钮盘使用按钮开关。按钮盘安装在电器控制柜上。炉子控制触摸屏。</w:t>
            </w:r>
          </w:p>
        </w:tc>
      </w:tr>
      <w:tr w14:paraId="3C3EF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130A43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2.10.3</w:t>
            </w:r>
          </w:p>
        </w:tc>
        <w:tc>
          <w:tcPr>
            <w:tcW w:w="0" w:type="auto"/>
            <w:noWrap w:val="0"/>
            <w:vAlign w:val="center"/>
          </w:tcPr>
          <w:p w14:paraId="150F99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所涉工控产品PLC、人机界面、变频器等，</w:t>
            </w:r>
            <w:r>
              <w:rPr>
                <w:rFonts w:hint="eastAsia" w:ascii="仿宋" w:hAnsi="仿宋" w:eastAsia="仿宋" w:cs="仿宋"/>
                <w:bCs/>
                <w:color w:val="auto"/>
                <w:sz w:val="24"/>
                <w:szCs w:val="24"/>
                <w:highlight w:val="none"/>
                <w:lang w:val="en-US" w:eastAsia="zh-CN"/>
              </w:rPr>
              <w:t>投标人</w:t>
            </w:r>
            <w:r>
              <w:rPr>
                <w:rFonts w:hint="eastAsia" w:ascii="仿宋" w:hAnsi="仿宋" w:eastAsia="仿宋" w:cs="仿宋"/>
                <w:bCs/>
                <w:color w:val="auto"/>
                <w:sz w:val="24"/>
                <w:szCs w:val="24"/>
                <w:highlight w:val="none"/>
                <w:lang w:val="zh-CN"/>
              </w:rPr>
              <w:t>不得选用</w:t>
            </w:r>
            <w:r>
              <w:rPr>
                <w:rFonts w:hint="eastAsia" w:ascii="仿宋" w:hAnsi="仿宋" w:eastAsia="仿宋" w:cs="仿宋"/>
                <w:bCs/>
                <w:color w:val="auto"/>
                <w:sz w:val="24"/>
                <w:szCs w:val="24"/>
                <w:highlight w:val="none"/>
                <w:lang w:val="zh-CN"/>
              </w:rPr>
              <w:t>生产</w:t>
            </w:r>
            <w:r>
              <w:rPr>
                <w:rFonts w:hint="eastAsia" w:ascii="仿宋" w:hAnsi="仿宋" w:eastAsia="仿宋" w:cs="仿宋"/>
                <w:bCs/>
                <w:color w:val="auto"/>
                <w:sz w:val="24"/>
                <w:szCs w:val="24"/>
                <w:highlight w:val="none"/>
                <w:lang w:val="en-US" w:eastAsia="zh-CN"/>
              </w:rPr>
              <w:t>厂家</w:t>
            </w:r>
            <w:r>
              <w:rPr>
                <w:rFonts w:hint="eastAsia" w:ascii="仿宋" w:hAnsi="仿宋" w:eastAsia="仿宋" w:cs="仿宋"/>
                <w:bCs/>
                <w:color w:val="auto"/>
                <w:sz w:val="24"/>
                <w:szCs w:val="24"/>
                <w:highlight w:val="none"/>
                <w:lang w:val="zh-CN"/>
              </w:rPr>
              <w:t>已经停止生产的产品。</w:t>
            </w:r>
            <w:r>
              <w:rPr>
                <w:rFonts w:hint="eastAsia" w:ascii="仿宋" w:hAnsi="仿宋" w:eastAsia="仿宋" w:cs="仿宋"/>
                <w:bCs/>
                <w:color w:val="auto"/>
                <w:sz w:val="24"/>
                <w:szCs w:val="24"/>
                <w:highlight w:val="none"/>
                <w:lang w:val="en-US" w:eastAsia="zh-CN"/>
              </w:rPr>
              <w:t>投标人</w:t>
            </w:r>
            <w:r>
              <w:rPr>
                <w:rFonts w:hint="eastAsia" w:ascii="仿宋" w:hAnsi="仿宋" w:eastAsia="仿宋" w:cs="仿宋"/>
                <w:bCs/>
                <w:color w:val="auto"/>
                <w:sz w:val="24"/>
                <w:szCs w:val="24"/>
                <w:highlight w:val="none"/>
                <w:lang w:val="zh-CN"/>
              </w:rPr>
              <w:t>对所选用的工控产品在文件中提供详细的资料（品名、型号、规格、参数等）。</w:t>
            </w:r>
          </w:p>
        </w:tc>
      </w:tr>
      <w:tr w14:paraId="5646F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1E367C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2.10.4</w:t>
            </w:r>
          </w:p>
        </w:tc>
        <w:tc>
          <w:tcPr>
            <w:tcW w:w="0" w:type="auto"/>
            <w:noWrap w:val="0"/>
            <w:vAlign w:val="center"/>
          </w:tcPr>
          <w:p w14:paraId="0B018E7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考虑PLC控制器选型和I/O点至少留有5％的余量要求。</w:t>
            </w:r>
          </w:p>
        </w:tc>
      </w:tr>
      <w:tr w14:paraId="424F0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52C002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2.10.</w:t>
            </w:r>
            <w:r>
              <w:rPr>
                <w:rFonts w:hint="eastAsia" w:ascii="仿宋" w:hAnsi="仿宋" w:eastAsia="仿宋" w:cs="仿宋"/>
                <w:bCs/>
                <w:color w:val="auto"/>
                <w:sz w:val="24"/>
                <w:szCs w:val="24"/>
                <w:highlight w:val="none"/>
                <w:lang w:val="en-US" w:eastAsia="zh-CN"/>
              </w:rPr>
              <w:t>5</w:t>
            </w:r>
          </w:p>
        </w:tc>
        <w:tc>
          <w:tcPr>
            <w:tcW w:w="0" w:type="auto"/>
            <w:noWrap w:val="0"/>
            <w:vAlign w:val="center"/>
          </w:tcPr>
          <w:p w14:paraId="63D00D7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线缆采用阻燃式线缆，提高线路的安全需求。</w:t>
            </w:r>
          </w:p>
        </w:tc>
      </w:tr>
      <w:tr w14:paraId="5BE6E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0514C3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w:t>
            </w:r>
            <w:r>
              <w:rPr>
                <w:rFonts w:hint="eastAsia" w:ascii="仿宋" w:hAnsi="仿宋" w:eastAsia="仿宋" w:cs="仿宋"/>
                <w:bCs/>
                <w:color w:val="auto"/>
                <w:sz w:val="24"/>
                <w:szCs w:val="24"/>
                <w:highlight w:val="none"/>
              </w:rPr>
              <w:t>2.10.</w:t>
            </w:r>
            <w:r>
              <w:rPr>
                <w:rFonts w:hint="eastAsia" w:ascii="仿宋" w:hAnsi="仿宋" w:eastAsia="仿宋" w:cs="仿宋"/>
                <w:bCs/>
                <w:color w:val="auto"/>
                <w:sz w:val="24"/>
                <w:szCs w:val="24"/>
                <w:highlight w:val="none"/>
                <w:lang w:val="en-US" w:eastAsia="zh-CN"/>
              </w:rPr>
              <w:t>6</w:t>
            </w:r>
          </w:p>
        </w:tc>
        <w:tc>
          <w:tcPr>
            <w:tcW w:w="0" w:type="auto"/>
            <w:noWrap w:val="0"/>
            <w:vAlign w:val="center"/>
          </w:tcPr>
          <w:p w14:paraId="3402C8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eastAsia="zh-CN"/>
              </w:rPr>
            </w:pPr>
            <w:r>
              <w:rPr>
                <w:rFonts w:hint="eastAsia" w:ascii="仿宋" w:hAnsi="仿宋" w:eastAsia="仿宋" w:cs="仿宋"/>
                <w:bCs/>
                <w:color w:val="auto"/>
                <w:sz w:val="24"/>
                <w:szCs w:val="24"/>
                <w:highlight w:val="none"/>
                <w:lang w:val="zh-CN"/>
              </w:rPr>
              <w:t>PLC等电器设备安装在电器控制柜内，设计安装应满足</w:t>
            </w:r>
            <w:r>
              <w:rPr>
                <w:rFonts w:hint="eastAsia" w:ascii="仿宋" w:hAnsi="仿宋" w:eastAsia="仿宋" w:cs="仿宋"/>
                <w:bCs/>
                <w:color w:val="auto"/>
                <w:sz w:val="24"/>
                <w:szCs w:val="24"/>
                <w:highlight w:val="none"/>
                <w:lang w:val="en-US" w:eastAsia="zh-CN"/>
              </w:rPr>
              <w:t>国家企业</w:t>
            </w:r>
            <w:r>
              <w:rPr>
                <w:rFonts w:hint="eastAsia" w:ascii="仿宋" w:hAnsi="仿宋" w:eastAsia="仿宋" w:cs="仿宋"/>
                <w:bCs/>
                <w:color w:val="auto"/>
                <w:sz w:val="24"/>
                <w:szCs w:val="24"/>
                <w:highlight w:val="none"/>
              </w:rPr>
              <w:t>标准规定的要求</w:t>
            </w:r>
            <w:r>
              <w:rPr>
                <w:rFonts w:hint="eastAsia" w:ascii="仿宋" w:hAnsi="仿宋" w:eastAsia="仿宋" w:cs="仿宋"/>
                <w:bCs/>
                <w:color w:val="auto"/>
                <w:sz w:val="24"/>
                <w:szCs w:val="24"/>
                <w:highlight w:val="none"/>
                <w:lang w:eastAsia="zh-CN"/>
              </w:rPr>
              <w:t>。</w:t>
            </w:r>
            <w:r>
              <w:rPr>
                <w:rFonts w:hint="eastAsia" w:ascii="仿宋" w:hAnsi="仿宋" w:eastAsia="仿宋" w:cs="仿宋"/>
                <w:b/>
                <w:color w:val="auto"/>
                <w:sz w:val="24"/>
                <w:szCs w:val="24"/>
                <w:highlight w:val="none"/>
              </w:rPr>
              <w:t>投标文件中</w:t>
            </w:r>
            <w:r>
              <w:rPr>
                <w:rFonts w:hint="eastAsia" w:ascii="仿宋" w:hAnsi="仿宋" w:eastAsia="仿宋" w:cs="仿宋"/>
                <w:b/>
                <w:color w:val="auto"/>
                <w:sz w:val="24"/>
                <w:szCs w:val="24"/>
                <w:highlight w:val="none"/>
                <w:lang w:val="en-US" w:eastAsia="zh-CN"/>
              </w:rPr>
              <w:t>需</w:t>
            </w:r>
            <w:r>
              <w:rPr>
                <w:rFonts w:hint="eastAsia" w:ascii="仿宋" w:hAnsi="仿宋" w:eastAsia="仿宋" w:cs="仿宋"/>
                <w:b/>
                <w:color w:val="auto"/>
                <w:sz w:val="24"/>
                <w:szCs w:val="24"/>
                <w:highlight w:val="none"/>
              </w:rPr>
              <w:t>提供</w:t>
            </w:r>
            <w:r>
              <w:rPr>
                <w:rFonts w:hint="eastAsia" w:ascii="仿宋" w:hAnsi="仿宋" w:eastAsia="仿宋" w:cs="仿宋"/>
                <w:b/>
                <w:color w:val="auto"/>
                <w:sz w:val="24"/>
                <w:szCs w:val="24"/>
                <w:highlight w:val="none"/>
                <w:lang w:val="zh-CN"/>
              </w:rPr>
              <w:t>检测报告复印件加盖</w:t>
            </w:r>
            <w:r>
              <w:rPr>
                <w:rFonts w:hint="eastAsia" w:ascii="仿宋" w:hAnsi="仿宋" w:eastAsia="仿宋" w:cs="仿宋"/>
                <w:b/>
                <w:color w:val="auto"/>
                <w:sz w:val="24"/>
                <w:szCs w:val="24"/>
                <w:highlight w:val="none"/>
                <w:lang w:val="en-US" w:eastAsia="zh-CN"/>
              </w:rPr>
              <w:t>投标人</w:t>
            </w:r>
            <w:r>
              <w:rPr>
                <w:rFonts w:hint="eastAsia" w:ascii="仿宋" w:hAnsi="仿宋" w:eastAsia="仿宋" w:cs="仿宋"/>
                <w:b/>
                <w:color w:val="auto"/>
                <w:sz w:val="24"/>
                <w:szCs w:val="24"/>
                <w:highlight w:val="none"/>
                <w:lang w:val="zh-CN"/>
              </w:rPr>
              <w:t>公章。</w:t>
            </w:r>
          </w:p>
        </w:tc>
      </w:tr>
      <w:tr w14:paraId="0AD33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787A83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2.10.</w:t>
            </w:r>
            <w:r>
              <w:rPr>
                <w:rFonts w:hint="eastAsia" w:ascii="仿宋" w:hAnsi="仿宋" w:eastAsia="仿宋" w:cs="仿宋"/>
                <w:bCs/>
                <w:color w:val="auto"/>
                <w:sz w:val="24"/>
                <w:szCs w:val="24"/>
                <w:highlight w:val="none"/>
                <w:lang w:val="en-US" w:eastAsia="zh-CN"/>
              </w:rPr>
              <w:t>7</w:t>
            </w:r>
          </w:p>
        </w:tc>
        <w:tc>
          <w:tcPr>
            <w:tcW w:w="0" w:type="auto"/>
            <w:noWrap w:val="0"/>
            <w:vAlign w:val="center"/>
          </w:tcPr>
          <w:p w14:paraId="130465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电器控制柜安装位置应满足电气设备防热、维修方便要求。</w:t>
            </w:r>
          </w:p>
        </w:tc>
      </w:tr>
      <w:tr w14:paraId="7A0F6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277A482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2.11</w:t>
            </w:r>
          </w:p>
        </w:tc>
        <w:tc>
          <w:tcPr>
            <w:tcW w:w="0" w:type="auto"/>
            <w:noWrap w:val="0"/>
            <w:vAlign w:val="center"/>
          </w:tcPr>
          <w:p w14:paraId="17181B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烟道闸门要求：采用耐高温材料，内浇筑高温混泥土。传动机构采用钢丝绳或起重链条升降控制闸门启闭。</w:t>
            </w:r>
          </w:p>
        </w:tc>
      </w:tr>
      <w:tr w14:paraId="50365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533745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2.12</w:t>
            </w:r>
          </w:p>
        </w:tc>
        <w:tc>
          <w:tcPr>
            <w:tcW w:w="0" w:type="auto"/>
            <w:noWrap w:val="0"/>
            <w:vAlign w:val="center"/>
          </w:tcPr>
          <w:p w14:paraId="1680B0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预热器系统要求：</w:t>
            </w:r>
            <w:r>
              <w:rPr>
                <w:rFonts w:hint="eastAsia" w:ascii="仿宋" w:hAnsi="仿宋" w:eastAsia="仿宋" w:cs="仿宋"/>
                <w:bCs/>
                <w:color w:val="auto"/>
                <w:sz w:val="24"/>
                <w:szCs w:val="24"/>
                <w:highlight w:val="none"/>
                <w:lang w:val="en-US" w:eastAsia="zh-CN"/>
              </w:rPr>
              <w:t>投标人</w:t>
            </w:r>
            <w:r>
              <w:rPr>
                <w:rFonts w:hint="eastAsia" w:ascii="仿宋" w:hAnsi="仿宋" w:eastAsia="仿宋" w:cs="仿宋"/>
                <w:bCs/>
                <w:color w:val="auto"/>
                <w:sz w:val="24"/>
                <w:szCs w:val="24"/>
                <w:highlight w:val="none"/>
                <w:lang w:val="zh-CN"/>
              </w:rPr>
              <w:t>根据自有的技术，设计制作预热器，采用高温不锈钢材料制作、用不锈钢焊条焊制，焊接工艺达到国家行业标准，设计先进、工艺精良。预热器工作温度不低于300℃。预热器使用寿命7年以上。</w:t>
            </w:r>
          </w:p>
        </w:tc>
      </w:tr>
      <w:tr w14:paraId="62EB2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2491E7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2.13</w:t>
            </w:r>
          </w:p>
        </w:tc>
        <w:tc>
          <w:tcPr>
            <w:tcW w:w="0" w:type="auto"/>
            <w:noWrap w:val="0"/>
            <w:vAlign w:val="center"/>
          </w:tcPr>
          <w:p w14:paraId="25FA878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设备使用寿命：</w:t>
            </w:r>
            <w:r>
              <w:rPr>
                <w:rFonts w:hint="eastAsia" w:ascii="仿宋" w:hAnsi="仿宋" w:eastAsia="仿宋" w:cs="仿宋"/>
                <w:bCs/>
                <w:color w:val="auto"/>
                <w:sz w:val="24"/>
                <w:szCs w:val="24"/>
                <w:highlight w:val="none"/>
                <w:lang w:val="en-US" w:eastAsia="zh-CN"/>
              </w:rPr>
              <w:t>投标人</w:t>
            </w:r>
            <w:r>
              <w:rPr>
                <w:rFonts w:hint="eastAsia" w:ascii="仿宋" w:hAnsi="仿宋" w:eastAsia="仿宋" w:cs="仿宋"/>
                <w:bCs/>
                <w:color w:val="auto"/>
                <w:sz w:val="24"/>
                <w:szCs w:val="24"/>
                <w:highlight w:val="none"/>
                <w:lang w:val="zh-CN"/>
              </w:rPr>
              <w:t>应按设备技术参数要求设计、制造设备，材料及配件应质量保证，以提高设备的使用寿命期，保证设备在每天正常使用情况下,使用寿命等于或大于5年。</w:t>
            </w:r>
          </w:p>
        </w:tc>
      </w:tr>
      <w:tr w14:paraId="0AB94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73F10D3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2.14</w:t>
            </w:r>
          </w:p>
        </w:tc>
        <w:tc>
          <w:tcPr>
            <w:tcW w:w="0" w:type="auto"/>
            <w:noWrap w:val="0"/>
            <w:vAlign w:val="center"/>
          </w:tcPr>
          <w:p w14:paraId="379FD065">
            <w:pPr>
              <w:keepNext w:val="0"/>
              <w:keepLines w:val="0"/>
              <w:widowControl w:val="0"/>
              <w:suppressLineNumbers w:val="0"/>
              <w:adjustRightInd w:val="0"/>
              <w:spacing w:before="0" w:beforeAutospacing="0" w:after="0" w:afterAutospacing="0"/>
              <w:ind w:left="0" w:right="0"/>
              <w:jc w:val="both"/>
              <w:rPr>
                <w:rFonts w:hint="eastAsia" w:ascii="仿宋" w:hAnsi="仿宋" w:eastAsia="仿宋" w:cs="仿宋"/>
                <w:bCs/>
                <w:color w:val="auto"/>
                <w:sz w:val="24"/>
                <w:szCs w:val="24"/>
                <w:highlight w:val="none"/>
                <w:lang w:val="zh-CN"/>
              </w:rPr>
            </w:pPr>
            <w:r>
              <w:rPr>
                <w:rFonts w:hint="default" w:ascii="仿宋" w:hAnsi="仿宋" w:eastAsia="仿宋" w:cs="仿宋"/>
                <w:b/>
                <w:bCs w:val="0"/>
                <w:color w:val="auto"/>
                <w:kern w:val="2"/>
                <w:sz w:val="24"/>
                <w:szCs w:val="24"/>
                <w:highlight w:val="none"/>
                <w:lang w:val="en-US" w:eastAsia="zh-CN" w:bidi="ar"/>
              </w:rPr>
              <w:t>防水墙施工技术要求（含炉内炉外防水墙，费用均包含在报价中）</w:t>
            </w:r>
          </w:p>
        </w:tc>
      </w:tr>
      <w:tr w14:paraId="21449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7" w:type="dxa"/>
            <w:noWrap w:val="0"/>
            <w:vAlign w:val="center"/>
          </w:tcPr>
          <w:p w14:paraId="485DA632">
            <w:pPr>
              <w:keepNext w:val="0"/>
              <w:keepLines w:val="0"/>
              <w:widowControl w:val="0"/>
              <w:suppressLineNumbers w:val="0"/>
              <w:autoSpaceDE w:val="0"/>
              <w:autoSpaceDN/>
              <w:adjustRightInd w:val="0"/>
              <w:spacing w:before="0" w:beforeAutospacing="0" w:after="0" w:afterAutospacing="0" w:line="360" w:lineRule="exact"/>
              <w:ind w:left="0" w:leftChars="0" w:right="0" w:rightChars="0"/>
              <w:jc w:val="center"/>
              <w:rPr>
                <w:rFonts w:hint="eastAsia" w:ascii="仿宋" w:hAnsi="仿宋" w:eastAsia="仿宋" w:cs="仿宋"/>
                <w:bCs/>
                <w:color w:val="auto"/>
                <w:sz w:val="24"/>
                <w:szCs w:val="24"/>
                <w:highlight w:val="none"/>
              </w:rPr>
            </w:pPr>
            <w:r>
              <w:rPr>
                <w:rFonts w:hint="default" w:ascii="仿宋" w:hAnsi="仿宋" w:eastAsia="仿宋" w:cs="仿宋"/>
                <w:bCs/>
                <w:color w:val="auto"/>
                <w:kern w:val="2"/>
                <w:sz w:val="24"/>
                <w:szCs w:val="24"/>
                <w:highlight w:val="none"/>
                <w:lang w:val="en-US" w:eastAsia="zh-CN" w:bidi="ar"/>
              </w:rPr>
              <w:t>2.14.1</w:t>
            </w:r>
          </w:p>
        </w:tc>
        <w:tc>
          <w:tcPr>
            <w:tcW w:w="7699" w:type="dxa"/>
            <w:noWrap w:val="0"/>
            <w:vAlign w:val="center"/>
          </w:tcPr>
          <w:p w14:paraId="7110BDD4">
            <w:pPr>
              <w:keepNext w:val="0"/>
              <w:keepLines w:val="0"/>
              <w:widowControl w:val="0"/>
              <w:suppressLineNumbers w:val="0"/>
              <w:autoSpaceDE w:val="0"/>
              <w:autoSpaceDN/>
              <w:adjustRightInd w:val="0"/>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default" w:ascii="仿宋" w:hAnsi="仿宋" w:eastAsia="仿宋" w:cs="仿宋"/>
                <w:bCs/>
                <w:color w:val="auto"/>
                <w:kern w:val="2"/>
                <w:sz w:val="24"/>
                <w:szCs w:val="24"/>
                <w:highlight w:val="none"/>
                <w:lang w:val="en-US" w:eastAsia="zh-CN" w:bidi="ar"/>
              </w:rPr>
              <w:t>防水混凝土结构底板的混凝土垫层，强度等级不应小于C20，厚度不应小于100mm，在软弱土层中不应小于150mm。</w:t>
            </w:r>
          </w:p>
        </w:tc>
      </w:tr>
      <w:tr w14:paraId="05DE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7" w:type="dxa"/>
            <w:noWrap w:val="0"/>
            <w:vAlign w:val="center"/>
          </w:tcPr>
          <w:p w14:paraId="766B2B5A">
            <w:pPr>
              <w:keepNext w:val="0"/>
              <w:keepLines w:val="0"/>
              <w:widowControl w:val="0"/>
              <w:suppressLineNumbers w:val="0"/>
              <w:autoSpaceDE w:val="0"/>
              <w:autoSpaceDN/>
              <w:adjustRightInd w:val="0"/>
              <w:spacing w:before="0" w:beforeAutospacing="0" w:after="0" w:afterAutospacing="0" w:line="360" w:lineRule="exact"/>
              <w:ind w:left="0" w:leftChars="0" w:right="0" w:rightChars="0"/>
              <w:jc w:val="center"/>
              <w:rPr>
                <w:rFonts w:hint="eastAsia" w:ascii="仿宋" w:hAnsi="仿宋" w:eastAsia="仿宋" w:cs="仿宋"/>
                <w:bCs/>
                <w:color w:val="auto"/>
                <w:sz w:val="24"/>
                <w:szCs w:val="24"/>
                <w:highlight w:val="none"/>
              </w:rPr>
            </w:pPr>
            <w:r>
              <w:rPr>
                <w:rFonts w:hint="default" w:ascii="仿宋" w:hAnsi="仿宋" w:eastAsia="仿宋" w:cs="仿宋"/>
                <w:bCs/>
                <w:color w:val="auto"/>
                <w:kern w:val="2"/>
                <w:sz w:val="24"/>
                <w:szCs w:val="24"/>
                <w:highlight w:val="none"/>
                <w:lang w:val="en-US" w:eastAsia="zh-CN" w:bidi="ar"/>
              </w:rPr>
              <w:t>2.14.2</w:t>
            </w:r>
          </w:p>
        </w:tc>
        <w:tc>
          <w:tcPr>
            <w:tcW w:w="7699" w:type="dxa"/>
            <w:noWrap w:val="0"/>
            <w:vAlign w:val="center"/>
          </w:tcPr>
          <w:p w14:paraId="2BB2529F">
            <w:pPr>
              <w:keepNext w:val="0"/>
              <w:keepLines w:val="0"/>
              <w:widowControl w:val="0"/>
              <w:suppressLineNumbers w:val="0"/>
              <w:autoSpaceDE w:val="0"/>
              <w:autoSpaceDN/>
              <w:adjustRightInd w:val="0"/>
              <w:spacing w:before="0" w:beforeAutospacing="0" w:after="0" w:afterAutospacing="0" w:line="360" w:lineRule="exact"/>
              <w:ind w:left="0" w:right="0"/>
              <w:jc w:val="left"/>
              <w:rPr>
                <w:rFonts w:hint="eastAsia" w:ascii="仿宋" w:hAnsi="仿宋" w:eastAsia="仿宋" w:cs="仿宋"/>
                <w:bCs/>
                <w:color w:val="auto"/>
                <w:sz w:val="24"/>
                <w:szCs w:val="24"/>
                <w:highlight w:val="none"/>
                <w:lang w:val="zh-CN"/>
              </w:rPr>
            </w:pPr>
            <w:r>
              <w:rPr>
                <w:rFonts w:hint="default" w:ascii="仿宋" w:hAnsi="仿宋" w:eastAsia="仿宋" w:cs="仿宋"/>
                <w:bCs/>
                <w:color w:val="auto"/>
                <w:kern w:val="2"/>
                <w:sz w:val="24"/>
                <w:szCs w:val="24"/>
                <w:highlight w:val="none"/>
                <w:lang w:val="en-US" w:eastAsia="zh-CN" w:bidi="ar"/>
              </w:rPr>
              <w:t>烟道应采取隔热措施，确保混凝土内表面温度不超过80℃；要求火化设备基础防水混凝土的抗压强度等级达到C20～C30。厚度不应小于200mm。</w:t>
            </w:r>
          </w:p>
        </w:tc>
      </w:tr>
      <w:tr w14:paraId="68965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7" w:type="dxa"/>
            <w:noWrap w:val="0"/>
            <w:vAlign w:val="center"/>
          </w:tcPr>
          <w:p w14:paraId="4F2ADA66">
            <w:pPr>
              <w:keepNext w:val="0"/>
              <w:keepLines w:val="0"/>
              <w:widowControl w:val="0"/>
              <w:suppressLineNumbers w:val="0"/>
              <w:autoSpaceDE w:val="0"/>
              <w:autoSpaceDN/>
              <w:adjustRightInd w:val="0"/>
              <w:spacing w:before="0" w:beforeAutospacing="0" w:after="0" w:afterAutospacing="0" w:line="360" w:lineRule="exact"/>
              <w:ind w:left="0" w:leftChars="0" w:right="0" w:rightChars="0"/>
              <w:jc w:val="center"/>
              <w:rPr>
                <w:rFonts w:hint="eastAsia" w:ascii="仿宋" w:hAnsi="仿宋" w:eastAsia="仿宋" w:cs="仿宋"/>
                <w:bCs/>
                <w:color w:val="auto"/>
                <w:sz w:val="24"/>
                <w:szCs w:val="24"/>
                <w:highlight w:val="none"/>
              </w:rPr>
            </w:pPr>
            <w:r>
              <w:rPr>
                <w:rFonts w:hint="default" w:ascii="仿宋" w:hAnsi="仿宋" w:eastAsia="仿宋" w:cs="仿宋"/>
                <w:bCs/>
                <w:color w:val="auto"/>
                <w:kern w:val="2"/>
                <w:sz w:val="24"/>
                <w:szCs w:val="24"/>
                <w:highlight w:val="none"/>
                <w:lang w:val="en-US" w:eastAsia="zh-CN" w:bidi="ar"/>
              </w:rPr>
              <w:t>2.14.3</w:t>
            </w:r>
          </w:p>
        </w:tc>
        <w:tc>
          <w:tcPr>
            <w:tcW w:w="7699" w:type="dxa"/>
            <w:noWrap w:val="0"/>
            <w:vAlign w:val="center"/>
          </w:tcPr>
          <w:p w14:paraId="0A0AB666">
            <w:pPr>
              <w:keepNext w:val="0"/>
              <w:keepLines w:val="0"/>
              <w:widowControl w:val="0"/>
              <w:suppressLineNumbers w:val="0"/>
              <w:autoSpaceDE w:val="0"/>
              <w:autoSpaceDN/>
              <w:adjustRightInd w:val="0"/>
              <w:spacing w:before="0" w:beforeAutospacing="0" w:after="0" w:afterAutospacing="0" w:line="360" w:lineRule="exact"/>
              <w:ind w:left="0" w:leftChars="0" w:right="0" w:rightChars="0"/>
              <w:jc w:val="left"/>
              <w:rPr>
                <w:rFonts w:hint="eastAsia" w:ascii="仿宋" w:hAnsi="仿宋" w:eastAsia="仿宋" w:cs="仿宋"/>
                <w:bCs/>
                <w:color w:val="auto"/>
                <w:sz w:val="24"/>
                <w:szCs w:val="24"/>
                <w:highlight w:val="none"/>
                <w:lang w:val="zh-CN"/>
              </w:rPr>
            </w:pPr>
            <w:r>
              <w:rPr>
                <w:rFonts w:hint="default" w:ascii="仿宋" w:hAnsi="仿宋" w:eastAsia="仿宋" w:cs="仿宋"/>
                <w:bCs/>
                <w:color w:val="auto"/>
                <w:kern w:val="2"/>
                <w:sz w:val="24"/>
                <w:szCs w:val="24"/>
                <w:highlight w:val="none"/>
                <w:lang w:val="en-US" w:eastAsia="zh-CN" w:bidi="ar"/>
              </w:rPr>
              <w:t>防水混凝土结构内部设置的各种钢筋或绑扎铁丝，不得接触模板。固定模板用的螺栓必须穿过混凝土结构时，可采用工具式螺栓或螺栓加堵头，螺栓应加焊方形止水环。拆模后应采取加强防水措施将留下的凹槽封堵密实，并宜在迎水面涂刷防水涂料。</w:t>
            </w:r>
          </w:p>
        </w:tc>
      </w:tr>
      <w:tr w14:paraId="0DBBA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7" w:type="dxa"/>
            <w:noWrap w:val="0"/>
            <w:vAlign w:val="center"/>
          </w:tcPr>
          <w:p w14:paraId="09BD9941">
            <w:pPr>
              <w:keepNext w:val="0"/>
              <w:keepLines w:val="0"/>
              <w:widowControl w:val="0"/>
              <w:suppressLineNumbers w:val="0"/>
              <w:autoSpaceDE w:val="0"/>
              <w:autoSpaceDN/>
              <w:adjustRightInd w:val="0"/>
              <w:spacing w:before="0" w:beforeAutospacing="0" w:after="0" w:afterAutospacing="0" w:line="360" w:lineRule="exact"/>
              <w:ind w:left="0" w:leftChars="0" w:right="0" w:rightChars="0"/>
              <w:jc w:val="center"/>
              <w:rPr>
                <w:rFonts w:hint="eastAsia" w:ascii="仿宋" w:hAnsi="仿宋" w:eastAsia="仿宋" w:cs="仿宋"/>
                <w:bCs/>
                <w:color w:val="auto"/>
                <w:sz w:val="24"/>
                <w:szCs w:val="24"/>
                <w:highlight w:val="none"/>
              </w:rPr>
            </w:pPr>
            <w:r>
              <w:rPr>
                <w:rFonts w:hint="default" w:ascii="仿宋" w:hAnsi="仿宋" w:eastAsia="仿宋" w:cs="仿宋"/>
                <w:bCs/>
                <w:color w:val="auto"/>
                <w:kern w:val="2"/>
                <w:sz w:val="24"/>
                <w:szCs w:val="24"/>
                <w:highlight w:val="none"/>
                <w:lang w:val="en-US" w:eastAsia="zh-CN" w:bidi="ar"/>
              </w:rPr>
              <w:t>2.14.4</w:t>
            </w:r>
          </w:p>
        </w:tc>
        <w:tc>
          <w:tcPr>
            <w:tcW w:w="7699" w:type="dxa"/>
            <w:noWrap w:val="0"/>
            <w:vAlign w:val="center"/>
          </w:tcPr>
          <w:p w14:paraId="2FDA21DC">
            <w:pPr>
              <w:keepNext w:val="0"/>
              <w:keepLines w:val="0"/>
              <w:widowControl w:val="0"/>
              <w:suppressLineNumbers w:val="0"/>
              <w:autoSpaceDE w:val="0"/>
              <w:autoSpaceDN/>
              <w:adjustRightInd w:val="0"/>
              <w:spacing w:before="0" w:beforeAutospacing="0" w:after="0" w:afterAutospacing="0" w:line="360" w:lineRule="exact"/>
              <w:ind w:left="0" w:leftChars="0" w:right="0" w:rightChars="0"/>
              <w:jc w:val="left"/>
              <w:rPr>
                <w:rFonts w:hint="eastAsia" w:ascii="仿宋" w:hAnsi="仿宋" w:eastAsia="仿宋" w:cs="仿宋"/>
                <w:bCs/>
                <w:color w:val="auto"/>
                <w:sz w:val="24"/>
                <w:szCs w:val="24"/>
                <w:highlight w:val="none"/>
                <w:lang w:val="zh-CN"/>
              </w:rPr>
            </w:pPr>
            <w:r>
              <w:rPr>
                <w:rFonts w:hint="default" w:ascii="仿宋" w:hAnsi="仿宋" w:eastAsia="仿宋" w:cs="仿宋"/>
                <w:bCs/>
                <w:color w:val="auto"/>
                <w:kern w:val="2"/>
                <w:sz w:val="24"/>
                <w:szCs w:val="24"/>
                <w:highlight w:val="none"/>
                <w:lang w:val="en-US" w:eastAsia="zh-CN" w:bidi="ar"/>
              </w:rPr>
              <w:t>防水墙浇筑时必须连续作业，整体浇筑，不留施工缝。浇筑防水墙应保证墙砼体无夹渣、漏浆、无外模变形；拆模后对防水墙内壁沙浆抹光。</w:t>
            </w:r>
          </w:p>
        </w:tc>
      </w:tr>
      <w:tr w14:paraId="3F12E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7" w:type="dxa"/>
            <w:noWrap w:val="0"/>
            <w:vAlign w:val="center"/>
          </w:tcPr>
          <w:p w14:paraId="632A4178">
            <w:pPr>
              <w:keepNext w:val="0"/>
              <w:keepLines w:val="0"/>
              <w:widowControl w:val="0"/>
              <w:suppressLineNumbers w:val="0"/>
              <w:autoSpaceDE w:val="0"/>
              <w:autoSpaceDN/>
              <w:adjustRightInd w:val="0"/>
              <w:spacing w:before="0" w:beforeAutospacing="0" w:after="0" w:afterAutospacing="0" w:line="360" w:lineRule="exact"/>
              <w:ind w:left="0" w:leftChars="0" w:right="0" w:rightChars="0"/>
              <w:jc w:val="center"/>
              <w:rPr>
                <w:rFonts w:hint="eastAsia" w:ascii="仿宋" w:hAnsi="仿宋" w:eastAsia="仿宋" w:cs="仿宋"/>
                <w:bCs/>
                <w:color w:val="auto"/>
                <w:sz w:val="24"/>
                <w:szCs w:val="24"/>
                <w:highlight w:val="none"/>
              </w:rPr>
            </w:pPr>
            <w:r>
              <w:rPr>
                <w:rFonts w:hint="default" w:ascii="仿宋" w:hAnsi="仿宋" w:eastAsia="仿宋" w:cs="仿宋"/>
                <w:bCs/>
                <w:color w:val="auto"/>
                <w:kern w:val="2"/>
                <w:sz w:val="24"/>
                <w:szCs w:val="24"/>
                <w:highlight w:val="none"/>
                <w:lang w:val="en-US" w:eastAsia="zh-CN" w:bidi="ar"/>
              </w:rPr>
              <w:t>2.14.5</w:t>
            </w:r>
          </w:p>
        </w:tc>
        <w:tc>
          <w:tcPr>
            <w:tcW w:w="7699" w:type="dxa"/>
            <w:noWrap w:val="0"/>
            <w:vAlign w:val="center"/>
          </w:tcPr>
          <w:p w14:paraId="75BBD8A6">
            <w:pPr>
              <w:keepNext w:val="0"/>
              <w:keepLines w:val="0"/>
              <w:widowControl w:val="0"/>
              <w:suppressLineNumbers w:val="0"/>
              <w:autoSpaceDE w:val="0"/>
              <w:autoSpaceDN/>
              <w:adjustRightInd w:val="0"/>
              <w:spacing w:before="0" w:beforeAutospacing="0" w:after="0" w:afterAutospacing="0" w:line="360" w:lineRule="exact"/>
              <w:ind w:left="0" w:leftChars="0" w:right="0" w:rightChars="0"/>
              <w:jc w:val="left"/>
              <w:rPr>
                <w:rFonts w:hint="eastAsia" w:ascii="仿宋" w:hAnsi="仿宋" w:eastAsia="仿宋" w:cs="仿宋"/>
                <w:bCs/>
                <w:color w:val="auto"/>
                <w:sz w:val="24"/>
                <w:szCs w:val="24"/>
                <w:highlight w:val="none"/>
                <w:lang w:val="zh-CN"/>
              </w:rPr>
            </w:pPr>
            <w:r>
              <w:rPr>
                <w:rFonts w:hint="default" w:ascii="仿宋" w:hAnsi="仿宋" w:eastAsia="仿宋" w:cs="仿宋"/>
                <w:bCs/>
                <w:color w:val="auto"/>
                <w:kern w:val="2"/>
                <w:sz w:val="24"/>
                <w:szCs w:val="24"/>
                <w:highlight w:val="none"/>
                <w:lang w:val="en-US" w:eastAsia="zh-CN" w:bidi="ar"/>
              </w:rPr>
              <w:t>浇筑完成后，</w:t>
            </w:r>
            <w:r>
              <w:rPr>
                <w:rFonts w:hint="eastAsia" w:ascii="仿宋" w:hAnsi="仿宋" w:eastAsia="仿宋" w:cs="仿宋"/>
                <w:bCs/>
                <w:color w:val="auto"/>
                <w:kern w:val="2"/>
                <w:sz w:val="24"/>
                <w:szCs w:val="24"/>
                <w:highlight w:val="none"/>
                <w:lang w:val="en-US" w:eastAsia="zh-CN" w:bidi="ar"/>
              </w:rPr>
              <w:t>投标人</w:t>
            </w:r>
            <w:r>
              <w:rPr>
                <w:rFonts w:hint="default" w:ascii="仿宋" w:hAnsi="仿宋" w:eastAsia="仿宋" w:cs="仿宋"/>
                <w:bCs/>
                <w:color w:val="auto"/>
                <w:kern w:val="2"/>
                <w:sz w:val="24"/>
                <w:szCs w:val="24"/>
                <w:highlight w:val="none"/>
                <w:lang w:val="en-US" w:eastAsia="zh-CN" w:bidi="ar"/>
              </w:rPr>
              <w:t>应对防水墙进行漏水、渗水试验。</w:t>
            </w:r>
          </w:p>
        </w:tc>
      </w:tr>
      <w:tr w14:paraId="3D64D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7" w:type="dxa"/>
            <w:noWrap w:val="0"/>
            <w:vAlign w:val="center"/>
          </w:tcPr>
          <w:p w14:paraId="2237119C">
            <w:pPr>
              <w:keepNext w:val="0"/>
              <w:keepLines w:val="0"/>
              <w:widowControl w:val="0"/>
              <w:suppressLineNumbers w:val="0"/>
              <w:autoSpaceDE w:val="0"/>
              <w:autoSpaceDN/>
              <w:adjustRightInd w:val="0"/>
              <w:spacing w:before="0" w:beforeAutospacing="0" w:after="0" w:afterAutospacing="0" w:line="360" w:lineRule="exact"/>
              <w:ind w:left="0" w:leftChars="0" w:right="0" w:rightChars="0"/>
              <w:jc w:val="center"/>
              <w:rPr>
                <w:rFonts w:hint="eastAsia" w:ascii="仿宋" w:hAnsi="仿宋" w:eastAsia="仿宋" w:cs="仿宋"/>
                <w:bCs/>
                <w:color w:val="auto"/>
                <w:sz w:val="24"/>
                <w:szCs w:val="24"/>
                <w:highlight w:val="none"/>
              </w:rPr>
            </w:pPr>
            <w:r>
              <w:rPr>
                <w:rFonts w:hint="default" w:ascii="仿宋" w:hAnsi="仿宋" w:eastAsia="仿宋" w:cs="仿宋"/>
                <w:bCs/>
                <w:color w:val="auto"/>
                <w:kern w:val="2"/>
                <w:sz w:val="24"/>
                <w:szCs w:val="24"/>
                <w:highlight w:val="none"/>
                <w:lang w:val="en-US" w:eastAsia="zh-CN" w:bidi="ar"/>
              </w:rPr>
              <w:t>2.14.6</w:t>
            </w:r>
          </w:p>
        </w:tc>
        <w:tc>
          <w:tcPr>
            <w:tcW w:w="7699" w:type="dxa"/>
            <w:noWrap w:val="0"/>
            <w:vAlign w:val="center"/>
          </w:tcPr>
          <w:p w14:paraId="6247C4AA">
            <w:pPr>
              <w:keepNext w:val="0"/>
              <w:keepLines w:val="0"/>
              <w:widowControl w:val="0"/>
              <w:suppressLineNumbers w:val="0"/>
              <w:autoSpaceDE w:val="0"/>
              <w:autoSpaceDN/>
              <w:adjustRightInd w:val="0"/>
              <w:spacing w:before="0" w:beforeAutospacing="0" w:after="0" w:afterAutospacing="0" w:line="360" w:lineRule="exact"/>
              <w:ind w:left="0" w:leftChars="0" w:right="0" w:rightChars="0"/>
              <w:jc w:val="left"/>
              <w:rPr>
                <w:rFonts w:hint="eastAsia" w:ascii="仿宋" w:hAnsi="仿宋" w:eastAsia="仿宋" w:cs="仿宋"/>
                <w:bCs/>
                <w:color w:val="auto"/>
                <w:sz w:val="24"/>
                <w:szCs w:val="24"/>
                <w:highlight w:val="none"/>
                <w:lang w:val="zh-CN"/>
              </w:rPr>
            </w:pPr>
            <w:r>
              <w:rPr>
                <w:rFonts w:hint="default" w:ascii="仿宋" w:hAnsi="仿宋" w:eastAsia="仿宋" w:cs="仿宋"/>
                <w:bCs/>
                <w:color w:val="auto"/>
                <w:kern w:val="2"/>
                <w:sz w:val="24"/>
                <w:szCs w:val="24"/>
                <w:highlight w:val="none"/>
                <w:lang w:val="en-US" w:eastAsia="zh-CN" w:bidi="ar"/>
              </w:rPr>
              <w:t>防水墙内壁、底部应做隔热层，底部平铺三层保温砖，不能堆砌。</w:t>
            </w:r>
          </w:p>
        </w:tc>
      </w:tr>
      <w:tr w14:paraId="7BAEB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7" w:type="dxa"/>
            <w:noWrap w:val="0"/>
            <w:vAlign w:val="center"/>
          </w:tcPr>
          <w:p w14:paraId="478CD554">
            <w:pPr>
              <w:keepNext w:val="0"/>
              <w:keepLines w:val="0"/>
              <w:widowControl w:val="0"/>
              <w:suppressLineNumbers w:val="0"/>
              <w:autoSpaceDE w:val="0"/>
              <w:autoSpaceDN/>
              <w:adjustRightInd w:val="0"/>
              <w:spacing w:before="0" w:beforeAutospacing="0" w:after="0" w:afterAutospacing="0" w:line="360" w:lineRule="exact"/>
              <w:ind w:left="0" w:leftChars="0" w:right="0" w:rightChars="0"/>
              <w:jc w:val="center"/>
              <w:rPr>
                <w:rFonts w:hint="eastAsia" w:ascii="仿宋" w:hAnsi="仿宋" w:eastAsia="仿宋" w:cs="仿宋"/>
                <w:bCs/>
                <w:color w:val="auto"/>
                <w:sz w:val="24"/>
                <w:szCs w:val="24"/>
                <w:highlight w:val="none"/>
              </w:rPr>
            </w:pPr>
            <w:r>
              <w:rPr>
                <w:rFonts w:hint="default" w:ascii="仿宋" w:hAnsi="仿宋" w:eastAsia="仿宋" w:cs="仿宋"/>
                <w:bCs/>
                <w:color w:val="auto"/>
                <w:kern w:val="2"/>
                <w:sz w:val="24"/>
                <w:szCs w:val="24"/>
                <w:highlight w:val="none"/>
                <w:lang w:val="en-US" w:eastAsia="zh-CN" w:bidi="ar"/>
              </w:rPr>
              <w:t>2.15</w:t>
            </w:r>
          </w:p>
        </w:tc>
        <w:tc>
          <w:tcPr>
            <w:tcW w:w="7699" w:type="dxa"/>
            <w:noWrap w:val="0"/>
            <w:vAlign w:val="center"/>
          </w:tcPr>
          <w:p w14:paraId="34184287">
            <w:pPr>
              <w:keepNext w:val="0"/>
              <w:keepLines w:val="0"/>
              <w:widowControl w:val="0"/>
              <w:suppressLineNumbers w:val="0"/>
              <w:autoSpaceDE w:val="0"/>
              <w:autoSpaceDN/>
              <w:adjustRightInd w:val="0"/>
              <w:spacing w:before="0" w:beforeAutospacing="0" w:after="0" w:afterAutospacing="0" w:line="360" w:lineRule="exact"/>
              <w:ind w:left="0" w:leftChars="0" w:right="0" w:rightChars="0"/>
              <w:jc w:val="left"/>
              <w:rPr>
                <w:rFonts w:hint="eastAsia" w:ascii="仿宋" w:hAnsi="仿宋" w:eastAsia="仿宋" w:cs="仿宋"/>
                <w:bCs/>
                <w:color w:val="auto"/>
                <w:sz w:val="24"/>
                <w:szCs w:val="24"/>
                <w:highlight w:val="none"/>
                <w:lang w:val="zh-CN"/>
              </w:rPr>
            </w:pPr>
            <w:r>
              <w:rPr>
                <w:rFonts w:hint="default" w:ascii="仿宋" w:hAnsi="仿宋" w:eastAsia="仿宋" w:cs="仿宋"/>
                <w:bCs/>
                <w:color w:val="auto"/>
                <w:kern w:val="2"/>
                <w:sz w:val="24"/>
                <w:szCs w:val="24"/>
                <w:highlight w:val="none"/>
                <w:lang w:val="en-US" w:eastAsia="zh-CN" w:bidi="ar"/>
              </w:rPr>
              <w:t>烟道施工技术要求（含炉内炉外烟道，费用均包含在报价中）</w:t>
            </w:r>
          </w:p>
        </w:tc>
      </w:tr>
      <w:tr w14:paraId="7FCF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7" w:type="dxa"/>
            <w:noWrap w:val="0"/>
            <w:vAlign w:val="center"/>
          </w:tcPr>
          <w:p w14:paraId="126DE475">
            <w:pPr>
              <w:keepNext w:val="0"/>
              <w:keepLines w:val="0"/>
              <w:widowControl w:val="0"/>
              <w:suppressLineNumbers w:val="0"/>
              <w:autoSpaceDE w:val="0"/>
              <w:autoSpaceDN/>
              <w:adjustRightInd w:val="0"/>
              <w:spacing w:before="0" w:beforeAutospacing="0" w:after="0" w:afterAutospacing="0" w:line="360" w:lineRule="exact"/>
              <w:ind w:left="0" w:leftChars="0" w:right="0" w:rightChars="0"/>
              <w:jc w:val="center"/>
              <w:rPr>
                <w:rFonts w:hint="eastAsia" w:ascii="仿宋" w:hAnsi="仿宋" w:eastAsia="仿宋" w:cs="仿宋"/>
                <w:bCs/>
                <w:color w:val="auto"/>
                <w:sz w:val="24"/>
                <w:szCs w:val="24"/>
                <w:highlight w:val="none"/>
              </w:rPr>
            </w:pPr>
            <w:r>
              <w:rPr>
                <w:rFonts w:hint="default" w:ascii="仿宋" w:hAnsi="仿宋" w:eastAsia="仿宋" w:cs="仿宋"/>
                <w:bCs/>
                <w:color w:val="auto"/>
                <w:kern w:val="2"/>
                <w:sz w:val="24"/>
                <w:szCs w:val="24"/>
                <w:highlight w:val="none"/>
                <w:lang w:val="en-US" w:eastAsia="zh-CN" w:bidi="ar"/>
              </w:rPr>
              <w:t>2.15.1</w:t>
            </w:r>
          </w:p>
        </w:tc>
        <w:tc>
          <w:tcPr>
            <w:tcW w:w="7699" w:type="dxa"/>
            <w:noWrap w:val="0"/>
            <w:vAlign w:val="center"/>
          </w:tcPr>
          <w:p w14:paraId="2EEAEF14">
            <w:pPr>
              <w:keepNext w:val="0"/>
              <w:keepLines w:val="0"/>
              <w:widowControl w:val="0"/>
              <w:suppressLineNumbers w:val="0"/>
              <w:autoSpaceDE w:val="0"/>
              <w:autoSpaceDN/>
              <w:adjustRightInd w:val="0"/>
              <w:spacing w:before="0" w:beforeAutospacing="0" w:after="0" w:afterAutospacing="0" w:line="360" w:lineRule="exact"/>
              <w:ind w:left="0" w:leftChars="0" w:right="0" w:rightChars="0"/>
              <w:jc w:val="left"/>
              <w:rPr>
                <w:rFonts w:hint="eastAsia" w:ascii="仿宋" w:hAnsi="仿宋" w:eastAsia="仿宋" w:cs="仿宋"/>
                <w:bCs/>
                <w:color w:val="auto"/>
                <w:sz w:val="24"/>
                <w:szCs w:val="24"/>
                <w:highlight w:val="none"/>
                <w:lang w:val="zh-CN"/>
              </w:rPr>
            </w:pPr>
            <w:r>
              <w:rPr>
                <w:rFonts w:hint="default" w:ascii="仿宋" w:hAnsi="仿宋" w:eastAsia="仿宋" w:cs="仿宋"/>
                <w:bCs/>
                <w:color w:val="auto"/>
                <w:kern w:val="2"/>
                <w:sz w:val="24"/>
                <w:szCs w:val="24"/>
                <w:highlight w:val="none"/>
                <w:lang w:val="en-US" w:eastAsia="zh-CN" w:bidi="ar"/>
              </w:rPr>
              <w:t>烟道主体材料：使用一级粘土耐火砖材料砌筑，使用粘土耐火泥砌筑。</w:t>
            </w:r>
          </w:p>
        </w:tc>
      </w:tr>
      <w:tr w14:paraId="4641B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7" w:type="dxa"/>
            <w:noWrap w:val="0"/>
            <w:vAlign w:val="center"/>
          </w:tcPr>
          <w:p w14:paraId="6D36941B">
            <w:pPr>
              <w:keepNext w:val="0"/>
              <w:keepLines w:val="0"/>
              <w:widowControl w:val="0"/>
              <w:suppressLineNumbers w:val="0"/>
              <w:autoSpaceDE w:val="0"/>
              <w:autoSpaceDN/>
              <w:adjustRightInd w:val="0"/>
              <w:spacing w:before="0" w:beforeAutospacing="0" w:after="0" w:afterAutospacing="0" w:line="360" w:lineRule="exact"/>
              <w:ind w:left="0" w:leftChars="0" w:right="0" w:rightChars="0"/>
              <w:jc w:val="center"/>
              <w:rPr>
                <w:rFonts w:hint="eastAsia" w:ascii="仿宋" w:hAnsi="仿宋" w:eastAsia="仿宋" w:cs="仿宋"/>
                <w:bCs/>
                <w:color w:val="auto"/>
                <w:sz w:val="24"/>
                <w:szCs w:val="24"/>
                <w:highlight w:val="none"/>
              </w:rPr>
            </w:pPr>
            <w:r>
              <w:rPr>
                <w:rFonts w:hint="default" w:ascii="仿宋" w:hAnsi="仿宋" w:eastAsia="仿宋" w:cs="仿宋"/>
                <w:bCs/>
                <w:color w:val="auto"/>
                <w:kern w:val="2"/>
                <w:sz w:val="24"/>
                <w:szCs w:val="24"/>
                <w:highlight w:val="none"/>
                <w:lang w:val="en-US" w:eastAsia="zh-CN" w:bidi="ar"/>
              </w:rPr>
              <w:t>2.15.2</w:t>
            </w:r>
          </w:p>
        </w:tc>
        <w:tc>
          <w:tcPr>
            <w:tcW w:w="7699" w:type="dxa"/>
            <w:noWrap w:val="0"/>
            <w:vAlign w:val="center"/>
          </w:tcPr>
          <w:p w14:paraId="283C94E6">
            <w:pPr>
              <w:keepNext w:val="0"/>
              <w:keepLines w:val="0"/>
              <w:widowControl w:val="0"/>
              <w:suppressLineNumbers w:val="0"/>
              <w:autoSpaceDE w:val="0"/>
              <w:autoSpaceDN/>
              <w:adjustRightInd w:val="0"/>
              <w:spacing w:before="0" w:beforeAutospacing="0" w:after="0" w:afterAutospacing="0" w:line="360" w:lineRule="exact"/>
              <w:ind w:left="0" w:leftChars="0" w:right="0" w:rightChars="0"/>
              <w:jc w:val="left"/>
              <w:rPr>
                <w:rFonts w:hint="eastAsia" w:ascii="仿宋" w:hAnsi="仿宋" w:eastAsia="仿宋" w:cs="仿宋"/>
                <w:bCs/>
                <w:color w:val="auto"/>
                <w:sz w:val="24"/>
                <w:szCs w:val="24"/>
                <w:highlight w:val="none"/>
                <w:lang w:val="zh-CN"/>
              </w:rPr>
            </w:pPr>
            <w:r>
              <w:rPr>
                <w:rFonts w:hint="default" w:ascii="仿宋" w:hAnsi="仿宋" w:eastAsia="仿宋" w:cs="仿宋"/>
                <w:bCs/>
                <w:color w:val="auto"/>
                <w:kern w:val="2"/>
                <w:sz w:val="24"/>
                <w:szCs w:val="24"/>
                <w:highlight w:val="none"/>
                <w:lang w:val="en-US" w:eastAsia="zh-CN" w:bidi="ar"/>
              </w:rPr>
              <w:t>地下烟道结构砌筑工艺要求：</w:t>
            </w:r>
          </w:p>
        </w:tc>
      </w:tr>
      <w:tr w14:paraId="0A517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7" w:type="dxa"/>
            <w:noWrap w:val="0"/>
            <w:vAlign w:val="center"/>
          </w:tcPr>
          <w:p w14:paraId="70DBABA4">
            <w:pPr>
              <w:keepNext w:val="0"/>
              <w:keepLines w:val="0"/>
              <w:widowControl w:val="0"/>
              <w:suppressLineNumbers w:val="0"/>
              <w:autoSpaceDE w:val="0"/>
              <w:autoSpaceDN/>
              <w:adjustRightInd w:val="0"/>
              <w:spacing w:before="0" w:beforeAutospacing="0" w:after="0" w:afterAutospacing="0" w:line="360" w:lineRule="exact"/>
              <w:ind w:left="0" w:leftChars="0" w:right="0" w:rightChars="0"/>
              <w:jc w:val="center"/>
              <w:rPr>
                <w:rFonts w:hint="eastAsia" w:ascii="仿宋" w:hAnsi="仿宋" w:eastAsia="仿宋" w:cs="仿宋"/>
                <w:bCs/>
                <w:color w:val="auto"/>
                <w:sz w:val="24"/>
                <w:szCs w:val="24"/>
                <w:highlight w:val="none"/>
              </w:rPr>
            </w:pPr>
            <w:r>
              <w:rPr>
                <w:rFonts w:hint="default" w:ascii="仿宋" w:hAnsi="仿宋" w:eastAsia="仿宋" w:cs="仿宋"/>
                <w:bCs/>
                <w:color w:val="auto"/>
                <w:kern w:val="2"/>
                <w:sz w:val="24"/>
                <w:szCs w:val="24"/>
                <w:highlight w:val="none"/>
                <w:lang w:val="en-US" w:eastAsia="zh-CN" w:bidi="ar"/>
              </w:rPr>
              <w:t>2.15.2.1</w:t>
            </w:r>
          </w:p>
        </w:tc>
        <w:tc>
          <w:tcPr>
            <w:tcW w:w="7699" w:type="dxa"/>
            <w:noWrap w:val="0"/>
            <w:vAlign w:val="center"/>
          </w:tcPr>
          <w:p w14:paraId="75E7EE09">
            <w:pPr>
              <w:keepNext w:val="0"/>
              <w:keepLines w:val="0"/>
              <w:widowControl w:val="0"/>
              <w:suppressLineNumbers w:val="0"/>
              <w:autoSpaceDE w:val="0"/>
              <w:autoSpaceDN/>
              <w:adjustRightInd w:val="0"/>
              <w:spacing w:before="0" w:beforeAutospacing="0" w:after="0" w:afterAutospacing="0" w:line="360" w:lineRule="exact"/>
              <w:ind w:left="0" w:leftChars="0" w:right="0" w:rightChars="0"/>
              <w:jc w:val="left"/>
              <w:rPr>
                <w:rFonts w:hint="eastAsia" w:ascii="仿宋" w:hAnsi="仿宋" w:eastAsia="仿宋" w:cs="仿宋"/>
                <w:bCs/>
                <w:color w:val="auto"/>
                <w:sz w:val="24"/>
                <w:szCs w:val="24"/>
                <w:highlight w:val="none"/>
                <w:lang w:val="zh-CN"/>
              </w:rPr>
            </w:pPr>
            <w:r>
              <w:rPr>
                <w:rFonts w:hint="default" w:ascii="仿宋" w:hAnsi="仿宋" w:eastAsia="仿宋" w:cs="仿宋"/>
                <w:bCs/>
                <w:color w:val="auto"/>
                <w:kern w:val="2"/>
                <w:sz w:val="24"/>
                <w:szCs w:val="24"/>
                <w:highlight w:val="none"/>
                <w:lang w:val="en-US" w:eastAsia="zh-CN" w:bidi="ar"/>
              </w:rPr>
              <w:t>耐火层：粘土耐火砖和耐火高温浇铸预制件砌筑。</w:t>
            </w:r>
          </w:p>
        </w:tc>
      </w:tr>
      <w:tr w14:paraId="3841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7" w:type="dxa"/>
            <w:noWrap w:val="0"/>
            <w:vAlign w:val="center"/>
          </w:tcPr>
          <w:p w14:paraId="3A8AF492">
            <w:pPr>
              <w:keepNext w:val="0"/>
              <w:keepLines w:val="0"/>
              <w:widowControl w:val="0"/>
              <w:suppressLineNumbers w:val="0"/>
              <w:autoSpaceDE w:val="0"/>
              <w:autoSpaceDN/>
              <w:adjustRightInd w:val="0"/>
              <w:spacing w:before="0" w:beforeAutospacing="0" w:after="0" w:afterAutospacing="0" w:line="360" w:lineRule="exact"/>
              <w:ind w:left="0" w:leftChars="0" w:right="0" w:rightChars="0"/>
              <w:jc w:val="center"/>
              <w:rPr>
                <w:rFonts w:hint="eastAsia" w:ascii="仿宋" w:hAnsi="仿宋" w:eastAsia="仿宋" w:cs="仿宋"/>
                <w:bCs/>
                <w:color w:val="auto"/>
                <w:sz w:val="24"/>
                <w:szCs w:val="24"/>
                <w:highlight w:val="none"/>
              </w:rPr>
            </w:pPr>
            <w:r>
              <w:rPr>
                <w:rFonts w:hint="default" w:ascii="仿宋" w:hAnsi="仿宋" w:eastAsia="仿宋" w:cs="仿宋"/>
                <w:bCs/>
                <w:color w:val="auto"/>
                <w:kern w:val="2"/>
                <w:sz w:val="24"/>
                <w:szCs w:val="24"/>
                <w:highlight w:val="none"/>
                <w:lang w:val="en-US" w:eastAsia="zh-CN" w:bidi="ar"/>
              </w:rPr>
              <w:t>2.15.2.2</w:t>
            </w:r>
          </w:p>
        </w:tc>
        <w:tc>
          <w:tcPr>
            <w:tcW w:w="7699" w:type="dxa"/>
            <w:noWrap w:val="0"/>
            <w:vAlign w:val="center"/>
          </w:tcPr>
          <w:p w14:paraId="794361A3">
            <w:pPr>
              <w:keepNext w:val="0"/>
              <w:keepLines w:val="0"/>
              <w:widowControl w:val="0"/>
              <w:suppressLineNumbers w:val="0"/>
              <w:autoSpaceDE w:val="0"/>
              <w:autoSpaceDN/>
              <w:adjustRightInd w:val="0"/>
              <w:spacing w:before="0" w:beforeAutospacing="0" w:after="0" w:afterAutospacing="0" w:line="360" w:lineRule="exact"/>
              <w:ind w:left="0" w:leftChars="0" w:right="0" w:rightChars="0"/>
              <w:jc w:val="left"/>
              <w:rPr>
                <w:rFonts w:hint="eastAsia" w:ascii="仿宋" w:hAnsi="仿宋" w:eastAsia="仿宋" w:cs="仿宋"/>
                <w:bCs/>
                <w:color w:val="auto"/>
                <w:sz w:val="24"/>
                <w:szCs w:val="24"/>
                <w:highlight w:val="none"/>
                <w:lang w:val="zh-CN"/>
              </w:rPr>
            </w:pPr>
            <w:r>
              <w:rPr>
                <w:rFonts w:hint="default" w:ascii="仿宋" w:hAnsi="仿宋" w:eastAsia="仿宋" w:cs="仿宋"/>
                <w:bCs/>
                <w:color w:val="auto"/>
                <w:kern w:val="2"/>
                <w:sz w:val="24"/>
                <w:szCs w:val="24"/>
                <w:highlight w:val="none"/>
                <w:lang w:val="en-US" w:eastAsia="zh-CN" w:bidi="ar"/>
              </w:rPr>
              <w:t>隔热层：耐高温硅酸铝纤维毡，抹耐火泥多层粘制。</w:t>
            </w:r>
          </w:p>
        </w:tc>
      </w:tr>
      <w:tr w14:paraId="4BE02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7" w:type="dxa"/>
            <w:noWrap w:val="0"/>
            <w:vAlign w:val="center"/>
          </w:tcPr>
          <w:p w14:paraId="0C42A09B">
            <w:pPr>
              <w:keepNext w:val="0"/>
              <w:keepLines w:val="0"/>
              <w:widowControl w:val="0"/>
              <w:suppressLineNumbers w:val="0"/>
              <w:autoSpaceDE w:val="0"/>
              <w:autoSpaceDN/>
              <w:adjustRightInd w:val="0"/>
              <w:spacing w:before="0" w:beforeAutospacing="0" w:after="0" w:afterAutospacing="0" w:line="360" w:lineRule="exact"/>
              <w:ind w:left="0" w:leftChars="0" w:right="0" w:rightChars="0"/>
              <w:jc w:val="center"/>
              <w:rPr>
                <w:rFonts w:hint="eastAsia" w:ascii="仿宋" w:hAnsi="仿宋" w:eastAsia="仿宋" w:cs="仿宋"/>
                <w:bCs/>
                <w:color w:val="auto"/>
                <w:sz w:val="24"/>
                <w:szCs w:val="24"/>
                <w:highlight w:val="none"/>
              </w:rPr>
            </w:pPr>
            <w:r>
              <w:rPr>
                <w:rFonts w:hint="default" w:ascii="仿宋" w:hAnsi="仿宋" w:eastAsia="仿宋" w:cs="仿宋"/>
                <w:bCs/>
                <w:color w:val="auto"/>
                <w:kern w:val="2"/>
                <w:sz w:val="24"/>
                <w:szCs w:val="24"/>
                <w:highlight w:val="none"/>
                <w:lang w:val="en-US" w:eastAsia="zh-CN" w:bidi="ar"/>
              </w:rPr>
              <w:t>2.15.2.3</w:t>
            </w:r>
          </w:p>
        </w:tc>
        <w:tc>
          <w:tcPr>
            <w:tcW w:w="7699" w:type="dxa"/>
            <w:noWrap w:val="0"/>
            <w:vAlign w:val="center"/>
          </w:tcPr>
          <w:p w14:paraId="3D0A3BB1">
            <w:pPr>
              <w:keepNext w:val="0"/>
              <w:keepLines w:val="0"/>
              <w:widowControl w:val="0"/>
              <w:suppressLineNumbers w:val="0"/>
              <w:autoSpaceDE w:val="0"/>
              <w:autoSpaceDN/>
              <w:adjustRightInd w:val="0"/>
              <w:spacing w:before="0" w:beforeAutospacing="0" w:after="0" w:afterAutospacing="0" w:line="360" w:lineRule="exact"/>
              <w:ind w:left="0" w:leftChars="0" w:right="0" w:rightChars="0"/>
              <w:jc w:val="left"/>
              <w:rPr>
                <w:rFonts w:hint="eastAsia" w:ascii="仿宋" w:hAnsi="仿宋" w:eastAsia="仿宋" w:cs="仿宋"/>
                <w:bCs/>
                <w:color w:val="auto"/>
                <w:sz w:val="24"/>
                <w:szCs w:val="24"/>
                <w:highlight w:val="none"/>
                <w:lang w:val="zh-CN"/>
              </w:rPr>
            </w:pPr>
            <w:r>
              <w:rPr>
                <w:rFonts w:hint="default" w:ascii="仿宋" w:hAnsi="仿宋" w:eastAsia="仿宋" w:cs="仿宋"/>
                <w:bCs/>
                <w:color w:val="auto"/>
                <w:kern w:val="2"/>
                <w:sz w:val="24"/>
                <w:szCs w:val="24"/>
                <w:highlight w:val="none"/>
                <w:lang w:val="en-US" w:eastAsia="zh-CN" w:bidi="ar"/>
              </w:rPr>
              <w:t>保温层：烟道两侧及烟道顶部用保温砖和耐火泥砌筑。</w:t>
            </w:r>
          </w:p>
        </w:tc>
      </w:tr>
      <w:tr w14:paraId="24464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7" w:type="dxa"/>
            <w:noWrap w:val="0"/>
            <w:vAlign w:val="center"/>
          </w:tcPr>
          <w:p w14:paraId="68FB3DBA">
            <w:pPr>
              <w:keepNext w:val="0"/>
              <w:keepLines w:val="0"/>
              <w:widowControl w:val="0"/>
              <w:suppressLineNumbers w:val="0"/>
              <w:autoSpaceDE w:val="0"/>
              <w:autoSpaceDN/>
              <w:adjustRightInd w:val="0"/>
              <w:spacing w:before="0" w:beforeAutospacing="0" w:after="0" w:afterAutospacing="0" w:line="360" w:lineRule="exact"/>
              <w:ind w:left="0" w:leftChars="0" w:right="0" w:rightChars="0"/>
              <w:jc w:val="center"/>
              <w:rPr>
                <w:rFonts w:hint="eastAsia" w:ascii="仿宋" w:hAnsi="仿宋" w:eastAsia="仿宋" w:cs="仿宋"/>
                <w:bCs/>
                <w:color w:val="auto"/>
                <w:sz w:val="24"/>
                <w:szCs w:val="24"/>
                <w:highlight w:val="none"/>
              </w:rPr>
            </w:pPr>
            <w:r>
              <w:rPr>
                <w:rFonts w:hint="default" w:ascii="仿宋" w:hAnsi="仿宋" w:eastAsia="仿宋" w:cs="仿宋"/>
                <w:bCs/>
                <w:color w:val="auto"/>
                <w:kern w:val="2"/>
                <w:sz w:val="24"/>
                <w:szCs w:val="24"/>
                <w:highlight w:val="none"/>
                <w:lang w:val="en-US" w:eastAsia="zh-CN" w:bidi="ar"/>
              </w:rPr>
              <w:t>2.15.2.4</w:t>
            </w:r>
          </w:p>
        </w:tc>
        <w:tc>
          <w:tcPr>
            <w:tcW w:w="7699" w:type="dxa"/>
            <w:noWrap w:val="0"/>
            <w:vAlign w:val="center"/>
          </w:tcPr>
          <w:p w14:paraId="01F6FE10">
            <w:pPr>
              <w:keepNext w:val="0"/>
              <w:keepLines w:val="0"/>
              <w:widowControl w:val="0"/>
              <w:suppressLineNumbers w:val="0"/>
              <w:autoSpaceDE w:val="0"/>
              <w:autoSpaceDN/>
              <w:adjustRightInd w:val="0"/>
              <w:spacing w:before="0" w:beforeAutospacing="0" w:after="0" w:afterAutospacing="0" w:line="360" w:lineRule="exact"/>
              <w:ind w:left="0" w:leftChars="0" w:right="0" w:rightChars="0"/>
              <w:jc w:val="left"/>
              <w:rPr>
                <w:rFonts w:hint="eastAsia" w:ascii="仿宋" w:hAnsi="仿宋" w:eastAsia="仿宋" w:cs="仿宋"/>
                <w:bCs/>
                <w:color w:val="auto"/>
                <w:sz w:val="24"/>
                <w:szCs w:val="24"/>
                <w:highlight w:val="none"/>
                <w:lang w:val="zh-CN"/>
              </w:rPr>
            </w:pPr>
            <w:r>
              <w:rPr>
                <w:rFonts w:hint="default" w:ascii="仿宋" w:hAnsi="仿宋" w:eastAsia="仿宋" w:cs="仿宋"/>
                <w:bCs/>
                <w:color w:val="auto"/>
                <w:kern w:val="2"/>
                <w:sz w:val="24"/>
                <w:szCs w:val="24"/>
                <w:highlight w:val="none"/>
                <w:lang w:val="en-US" w:eastAsia="zh-CN" w:bidi="ar"/>
              </w:rPr>
              <w:t>砌筑耐火砖的灰缝不大于3mm，烟道应保证不漏气。</w:t>
            </w:r>
          </w:p>
        </w:tc>
      </w:tr>
      <w:tr w14:paraId="5FDB1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7" w:type="dxa"/>
            <w:noWrap w:val="0"/>
            <w:vAlign w:val="center"/>
          </w:tcPr>
          <w:p w14:paraId="7E45043E">
            <w:pPr>
              <w:keepNext w:val="0"/>
              <w:keepLines w:val="0"/>
              <w:widowControl w:val="0"/>
              <w:suppressLineNumbers w:val="0"/>
              <w:autoSpaceDE w:val="0"/>
              <w:autoSpaceDN/>
              <w:adjustRightInd w:val="0"/>
              <w:spacing w:before="0" w:beforeAutospacing="0" w:after="0" w:afterAutospacing="0" w:line="360" w:lineRule="exact"/>
              <w:ind w:left="0" w:leftChars="0" w:right="0" w:rightChars="0"/>
              <w:jc w:val="center"/>
              <w:rPr>
                <w:rFonts w:hint="eastAsia" w:ascii="仿宋" w:hAnsi="仿宋" w:eastAsia="仿宋" w:cs="仿宋"/>
                <w:bCs/>
                <w:color w:val="auto"/>
                <w:sz w:val="24"/>
                <w:szCs w:val="24"/>
                <w:highlight w:val="none"/>
              </w:rPr>
            </w:pPr>
            <w:r>
              <w:rPr>
                <w:rFonts w:hint="default" w:ascii="仿宋" w:hAnsi="仿宋" w:eastAsia="仿宋" w:cs="仿宋"/>
                <w:bCs/>
                <w:color w:val="auto"/>
                <w:kern w:val="2"/>
                <w:sz w:val="24"/>
                <w:szCs w:val="24"/>
                <w:highlight w:val="none"/>
                <w:lang w:val="en-US" w:eastAsia="zh-CN" w:bidi="ar"/>
              </w:rPr>
              <w:t>2.15.2.5</w:t>
            </w:r>
          </w:p>
        </w:tc>
        <w:tc>
          <w:tcPr>
            <w:tcW w:w="7699" w:type="dxa"/>
            <w:noWrap w:val="0"/>
            <w:vAlign w:val="center"/>
          </w:tcPr>
          <w:p w14:paraId="14A42B84">
            <w:pPr>
              <w:keepNext w:val="0"/>
              <w:keepLines w:val="0"/>
              <w:widowControl w:val="0"/>
              <w:suppressLineNumbers w:val="0"/>
              <w:autoSpaceDE w:val="0"/>
              <w:autoSpaceDN/>
              <w:adjustRightInd w:val="0"/>
              <w:spacing w:before="0" w:beforeAutospacing="0" w:after="0" w:afterAutospacing="0" w:line="360" w:lineRule="exact"/>
              <w:ind w:left="0" w:leftChars="0" w:right="0" w:rightChars="0"/>
              <w:jc w:val="left"/>
              <w:rPr>
                <w:rFonts w:hint="eastAsia" w:ascii="仿宋" w:hAnsi="仿宋" w:eastAsia="仿宋" w:cs="仿宋"/>
                <w:bCs/>
                <w:color w:val="auto"/>
                <w:sz w:val="24"/>
                <w:szCs w:val="24"/>
                <w:highlight w:val="none"/>
                <w:lang w:val="zh-CN"/>
              </w:rPr>
            </w:pPr>
            <w:r>
              <w:rPr>
                <w:rFonts w:hint="default" w:ascii="仿宋" w:hAnsi="仿宋" w:eastAsia="仿宋" w:cs="仿宋"/>
                <w:bCs/>
                <w:color w:val="auto"/>
                <w:kern w:val="2"/>
                <w:sz w:val="24"/>
                <w:szCs w:val="24"/>
                <w:highlight w:val="none"/>
                <w:lang w:val="en-US" w:eastAsia="zh-CN" w:bidi="ar"/>
              </w:rPr>
              <w:t>预装有烟道闸板的轨道，轨道采用耐高温铸件。</w:t>
            </w:r>
          </w:p>
        </w:tc>
      </w:tr>
      <w:tr w14:paraId="1F7F3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7" w:type="dxa"/>
            <w:noWrap w:val="0"/>
            <w:vAlign w:val="center"/>
          </w:tcPr>
          <w:p w14:paraId="31F6DE4F">
            <w:pPr>
              <w:keepNext w:val="0"/>
              <w:keepLines w:val="0"/>
              <w:widowControl w:val="0"/>
              <w:suppressLineNumbers w:val="0"/>
              <w:autoSpaceDE w:val="0"/>
              <w:autoSpaceDN/>
              <w:adjustRightInd w:val="0"/>
              <w:spacing w:before="0" w:beforeAutospacing="0" w:after="0" w:afterAutospacing="0" w:line="360" w:lineRule="exact"/>
              <w:ind w:left="0" w:leftChars="0" w:right="0" w:rightChars="0"/>
              <w:jc w:val="center"/>
              <w:rPr>
                <w:rFonts w:hint="eastAsia" w:ascii="仿宋" w:hAnsi="仿宋" w:eastAsia="仿宋" w:cs="仿宋"/>
                <w:bCs/>
                <w:color w:val="auto"/>
                <w:sz w:val="24"/>
                <w:szCs w:val="24"/>
                <w:highlight w:val="none"/>
              </w:rPr>
            </w:pPr>
            <w:r>
              <w:rPr>
                <w:rFonts w:hint="default" w:ascii="仿宋" w:hAnsi="仿宋" w:eastAsia="仿宋" w:cs="仿宋"/>
                <w:bCs/>
                <w:color w:val="auto"/>
                <w:kern w:val="2"/>
                <w:sz w:val="24"/>
                <w:szCs w:val="24"/>
                <w:highlight w:val="none"/>
                <w:lang w:val="en-US" w:eastAsia="zh-CN" w:bidi="ar"/>
              </w:rPr>
              <w:t>2.15.2.6</w:t>
            </w:r>
          </w:p>
        </w:tc>
        <w:tc>
          <w:tcPr>
            <w:tcW w:w="7699" w:type="dxa"/>
            <w:noWrap w:val="0"/>
            <w:vAlign w:val="center"/>
          </w:tcPr>
          <w:p w14:paraId="0BBD3FCF">
            <w:pPr>
              <w:keepNext w:val="0"/>
              <w:keepLines w:val="0"/>
              <w:widowControl w:val="0"/>
              <w:suppressLineNumbers w:val="0"/>
              <w:autoSpaceDE w:val="0"/>
              <w:autoSpaceDN/>
              <w:adjustRightInd w:val="0"/>
              <w:spacing w:before="0" w:beforeAutospacing="0" w:after="0" w:afterAutospacing="0" w:line="360" w:lineRule="exact"/>
              <w:ind w:left="0" w:leftChars="0" w:right="0" w:rightChars="0"/>
              <w:jc w:val="left"/>
              <w:rPr>
                <w:rFonts w:hint="eastAsia" w:ascii="仿宋" w:hAnsi="仿宋" w:eastAsia="仿宋" w:cs="仿宋"/>
                <w:bCs/>
                <w:color w:val="auto"/>
                <w:sz w:val="24"/>
                <w:szCs w:val="24"/>
                <w:highlight w:val="none"/>
                <w:lang w:val="zh-CN"/>
              </w:rPr>
            </w:pPr>
            <w:r>
              <w:rPr>
                <w:rFonts w:hint="default" w:ascii="仿宋" w:hAnsi="仿宋" w:eastAsia="仿宋" w:cs="仿宋"/>
                <w:bCs/>
                <w:color w:val="auto"/>
                <w:kern w:val="2"/>
                <w:sz w:val="24"/>
                <w:szCs w:val="24"/>
                <w:highlight w:val="none"/>
                <w:lang w:val="en-US" w:eastAsia="zh-CN" w:bidi="ar"/>
              </w:rPr>
              <w:t>浇筑烟囱、炉基础、设备基础、风机及闸板基础。</w:t>
            </w:r>
          </w:p>
        </w:tc>
      </w:tr>
      <w:tr w14:paraId="2F27B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7" w:type="dxa"/>
            <w:noWrap w:val="0"/>
            <w:vAlign w:val="center"/>
          </w:tcPr>
          <w:p w14:paraId="6EC38650">
            <w:pPr>
              <w:keepNext w:val="0"/>
              <w:keepLines w:val="0"/>
              <w:widowControl w:val="0"/>
              <w:suppressLineNumbers w:val="0"/>
              <w:adjustRightInd w:val="0"/>
              <w:spacing w:before="0" w:beforeAutospacing="0" w:after="0" w:afterAutospacing="0"/>
              <w:ind w:left="0" w:right="0"/>
              <w:jc w:val="both"/>
              <w:rPr>
                <w:rFonts w:hint="default"/>
                <w:color w:val="auto"/>
                <w:highlight w:val="none"/>
              </w:rPr>
            </w:pPr>
            <w:r>
              <w:rPr>
                <w:rFonts w:hint="default" w:ascii="仿宋" w:hAnsi="仿宋" w:eastAsia="仿宋" w:cs="仿宋"/>
                <w:bCs/>
                <w:color w:val="auto"/>
                <w:kern w:val="2"/>
                <w:sz w:val="24"/>
                <w:szCs w:val="24"/>
                <w:highlight w:val="none"/>
                <w:lang w:val="en-US" w:eastAsia="zh-CN" w:bidi="ar"/>
              </w:rPr>
              <w:t>2.15.2.7</w:t>
            </w:r>
          </w:p>
          <w:p w14:paraId="40DF85E1">
            <w:pPr>
              <w:keepNext w:val="0"/>
              <w:keepLines w:val="0"/>
              <w:widowControl w:val="0"/>
              <w:suppressLineNumbers w:val="0"/>
              <w:autoSpaceDE w:val="0"/>
              <w:autoSpaceDN/>
              <w:adjustRightInd w:val="0"/>
              <w:spacing w:before="0" w:beforeAutospacing="0" w:after="0" w:afterAutospacing="0" w:line="360" w:lineRule="exact"/>
              <w:ind w:left="0" w:leftChars="0" w:right="0" w:rightChars="0"/>
              <w:jc w:val="center"/>
              <w:rPr>
                <w:rFonts w:hint="default" w:ascii="仿宋" w:hAnsi="仿宋" w:eastAsia="仿宋" w:cs="仿宋"/>
                <w:bCs/>
                <w:color w:val="auto"/>
                <w:kern w:val="2"/>
                <w:sz w:val="24"/>
                <w:szCs w:val="24"/>
                <w:highlight w:val="none"/>
                <w:lang w:val="en-US" w:eastAsia="zh-CN" w:bidi="ar"/>
              </w:rPr>
            </w:pPr>
          </w:p>
        </w:tc>
        <w:tc>
          <w:tcPr>
            <w:tcW w:w="7699" w:type="dxa"/>
            <w:noWrap w:val="0"/>
            <w:vAlign w:val="center"/>
          </w:tcPr>
          <w:p w14:paraId="63478A0B">
            <w:pPr>
              <w:keepNext w:val="0"/>
              <w:keepLines w:val="0"/>
              <w:widowControl w:val="0"/>
              <w:suppressLineNumbers w:val="0"/>
              <w:adjustRightInd w:val="0"/>
              <w:spacing w:before="0" w:beforeAutospacing="0" w:after="0" w:afterAutospacing="0"/>
              <w:ind w:left="0" w:right="0"/>
              <w:jc w:val="both"/>
              <w:rPr>
                <w:rFonts w:hint="default" w:ascii="仿宋" w:hAnsi="仿宋" w:eastAsia="仿宋" w:cs="仿宋"/>
                <w:bCs/>
                <w:color w:val="auto"/>
                <w:kern w:val="2"/>
                <w:sz w:val="24"/>
                <w:szCs w:val="24"/>
                <w:highlight w:val="none"/>
                <w:lang w:val="en-US" w:eastAsia="zh-CN" w:bidi="ar"/>
              </w:rPr>
            </w:pPr>
            <w:r>
              <w:rPr>
                <w:rFonts w:hint="default" w:ascii="仿宋" w:hAnsi="仿宋" w:eastAsia="仿宋" w:cs="仿宋"/>
                <w:bCs/>
                <w:color w:val="auto"/>
                <w:kern w:val="2"/>
                <w:sz w:val="24"/>
                <w:szCs w:val="24"/>
                <w:highlight w:val="none"/>
                <w:lang w:val="en-US" w:eastAsia="zh-CN" w:bidi="ar"/>
              </w:rPr>
              <w:t>需提供合理的设计与技术方案和具体的防止烟道进水的措施，对烟道进水承担全部责任。</w:t>
            </w:r>
          </w:p>
        </w:tc>
      </w:tr>
      <w:tr w14:paraId="754ED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6E7455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3</w:t>
            </w:r>
          </w:p>
        </w:tc>
        <w:tc>
          <w:tcPr>
            <w:tcW w:w="0" w:type="auto"/>
            <w:noWrap w:val="0"/>
            <w:vAlign w:val="center"/>
          </w:tcPr>
          <w:p w14:paraId="590F52F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其他要求</w:t>
            </w:r>
          </w:p>
        </w:tc>
      </w:tr>
      <w:tr w14:paraId="7734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07C020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1</w:t>
            </w:r>
          </w:p>
        </w:tc>
        <w:tc>
          <w:tcPr>
            <w:tcW w:w="0" w:type="auto"/>
            <w:noWrap w:val="0"/>
            <w:vAlign w:val="center"/>
          </w:tcPr>
          <w:p w14:paraId="7DF033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新火化炉地下隐蔽工程建设</w:t>
            </w:r>
          </w:p>
        </w:tc>
      </w:tr>
      <w:tr w14:paraId="63A34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380C3F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2</w:t>
            </w:r>
          </w:p>
        </w:tc>
        <w:tc>
          <w:tcPr>
            <w:tcW w:w="0" w:type="auto"/>
            <w:noWrap w:val="0"/>
            <w:vAlign w:val="center"/>
          </w:tcPr>
          <w:p w14:paraId="5CEA14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火化炉炉体及炉膛砌筑安装（含耐火材料、炉膛、炉门、减速机、高性能热交换装置等）</w:t>
            </w:r>
          </w:p>
        </w:tc>
      </w:tr>
      <w:tr w14:paraId="2BFA3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5D1D75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3.3</w:t>
            </w:r>
          </w:p>
        </w:tc>
        <w:tc>
          <w:tcPr>
            <w:tcW w:w="0" w:type="auto"/>
            <w:noWrap w:val="0"/>
            <w:vAlign w:val="center"/>
          </w:tcPr>
          <w:p w14:paraId="7327BB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油路系统</w:t>
            </w:r>
          </w:p>
        </w:tc>
      </w:tr>
      <w:tr w14:paraId="6A280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6D3B92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3.4</w:t>
            </w:r>
          </w:p>
        </w:tc>
        <w:tc>
          <w:tcPr>
            <w:tcW w:w="0" w:type="auto"/>
            <w:noWrap w:val="0"/>
            <w:vAlign w:val="center"/>
          </w:tcPr>
          <w:p w14:paraId="5C9BCB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电路系统及控制系统（含电气布线、各种传感器、低压电器、彩色电脑触摸屏、PLC控制器、配电柜等）</w:t>
            </w:r>
          </w:p>
        </w:tc>
      </w:tr>
      <w:tr w14:paraId="5D249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21B662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5</w:t>
            </w:r>
          </w:p>
        </w:tc>
        <w:tc>
          <w:tcPr>
            <w:tcW w:w="0" w:type="auto"/>
            <w:noWrap w:val="0"/>
            <w:vAlign w:val="center"/>
          </w:tcPr>
          <w:p w14:paraId="7B5C86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供风系统（鼓风机、引风机系统安装等）</w:t>
            </w:r>
          </w:p>
        </w:tc>
      </w:tr>
      <w:tr w14:paraId="26CA2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6CFF8A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6</w:t>
            </w:r>
          </w:p>
        </w:tc>
        <w:tc>
          <w:tcPr>
            <w:tcW w:w="0" w:type="auto"/>
            <w:noWrap w:val="0"/>
            <w:vAlign w:val="center"/>
          </w:tcPr>
          <w:p w14:paraId="2BB608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不锈钢外包装（含炉车、炉体外包装）</w:t>
            </w:r>
          </w:p>
        </w:tc>
      </w:tr>
      <w:tr w14:paraId="30B9A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noWrap w:val="0"/>
            <w:vAlign w:val="center"/>
          </w:tcPr>
          <w:p w14:paraId="578086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7</w:t>
            </w:r>
          </w:p>
        </w:tc>
        <w:tc>
          <w:tcPr>
            <w:tcW w:w="0" w:type="auto"/>
            <w:noWrap w:val="0"/>
            <w:vAlign w:val="center"/>
          </w:tcPr>
          <w:p w14:paraId="7ABA2C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其他辅助设备（不锈钢灰斗、不锈钢灰耙、工具架等）</w:t>
            </w:r>
          </w:p>
        </w:tc>
      </w:tr>
      <w:tr w14:paraId="4624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47A587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3.8</w:t>
            </w:r>
          </w:p>
        </w:tc>
        <w:tc>
          <w:tcPr>
            <w:tcW w:w="0" w:type="auto"/>
            <w:noWrap w:val="0"/>
            <w:vAlign w:val="center"/>
          </w:tcPr>
          <w:p w14:paraId="3402A9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火化车间新风检测</w:t>
            </w:r>
          </w:p>
        </w:tc>
      </w:tr>
      <w:tr w14:paraId="24BB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6925AA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▲3.8.1</w:t>
            </w:r>
          </w:p>
        </w:tc>
        <w:tc>
          <w:tcPr>
            <w:tcW w:w="0" w:type="auto"/>
            <w:noWrap w:val="0"/>
            <w:vAlign w:val="center"/>
          </w:tcPr>
          <w:p w14:paraId="683FAF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空气中氡浓度≤150 Bq/m</w:t>
            </w:r>
          </w:p>
          <w:p w14:paraId="52F372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 w:hAnsi="仿宋" w:eastAsia="仿宋" w:cs="仿宋"/>
                <w:color w:val="auto"/>
                <w:sz w:val="24"/>
                <w:szCs w:val="24"/>
                <w:highlight w:val="none"/>
                <w:vertAlign w:val="superscript"/>
                <w:lang w:val="en-US" w:eastAsia="zh-CN"/>
              </w:rPr>
            </w:pPr>
            <w:r>
              <w:rPr>
                <w:rFonts w:hint="eastAsia" w:ascii="仿宋" w:hAnsi="仿宋" w:eastAsia="仿宋" w:cs="仿宋"/>
                <w:color w:val="auto"/>
                <w:sz w:val="24"/>
                <w:szCs w:val="24"/>
                <w:highlight w:val="none"/>
                <w:lang w:val="en-US" w:eastAsia="zh-CN"/>
              </w:rPr>
              <w:t>氨≤0.20 mg/m</w:t>
            </w:r>
            <w:r>
              <w:rPr>
                <w:rFonts w:hint="eastAsia" w:ascii="仿宋" w:hAnsi="仿宋" w:eastAsia="仿宋" w:cs="仿宋"/>
                <w:color w:val="auto"/>
                <w:sz w:val="24"/>
                <w:szCs w:val="24"/>
                <w:highlight w:val="none"/>
                <w:vertAlign w:val="superscript"/>
                <w:lang w:val="en-US" w:eastAsia="zh-CN"/>
              </w:rPr>
              <w:t>3</w:t>
            </w:r>
          </w:p>
          <w:p w14:paraId="19D347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苯≤0.09mg/m</w:t>
            </w:r>
            <w:r>
              <w:rPr>
                <w:rFonts w:hint="eastAsia" w:ascii="仿宋" w:hAnsi="仿宋" w:eastAsia="仿宋" w:cs="仿宋"/>
                <w:color w:val="auto"/>
                <w:sz w:val="24"/>
                <w:szCs w:val="24"/>
                <w:highlight w:val="none"/>
                <w:vertAlign w:val="superscript"/>
                <w:lang w:val="en-US" w:eastAsia="zh-CN"/>
              </w:rPr>
              <w:t>3</w:t>
            </w:r>
            <w:r>
              <w:rPr>
                <w:rFonts w:hint="eastAsia" w:ascii="仿宋" w:hAnsi="仿宋" w:eastAsia="仿宋" w:cs="仿宋"/>
                <w:color w:val="auto"/>
                <w:sz w:val="24"/>
                <w:szCs w:val="24"/>
                <w:highlight w:val="none"/>
                <w:lang w:val="en-US" w:eastAsia="zh-CN"/>
              </w:rPr>
              <w:t xml:space="preserve"> </w:t>
            </w:r>
          </w:p>
          <w:p w14:paraId="27A90A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甲苯≤0.20mg/m</w:t>
            </w:r>
            <w:r>
              <w:rPr>
                <w:rFonts w:hint="eastAsia" w:ascii="仿宋" w:hAnsi="仿宋" w:eastAsia="仿宋" w:cs="仿宋"/>
                <w:color w:val="auto"/>
                <w:sz w:val="24"/>
                <w:szCs w:val="24"/>
                <w:highlight w:val="none"/>
                <w:vertAlign w:val="superscript"/>
                <w:lang w:val="en-US" w:eastAsia="zh-CN"/>
              </w:rPr>
              <w:t>3</w:t>
            </w:r>
            <w:r>
              <w:rPr>
                <w:rFonts w:hint="eastAsia" w:ascii="仿宋" w:hAnsi="仿宋" w:eastAsia="仿宋" w:cs="仿宋"/>
                <w:color w:val="auto"/>
                <w:sz w:val="24"/>
                <w:szCs w:val="24"/>
                <w:highlight w:val="none"/>
                <w:lang w:val="en-US" w:eastAsia="zh-CN"/>
              </w:rPr>
              <w:t xml:space="preserve"> </w:t>
            </w:r>
          </w:p>
          <w:p w14:paraId="487D02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二甲苯≤0.20mg/m</w:t>
            </w:r>
            <w:r>
              <w:rPr>
                <w:rFonts w:hint="eastAsia" w:ascii="仿宋" w:hAnsi="仿宋" w:eastAsia="仿宋" w:cs="仿宋"/>
                <w:color w:val="auto"/>
                <w:sz w:val="24"/>
                <w:szCs w:val="24"/>
                <w:highlight w:val="none"/>
                <w:vertAlign w:val="superscript"/>
                <w:lang w:val="en-US" w:eastAsia="zh-CN"/>
              </w:rPr>
              <w:t>3</w:t>
            </w:r>
            <w:r>
              <w:rPr>
                <w:rFonts w:hint="eastAsia" w:ascii="仿宋" w:hAnsi="仿宋" w:eastAsia="仿宋" w:cs="仿宋"/>
                <w:color w:val="auto"/>
                <w:sz w:val="24"/>
                <w:szCs w:val="24"/>
                <w:highlight w:val="none"/>
                <w:lang w:val="en-US" w:eastAsia="zh-CN"/>
              </w:rPr>
              <w:t xml:space="preserve"> </w:t>
            </w:r>
          </w:p>
          <w:p w14:paraId="0D8910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总挥发性有机物（TVOC）≤0.50mg/m</w:t>
            </w:r>
          </w:p>
          <w:p w14:paraId="1F6C62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color w:val="auto"/>
                <w:sz w:val="24"/>
                <w:szCs w:val="24"/>
                <w:highlight w:val="none"/>
              </w:rPr>
              <w:t>投标文件中</w:t>
            </w:r>
            <w:r>
              <w:rPr>
                <w:rFonts w:hint="eastAsia" w:ascii="仿宋" w:hAnsi="仿宋" w:eastAsia="仿宋" w:cs="仿宋"/>
                <w:b/>
                <w:color w:val="auto"/>
                <w:sz w:val="24"/>
                <w:szCs w:val="24"/>
                <w:highlight w:val="none"/>
                <w:lang w:val="en-US" w:eastAsia="zh-CN"/>
              </w:rPr>
              <w:t>需</w:t>
            </w:r>
            <w:r>
              <w:rPr>
                <w:rFonts w:hint="eastAsia" w:ascii="仿宋" w:hAnsi="仿宋" w:eastAsia="仿宋" w:cs="仿宋"/>
                <w:b/>
                <w:color w:val="auto"/>
                <w:sz w:val="24"/>
                <w:szCs w:val="24"/>
                <w:highlight w:val="none"/>
              </w:rPr>
              <w:t>提供</w:t>
            </w:r>
            <w:r>
              <w:rPr>
                <w:rFonts w:hint="eastAsia" w:ascii="仿宋" w:hAnsi="仿宋" w:eastAsia="仿宋" w:cs="仿宋"/>
                <w:b/>
                <w:color w:val="auto"/>
                <w:sz w:val="24"/>
                <w:szCs w:val="24"/>
                <w:highlight w:val="none"/>
                <w:lang w:val="zh-CN"/>
              </w:rPr>
              <w:t>检测报告复印件加盖</w:t>
            </w:r>
            <w:r>
              <w:rPr>
                <w:rFonts w:hint="eastAsia" w:ascii="仿宋" w:hAnsi="仿宋" w:eastAsia="仿宋" w:cs="仿宋"/>
                <w:b/>
                <w:color w:val="auto"/>
                <w:sz w:val="24"/>
                <w:szCs w:val="24"/>
                <w:highlight w:val="none"/>
                <w:lang w:val="en-US" w:eastAsia="zh-CN"/>
              </w:rPr>
              <w:t>投标人</w:t>
            </w:r>
            <w:r>
              <w:rPr>
                <w:rFonts w:hint="eastAsia" w:ascii="仿宋" w:hAnsi="仿宋" w:eastAsia="仿宋" w:cs="仿宋"/>
                <w:b/>
                <w:color w:val="auto"/>
                <w:sz w:val="24"/>
                <w:szCs w:val="24"/>
                <w:highlight w:val="none"/>
                <w:lang w:val="zh-CN"/>
              </w:rPr>
              <w:t>公章。</w:t>
            </w:r>
          </w:p>
        </w:tc>
      </w:tr>
    </w:tbl>
    <w:p w14:paraId="386B6283">
      <w:pPr>
        <w:numPr>
          <w:ilvl w:val="0"/>
          <w:numId w:val="0"/>
        </w:numPr>
        <w:bidi w:val="0"/>
        <w:rPr>
          <w:rFonts w:hint="eastAsia" w:ascii="CESI仿宋-GB2312" w:hAnsi="CESI仿宋-GB2312" w:eastAsia="CESI仿宋-GB2312" w:cs="CESI仿宋-GB2312"/>
          <w:b/>
          <w:bCs/>
          <w:color w:val="auto"/>
          <w:sz w:val="24"/>
          <w:szCs w:val="24"/>
          <w:highlight w:val="none"/>
        </w:rPr>
      </w:pPr>
    </w:p>
    <w:p w14:paraId="0648F13C">
      <w:pPr>
        <w:numPr>
          <w:ilvl w:val="0"/>
          <w:numId w:val="0"/>
        </w:numPr>
        <w:bidi w:val="0"/>
        <w:rPr>
          <w:rFonts w:hint="eastAsia" w:ascii="CESI仿宋-GB2312" w:hAnsi="CESI仿宋-GB2312" w:eastAsia="CESI仿宋-GB2312" w:cs="CESI仿宋-GB2312"/>
          <w:b/>
          <w:bCs/>
          <w:color w:val="auto"/>
          <w:sz w:val="24"/>
          <w:szCs w:val="24"/>
          <w:highlight w:val="none"/>
        </w:rPr>
      </w:pPr>
      <w:r>
        <w:rPr>
          <w:rFonts w:hint="eastAsia" w:ascii="CESI仿宋-GB2312" w:hAnsi="CESI仿宋-GB2312" w:eastAsia="CESI仿宋-GB2312" w:cs="CESI仿宋-GB2312"/>
          <w:b/>
          <w:bCs/>
          <w:color w:val="auto"/>
          <w:sz w:val="24"/>
          <w:szCs w:val="24"/>
          <w:highlight w:val="none"/>
          <w:lang w:val="en-US" w:eastAsia="zh-CN"/>
        </w:rPr>
        <w:t>2.</w:t>
      </w:r>
      <w:r>
        <w:rPr>
          <w:rFonts w:hint="eastAsia" w:ascii="CESI仿宋-GB2312" w:hAnsi="CESI仿宋-GB2312" w:eastAsia="CESI仿宋-GB2312" w:cs="CESI仿宋-GB2312"/>
          <w:b/>
          <w:bCs/>
          <w:color w:val="auto"/>
          <w:sz w:val="24"/>
          <w:szCs w:val="24"/>
          <w:highlight w:val="none"/>
        </w:rPr>
        <w:t>配套独立尾气净化后处理设备</w:t>
      </w:r>
    </w:p>
    <w:tbl>
      <w:tblPr>
        <w:tblStyle w:val="6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1300"/>
        <w:gridCol w:w="6372"/>
      </w:tblGrid>
      <w:tr w14:paraId="62024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4B0C5362">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5FD2C98B">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指标项目</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4AA76EAE">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主要技术参数</w:t>
            </w:r>
          </w:p>
        </w:tc>
      </w:tr>
      <w:tr w14:paraId="559A9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19A1F161">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1</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4E9A1BE3">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主体设备</w:t>
            </w:r>
          </w:p>
          <w:p w14:paraId="34D207C8">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系统</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04FC283C">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1、不能产生二次污染水等，要与焚烧炉无缝对接。</w:t>
            </w:r>
          </w:p>
          <w:p w14:paraId="48E8385B">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2、强制冷却装置、</w:t>
            </w:r>
            <w:r>
              <w:rPr>
                <w:rFonts w:hint="eastAsia" w:ascii="仿宋" w:hAnsi="仿宋" w:eastAsia="仿宋" w:cs="仿宋"/>
                <w:color w:val="auto"/>
                <w:sz w:val="24"/>
                <w:szCs w:val="24"/>
                <w:highlight w:val="none"/>
                <w:lang w:eastAsia="zh-CN"/>
              </w:rPr>
              <w:t>脱硫脱酸装置（消石灰）、</w:t>
            </w:r>
            <w:r>
              <w:rPr>
                <w:rFonts w:hint="eastAsia" w:ascii="仿宋" w:hAnsi="仿宋" w:eastAsia="仿宋" w:cs="仿宋"/>
                <w:color w:val="auto"/>
                <w:sz w:val="24"/>
                <w:szCs w:val="24"/>
                <w:highlight w:val="none"/>
              </w:rPr>
              <w:t>旋风微尘净化器、布袋除尘器</w:t>
            </w:r>
            <w:r>
              <w:rPr>
                <w:rFonts w:hint="eastAsia" w:ascii="仿宋" w:hAnsi="仿宋" w:eastAsia="仿宋" w:cs="仿宋"/>
                <w:color w:val="auto"/>
                <w:sz w:val="24"/>
                <w:szCs w:val="24"/>
                <w:highlight w:val="none"/>
                <w:lang w:eastAsia="zh-CN"/>
              </w:rPr>
              <w:t>、活性炭吸附器等</w:t>
            </w:r>
            <w:r>
              <w:rPr>
                <w:rFonts w:hint="eastAsia" w:ascii="仿宋" w:hAnsi="仿宋" w:eastAsia="仿宋" w:cs="仿宋"/>
                <w:color w:val="auto"/>
                <w:sz w:val="24"/>
                <w:szCs w:val="24"/>
                <w:highlight w:val="none"/>
              </w:rPr>
              <w:t>外形尺寸：在确保采购人使用要求的前提下可根据各</w:t>
            </w:r>
            <w:r>
              <w:rPr>
                <w:rFonts w:hint="eastAsia" w:ascii="仿宋" w:hAnsi="仿宋" w:eastAsia="仿宋" w:cs="仿宋"/>
                <w:bCs/>
                <w:color w:val="auto"/>
                <w:sz w:val="24"/>
                <w:szCs w:val="24"/>
                <w:highlight w:val="none"/>
                <w:lang w:val="en-US" w:eastAsia="zh-CN"/>
              </w:rPr>
              <w:t>投标人</w:t>
            </w:r>
            <w:r>
              <w:rPr>
                <w:rFonts w:hint="eastAsia" w:ascii="仿宋" w:hAnsi="仿宋" w:eastAsia="仿宋" w:cs="仿宋"/>
                <w:color w:val="auto"/>
                <w:sz w:val="24"/>
                <w:szCs w:val="24"/>
                <w:highlight w:val="none"/>
              </w:rPr>
              <w:t>的自行设计，并报详细方案说明。</w:t>
            </w:r>
          </w:p>
          <w:p w14:paraId="485563A9">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3、采用螺杆全自动脱湿干燥空气压缩机：排气量不小于2.4m</w:t>
            </w:r>
            <w:r>
              <w:rPr>
                <w:rFonts w:hint="eastAsia" w:ascii="仿宋" w:hAnsi="仿宋" w:eastAsia="仿宋" w:cs="仿宋"/>
                <w:color w:val="auto"/>
                <w:sz w:val="24"/>
                <w:szCs w:val="24"/>
                <w:highlight w:val="none"/>
                <w:vertAlign w:val="superscript"/>
              </w:rPr>
              <w:t>3</w:t>
            </w:r>
            <w:r>
              <w:rPr>
                <w:rFonts w:hint="eastAsia" w:ascii="仿宋" w:hAnsi="仿宋" w:eastAsia="仿宋" w:cs="仿宋"/>
                <w:color w:val="auto"/>
                <w:sz w:val="24"/>
                <w:szCs w:val="24"/>
                <w:highlight w:val="none"/>
              </w:rPr>
              <w:t>/h，风压不小于0.8MPa,电机功率不小于15KW（含自动电脑控制）。</w:t>
            </w:r>
          </w:p>
          <w:p w14:paraId="2E02757D">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400" w:lineRule="exact"/>
              <w:ind w:left="0" w:right="0" w:rightChars="0" w:firstLine="0" w:firstLineChars="0"/>
              <w:rPr>
                <w:rFonts w:hint="eastAsia" w:ascii="仿宋" w:hAnsi="仿宋" w:eastAsia="仿宋" w:cs="仿宋"/>
                <w:b w:val="0"/>
                <w:bCs w:val="0"/>
                <w:color w:val="auto"/>
                <w:sz w:val="24"/>
                <w:szCs w:val="24"/>
                <w:highlight w:val="none"/>
              </w:rPr>
            </w:pPr>
            <w:r>
              <w:rPr>
                <w:rFonts w:hint="eastAsia" w:ascii="仿宋" w:hAnsi="仿宋" w:eastAsia="仿宋" w:cs="仿宋"/>
                <w:color w:val="auto"/>
                <w:sz w:val="24"/>
                <w:szCs w:val="24"/>
                <w:highlight w:val="none"/>
                <w:lang w:val="en-US" w:eastAsia="zh-CN"/>
              </w:rPr>
              <w:t>▲</w:t>
            </w:r>
            <w:r>
              <w:rPr>
                <w:rFonts w:hint="eastAsia" w:ascii="仿宋" w:hAnsi="仿宋" w:eastAsia="仿宋" w:cs="仿宋"/>
                <w:b/>
                <w:bCs/>
                <w:color w:val="auto"/>
                <w:sz w:val="24"/>
                <w:szCs w:val="24"/>
                <w:highlight w:val="none"/>
              </w:rPr>
              <w:t>4、</w:t>
            </w:r>
            <w:r>
              <w:rPr>
                <w:rFonts w:hint="eastAsia" w:ascii="仿宋" w:hAnsi="仿宋" w:eastAsia="仿宋" w:cs="仿宋"/>
                <w:b w:val="0"/>
                <w:bCs w:val="0"/>
                <w:color w:val="auto"/>
                <w:sz w:val="24"/>
                <w:szCs w:val="24"/>
                <w:highlight w:val="none"/>
              </w:rPr>
              <w:t>滤袋对各种污染物的去除效果要明显（滤袋必须采用PTFE覆膜滤袋），过滤面积不小于96㎡，可耐受260℃的高温。</w:t>
            </w:r>
            <w:r>
              <w:rPr>
                <w:rFonts w:hint="eastAsia" w:ascii="仿宋" w:hAnsi="仿宋" w:eastAsia="仿宋" w:cs="仿宋"/>
                <w:b/>
                <w:bCs/>
                <w:color w:val="auto"/>
                <w:sz w:val="24"/>
                <w:szCs w:val="24"/>
                <w:highlight w:val="none"/>
              </w:rPr>
              <w:t>投标文件中</w:t>
            </w:r>
            <w:r>
              <w:rPr>
                <w:rFonts w:hint="eastAsia" w:ascii="仿宋" w:hAnsi="仿宋" w:eastAsia="仿宋" w:cs="仿宋"/>
                <w:b/>
                <w:bCs/>
                <w:color w:val="auto"/>
                <w:sz w:val="24"/>
                <w:szCs w:val="24"/>
                <w:highlight w:val="none"/>
                <w:lang w:val="en-US" w:eastAsia="zh-CN"/>
              </w:rPr>
              <w:t>需</w:t>
            </w:r>
            <w:r>
              <w:rPr>
                <w:rFonts w:hint="eastAsia" w:ascii="仿宋" w:hAnsi="仿宋" w:eastAsia="仿宋" w:cs="仿宋"/>
                <w:b/>
                <w:bCs/>
                <w:color w:val="auto"/>
                <w:sz w:val="24"/>
                <w:szCs w:val="24"/>
                <w:highlight w:val="none"/>
              </w:rPr>
              <w:t>提供</w:t>
            </w:r>
            <w:r>
              <w:rPr>
                <w:rFonts w:hint="eastAsia" w:ascii="仿宋" w:hAnsi="仿宋" w:eastAsia="仿宋" w:cs="仿宋"/>
                <w:b/>
                <w:bCs/>
                <w:color w:val="auto"/>
                <w:sz w:val="24"/>
                <w:szCs w:val="24"/>
                <w:highlight w:val="none"/>
                <w:lang w:val="zh-CN"/>
              </w:rPr>
              <w:t>检测报告复印件加盖</w:t>
            </w:r>
            <w:r>
              <w:rPr>
                <w:rFonts w:hint="eastAsia" w:ascii="仿宋" w:hAnsi="仿宋" w:eastAsia="仿宋" w:cs="仿宋"/>
                <w:b/>
                <w:bCs/>
                <w:color w:val="auto"/>
                <w:sz w:val="24"/>
                <w:szCs w:val="24"/>
                <w:highlight w:val="none"/>
                <w:lang w:val="en-US" w:eastAsia="zh-CN"/>
              </w:rPr>
              <w:t>投标人</w:t>
            </w:r>
            <w:r>
              <w:rPr>
                <w:rFonts w:hint="eastAsia" w:ascii="仿宋" w:hAnsi="仿宋" w:eastAsia="仿宋" w:cs="仿宋"/>
                <w:b/>
                <w:bCs/>
                <w:color w:val="auto"/>
                <w:sz w:val="24"/>
                <w:szCs w:val="24"/>
                <w:highlight w:val="none"/>
                <w:lang w:val="zh-CN"/>
              </w:rPr>
              <w:t>公章。</w:t>
            </w:r>
          </w:p>
          <w:p w14:paraId="11179DAE">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400" w:lineRule="exact"/>
              <w:ind w:left="0" w:right="0" w:rightChars="0" w:firstLine="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5、通风管道采用304不锈钢材料，耐腐蚀、耐高温，厚度不小于3mm。</w:t>
            </w:r>
          </w:p>
          <w:p w14:paraId="6F2D67D1">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400" w:lineRule="exact"/>
              <w:ind w:left="0" w:right="0" w:rightChars="0" w:firstLine="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6、空气压缩机、风机工作时要有消音装置，且风机必须是变频控制，风机的出口安装整流器。</w:t>
            </w:r>
          </w:p>
          <w:p w14:paraId="5A63B869">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rPr>
              <w:t>7、电器</w:t>
            </w:r>
            <w:r>
              <w:rPr>
                <w:rFonts w:hint="eastAsia" w:ascii="仿宋" w:hAnsi="仿宋" w:eastAsia="仿宋" w:cs="仿宋"/>
                <w:color w:val="auto"/>
                <w:sz w:val="24"/>
                <w:szCs w:val="24"/>
                <w:highlight w:val="none"/>
              </w:rPr>
              <w:t>线路设计要暗线方式布置，保证设备外形整齐、美观。</w:t>
            </w:r>
          </w:p>
          <w:p w14:paraId="5FDCC109">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8、整套尾气处理最少包括冷却、初除尘、火星拦截、布袋除尘、活性炭吸附装置、排放等过程。</w:t>
            </w:r>
          </w:p>
          <w:p w14:paraId="714DA7DB">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9、设备使用寿命确保在</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年以上。</w:t>
            </w:r>
          </w:p>
          <w:p w14:paraId="1D354126">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10、工艺要先进，彻底杜绝二次污染水的产生。</w:t>
            </w:r>
          </w:p>
          <w:p w14:paraId="4D45F829">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11、尾气处理设备留有检测口。</w:t>
            </w:r>
          </w:p>
          <w:p w14:paraId="4CD673E8">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12、尾气处理设备所有金属材料均采用优质304不锈钢材料，厚度不小于3mm。</w:t>
            </w:r>
          </w:p>
          <w:p w14:paraId="4921016C">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b/>
                <w:bCs/>
                <w:color w:val="auto"/>
                <w:sz w:val="24"/>
                <w:szCs w:val="24"/>
                <w:highlight w:val="none"/>
              </w:rPr>
            </w:pPr>
            <w:r>
              <w:rPr>
                <w:rFonts w:hint="eastAsia" w:ascii="仿宋" w:hAnsi="仿宋" w:eastAsia="仿宋" w:cs="仿宋"/>
                <w:bCs/>
                <w:color w:val="auto"/>
                <w:sz w:val="24"/>
                <w:szCs w:val="24"/>
                <w:highlight w:val="none"/>
              </w:rPr>
              <w:t>13、</w:t>
            </w:r>
            <w:r>
              <w:rPr>
                <w:rFonts w:hint="eastAsia" w:ascii="仿宋" w:hAnsi="仿宋" w:eastAsia="仿宋" w:cs="仿宋"/>
                <w:color w:val="auto"/>
                <w:sz w:val="24"/>
                <w:szCs w:val="24"/>
                <w:highlight w:val="none"/>
              </w:rPr>
              <w:t>安装的尾气处理设备系统要与火化机实现无缝对接。安装尾气处理设备系统后，尾气处理设备发生故障或检修时，不能影响火化机的正常运行，</w:t>
            </w:r>
            <w:r>
              <w:rPr>
                <w:rFonts w:hint="eastAsia" w:ascii="仿宋" w:hAnsi="仿宋" w:eastAsia="仿宋" w:cs="仿宋"/>
                <w:b/>
                <w:bCs/>
                <w:color w:val="auto"/>
                <w:sz w:val="24"/>
                <w:szCs w:val="24"/>
                <w:highlight w:val="none"/>
              </w:rPr>
              <w:t>提供处理技术要求和方案。</w:t>
            </w:r>
          </w:p>
          <w:p w14:paraId="101CE463">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b/>
                <w:bCs/>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14、滤袋不少于120个，材质采用PTFE，采用不锈钢龙骨。</w:t>
            </w:r>
          </w:p>
        </w:tc>
      </w:tr>
      <w:tr w14:paraId="7921B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14:paraId="1A8233BB">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left"/>
              <w:rPr>
                <w:rFonts w:hint="eastAsia"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火化炉尾气净化除尘设备系统性能要求</w:t>
            </w:r>
          </w:p>
        </w:tc>
      </w:tr>
      <w:tr w14:paraId="66BB0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1790CCCC">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046808DD">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高效降温反应器</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4F7B5343">
            <w:pPr>
              <w:keepNext w:val="0"/>
              <w:keepLines w:val="0"/>
              <w:pageBreakBefore w:val="0"/>
              <w:widowControl w:val="0"/>
              <w:suppressLineNumbers w:val="0"/>
              <w:tabs>
                <w:tab w:val="left" w:pos="1260"/>
              </w:tabs>
              <w:kinsoku/>
              <w:wordWrap w:val="0"/>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快速降温、脱硫。尾气温度必须在</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秒内降至200度以下，保证符合消除二恶英的工艺要求，要有观察口，检修口，塔表温度不能超过室温5度，保证6年不被气体腐蚀穿透，要做到不渗、不漏。</w:t>
            </w:r>
            <w:r>
              <w:rPr>
                <w:rFonts w:hint="eastAsia" w:ascii="仿宋" w:hAnsi="仿宋" w:eastAsia="仿宋" w:cs="仿宋"/>
                <w:color w:val="auto"/>
                <w:sz w:val="24"/>
                <w:szCs w:val="24"/>
                <w:highlight w:val="none"/>
                <w:lang w:val="zh-CN"/>
              </w:rPr>
              <w:t>制造材料使用防腐蚀、耐高温</w:t>
            </w:r>
            <w:r>
              <w:rPr>
                <w:rFonts w:hint="eastAsia" w:ascii="仿宋" w:hAnsi="仿宋" w:eastAsia="仿宋" w:cs="仿宋"/>
                <w:color w:val="auto"/>
                <w:sz w:val="24"/>
                <w:szCs w:val="24"/>
                <w:highlight w:val="none"/>
              </w:rPr>
              <w:t>304</w:t>
            </w:r>
            <w:r>
              <w:rPr>
                <w:rFonts w:hint="eastAsia" w:ascii="仿宋" w:hAnsi="仿宋" w:eastAsia="仿宋" w:cs="仿宋"/>
                <w:color w:val="auto"/>
                <w:sz w:val="24"/>
                <w:szCs w:val="24"/>
                <w:highlight w:val="none"/>
                <w:lang w:val="zh-CN"/>
              </w:rPr>
              <w:t>不锈钢，实际厚度不少于</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mm</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冷却管</w:t>
            </w:r>
            <w:r>
              <w:rPr>
                <w:rFonts w:hint="eastAsia" w:ascii="仿宋" w:hAnsi="仿宋" w:eastAsia="仿宋" w:cs="仿宋"/>
                <w:color w:val="auto"/>
                <w:sz w:val="24"/>
                <w:szCs w:val="24"/>
                <w:highlight w:val="none"/>
                <w:lang w:val="zh-CN"/>
              </w:rPr>
              <w:t>制造材料</w:t>
            </w:r>
            <w:r>
              <w:rPr>
                <w:rFonts w:hint="eastAsia" w:ascii="仿宋" w:hAnsi="仿宋" w:eastAsia="仿宋" w:cs="仿宋"/>
                <w:color w:val="auto"/>
                <w:sz w:val="24"/>
                <w:szCs w:val="24"/>
                <w:highlight w:val="none"/>
              </w:rPr>
              <w:t>使用</w:t>
            </w:r>
            <w:r>
              <w:rPr>
                <w:rFonts w:hint="eastAsia" w:ascii="仿宋" w:hAnsi="仿宋" w:eastAsia="仿宋" w:cs="仿宋"/>
                <w:color w:val="auto"/>
                <w:sz w:val="24"/>
                <w:szCs w:val="24"/>
                <w:highlight w:val="none"/>
                <w:lang w:val="zh-CN"/>
              </w:rPr>
              <w:t>防腐蚀、耐高温</w:t>
            </w:r>
            <w:r>
              <w:rPr>
                <w:rFonts w:hint="eastAsia" w:ascii="仿宋" w:hAnsi="仿宋" w:eastAsia="仿宋" w:cs="仿宋"/>
                <w:color w:val="auto"/>
                <w:sz w:val="24"/>
                <w:szCs w:val="24"/>
                <w:highlight w:val="none"/>
              </w:rPr>
              <w:t>316L无缝不锈钢管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不能拼接，</w:t>
            </w:r>
            <w:r>
              <w:rPr>
                <w:rFonts w:hint="eastAsia" w:ascii="仿宋" w:hAnsi="仿宋" w:eastAsia="仿宋" w:cs="仿宋"/>
                <w:color w:val="auto"/>
                <w:sz w:val="24"/>
                <w:szCs w:val="24"/>
                <w:highlight w:val="none"/>
              </w:rPr>
              <w:t>不锈钢管</w:t>
            </w:r>
            <w:r>
              <w:rPr>
                <w:rFonts w:hint="eastAsia" w:ascii="仿宋" w:hAnsi="仿宋" w:eastAsia="仿宋" w:cs="仿宋"/>
                <w:color w:val="auto"/>
                <w:sz w:val="24"/>
                <w:szCs w:val="24"/>
                <w:highlight w:val="none"/>
                <w:lang w:val="en-US" w:eastAsia="zh-CN"/>
              </w:rPr>
              <w:t>外直</w:t>
            </w:r>
            <w:r>
              <w:rPr>
                <w:rFonts w:hint="eastAsia" w:ascii="仿宋" w:hAnsi="仿宋" w:eastAsia="仿宋" w:cs="仿宋"/>
                <w:color w:val="auto"/>
                <w:sz w:val="24"/>
                <w:szCs w:val="24"/>
                <w:highlight w:val="none"/>
                <w:lang w:val="zh-CN"/>
              </w:rPr>
              <w:t>径48mm、厚度：实际厚度不少于2</w:t>
            </w:r>
            <w:r>
              <w:rPr>
                <w:rFonts w:hint="eastAsia" w:ascii="仿宋" w:hAnsi="仿宋" w:eastAsia="仿宋" w:cs="仿宋"/>
                <w:color w:val="auto"/>
                <w:sz w:val="24"/>
                <w:szCs w:val="24"/>
                <w:highlight w:val="none"/>
              </w:rPr>
              <w:t>mm</w:t>
            </w:r>
            <w:r>
              <w:rPr>
                <w:rFonts w:hint="eastAsia" w:ascii="仿宋" w:hAnsi="仿宋" w:eastAsia="仿宋" w:cs="仿宋"/>
                <w:color w:val="auto"/>
                <w:sz w:val="24"/>
                <w:szCs w:val="24"/>
                <w:highlight w:val="none"/>
                <w:lang w:val="zh-CN"/>
              </w:rPr>
              <w:t>、每根长度不少于2</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lang w:val="zh-CN"/>
              </w:rPr>
              <w:t>00mm、列管总数不少于</w:t>
            </w:r>
            <w:r>
              <w:rPr>
                <w:rFonts w:hint="eastAsia" w:ascii="仿宋" w:hAnsi="仿宋" w:eastAsia="仿宋" w:cs="仿宋"/>
                <w:color w:val="auto"/>
                <w:sz w:val="24"/>
                <w:szCs w:val="24"/>
                <w:highlight w:val="none"/>
                <w:lang w:val="en-US" w:eastAsia="zh-CN"/>
              </w:rPr>
              <w:t>158</w:t>
            </w:r>
            <w:r>
              <w:rPr>
                <w:rFonts w:hint="eastAsia" w:ascii="仿宋" w:hAnsi="仿宋" w:eastAsia="仿宋" w:cs="仿宋"/>
                <w:color w:val="auto"/>
                <w:sz w:val="24"/>
                <w:szCs w:val="24"/>
                <w:highlight w:val="none"/>
                <w:lang w:val="zh-CN"/>
              </w:rPr>
              <w:t>根。</w:t>
            </w:r>
          </w:p>
        </w:tc>
      </w:tr>
      <w:tr w14:paraId="30FE9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5013D65C">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5941BC4F">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逆流式圆型冷却塔</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306AB517">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vertAlign w:val="baseline"/>
              </w:rPr>
              <w:t>直径约2000mm,填料，PP白色耐高温，风扇功率1.5KW,颈口、围板为玻璃钢制作。</w:t>
            </w:r>
          </w:p>
        </w:tc>
      </w:tr>
      <w:tr w14:paraId="68BE0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73F06809">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16A0C8C6">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多管旋风除尘器</w:t>
            </w:r>
            <w:r>
              <w:rPr>
                <w:rFonts w:hint="eastAsia" w:ascii="仿宋" w:hAnsi="仿宋" w:eastAsia="仿宋" w:cs="仿宋"/>
                <w:color w:val="auto"/>
                <w:sz w:val="24"/>
                <w:szCs w:val="24"/>
                <w:highlight w:val="none"/>
                <w:lang w:eastAsia="zh-CN"/>
              </w:rPr>
              <w:t>（火星拦截）</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2EC35440">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分离烟气中较大的粉尘颗粒，且具有消灭烟气中火星功能，对布袋除尘器有保护作用，材质采用304不锈钢，厚度≥3mm。</w:t>
            </w:r>
          </w:p>
          <w:p w14:paraId="4E1E0EAB">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由箱体、机芯、沉降室、保温隔热层、灰斗、卸灰阀等组成。除尘器机体材料使用耐腐蚀304不锈钢材料，厚度不小于3mm；机芯采用陶瓷材料，四筒或五筒组合式，耐腐蚀、耐磨损、耐高温填充使用刚玉浇注料。</w:t>
            </w:r>
          </w:p>
        </w:tc>
      </w:tr>
      <w:tr w14:paraId="60ABE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5E91866D">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4FD89EE5">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除酸脱硫装置（消石灰）</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2D1E1660">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火化炉脱硫脱酸（消石灰）是一种使用消石灰（氢氧化钙）作为吸收剂的烟气净化技术，用于去除烟气中的二氧化硫（SO2）等有害物质。通过消石灰喷射装置将消石灰干粉喷入烟气中，在除尘器布袋表面形成稳定高效的反应床，实现脱除有害物质的目的。反应产物连同烟气中粉尘和未参加反应的吸收剂一起被捕集下来，达到净化酸性气体的目的。</w:t>
            </w:r>
          </w:p>
        </w:tc>
      </w:tr>
      <w:tr w14:paraId="23FDA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20B4719E">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34D4675E">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活性炭喷射装置</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04A6DA50">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1、采用</w:t>
            </w:r>
            <w:r>
              <w:rPr>
                <w:rFonts w:hint="eastAsia" w:ascii="仿宋" w:hAnsi="仿宋" w:eastAsia="仿宋" w:cs="仿宋"/>
                <w:color w:val="auto"/>
                <w:sz w:val="24"/>
                <w:szCs w:val="24"/>
                <w:highlight w:val="none"/>
                <w:lang w:val="en-US" w:eastAsia="zh-CN"/>
              </w:rPr>
              <w:t>活性炭喷射装置</w:t>
            </w:r>
            <w:r>
              <w:rPr>
                <w:rFonts w:hint="eastAsia" w:ascii="仿宋" w:hAnsi="仿宋" w:eastAsia="仿宋" w:cs="仿宋"/>
                <w:color w:val="auto"/>
                <w:sz w:val="24"/>
                <w:szCs w:val="24"/>
                <w:highlight w:val="none"/>
              </w:rPr>
              <w:t>，去除二恶英类化合物效率达95%以上, 材质采用304不锈钢，厚度≥</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mm。</w:t>
            </w:r>
          </w:p>
          <w:p w14:paraId="12EE75FA">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2、投标人投标时须提供</w:t>
            </w:r>
            <w:r>
              <w:rPr>
                <w:rFonts w:hint="eastAsia" w:ascii="仿宋" w:hAnsi="仿宋" w:eastAsia="仿宋" w:cs="仿宋"/>
                <w:color w:val="auto"/>
                <w:sz w:val="24"/>
                <w:szCs w:val="24"/>
                <w:highlight w:val="none"/>
                <w:lang w:val="en-US" w:eastAsia="zh-CN"/>
              </w:rPr>
              <w:t>活性炭喷射装置详细技术说明</w:t>
            </w:r>
            <w:r>
              <w:rPr>
                <w:rFonts w:hint="eastAsia" w:ascii="仿宋" w:hAnsi="仿宋" w:eastAsia="仿宋" w:cs="仿宋"/>
                <w:color w:val="auto"/>
                <w:sz w:val="24"/>
                <w:szCs w:val="24"/>
                <w:highlight w:val="none"/>
              </w:rPr>
              <w:t>。</w:t>
            </w:r>
          </w:p>
        </w:tc>
      </w:tr>
      <w:tr w14:paraId="102C4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00EEB147">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2FC3F78C">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脉冲布袋除尘器</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164EE955">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布袋除尘器的结构组成：须由箱体、支架、检修架、滤袋架、滤袋、导流板、收尘室、电磁脉冲装置、清灰程序控制，外包等组成。箱体和支架等材料要求：使用304优质不锈钢材料，要求为耐腐蚀、耐高温。厚度不小于3mm。</w:t>
            </w:r>
          </w:p>
          <w:p w14:paraId="253987AB">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2、滤袋的材质和使用寿命：滤袋</w:t>
            </w:r>
            <w:r>
              <w:rPr>
                <w:rFonts w:hint="eastAsia" w:ascii="仿宋" w:hAnsi="仿宋" w:eastAsia="仿宋" w:cs="仿宋"/>
                <w:color w:val="auto"/>
                <w:sz w:val="24"/>
                <w:szCs w:val="24"/>
                <w:highlight w:val="none"/>
                <w:lang w:eastAsia="zh-CN"/>
              </w:rPr>
              <w:t>选用优质耐高温材料（</w:t>
            </w:r>
            <w:r>
              <w:rPr>
                <w:rFonts w:hint="eastAsia" w:ascii="仿宋" w:hAnsi="仿宋" w:eastAsia="仿宋" w:cs="仿宋"/>
                <w:color w:val="auto"/>
                <w:sz w:val="24"/>
                <w:szCs w:val="24"/>
                <w:highlight w:val="none"/>
                <w:lang w:val="en-US" w:eastAsia="zh-CN"/>
              </w:rPr>
              <w:t>PTFE）</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符合</w:t>
            </w:r>
            <w:r>
              <w:rPr>
                <w:rFonts w:hint="eastAsia" w:ascii="仿宋" w:hAnsi="仿宋" w:eastAsia="仿宋" w:cs="仿宋"/>
                <w:color w:val="auto"/>
                <w:sz w:val="24"/>
                <w:szCs w:val="24"/>
                <w:highlight w:val="none"/>
                <w:lang w:eastAsia="zh-CN"/>
              </w:rPr>
              <w:t>GB13801-2015国家标准。</w:t>
            </w:r>
          </w:p>
          <w:p w14:paraId="4D5A5DC2">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3、滤袋对各种污染物的去除效果：颗粒物（粉尘）的去除效果须达到99%，各种重金属污染物的去除效果不低于90%，有机剧毒污染物的去除率不得低于90%。</w:t>
            </w:r>
          </w:p>
        </w:tc>
      </w:tr>
      <w:tr w14:paraId="05AD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42817F8C">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0C323970">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活性炭吸附塔</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3868DDB6">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活性炭吸附塔是一种干式废气处理设备，由箱体和装填在箱体内的吸附单元（块状或粒状活性炭）组成，设备整体采用304不锈钢制作，厚度不小于3mm。</w:t>
            </w:r>
          </w:p>
        </w:tc>
      </w:tr>
      <w:tr w14:paraId="62254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3CBBAF04">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3443B42C">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水泵、调节阀</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5778D00D">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自动调节，采用国内名牌设备，确保运行可靠。</w:t>
            </w:r>
          </w:p>
        </w:tc>
      </w:tr>
      <w:tr w14:paraId="21FE3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41AB7A5D">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4240DFD0">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气动或电动蝶阀</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727015A6">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气动或电动控制，无泄漏，开启闭合迅速，起到保护布袋的作用。</w:t>
            </w:r>
          </w:p>
        </w:tc>
      </w:tr>
      <w:tr w14:paraId="5E215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0D292C14">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11A6C0EB">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螺杆式压缩机</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6DC3B46E">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color w:val="auto"/>
                <w:spacing w:val="-20"/>
                <w:sz w:val="24"/>
                <w:szCs w:val="24"/>
                <w:highlight w:val="none"/>
                <w:lang w:eastAsia="zh-CN"/>
              </w:rPr>
            </w:pPr>
            <w:r>
              <w:rPr>
                <w:rFonts w:hint="eastAsia" w:ascii="仿宋" w:hAnsi="仿宋" w:eastAsia="仿宋" w:cs="仿宋"/>
                <w:color w:val="auto"/>
                <w:sz w:val="24"/>
                <w:szCs w:val="24"/>
                <w:highlight w:val="none"/>
              </w:rPr>
              <w:t>无振动，嗓音小，运行可靠，使用寿命长</w:t>
            </w:r>
            <w:r>
              <w:rPr>
                <w:rFonts w:hint="eastAsia" w:ascii="仿宋" w:hAnsi="仿宋" w:eastAsia="仿宋" w:cs="仿宋"/>
                <w:color w:val="auto"/>
                <w:sz w:val="24"/>
                <w:szCs w:val="24"/>
                <w:highlight w:val="none"/>
                <w:lang w:eastAsia="zh-CN"/>
              </w:rPr>
              <w:t>。</w:t>
            </w:r>
          </w:p>
        </w:tc>
      </w:tr>
      <w:tr w14:paraId="1C46E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450FD809">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1</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0E955C81">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储气罐</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5B02C311">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按压力容器标准设计、制造、检验；每套容量1m</w:t>
            </w:r>
            <w:r>
              <w:rPr>
                <w:rFonts w:hint="eastAsia" w:ascii="仿宋" w:hAnsi="仿宋" w:eastAsia="仿宋" w:cs="仿宋"/>
                <w:color w:val="auto"/>
                <w:sz w:val="24"/>
                <w:szCs w:val="24"/>
                <w:highlight w:val="none"/>
                <w:vertAlign w:val="superscript"/>
              </w:rPr>
              <w:t>3</w:t>
            </w:r>
            <w:r>
              <w:rPr>
                <w:rFonts w:hint="eastAsia" w:ascii="仿宋" w:hAnsi="仿宋" w:eastAsia="仿宋" w:cs="仿宋"/>
                <w:color w:val="auto"/>
                <w:sz w:val="24"/>
                <w:szCs w:val="24"/>
                <w:highlight w:val="none"/>
              </w:rPr>
              <w:t>。</w:t>
            </w:r>
          </w:p>
        </w:tc>
      </w:tr>
      <w:tr w14:paraId="3CA9C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138F15E4">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2</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28BB340D">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自动化控制</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5CB138F2">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具有火化炉一体化操作功能。</w:t>
            </w:r>
          </w:p>
          <w:p w14:paraId="4440E569">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、控制功能：操作应具有自动、点动、手动三种控制方式，并可随时切换；</w:t>
            </w:r>
          </w:p>
          <w:p w14:paraId="117AB7BB">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、具有故障自动诊断和故障自动报警功能；</w:t>
            </w:r>
          </w:p>
          <w:p w14:paraId="5ED07A32">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、触摸显示屏应具有运行参数显示、数椐存储与打印输出功能，并具有远程维护功能。</w:t>
            </w:r>
          </w:p>
          <w:p w14:paraId="5E1051FF">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、控制系统要和火化炉控制系统相兼容匹配。</w:t>
            </w:r>
          </w:p>
        </w:tc>
      </w:tr>
      <w:tr w14:paraId="2DCB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15EBABB9">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3</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68266D4B">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总功率</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1DD49C21">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总功率控制在≤30千瓦内。</w:t>
            </w:r>
          </w:p>
        </w:tc>
      </w:tr>
      <w:tr w14:paraId="2CB9C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6DD14F2B">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4</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27B432FF">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引风机</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1D513A69">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1、引风机要采用耐高温风机,采用变频控制，电机功率</w:t>
            </w:r>
            <w:r>
              <w:rPr>
                <w:rFonts w:hint="eastAsia" w:ascii="仿宋" w:hAnsi="仿宋" w:eastAsia="仿宋" w:cs="仿宋"/>
                <w:color w:val="auto"/>
                <w:sz w:val="24"/>
                <w:szCs w:val="24"/>
                <w:highlight w:val="none"/>
                <w:lang w:val="en-US" w:eastAsia="zh-CN"/>
              </w:rPr>
              <w:t>18.5</w:t>
            </w:r>
            <w:r>
              <w:rPr>
                <w:rFonts w:hint="eastAsia" w:ascii="仿宋" w:hAnsi="仿宋" w:eastAsia="仿宋" w:cs="仿宋"/>
                <w:color w:val="auto"/>
                <w:sz w:val="24"/>
                <w:szCs w:val="24"/>
                <w:highlight w:val="none"/>
              </w:rPr>
              <w:t>KW，风压≥5700Pa，风量≥5500m3/h。</w:t>
            </w:r>
          </w:p>
          <w:p w14:paraId="3B482BC6">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2、安装底座水平，无震动，底座应加有优质防振垫，风机有消音装置。</w:t>
            </w:r>
          </w:p>
          <w:p w14:paraId="6F91F2F6">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3、风机出风口配上橡胶伸缩法兰连接套管。风机外壳及叶轮采用304</w:t>
            </w:r>
            <w:r>
              <w:rPr>
                <w:rFonts w:hint="eastAsia" w:ascii="仿宋" w:hAnsi="仿宋" w:eastAsia="仿宋" w:cs="仿宋"/>
                <w:color w:val="auto"/>
                <w:sz w:val="24"/>
                <w:szCs w:val="24"/>
                <w:highlight w:val="none"/>
                <w:lang w:val="en-US" w:eastAsia="zh-CN"/>
              </w:rPr>
              <w:t>不锈钢</w:t>
            </w:r>
            <w:r>
              <w:rPr>
                <w:rFonts w:hint="eastAsia" w:ascii="仿宋" w:hAnsi="仿宋" w:eastAsia="仿宋" w:cs="仿宋"/>
                <w:color w:val="auto"/>
                <w:sz w:val="24"/>
                <w:szCs w:val="24"/>
                <w:highlight w:val="none"/>
              </w:rPr>
              <w:t>制作，厚度≥3mm。</w:t>
            </w:r>
          </w:p>
        </w:tc>
      </w:tr>
      <w:tr w14:paraId="70147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3133B0E0">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3E99547B">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连接管道</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6FA936FE">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管道连接采用法兰连接的方式，方便拆卸。采用不锈钢材质，厚度≥3mm，保证不漏风，外部要求保温、隔热材料，温升不能超过室温5度，各处阀门要耐高温。</w:t>
            </w:r>
          </w:p>
        </w:tc>
      </w:tr>
      <w:tr w14:paraId="1086F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0F927ABE">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104D1895">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紧急排放旁通阀门</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308EE294">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1、每台尾气净化处理系统设紧急排放旁通阀门，并配备专业阀门，应保证设备停用或应急时使用。</w:t>
            </w:r>
          </w:p>
          <w:p w14:paraId="5B673920">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2、整体采用304优质不锈钢材质，厚度不小于3毫米。</w:t>
            </w:r>
          </w:p>
        </w:tc>
      </w:tr>
      <w:tr w14:paraId="20C51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2137A102">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15EE186A">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烟囱</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182ABC71">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1、采用优质304不锈钢，要求厚度不小于2毫米。</w:t>
            </w:r>
          </w:p>
          <w:p w14:paraId="5375F8C9">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rPr>
              <w:t>2、</w:t>
            </w:r>
            <w:r>
              <w:rPr>
                <w:rFonts w:hint="eastAsia" w:ascii="仿宋" w:hAnsi="仿宋" w:eastAsia="仿宋" w:cs="仿宋"/>
                <w:b w:val="0"/>
                <w:bCs w:val="0"/>
                <w:color w:val="auto"/>
                <w:sz w:val="24"/>
                <w:szCs w:val="24"/>
                <w:highlight w:val="none"/>
                <w:lang w:eastAsia="zh-CN"/>
              </w:rPr>
              <w:t>烟囱</w:t>
            </w:r>
            <w:r>
              <w:rPr>
                <w:rFonts w:hint="eastAsia" w:ascii="仿宋" w:hAnsi="仿宋" w:eastAsia="仿宋" w:cs="仿宋"/>
                <w:b w:val="0"/>
                <w:bCs w:val="0"/>
                <w:color w:val="auto"/>
                <w:sz w:val="24"/>
                <w:szCs w:val="24"/>
                <w:highlight w:val="none"/>
                <w:lang w:val="en-US" w:eastAsia="zh-CN"/>
              </w:rPr>
              <w:t>排气筒高度不应低于</w:t>
            </w:r>
            <w:r>
              <w:rPr>
                <w:rFonts w:hint="default" w:ascii="仿宋" w:hAnsi="仿宋" w:eastAsia="仿宋" w:cs="仿宋"/>
                <w:b w:val="0"/>
                <w:bCs w:val="0"/>
                <w:color w:val="auto"/>
                <w:sz w:val="24"/>
                <w:szCs w:val="24"/>
                <w:highlight w:val="none"/>
                <w:lang w:val="en-US" w:eastAsia="zh-CN"/>
              </w:rPr>
              <w:t>12m</w:t>
            </w:r>
            <w:r>
              <w:rPr>
                <w:rFonts w:hint="eastAsia" w:ascii="仿宋" w:hAnsi="仿宋" w:eastAsia="仿宋" w:cs="仿宋"/>
                <w:b w:val="0"/>
                <w:bCs w:val="0"/>
                <w:color w:val="auto"/>
                <w:sz w:val="24"/>
                <w:szCs w:val="24"/>
                <w:highlight w:val="none"/>
                <w:lang w:val="en-US" w:eastAsia="zh-CN"/>
              </w:rPr>
              <w:t>。排气筒周围半径</w:t>
            </w:r>
            <w:r>
              <w:rPr>
                <w:rFonts w:hint="default" w:ascii="仿宋" w:hAnsi="仿宋" w:eastAsia="仿宋" w:cs="仿宋"/>
                <w:b w:val="0"/>
                <w:bCs w:val="0"/>
                <w:color w:val="auto"/>
                <w:sz w:val="24"/>
                <w:szCs w:val="24"/>
                <w:highlight w:val="none"/>
                <w:lang w:val="en-US" w:eastAsia="zh-CN"/>
              </w:rPr>
              <w:t>200m</w:t>
            </w:r>
            <w:r>
              <w:rPr>
                <w:rFonts w:hint="eastAsia" w:ascii="仿宋" w:hAnsi="仿宋" w:eastAsia="仿宋" w:cs="仿宋"/>
                <w:b w:val="0"/>
                <w:bCs w:val="0"/>
                <w:color w:val="auto"/>
                <w:sz w:val="24"/>
                <w:szCs w:val="24"/>
                <w:highlight w:val="none"/>
                <w:lang w:val="en-US" w:eastAsia="zh-CN"/>
              </w:rPr>
              <w:t>距离内有建筑物时，排气筒还应高出最高建筑物</w:t>
            </w:r>
            <w:r>
              <w:rPr>
                <w:rFonts w:hint="default" w:ascii="仿宋" w:hAnsi="仿宋" w:eastAsia="仿宋" w:cs="仿宋"/>
                <w:b w:val="0"/>
                <w:bCs w:val="0"/>
                <w:color w:val="auto"/>
                <w:sz w:val="24"/>
                <w:szCs w:val="24"/>
                <w:highlight w:val="none"/>
                <w:lang w:val="en-US" w:eastAsia="zh-CN"/>
              </w:rPr>
              <w:t>3m</w:t>
            </w:r>
            <w:r>
              <w:rPr>
                <w:rFonts w:hint="eastAsia" w:ascii="仿宋" w:hAnsi="仿宋" w:eastAsia="仿宋" w:cs="仿宋"/>
                <w:b w:val="0"/>
                <w:bCs w:val="0"/>
                <w:color w:val="auto"/>
                <w:sz w:val="24"/>
                <w:szCs w:val="24"/>
                <w:highlight w:val="none"/>
                <w:lang w:val="en-US" w:eastAsia="zh-CN"/>
              </w:rPr>
              <w:t>以上，符合《火葬场大气污染物排放标准》（</w:t>
            </w:r>
            <w:r>
              <w:rPr>
                <w:rFonts w:hint="default" w:ascii="仿宋" w:hAnsi="仿宋" w:eastAsia="仿宋" w:cs="仿宋"/>
                <w:b w:val="0"/>
                <w:bCs w:val="0"/>
                <w:color w:val="auto"/>
                <w:sz w:val="24"/>
                <w:szCs w:val="24"/>
                <w:highlight w:val="none"/>
                <w:lang w:val="en-US" w:eastAsia="zh-CN"/>
              </w:rPr>
              <w:t>GB13801-2015</w:t>
            </w:r>
            <w:r>
              <w:rPr>
                <w:rFonts w:hint="eastAsia" w:ascii="仿宋" w:hAnsi="仿宋" w:eastAsia="仿宋" w:cs="仿宋"/>
                <w:b w:val="0"/>
                <w:bCs w:val="0"/>
                <w:color w:val="auto"/>
                <w:sz w:val="24"/>
                <w:szCs w:val="24"/>
                <w:highlight w:val="none"/>
                <w:lang w:val="en-US" w:eastAsia="zh-CN"/>
              </w:rPr>
              <w:t>）中规定，排放烟尘必须</w:t>
            </w:r>
            <w:r>
              <w:rPr>
                <w:rFonts w:hint="eastAsia" w:ascii="仿宋" w:hAnsi="仿宋" w:eastAsia="仿宋" w:cs="仿宋"/>
                <w:b w:val="0"/>
                <w:bCs w:val="0"/>
                <w:color w:val="auto"/>
                <w:sz w:val="24"/>
                <w:szCs w:val="24"/>
                <w:highlight w:val="none"/>
              </w:rPr>
              <w:t>达到</w:t>
            </w:r>
            <w:r>
              <w:rPr>
                <w:rFonts w:hint="eastAsia" w:ascii="仿宋" w:hAnsi="仿宋" w:eastAsia="仿宋" w:cs="仿宋"/>
                <w:b w:val="0"/>
                <w:bCs w:val="0"/>
                <w:color w:val="auto"/>
                <w:sz w:val="24"/>
                <w:szCs w:val="24"/>
                <w:highlight w:val="none"/>
                <w:lang w:eastAsia="zh-CN"/>
              </w:rPr>
              <w:t>环保</w:t>
            </w:r>
            <w:r>
              <w:rPr>
                <w:rFonts w:hint="eastAsia" w:ascii="仿宋" w:hAnsi="仿宋" w:eastAsia="仿宋" w:cs="仿宋"/>
                <w:b w:val="0"/>
                <w:bCs w:val="0"/>
                <w:color w:val="auto"/>
                <w:sz w:val="24"/>
                <w:szCs w:val="24"/>
                <w:highlight w:val="none"/>
              </w:rPr>
              <w:t>排放</w:t>
            </w:r>
            <w:r>
              <w:rPr>
                <w:rFonts w:hint="eastAsia" w:ascii="仿宋" w:hAnsi="仿宋" w:eastAsia="仿宋" w:cs="仿宋"/>
                <w:b w:val="0"/>
                <w:bCs w:val="0"/>
                <w:color w:val="auto"/>
                <w:sz w:val="24"/>
                <w:szCs w:val="24"/>
                <w:highlight w:val="none"/>
                <w:lang w:eastAsia="zh-CN"/>
              </w:rPr>
              <w:t>标准。</w:t>
            </w:r>
          </w:p>
          <w:p w14:paraId="78AD8FBB">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b w:val="0"/>
                <w:bCs w:val="0"/>
                <w:color w:val="auto"/>
                <w:highlight w:val="none"/>
              </w:rPr>
            </w:pPr>
            <w:r>
              <w:rPr>
                <w:rFonts w:hint="eastAsia" w:ascii="仿宋" w:hAnsi="仿宋" w:eastAsia="仿宋" w:cs="仿宋"/>
                <w:b w:val="0"/>
                <w:bCs w:val="0"/>
                <w:color w:val="auto"/>
                <w:sz w:val="24"/>
                <w:szCs w:val="24"/>
                <w:highlight w:val="none"/>
                <w:lang w:val="en-US" w:eastAsia="zh-CN"/>
              </w:rPr>
              <w:t>3、排气筒必须留有检测口，开孔位置须符合火化炉废气检测</w:t>
            </w:r>
            <w:r>
              <w:rPr>
                <w:rFonts w:hint="eastAsia" w:ascii="仿宋" w:hAnsi="仿宋" w:eastAsia="仿宋" w:cs="仿宋"/>
                <w:b w:val="0"/>
                <w:bCs w:val="0"/>
                <w:color w:val="auto"/>
                <w:sz w:val="24"/>
                <w:szCs w:val="24"/>
                <w:highlight w:val="none"/>
              </w:rPr>
              <w:t>标准。</w:t>
            </w:r>
          </w:p>
        </w:tc>
      </w:tr>
      <w:tr w14:paraId="027FB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4EAE67AE">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8</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05891B96">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尾气净化系统安装后达到的效果</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49FF4C1E">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1、烟气黑值度：正常情况达林格曼零级；特殊情况下，小于林格曼1级，低气压或空气水含量大时馆周边不能形成青烟，尾气中不能有漂浮物</w:t>
            </w:r>
            <w:r>
              <w:rPr>
                <w:rFonts w:hint="eastAsia" w:ascii="仿宋" w:hAnsi="仿宋" w:eastAsia="仿宋" w:cs="仿宋"/>
                <w:color w:val="auto"/>
                <w:sz w:val="24"/>
                <w:szCs w:val="24"/>
                <w:highlight w:val="none"/>
                <w:lang w:eastAsia="zh-CN"/>
              </w:rPr>
              <w:t>。</w:t>
            </w:r>
          </w:p>
          <w:p w14:paraId="368705BE">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2、噪声：达到65分贝以下</w:t>
            </w:r>
            <w:r>
              <w:rPr>
                <w:rFonts w:hint="eastAsia" w:ascii="仿宋" w:hAnsi="仿宋" w:eastAsia="仿宋" w:cs="仿宋"/>
                <w:color w:val="auto"/>
                <w:sz w:val="24"/>
                <w:szCs w:val="24"/>
                <w:highlight w:val="none"/>
                <w:lang w:eastAsia="zh-CN"/>
              </w:rPr>
              <w:t>。</w:t>
            </w:r>
          </w:p>
          <w:p w14:paraId="23E4EDE8">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3、污染物排放指标：验收检测时，其检测结果均应全部达到GB13801－2015污染物排放标准。</w:t>
            </w:r>
          </w:p>
          <w:p w14:paraId="60D5E9FB">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4、安装尾气净化处理系统后，不得影响火化机性能（火化时间、油耗、作业环境温度等）。尾气处理系统发生故障或检修时，不能影响火化机的正常使用。</w:t>
            </w:r>
          </w:p>
          <w:p w14:paraId="791B83C7">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5、火化间周围空气中不能有火化遗体的异味。</w:t>
            </w:r>
          </w:p>
          <w:p w14:paraId="33DA7635">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6、二恶英的排放含量符合国家一级标准。</w:t>
            </w:r>
          </w:p>
          <w:p w14:paraId="43880275">
            <w:pPr>
              <w:pStyle w:val="5"/>
              <w:pageBreakBefore w:val="0"/>
              <w:suppressLineNumbers w:val="0"/>
              <w:tabs>
                <w:tab w:val="left" w:pos="420"/>
                <w:tab w:val="clear" w:pos="432"/>
              </w:tabs>
              <w:kinsoku/>
              <w:overflowPunct/>
              <w:topLinePunct w:val="0"/>
              <w:bidi w:val="0"/>
              <w:spacing w:before="0" w:beforeAutospacing="0" w:after="0" w:afterAutospacing="0" w:line="400" w:lineRule="exact"/>
              <w:ind w:left="0" w:leftChars="0" w:right="0" w:firstLine="0" w:firstLineChars="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w:t>
            </w:r>
            <w:r>
              <w:rPr>
                <w:rFonts w:hint="eastAsia" w:ascii="仿宋" w:hAnsi="仿宋" w:eastAsia="仿宋" w:cs="仿宋"/>
                <w:bCs/>
                <w:color w:val="auto"/>
                <w:sz w:val="24"/>
                <w:szCs w:val="24"/>
                <w:highlight w:val="none"/>
                <w:lang w:val="en-US" w:eastAsia="zh-CN"/>
              </w:rPr>
              <w:t>7、</w:t>
            </w:r>
            <w:r>
              <w:rPr>
                <w:rFonts w:hint="eastAsia" w:ascii="仿宋" w:hAnsi="仿宋" w:eastAsia="仿宋" w:cs="仿宋"/>
                <w:b/>
                <w:bCs w:val="0"/>
                <w:color w:val="auto"/>
                <w:sz w:val="24"/>
                <w:szCs w:val="24"/>
                <w:highlight w:val="none"/>
                <w:lang w:val="en-US" w:eastAsia="zh-CN"/>
              </w:rPr>
              <w:t>投标文件中需</w:t>
            </w:r>
            <w:r>
              <w:rPr>
                <w:rFonts w:hint="eastAsia" w:ascii="仿宋" w:hAnsi="仿宋" w:eastAsia="仿宋" w:cs="仿宋"/>
                <w:b/>
                <w:color w:val="auto"/>
                <w:sz w:val="24"/>
                <w:szCs w:val="24"/>
                <w:highlight w:val="none"/>
              </w:rPr>
              <w:t>提供同类尾气设备项目合格的防雷装置检测报告复印件加盖</w:t>
            </w:r>
            <w:r>
              <w:rPr>
                <w:rFonts w:hint="eastAsia" w:ascii="仿宋" w:eastAsia="仿宋" w:cs="仿宋"/>
                <w:b/>
                <w:color w:val="auto"/>
                <w:sz w:val="24"/>
                <w:szCs w:val="24"/>
                <w:highlight w:val="none"/>
                <w:lang w:val="en-US" w:eastAsia="zh-CN"/>
              </w:rPr>
              <w:t>投标人</w:t>
            </w:r>
            <w:r>
              <w:rPr>
                <w:rFonts w:hint="eastAsia" w:ascii="仿宋" w:hAnsi="仿宋" w:eastAsia="仿宋" w:cs="仿宋"/>
                <w:b/>
                <w:color w:val="auto"/>
                <w:sz w:val="24"/>
                <w:szCs w:val="24"/>
                <w:highlight w:val="none"/>
              </w:rPr>
              <w:t>公章</w:t>
            </w:r>
            <w:r>
              <w:rPr>
                <w:rFonts w:hint="eastAsia" w:ascii="仿宋" w:hAnsi="仿宋" w:eastAsia="仿宋" w:cs="仿宋"/>
                <w:b/>
                <w:color w:val="auto"/>
                <w:sz w:val="24"/>
                <w:szCs w:val="24"/>
                <w:highlight w:val="none"/>
                <w:lang w:eastAsia="zh-CN"/>
              </w:rPr>
              <w:t>，</w:t>
            </w:r>
            <w:r>
              <w:rPr>
                <w:rFonts w:hint="eastAsia" w:ascii="仿宋" w:hAnsi="仿宋" w:eastAsia="仿宋" w:cs="仿宋"/>
                <w:b/>
                <w:bCs/>
                <w:color w:val="auto"/>
                <w:sz w:val="24"/>
                <w:szCs w:val="24"/>
                <w:highlight w:val="none"/>
                <w:lang w:eastAsia="zh-CN" w:bidi="ar"/>
              </w:rPr>
              <w:t>设备应进行防雷设计，有可靠的接地措施；</w:t>
            </w:r>
            <w:r>
              <w:rPr>
                <w:rFonts w:hint="eastAsia" w:ascii="仿宋" w:hAnsi="仿宋" w:eastAsia="仿宋" w:cs="仿宋"/>
                <w:b/>
                <w:bCs/>
                <w:color w:val="auto"/>
                <w:sz w:val="24"/>
                <w:szCs w:val="24"/>
                <w:highlight w:val="none"/>
                <w:lang w:val="en-US" w:eastAsia="zh-CN" w:bidi="ar"/>
              </w:rPr>
              <w:t>总</w:t>
            </w:r>
            <w:r>
              <w:rPr>
                <w:rFonts w:hint="eastAsia" w:ascii="仿宋" w:hAnsi="仿宋" w:eastAsia="仿宋" w:cs="仿宋"/>
                <w:b/>
                <w:bCs/>
                <w:color w:val="auto"/>
                <w:sz w:val="24"/>
                <w:szCs w:val="24"/>
                <w:highlight w:val="none"/>
                <w:lang w:bidi="ar"/>
              </w:rPr>
              <w:t>配电柜金属外壳接地保护应符合</w:t>
            </w:r>
            <w:r>
              <w:rPr>
                <w:rFonts w:hint="eastAsia" w:ascii="仿宋" w:hAnsi="仿宋" w:eastAsia="仿宋" w:cs="仿宋"/>
                <w:b/>
                <w:bCs/>
                <w:color w:val="auto"/>
                <w:sz w:val="24"/>
                <w:szCs w:val="24"/>
                <w:highlight w:val="none"/>
                <w:lang w:val="en-US" w:eastAsia="zh-CN" w:bidi="ar"/>
              </w:rPr>
              <w:t>GB50057-2010</w:t>
            </w:r>
            <w:r>
              <w:rPr>
                <w:rFonts w:hint="eastAsia" w:ascii="仿宋" w:hAnsi="仿宋" w:eastAsia="仿宋" w:cs="仿宋"/>
                <w:b/>
                <w:bCs/>
                <w:color w:val="auto"/>
                <w:sz w:val="24"/>
                <w:szCs w:val="24"/>
                <w:highlight w:val="none"/>
                <w:lang w:eastAsia="zh-CN" w:bidi="ar"/>
              </w:rPr>
              <w:t>《</w:t>
            </w:r>
            <w:r>
              <w:rPr>
                <w:rFonts w:hint="eastAsia" w:ascii="仿宋" w:hAnsi="仿宋" w:eastAsia="仿宋" w:cs="仿宋"/>
                <w:b/>
                <w:bCs/>
                <w:color w:val="auto"/>
                <w:sz w:val="24"/>
                <w:szCs w:val="24"/>
                <w:highlight w:val="none"/>
                <w:lang w:val="en-US" w:eastAsia="zh-CN" w:bidi="ar"/>
              </w:rPr>
              <w:t>建筑物防雷设计规范》及GB/T21431-2015《建筑物防雷装置检测技术规范》</w:t>
            </w:r>
            <w:r>
              <w:rPr>
                <w:rFonts w:hint="eastAsia" w:ascii="仿宋" w:hAnsi="仿宋" w:eastAsia="仿宋" w:cs="仿宋"/>
                <w:b/>
                <w:bCs/>
                <w:color w:val="auto"/>
                <w:sz w:val="24"/>
                <w:szCs w:val="24"/>
                <w:highlight w:val="none"/>
                <w:lang w:bidi="ar"/>
              </w:rPr>
              <w:t>的规定</w:t>
            </w:r>
            <w:r>
              <w:rPr>
                <w:rFonts w:hint="eastAsia" w:ascii="仿宋" w:hAnsi="仿宋" w:eastAsia="仿宋" w:cs="仿宋"/>
                <w:b/>
                <w:bCs/>
                <w:color w:val="auto"/>
                <w:sz w:val="24"/>
                <w:szCs w:val="24"/>
                <w:highlight w:val="none"/>
                <w:lang w:eastAsia="zh-CN" w:bidi="ar"/>
              </w:rPr>
              <w:t>，</w:t>
            </w:r>
            <w:r>
              <w:rPr>
                <w:rFonts w:hint="eastAsia" w:ascii="仿宋" w:hAnsi="仿宋" w:eastAsia="仿宋" w:cs="仿宋"/>
                <w:b/>
                <w:bCs/>
                <w:color w:val="auto"/>
                <w:sz w:val="24"/>
                <w:szCs w:val="24"/>
                <w:highlight w:val="none"/>
                <w:lang w:val="en-US" w:eastAsia="zh-CN" w:bidi="ar"/>
              </w:rPr>
              <w:t>检测对象为：火化间总配SPD与接地装置、总配电柜SPD与接地PE排</w:t>
            </w:r>
            <w:r>
              <w:rPr>
                <w:rFonts w:hint="eastAsia" w:ascii="仿宋" w:hAnsi="仿宋" w:eastAsia="仿宋" w:cs="仿宋"/>
                <w:b/>
                <w:bCs/>
                <w:color w:val="auto"/>
                <w:sz w:val="24"/>
                <w:szCs w:val="24"/>
                <w:highlight w:val="none"/>
                <w:lang w:bidi="ar"/>
              </w:rPr>
              <w:t>。</w:t>
            </w:r>
            <w:r>
              <w:rPr>
                <w:rFonts w:hint="eastAsia" w:ascii="仿宋" w:hAnsi="仿宋" w:eastAsia="仿宋" w:cs="仿宋"/>
                <w:b/>
                <w:bCs/>
                <w:color w:val="auto"/>
                <w:sz w:val="24"/>
                <w:szCs w:val="24"/>
                <w:highlight w:val="none"/>
                <w:lang w:val="en-US" w:eastAsia="zh-CN" w:bidi="ar"/>
              </w:rPr>
              <w:t>验收时需进行检测，检测报告作为验收依据之一</w:t>
            </w:r>
            <w:r>
              <w:rPr>
                <w:rFonts w:hint="eastAsia" w:ascii="仿宋" w:hAnsi="仿宋" w:eastAsia="仿宋" w:cs="仿宋"/>
                <w:b/>
                <w:bCs/>
                <w:color w:val="auto"/>
                <w:sz w:val="24"/>
                <w:szCs w:val="24"/>
                <w:highlight w:val="none"/>
                <w:lang w:eastAsia="zh-CN" w:bidi="ar"/>
              </w:rPr>
              <w:t>。</w:t>
            </w:r>
            <w:r>
              <w:rPr>
                <w:rFonts w:hint="eastAsia" w:ascii="仿宋" w:hAnsi="仿宋" w:eastAsia="仿宋" w:cs="仿宋"/>
                <w:b/>
                <w:color w:val="auto"/>
                <w:sz w:val="24"/>
                <w:szCs w:val="24"/>
                <w:highlight w:val="none"/>
                <w:lang w:val="en-US" w:eastAsia="zh-CN"/>
              </w:rPr>
              <w:t>以上内容与检测报告不一致的以检测报告为准。</w:t>
            </w:r>
          </w:p>
        </w:tc>
      </w:tr>
      <w:tr w14:paraId="36E6B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600FC0CA">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rPr>
              <w:t>19</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7632370C">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正常使用寿命</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1AC30571">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lef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整机及重要部件使用寿命≥10年</w:t>
            </w:r>
            <w:r>
              <w:rPr>
                <w:rFonts w:hint="eastAsia" w:ascii="仿宋" w:hAnsi="仿宋" w:eastAsia="仿宋" w:cs="仿宋"/>
                <w:color w:val="auto"/>
                <w:kern w:val="0"/>
                <w:sz w:val="24"/>
                <w:szCs w:val="24"/>
                <w:highlight w:val="none"/>
                <w:lang w:eastAsia="zh-CN"/>
              </w:rPr>
              <w:t>。</w:t>
            </w:r>
          </w:p>
        </w:tc>
      </w:tr>
    </w:tbl>
    <w:p w14:paraId="54B5E462">
      <w:pPr>
        <w:pStyle w:val="5"/>
        <w:numPr>
          <w:ilvl w:val="0"/>
          <w:numId w:val="1"/>
        </w:numPr>
        <w:ind w:leftChars="0"/>
        <w:rPr>
          <w:rFonts w:hint="default" w:ascii="CESI仿宋-GB2312" w:hAnsi="CESI仿宋-GB2312" w:eastAsia="CESI仿宋-GB2312" w:cs="CESI仿宋-GB2312"/>
          <w:b/>
          <w:bCs/>
          <w:color w:val="auto"/>
          <w:kern w:val="2"/>
          <w:sz w:val="24"/>
          <w:szCs w:val="24"/>
          <w:highlight w:val="none"/>
          <w:lang w:val="en-US" w:eastAsia="zh-CN" w:bidi="ar-SA"/>
        </w:rPr>
      </w:pPr>
      <w:r>
        <w:rPr>
          <w:rFonts w:hint="eastAsia" w:ascii="CESI仿宋-GB2312" w:hAnsi="CESI仿宋-GB2312" w:eastAsia="CESI仿宋-GB2312" w:cs="CESI仿宋-GB2312"/>
          <w:b/>
          <w:bCs/>
          <w:color w:val="auto"/>
          <w:kern w:val="2"/>
          <w:sz w:val="24"/>
          <w:szCs w:val="24"/>
          <w:highlight w:val="none"/>
          <w:lang w:val="en-US" w:eastAsia="zh-CN" w:bidi="ar-SA"/>
        </w:rPr>
        <w:t>地</w:t>
      </w:r>
      <w:r>
        <w:rPr>
          <w:rFonts w:hint="default" w:ascii="CESI仿宋-GB2312" w:hAnsi="CESI仿宋-GB2312" w:eastAsia="CESI仿宋-GB2312" w:cs="CESI仿宋-GB2312"/>
          <w:b/>
          <w:bCs/>
          <w:color w:val="auto"/>
          <w:kern w:val="2"/>
          <w:sz w:val="24"/>
          <w:szCs w:val="24"/>
          <w:highlight w:val="none"/>
          <w:lang w:val="en-US" w:eastAsia="zh-CN" w:bidi="ar-SA"/>
        </w:rPr>
        <w:t>面喷涂等其他辅助工程</w:t>
      </w:r>
    </w:p>
    <w:tbl>
      <w:tblPr>
        <w:tblStyle w:val="6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1"/>
        <w:gridCol w:w="1178"/>
        <w:gridCol w:w="6370"/>
      </w:tblGrid>
      <w:tr w14:paraId="33FE5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0" w:type="pct"/>
            <w:tcBorders>
              <w:top w:val="single" w:color="auto" w:sz="4" w:space="0"/>
              <w:left w:val="single" w:color="auto" w:sz="4" w:space="0"/>
              <w:bottom w:val="single" w:color="auto" w:sz="4" w:space="0"/>
              <w:right w:val="single" w:color="auto" w:sz="4" w:space="0"/>
            </w:tcBorders>
            <w:noWrap w:val="0"/>
            <w:vAlign w:val="center"/>
          </w:tcPr>
          <w:p w14:paraId="2E4AF678">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c>
          <w:tcPr>
            <w:tcW w:w="691" w:type="pct"/>
            <w:tcBorders>
              <w:top w:val="single" w:color="auto" w:sz="4" w:space="0"/>
              <w:left w:val="single" w:color="auto" w:sz="4" w:space="0"/>
              <w:bottom w:val="single" w:color="auto" w:sz="4" w:space="0"/>
              <w:right w:val="single" w:color="auto" w:sz="4" w:space="0"/>
            </w:tcBorders>
            <w:noWrap w:val="0"/>
            <w:vAlign w:val="center"/>
          </w:tcPr>
          <w:p w14:paraId="017D7BF5">
            <w:pPr>
              <w:keepNext w:val="0"/>
              <w:keepLines w:val="0"/>
              <w:pageBreakBefore w:val="0"/>
              <w:suppressLineNumbers w:val="0"/>
              <w:kinsoku/>
              <w:wordWrap/>
              <w:overflowPunct/>
              <w:topLinePunct w:val="0"/>
              <w:bidi w:val="0"/>
              <w:spacing w:before="0" w:beforeAutospacing="0" w:after="0" w:afterAutospacing="0" w:line="400" w:lineRule="exact"/>
              <w:ind w:left="0" w:right="0" w:rightChars="0"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地面喷涂</w:t>
            </w:r>
          </w:p>
        </w:tc>
        <w:tc>
          <w:tcPr>
            <w:tcW w:w="3738" w:type="pct"/>
            <w:tcBorders>
              <w:top w:val="single" w:color="auto" w:sz="4" w:space="0"/>
              <w:left w:val="single" w:color="auto" w:sz="4" w:space="0"/>
              <w:bottom w:val="single" w:color="auto" w:sz="4" w:space="0"/>
              <w:right w:val="single" w:color="auto" w:sz="4" w:space="0"/>
            </w:tcBorders>
            <w:noWrap w:val="0"/>
            <w:vAlign w:val="center"/>
          </w:tcPr>
          <w:p w14:paraId="287AAF0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firstLine="0" w:firstLineChars="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采用国内名牌环氧地坪漆。其中施工工艺流程要求为： </w:t>
            </w:r>
          </w:p>
          <w:p w14:paraId="3054B98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firstLine="0" w:firstLineChars="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（1）基面处理：基面整体修补细致打磨、完全除尘； </w:t>
            </w:r>
          </w:p>
          <w:p w14:paraId="71BEE1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firstLine="0" w:firstLineChars="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基面打磨、吸尘处理：对基面进行整体打磨、吸尘。要把基面上的油污及浮尘等脏物去除干净，并彻底做好吸尘工作，以便环氧树脂层与基面完全结合。</w:t>
            </w:r>
          </w:p>
          <w:p w14:paraId="021923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firstLine="0" w:firstLineChars="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环氧树脂底涂施工：涂刷渗透性环氧底油，使其充分渗入地面，达到表面均匀成膜，无遗漏，并有一定亮度；底层处理的好坏直接影响无机水泥基础同环氧树脂层的粘合性能，底涂的做法是环氧树脂中加入有机稀释剂降低粘度，并适当延长固化时间。</w:t>
            </w:r>
          </w:p>
          <w:p w14:paraId="6C9FF9A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firstLine="0" w:firstLineChars="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（3）对进行环氧底涂施工后的基面局部打磨、吸尘、涂刷环氧底油。</w:t>
            </w:r>
          </w:p>
          <w:p w14:paraId="2BB33E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firstLine="0" w:firstLineChars="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（4）环氧树脂中涂施工：按工艺要求对整个基面均匀刮涂石英砂或腻子。</w:t>
            </w:r>
          </w:p>
          <w:p w14:paraId="376DDF7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firstLine="0" w:firstLineChars="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（5）环氧树脂面涂施工：细磨、除尘，按工艺要求对整个基面均匀涂刷环氧涂。</w:t>
            </w:r>
          </w:p>
          <w:p w14:paraId="2EB16C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firstLine="0" w:firstLineChars="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2.设备喷涂要求：</w:t>
            </w:r>
          </w:p>
          <w:p w14:paraId="2C23FBED">
            <w:pPr>
              <w:keepNext w:val="0"/>
              <w:keepLines w:val="0"/>
              <w:pageBreakBefore w:val="0"/>
              <w:widowControl/>
              <w:suppressLineNumbers w:val="0"/>
              <w:tabs>
                <w:tab w:val="left" w:pos="1260"/>
              </w:tabs>
              <w:kinsoku/>
              <w:wordWrap/>
              <w:overflowPunct/>
              <w:topLinePunct w:val="0"/>
              <w:autoSpaceDE/>
              <w:autoSpaceDN/>
              <w:bidi w:val="0"/>
              <w:adjustRightInd/>
              <w:snapToGrid w:val="0"/>
              <w:spacing w:before="0" w:beforeAutospacing="0" w:after="0" w:afterAutospacing="0" w:line="400" w:lineRule="exact"/>
              <w:ind w:left="0" w:right="0" w:firstLine="0" w:firstLineChars="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采用磁漆喷涂，喷涂时须采用专用喷枪连续均匀地喷涂经调配后的面漆,直至色彩均匀,涂膜丰满,并随时搅拌漆料,以保证涂层均匀一致。现场调料应随用随调,避免浪费。车间内部应用不同颜色油漆划分人工通道及设备区域。后处理设备喷漆应根据采购方要求，由</w:t>
            </w:r>
            <w:r>
              <w:rPr>
                <w:rFonts w:hint="eastAsia" w:ascii="仿宋" w:hAnsi="仿宋" w:eastAsia="仿宋" w:cs="仿宋"/>
                <w:color w:val="auto"/>
                <w:sz w:val="24"/>
                <w:szCs w:val="24"/>
                <w:highlight w:val="none"/>
              </w:rPr>
              <w:t>中标</w:t>
            </w:r>
            <w:r>
              <w:rPr>
                <w:rFonts w:hint="eastAsia" w:ascii="仿宋" w:hAnsi="仿宋" w:eastAsia="仿宋" w:cs="仿宋"/>
                <w:color w:val="auto"/>
                <w:sz w:val="24"/>
                <w:szCs w:val="24"/>
                <w:highlight w:val="none"/>
                <w:lang w:val="en-US" w:eastAsia="zh-CN"/>
              </w:rPr>
              <w:t>人</w:t>
            </w:r>
            <w:r>
              <w:rPr>
                <w:rFonts w:hint="eastAsia" w:ascii="仿宋" w:hAnsi="仿宋" w:eastAsia="仿宋" w:cs="仿宋"/>
                <w:color w:val="auto"/>
                <w:sz w:val="24"/>
                <w:szCs w:val="24"/>
                <w:highlight w:val="none"/>
              </w:rPr>
              <w:t>提供方案，经采购方同意后方可实施</w:t>
            </w:r>
            <w:r>
              <w:rPr>
                <w:rFonts w:hint="eastAsia" w:ascii="仿宋" w:hAnsi="仿宋" w:eastAsia="仿宋" w:cs="仿宋"/>
                <w:color w:val="auto"/>
                <w:sz w:val="24"/>
                <w:szCs w:val="24"/>
                <w:highlight w:val="none"/>
                <w:lang w:eastAsia="zh-CN"/>
              </w:rPr>
              <w:t>。</w:t>
            </w:r>
          </w:p>
          <w:p w14:paraId="5A5F4271">
            <w:pPr>
              <w:keepNext w:val="0"/>
              <w:keepLines w:val="0"/>
              <w:pageBreakBefore w:val="0"/>
              <w:widowControl/>
              <w:suppressLineNumbers w:val="0"/>
              <w:tabs>
                <w:tab w:val="left" w:pos="1260"/>
              </w:tabs>
              <w:kinsoku/>
              <w:wordWrap/>
              <w:overflowPunct/>
              <w:topLinePunct w:val="0"/>
              <w:autoSpaceDE/>
              <w:autoSpaceDN/>
              <w:bidi w:val="0"/>
              <w:adjustRightInd/>
              <w:snapToGrid w:val="0"/>
              <w:spacing w:before="0" w:beforeAutospacing="0" w:after="0" w:afterAutospacing="0" w:line="400" w:lineRule="exact"/>
              <w:ind w:left="0" w:right="0" w:firstLine="0" w:firstLineChars="0"/>
              <w:jc w:val="both"/>
              <w:textAlignment w:val="auto"/>
              <w:rPr>
                <w:rFonts w:hint="default"/>
                <w:color w:val="auto"/>
                <w:lang w:val="en-US"/>
              </w:rPr>
            </w:pPr>
            <w:r>
              <w:rPr>
                <w:rFonts w:hint="eastAsia" w:ascii="仿宋" w:hAnsi="仿宋" w:eastAsia="仿宋" w:cs="仿宋"/>
                <w:b/>
                <w:bCs/>
                <w:color w:val="auto"/>
                <w:sz w:val="24"/>
                <w:szCs w:val="24"/>
                <w:highlight w:val="none"/>
                <w:lang w:val="en-US" w:eastAsia="zh-CN"/>
              </w:rPr>
              <w:t>3.喷涂区域应包含本次新建5台火化设备所涉区域，和采购人现有的8台火化设备区域（包括原地面的拆除等相关所有施工内容）。</w:t>
            </w:r>
          </w:p>
        </w:tc>
      </w:tr>
    </w:tbl>
    <w:p w14:paraId="371BBDA5">
      <w:pPr>
        <w:numPr>
          <w:ilvl w:val="0"/>
          <w:numId w:val="0"/>
        </w:numPr>
        <w:rPr>
          <w:rFonts w:hint="eastAsia" w:ascii="CESI仿宋-GB2312" w:hAnsi="CESI仿宋-GB2312" w:eastAsia="CESI仿宋-GB2312" w:cs="CESI仿宋-GB2312"/>
          <w:b/>
          <w:bCs/>
          <w:color w:val="auto"/>
          <w:kern w:val="2"/>
          <w:sz w:val="24"/>
          <w:szCs w:val="24"/>
          <w:highlight w:val="none"/>
          <w:lang w:val="en-US" w:eastAsia="zh-CN" w:bidi="ar-SA"/>
        </w:rPr>
      </w:pPr>
    </w:p>
    <w:p w14:paraId="2FD94E20">
      <w:pPr>
        <w:numPr>
          <w:ilvl w:val="0"/>
          <w:numId w:val="1"/>
        </w:numPr>
        <w:ind w:left="432" w:leftChars="0" w:hanging="432" w:firstLineChars="0"/>
        <w:rPr>
          <w:rFonts w:hint="default" w:ascii="CESI仿宋-GB2312" w:hAnsi="CESI仿宋-GB2312" w:eastAsia="CESI仿宋-GB2312" w:cs="CESI仿宋-GB2312"/>
          <w:b/>
          <w:bCs/>
          <w:color w:val="auto"/>
          <w:kern w:val="2"/>
          <w:sz w:val="24"/>
          <w:szCs w:val="24"/>
          <w:highlight w:val="none"/>
          <w:lang w:val="en-US" w:eastAsia="zh-CN" w:bidi="ar-SA"/>
        </w:rPr>
      </w:pPr>
      <w:r>
        <w:rPr>
          <w:rFonts w:hint="default" w:ascii="CESI仿宋-GB2312" w:hAnsi="CESI仿宋-GB2312" w:eastAsia="CESI仿宋-GB2312" w:cs="CESI仿宋-GB2312"/>
          <w:b/>
          <w:bCs/>
          <w:color w:val="auto"/>
          <w:kern w:val="2"/>
          <w:sz w:val="24"/>
          <w:szCs w:val="24"/>
          <w:highlight w:val="none"/>
          <w:lang w:val="en-US" w:eastAsia="zh-CN" w:bidi="ar-SA"/>
        </w:rPr>
        <w:t>自动清灰系统</w:t>
      </w:r>
    </w:p>
    <w:tbl>
      <w:tblPr>
        <w:tblStyle w:val="6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1227"/>
        <w:gridCol w:w="6445"/>
      </w:tblGrid>
      <w:tr w14:paraId="1EE4B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15010495">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序号</w:t>
            </w:r>
          </w:p>
        </w:tc>
        <w:tc>
          <w:tcPr>
            <w:tcW w:w="720" w:type="pct"/>
            <w:tcBorders>
              <w:top w:val="single" w:color="auto" w:sz="4" w:space="0"/>
              <w:left w:val="single" w:color="auto" w:sz="4" w:space="0"/>
              <w:bottom w:val="single" w:color="auto" w:sz="4" w:space="0"/>
              <w:right w:val="single" w:color="auto" w:sz="4" w:space="0"/>
            </w:tcBorders>
            <w:noWrap w:val="0"/>
            <w:vAlign w:val="center"/>
          </w:tcPr>
          <w:p w14:paraId="744760F3">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指标项目</w:t>
            </w:r>
          </w:p>
        </w:tc>
        <w:tc>
          <w:tcPr>
            <w:tcW w:w="3781" w:type="pct"/>
            <w:tcBorders>
              <w:top w:val="single" w:color="auto" w:sz="4" w:space="0"/>
              <w:left w:val="single" w:color="auto" w:sz="4" w:space="0"/>
              <w:bottom w:val="single" w:color="auto" w:sz="4" w:space="0"/>
              <w:right w:val="single" w:color="auto" w:sz="4" w:space="0"/>
            </w:tcBorders>
            <w:noWrap w:val="0"/>
            <w:vAlign w:val="center"/>
          </w:tcPr>
          <w:p w14:paraId="4E31385B">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主要技术指标及相关参数</w:t>
            </w:r>
          </w:p>
        </w:tc>
      </w:tr>
      <w:tr w14:paraId="5825A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7296FB51">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w:t>
            </w:r>
          </w:p>
        </w:tc>
        <w:tc>
          <w:tcPr>
            <w:tcW w:w="720" w:type="pct"/>
            <w:tcBorders>
              <w:top w:val="single" w:color="auto" w:sz="4" w:space="0"/>
              <w:left w:val="single" w:color="auto" w:sz="4" w:space="0"/>
              <w:bottom w:val="single" w:color="auto" w:sz="4" w:space="0"/>
              <w:right w:val="single" w:color="auto" w:sz="4" w:space="0"/>
            </w:tcBorders>
            <w:noWrap w:val="0"/>
            <w:vAlign w:val="center"/>
          </w:tcPr>
          <w:p w14:paraId="29030406">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自动清灰系统总体要求</w:t>
            </w:r>
          </w:p>
        </w:tc>
        <w:tc>
          <w:tcPr>
            <w:tcW w:w="3781" w:type="pct"/>
            <w:tcBorders>
              <w:top w:val="single" w:color="auto" w:sz="4" w:space="0"/>
              <w:left w:val="single" w:color="auto" w:sz="4" w:space="0"/>
              <w:bottom w:val="single" w:color="auto" w:sz="4" w:space="0"/>
              <w:right w:val="single" w:color="auto" w:sz="4" w:space="0"/>
            </w:tcBorders>
            <w:noWrap w:val="0"/>
            <w:vAlign w:val="center"/>
          </w:tcPr>
          <w:p w14:paraId="7190A4D5">
            <w:pPr>
              <w:keepNext w:val="0"/>
              <w:keepLines w:val="0"/>
              <w:pageBreakBefore w:val="0"/>
              <w:widowControl/>
              <w:suppressLineNumbers w:val="0"/>
              <w:kinsoku/>
              <w:overflowPunct/>
              <w:topLinePunct w:val="0"/>
              <w:bidi w:val="0"/>
              <w:snapToGrid w:val="0"/>
              <w:spacing w:before="0" w:beforeAutospacing="0" w:after="0" w:afterAutospacing="0" w:line="400" w:lineRule="exact"/>
              <w:ind w:left="0" w:right="0"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自动清灰系统必须采用刮板式清灰系统：</w:t>
            </w:r>
          </w:p>
          <w:p w14:paraId="5FBF41AD">
            <w:pPr>
              <w:keepNext w:val="0"/>
              <w:keepLines w:val="0"/>
              <w:pageBreakBefore w:val="0"/>
              <w:widowControl/>
              <w:suppressLineNumbers w:val="0"/>
              <w:kinsoku/>
              <w:overflowPunct/>
              <w:topLinePunct w:val="0"/>
              <w:bidi w:val="0"/>
              <w:snapToGrid w:val="0"/>
              <w:spacing w:before="0" w:beforeAutospacing="0" w:after="0" w:afterAutospacing="0" w:line="400" w:lineRule="exact"/>
              <w:ind w:left="0" w:right="0"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 xml:space="preserve">1.布袋除尘器收集的飞灰颗粒细，含有多种有害物质，在卸灰时容易飘散，对环境造成二次污染的同时，也影响设备使用寿命。本项目配套的自动清灰系统，要求能把布袋除尘器收集的飞灰自动输送到集中灰仓或固定地点然后收集搬运。 </w:t>
            </w:r>
          </w:p>
          <w:p w14:paraId="0A067D9B">
            <w:pPr>
              <w:keepNext w:val="0"/>
              <w:keepLines w:val="0"/>
              <w:pageBreakBefore w:val="0"/>
              <w:widowControl/>
              <w:suppressLineNumbers w:val="0"/>
              <w:kinsoku/>
              <w:overflowPunct/>
              <w:topLinePunct w:val="0"/>
              <w:bidi w:val="0"/>
              <w:snapToGrid w:val="0"/>
              <w:spacing w:before="0" w:beforeAutospacing="0" w:after="0" w:afterAutospacing="0" w:line="400" w:lineRule="exact"/>
              <w:ind w:left="0" w:right="0"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 xml:space="preserve">2.自动清灰系统采用带刮板输送带方式输送。要求采用全封闭管道，布置灵活，无二次污染，高效节能。系统采用自动控制系统，一键启动，运行平稳。 </w:t>
            </w:r>
          </w:p>
        </w:tc>
      </w:tr>
      <w:tr w14:paraId="54BEC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2B804B80">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w:t>
            </w:r>
          </w:p>
        </w:tc>
        <w:tc>
          <w:tcPr>
            <w:tcW w:w="720" w:type="pct"/>
            <w:tcBorders>
              <w:top w:val="single" w:color="auto" w:sz="4" w:space="0"/>
              <w:left w:val="single" w:color="auto" w:sz="4" w:space="0"/>
              <w:bottom w:val="single" w:color="auto" w:sz="4" w:space="0"/>
              <w:right w:val="single" w:color="auto" w:sz="4" w:space="0"/>
            </w:tcBorders>
            <w:noWrap w:val="0"/>
            <w:vAlign w:val="center"/>
          </w:tcPr>
          <w:p w14:paraId="0BEE8252">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自动清灰系统详细要求</w:t>
            </w:r>
          </w:p>
        </w:tc>
        <w:tc>
          <w:tcPr>
            <w:tcW w:w="3781" w:type="pct"/>
            <w:tcBorders>
              <w:top w:val="single" w:color="auto" w:sz="4" w:space="0"/>
              <w:left w:val="single" w:color="auto" w:sz="4" w:space="0"/>
              <w:bottom w:val="single" w:color="auto" w:sz="4" w:space="0"/>
              <w:right w:val="single" w:color="auto" w:sz="4" w:space="0"/>
            </w:tcBorders>
            <w:noWrap w:val="0"/>
            <w:vAlign w:val="center"/>
          </w:tcPr>
          <w:p w14:paraId="6A2A5EE2">
            <w:pPr>
              <w:keepNext w:val="0"/>
              <w:keepLines w:val="0"/>
              <w:pageBreakBefore w:val="0"/>
              <w:widowControl/>
              <w:suppressLineNumbers w:val="0"/>
              <w:kinsoku/>
              <w:overflowPunct/>
              <w:topLinePunct w:val="0"/>
              <w:bidi w:val="0"/>
              <w:snapToGrid w:val="0"/>
              <w:spacing w:before="0" w:beforeAutospacing="0" w:after="0" w:afterAutospacing="0" w:line="400" w:lineRule="exact"/>
              <w:ind w:left="0" w:right="0"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 xml:space="preserve">1.外观设计要求：设计外型美观、做工细腻，自动化程度高、使用性能可靠、体积小、安装方便、安全性强、维护操作方便，制作工艺要达到国家行业标准。 </w:t>
            </w:r>
          </w:p>
          <w:p w14:paraId="25B92EAD">
            <w:pPr>
              <w:keepNext w:val="0"/>
              <w:keepLines w:val="0"/>
              <w:pageBreakBefore w:val="0"/>
              <w:widowControl/>
              <w:suppressLineNumbers w:val="0"/>
              <w:kinsoku/>
              <w:overflowPunct/>
              <w:topLinePunct w:val="0"/>
              <w:bidi w:val="0"/>
              <w:snapToGrid w:val="0"/>
              <w:spacing w:before="0" w:beforeAutospacing="0" w:after="0" w:afterAutospacing="0" w:line="400" w:lineRule="exact"/>
              <w:ind w:left="0" w:right="0"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 xml:space="preserve">2.投标前参照殡仪馆火化机烟气净化系统的实际情况，根据本招标文件技术要求，设计自动清灰系统。 </w:t>
            </w:r>
          </w:p>
          <w:p w14:paraId="0472FB5B">
            <w:pPr>
              <w:keepNext w:val="0"/>
              <w:keepLines w:val="0"/>
              <w:pageBreakBefore w:val="0"/>
              <w:widowControl/>
              <w:suppressLineNumbers w:val="0"/>
              <w:kinsoku/>
              <w:overflowPunct/>
              <w:topLinePunct w:val="0"/>
              <w:bidi w:val="0"/>
              <w:snapToGrid w:val="0"/>
              <w:spacing w:before="0" w:beforeAutospacing="0" w:after="0" w:afterAutospacing="0" w:line="400" w:lineRule="exact"/>
              <w:ind w:left="0" w:right="0"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 xml:space="preserve">3.在设备安装完成、交付使用后，与馆方一起对清灰效果、设备噪音等进行检测和验收。检测结果作为设备验收重要依据之一。 </w:t>
            </w:r>
          </w:p>
          <w:p w14:paraId="0A4D0610">
            <w:pPr>
              <w:keepNext w:val="0"/>
              <w:keepLines w:val="0"/>
              <w:pageBreakBefore w:val="0"/>
              <w:widowControl/>
              <w:suppressLineNumbers w:val="0"/>
              <w:kinsoku/>
              <w:overflowPunct/>
              <w:topLinePunct w:val="0"/>
              <w:bidi w:val="0"/>
              <w:snapToGrid w:val="0"/>
              <w:spacing w:before="0" w:beforeAutospacing="0" w:after="0" w:afterAutospacing="0" w:line="400" w:lineRule="exact"/>
              <w:ind w:left="0" w:right="0"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 xml:space="preserve">4.提供自动清灰系统的主要技术参数、设备配置、部件品牌、材质及厚度等。 </w:t>
            </w:r>
          </w:p>
          <w:p w14:paraId="0FA6C7ED">
            <w:pPr>
              <w:keepNext w:val="0"/>
              <w:keepLines w:val="0"/>
              <w:pageBreakBefore w:val="0"/>
              <w:widowControl/>
              <w:suppressLineNumbers w:val="0"/>
              <w:kinsoku/>
              <w:overflowPunct/>
              <w:topLinePunct w:val="0"/>
              <w:bidi w:val="0"/>
              <w:snapToGrid w:val="0"/>
              <w:spacing w:before="0" w:beforeAutospacing="0" w:after="0" w:afterAutospacing="0" w:line="400" w:lineRule="exact"/>
              <w:ind w:left="0" w:right="0"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 xml:space="preserve">5.自动清灰系统使用效果必须达到以下要求： </w:t>
            </w:r>
          </w:p>
          <w:p w14:paraId="4D25C7F4">
            <w:pPr>
              <w:keepNext w:val="0"/>
              <w:keepLines w:val="0"/>
              <w:pageBreakBefore w:val="0"/>
              <w:widowControl/>
              <w:suppressLineNumbers w:val="0"/>
              <w:kinsoku/>
              <w:overflowPunct/>
              <w:topLinePunct w:val="0"/>
              <w:bidi w:val="0"/>
              <w:snapToGrid w:val="0"/>
              <w:spacing w:before="0" w:beforeAutospacing="0" w:after="0" w:afterAutospacing="0" w:line="400" w:lineRule="exact"/>
              <w:ind w:left="0" w:right="0"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 xml:space="preserve">（1）采用PLC+上位机进行控制，设有自动程控和现场手动功能，操作管理灵活方便、安全、可靠，操作简单，一键启动，依次将布袋除尘器飞灰输送至集中灰仓或固定地点，无二次污染； </w:t>
            </w:r>
          </w:p>
          <w:p w14:paraId="46CBFD83">
            <w:pPr>
              <w:keepNext w:val="0"/>
              <w:keepLines w:val="0"/>
              <w:pageBreakBefore w:val="0"/>
              <w:widowControl/>
              <w:suppressLineNumbers w:val="0"/>
              <w:kinsoku/>
              <w:overflowPunct/>
              <w:topLinePunct w:val="0"/>
              <w:bidi w:val="0"/>
              <w:snapToGrid w:val="0"/>
              <w:spacing w:before="0" w:beforeAutospacing="0" w:after="0" w:afterAutospacing="0" w:line="400" w:lineRule="exact"/>
              <w:ind w:left="0" w:right="0"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 xml:space="preserve">）清灰彻底，管道内不易堵塞，并具有防堵措施； </w:t>
            </w:r>
          </w:p>
          <w:p w14:paraId="385AB9B6">
            <w:pPr>
              <w:keepNext w:val="0"/>
              <w:keepLines w:val="0"/>
              <w:pageBreakBefore w:val="0"/>
              <w:widowControl/>
              <w:suppressLineNumbers w:val="0"/>
              <w:kinsoku/>
              <w:overflowPunct/>
              <w:topLinePunct w:val="0"/>
              <w:bidi w:val="0"/>
              <w:snapToGrid w:val="0"/>
              <w:spacing w:before="0" w:beforeAutospacing="0" w:after="0" w:afterAutospacing="0" w:line="400" w:lineRule="exact"/>
              <w:ind w:left="0" w:right="0"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 xml:space="preserve">）所有阀门仪表应便于检修，必要时设有检修平台和平台栏杆，检修爬梯采用钢斜梯； </w:t>
            </w:r>
          </w:p>
          <w:p w14:paraId="6E0E4BD3">
            <w:pPr>
              <w:keepNext w:val="0"/>
              <w:keepLines w:val="0"/>
              <w:pageBreakBefore w:val="0"/>
              <w:widowControl/>
              <w:suppressLineNumbers w:val="0"/>
              <w:kinsoku/>
              <w:overflowPunct/>
              <w:topLinePunct w:val="0"/>
              <w:bidi w:val="0"/>
              <w:snapToGrid w:val="0"/>
              <w:spacing w:before="0" w:beforeAutospacing="0" w:after="0" w:afterAutospacing="0" w:line="400" w:lineRule="exact"/>
              <w:ind w:left="0" w:right="0"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4</w:t>
            </w:r>
            <w:r>
              <w:rPr>
                <w:rFonts w:hint="eastAsia" w:ascii="仿宋" w:hAnsi="仿宋" w:eastAsia="仿宋" w:cs="仿宋"/>
                <w:b w:val="0"/>
                <w:bCs w:val="0"/>
                <w:color w:val="auto"/>
                <w:sz w:val="24"/>
                <w:szCs w:val="24"/>
                <w:highlight w:val="none"/>
              </w:rPr>
              <w:t xml:space="preserve">）在极端气候条件下，设备应能正常运行； </w:t>
            </w:r>
          </w:p>
          <w:p w14:paraId="563D45A7">
            <w:pPr>
              <w:keepNext w:val="0"/>
              <w:keepLines w:val="0"/>
              <w:pageBreakBefore w:val="0"/>
              <w:widowControl/>
              <w:suppressLineNumbers w:val="0"/>
              <w:kinsoku/>
              <w:overflowPunct/>
              <w:topLinePunct w:val="0"/>
              <w:bidi w:val="0"/>
              <w:snapToGrid w:val="0"/>
              <w:spacing w:before="0" w:beforeAutospacing="0" w:after="0" w:afterAutospacing="0" w:line="400" w:lineRule="exact"/>
              <w:ind w:left="0" w:right="0"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rPr>
              <w:t xml:space="preserve">）噪音控制在65分贝以下； </w:t>
            </w:r>
          </w:p>
          <w:p w14:paraId="4D47494E">
            <w:pPr>
              <w:keepNext w:val="0"/>
              <w:keepLines w:val="0"/>
              <w:pageBreakBefore w:val="0"/>
              <w:widowControl/>
              <w:suppressLineNumbers w:val="0"/>
              <w:kinsoku/>
              <w:overflowPunct/>
              <w:topLinePunct w:val="0"/>
              <w:bidi w:val="0"/>
              <w:snapToGrid w:val="0"/>
              <w:spacing w:before="0" w:beforeAutospacing="0" w:after="0" w:afterAutospacing="0" w:line="400" w:lineRule="exact"/>
              <w:ind w:left="0" w:right="0"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6</w:t>
            </w:r>
            <w:r>
              <w:rPr>
                <w:rFonts w:hint="eastAsia" w:ascii="仿宋" w:hAnsi="仿宋" w:eastAsia="仿宋" w:cs="仿宋"/>
                <w:b w:val="0"/>
                <w:bCs w:val="0"/>
                <w:color w:val="auto"/>
                <w:sz w:val="24"/>
                <w:szCs w:val="24"/>
                <w:highlight w:val="none"/>
              </w:rPr>
              <w:t>）使用寿命应达到7年以上；</w:t>
            </w:r>
          </w:p>
          <w:p w14:paraId="76388DE8">
            <w:pPr>
              <w:keepNext w:val="0"/>
              <w:keepLines w:val="0"/>
              <w:pageBreakBefore w:val="0"/>
              <w:widowControl/>
              <w:suppressLineNumbers w:val="0"/>
              <w:kinsoku/>
              <w:overflowPunct/>
              <w:topLinePunct w:val="0"/>
              <w:bidi w:val="0"/>
              <w:snapToGrid w:val="0"/>
              <w:spacing w:before="0" w:beforeAutospacing="0" w:after="0" w:afterAutospacing="0" w:line="400" w:lineRule="exact"/>
              <w:ind w:left="0" w:right="0"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7</w:t>
            </w:r>
            <w:r>
              <w:rPr>
                <w:rFonts w:hint="eastAsia" w:ascii="仿宋" w:hAnsi="仿宋" w:eastAsia="仿宋" w:cs="仿宋"/>
                <w:b w:val="0"/>
                <w:bCs w:val="0"/>
                <w:color w:val="auto"/>
                <w:sz w:val="24"/>
                <w:szCs w:val="24"/>
                <w:highlight w:val="none"/>
              </w:rPr>
              <w:t>）设备尺寸：长度根据现场安装情况设定；</w:t>
            </w:r>
          </w:p>
          <w:p w14:paraId="68BD7908">
            <w:pPr>
              <w:keepNext w:val="0"/>
              <w:keepLines w:val="0"/>
              <w:pageBreakBefore w:val="0"/>
              <w:widowControl/>
              <w:suppressLineNumbers w:val="0"/>
              <w:kinsoku/>
              <w:overflowPunct/>
              <w:topLinePunct w:val="0"/>
              <w:bidi w:val="0"/>
              <w:snapToGrid w:val="0"/>
              <w:spacing w:before="0" w:beforeAutospacing="0" w:after="0" w:afterAutospacing="0" w:line="400" w:lineRule="exact"/>
              <w:ind w:left="0" w:right="0"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8</w:t>
            </w:r>
            <w:r>
              <w:rPr>
                <w:rFonts w:hint="eastAsia" w:ascii="仿宋" w:hAnsi="仿宋" w:eastAsia="仿宋" w:cs="仿宋"/>
                <w:b w:val="0"/>
                <w:bCs w:val="0"/>
                <w:color w:val="auto"/>
                <w:sz w:val="24"/>
                <w:szCs w:val="24"/>
                <w:highlight w:val="none"/>
              </w:rPr>
              <w:t>）满足尾气处理设备自动清灰及收集灰尘能力。</w:t>
            </w:r>
          </w:p>
        </w:tc>
      </w:tr>
      <w:tr w14:paraId="41465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1E7BAF7C">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w:t>
            </w:r>
          </w:p>
        </w:tc>
        <w:tc>
          <w:tcPr>
            <w:tcW w:w="720" w:type="pct"/>
            <w:tcBorders>
              <w:top w:val="single" w:color="auto" w:sz="4" w:space="0"/>
              <w:left w:val="single" w:color="auto" w:sz="4" w:space="0"/>
              <w:bottom w:val="single" w:color="auto" w:sz="4" w:space="0"/>
              <w:right w:val="single" w:color="auto" w:sz="4" w:space="0"/>
            </w:tcBorders>
            <w:noWrap w:val="0"/>
            <w:vAlign w:val="center"/>
          </w:tcPr>
          <w:p w14:paraId="631A0053">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自动清灰系统设备的制作及安装要求</w:t>
            </w:r>
          </w:p>
        </w:tc>
        <w:tc>
          <w:tcPr>
            <w:tcW w:w="3781" w:type="pct"/>
            <w:tcBorders>
              <w:top w:val="single" w:color="auto" w:sz="4" w:space="0"/>
              <w:left w:val="single" w:color="auto" w:sz="4" w:space="0"/>
              <w:bottom w:val="single" w:color="auto" w:sz="4" w:space="0"/>
              <w:right w:val="single" w:color="auto" w:sz="4" w:space="0"/>
            </w:tcBorders>
            <w:noWrap w:val="0"/>
            <w:vAlign w:val="center"/>
          </w:tcPr>
          <w:p w14:paraId="74326AA8">
            <w:pPr>
              <w:keepNext w:val="0"/>
              <w:keepLines w:val="0"/>
              <w:pageBreakBefore w:val="0"/>
              <w:widowControl/>
              <w:suppressLineNumbers w:val="0"/>
              <w:kinsoku/>
              <w:overflowPunct/>
              <w:topLinePunct w:val="0"/>
              <w:bidi w:val="0"/>
              <w:snapToGrid w:val="0"/>
              <w:spacing w:before="0" w:beforeAutospacing="0" w:after="0" w:afterAutospacing="0" w:line="400" w:lineRule="exact"/>
              <w:ind w:left="0" w:right="0"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制作时在地面挖一输送槽，与清灰系统U型槽相匹配。要求既可密封顶面，又不得高出于地面，方便人员进出与物料搬运等。U型槽与每台布袋除尘器的卸料口相连，输送机材质全部为304不锈钢制作。输送机尾部应高出地面约1米，便于装卸灰渣；出灰口安装有出灰口密封阀。详细要求如下：</w:t>
            </w:r>
          </w:p>
          <w:p w14:paraId="3672EF01">
            <w:pPr>
              <w:keepNext w:val="0"/>
              <w:keepLines w:val="0"/>
              <w:pageBreakBefore w:val="0"/>
              <w:widowControl/>
              <w:suppressLineNumbers w:val="0"/>
              <w:kinsoku/>
              <w:overflowPunct/>
              <w:topLinePunct w:val="0"/>
              <w:bidi w:val="0"/>
              <w:snapToGrid w:val="0"/>
              <w:spacing w:before="0" w:beforeAutospacing="0" w:after="0" w:afterAutospacing="0" w:line="400" w:lineRule="exact"/>
              <w:ind w:left="0" w:right="0"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（1）结构坚实。能经受住物料的冲、撞、砸、压等外力作用。</w:t>
            </w:r>
          </w:p>
          <w:p w14:paraId="038180DC">
            <w:pPr>
              <w:keepNext w:val="0"/>
              <w:keepLines w:val="0"/>
              <w:pageBreakBefore w:val="0"/>
              <w:widowControl/>
              <w:suppressLineNumbers w:val="0"/>
              <w:kinsoku/>
              <w:overflowPunct/>
              <w:topLinePunct w:val="0"/>
              <w:bidi w:val="0"/>
              <w:snapToGrid w:val="0"/>
              <w:spacing w:before="0" w:beforeAutospacing="0" w:after="0" w:afterAutospacing="0" w:line="400" w:lineRule="exact"/>
              <w:ind w:left="0" w:right="0"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（2）能适应工作面底板不平、弯曲推移的需要，可以承受垂直或水平方向的弯曲。</w:t>
            </w:r>
          </w:p>
          <w:p w14:paraId="2521A08D">
            <w:pPr>
              <w:keepNext w:val="0"/>
              <w:keepLines w:val="0"/>
              <w:pageBreakBefore w:val="0"/>
              <w:widowControl/>
              <w:suppressLineNumbers w:val="0"/>
              <w:kinsoku/>
              <w:overflowPunct/>
              <w:topLinePunct w:val="0"/>
              <w:bidi w:val="0"/>
              <w:snapToGrid w:val="0"/>
              <w:spacing w:before="0" w:beforeAutospacing="0" w:after="0" w:afterAutospacing="0" w:line="400" w:lineRule="exact"/>
              <w:ind w:left="0" w:right="0"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（3）机身矮，便于安装。</w:t>
            </w:r>
          </w:p>
          <w:p w14:paraId="4D60AF5A">
            <w:pPr>
              <w:keepNext w:val="0"/>
              <w:keepLines w:val="0"/>
              <w:pageBreakBefore w:val="0"/>
              <w:widowControl/>
              <w:suppressLineNumbers w:val="0"/>
              <w:kinsoku/>
              <w:overflowPunct/>
              <w:topLinePunct w:val="0"/>
              <w:bidi w:val="0"/>
              <w:snapToGrid w:val="0"/>
              <w:spacing w:before="0" w:beforeAutospacing="0" w:after="0" w:afterAutospacing="0" w:line="400" w:lineRule="exact"/>
              <w:ind w:left="0" w:right="0"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（4）能兼作</w:t>
            </w:r>
            <w:r>
              <w:rPr>
                <w:rFonts w:hint="eastAsia" w:ascii="仿宋" w:hAnsi="仿宋" w:eastAsia="仿宋" w:cs="仿宋"/>
                <w:b w:val="0"/>
                <w:bCs w:val="0"/>
                <w:color w:val="auto"/>
                <w:sz w:val="24"/>
                <w:szCs w:val="24"/>
                <w:highlight w:val="none"/>
              </w:rPr>
              <w:fldChar w:fldCharType="begin"/>
            </w:r>
            <w:r>
              <w:rPr>
                <w:rFonts w:hint="eastAsia" w:ascii="仿宋" w:hAnsi="仿宋" w:eastAsia="仿宋" w:cs="仿宋"/>
                <w:b w:val="0"/>
                <w:bCs w:val="0"/>
                <w:color w:val="auto"/>
                <w:sz w:val="24"/>
                <w:szCs w:val="24"/>
                <w:highlight w:val="none"/>
              </w:rPr>
              <w:instrText xml:space="preserve"> HYPERLINK "https://baike.baidu.com/item/%E9%87%87%E7%85%A4%E6%9C%BA" </w:instrText>
            </w:r>
            <w:r>
              <w:rPr>
                <w:rFonts w:hint="eastAsia" w:ascii="仿宋" w:hAnsi="仿宋" w:eastAsia="仿宋" w:cs="仿宋"/>
                <w:b w:val="0"/>
                <w:bCs w:val="0"/>
                <w:color w:val="auto"/>
                <w:sz w:val="24"/>
                <w:szCs w:val="24"/>
                <w:highlight w:val="none"/>
              </w:rPr>
              <w:fldChar w:fldCharType="separate"/>
            </w:r>
            <w:r>
              <w:rPr>
                <w:rFonts w:hint="eastAsia" w:ascii="仿宋" w:hAnsi="仿宋" w:eastAsia="仿宋" w:cs="仿宋"/>
                <w:b w:val="0"/>
                <w:bCs w:val="0"/>
                <w:color w:val="auto"/>
                <w:sz w:val="24"/>
                <w:szCs w:val="24"/>
                <w:highlight w:val="none"/>
              </w:rPr>
              <w:t>灰渣</w:t>
            </w:r>
            <w:r>
              <w:rPr>
                <w:rFonts w:hint="eastAsia" w:ascii="仿宋" w:hAnsi="仿宋" w:eastAsia="仿宋" w:cs="仿宋"/>
                <w:b w:val="0"/>
                <w:bCs w:val="0"/>
                <w:color w:val="auto"/>
                <w:sz w:val="24"/>
                <w:szCs w:val="24"/>
                <w:highlight w:val="none"/>
              </w:rPr>
              <w:fldChar w:fldCharType="end"/>
            </w:r>
            <w:r>
              <w:rPr>
                <w:rFonts w:hint="eastAsia" w:ascii="仿宋" w:hAnsi="仿宋" w:eastAsia="仿宋" w:cs="仿宋"/>
                <w:b w:val="0"/>
                <w:bCs w:val="0"/>
                <w:color w:val="auto"/>
                <w:sz w:val="24"/>
                <w:szCs w:val="24"/>
                <w:highlight w:val="none"/>
              </w:rPr>
              <w:t>运行的轨道。</w:t>
            </w:r>
          </w:p>
          <w:p w14:paraId="102E6A6F">
            <w:pPr>
              <w:keepNext w:val="0"/>
              <w:keepLines w:val="0"/>
              <w:pageBreakBefore w:val="0"/>
              <w:widowControl/>
              <w:suppressLineNumbers w:val="0"/>
              <w:kinsoku/>
              <w:overflowPunct/>
              <w:topLinePunct w:val="0"/>
              <w:bidi w:val="0"/>
              <w:snapToGrid w:val="0"/>
              <w:spacing w:before="0" w:beforeAutospacing="0" w:after="0" w:afterAutospacing="0" w:line="400" w:lineRule="exact"/>
              <w:ind w:left="0" w:right="0"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（5）可反向运行，便于处理底链事故。</w:t>
            </w:r>
          </w:p>
          <w:p w14:paraId="5963D2D9">
            <w:pPr>
              <w:keepNext w:val="0"/>
              <w:keepLines w:val="0"/>
              <w:pageBreakBefore w:val="0"/>
              <w:widowControl/>
              <w:suppressLineNumbers w:val="0"/>
              <w:kinsoku/>
              <w:overflowPunct/>
              <w:topLinePunct w:val="0"/>
              <w:bidi w:val="0"/>
              <w:snapToGrid w:val="0"/>
              <w:spacing w:before="0" w:beforeAutospacing="0" w:after="0" w:afterAutospacing="0" w:line="400" w:lineRule="exact"/>
              <w:ind w:left="0" w:right="0"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（6）结构简单，在输送长度上可任意点进灰或卸灰。</w:t>
            </w:r>
          </w:p>
          <w:p w14:paraId="519B5FE2">
            <w:pPr>
              <w:keepNext w:val="0"/>
              <w:keepLines w:val="0"/>
              <w:pageBreakBefore w:val="0"/>
              <w:widowControl/>
              <w:suppressLineNumbers w:val="0"/>
              <w:kinsoku/>
              <w:overflowPunct/>
              <w:topLinePunct w:val="0"/>
              <w:bidi w:val="0"/>
              <w:snapToGrid w:val="0"/>
              <w:spacing w:before="0" w:beforeAutospacing="0" w:after="0" w:afterAutospacing="0" w:line="400" w:lineRule="exact"/>
              <w:ind w:left="0" w:right="0"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（7）机壳密闭，可以防止输送物料时粉尘飞扬而污染环境。</w:t>
            </w:r>
          </w:p>
          <w:p w14:paraId="37AC2EA1">
            <w:pPr>
              <w:keepNext w:val="0"/>
              <w:keepLines w:val="0"/>
              <w:pageBreakBefore w:val="0"/>
              <w:widowControl/>
              <w:suppressLineNumbers w:val="0"/>
              <w:kinsoku/>
              <w:overflowPunct/>
              <w:topLinePunct w:val="0"/>
              <w:bidi w:val="0"/>
              <w:snapToGrid w:val="0"/>
              <w:spacing w:before="0" w:beforeAutospacing="0" w:after="0" w:afterAutospacing="0" w:line="400" w:lineRule="exact"/>
              <w:ind w:left="0" w:right="0"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（8）当其尾部不设置机壳，并将刮板插入料堆时，可自行取料输送。</w:t>
            </w:r>
          </w:p>
        </w:tc>
      </w:tr>
    </w:tbl>
    <w:p w14:paraId="5636BD86">
      <w:pPr>
        <w:pStyle w:val="5"/>
        <w:numPr>
          <w:ilvl w:val="0"/>
          <w:numId w:val="1"/>
        </w:numPr>
        <w:ind w:left="432" w:leftChars="0" w:hanging="432" w:firstLineChars="0"/>
        <w:rPr>
          <w:rFonts w:hint="default" w:ascii="CESI仿宋-GB2312" w:hAnsi="CESI仿宋-GB2312" w:eastAsia="CESI仿宋-GB2312" w:cs="CESI仿宋-GB2312"/>
          <w:b/>
          <w:bCs/>
          <w:color w:val="auto"/>
          <w:kern w:val="2"/>
          <w:sz w:val="24"/>
          <w:szCs w:val="24"/>
          <w:highlight w:val="none"/>
          <w:lang w:val="en-US" w:eastAsia="zh-CN" w:bidi="ar-SA"/>
        </w:rPr>
      </w:pPr>
      <w:r>
        <w:rPr>
          <w:rFonts w:hint="default" w:ascii="CESI仿宋-GB2312" w:hAnsi="CESI仿宋-GB2312" w:eastAsia="CESI仿宋-GB2312" w:cs="CESI仿宋-GB2312"/>
          <w:b/>
          <w:bCs/>
          <w:color w:val="auto"/>
          <w:kern w:val="2"/>
          <w:sz w:val="24"/>
          <w:szCs w:val="24"/>
          <w:highlight w:val="none"/>
          <w:lang w:val="en-US" w:eastAsia="zh-CN" w:bidi="ar-SA"/>
        </w:rPr>
        <w:t>备用风机</w:t>
      </w:r>
    </w:p>
    <w:tbl>
      <w:tblPr>
        <w:tblStyle w:val="6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1202"/>
        <w:gridCol w:w="6485"/>
      </w:tblGrid>
      <w:tr w14:paraId="1C322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tcBorders>
              <w:top w:val="single" w:color="auto" w:sz="4" w:space="0"/>
              <w:left w:val="single" w:color="auto" w:sz="4" w:space="0"/>
              <w:bottom w:val="single" w:color="auto" w:sz="4" w:space="0"/>
              <w:right w:val="single" w:color="auto" w:sz="4" w:space="0"/>
            </w:tcBorders>
            <w:noWrap w:val="0"/>
            <w:vAlign w:val="center"/>
          </w:tcPr>
          <w:p w14:paraId="291FFB90">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序号</w:t>
            </w:r>
          </w:p>
        </w:tc>
        <w:tc>
          <w:tcPr>
            <w:tcW w:w="705" w:type="pct"/>
            <w:tcBorders>
              <w:top w:val="single" w:color="auto" w:sz="4" w:space="0"/>
              <w:left w:val="single" w:color="auto" w:sz="4" w:space="0"/>
              <w:bottom w:val="single" w:color="auto" w:sz="4" w:space="0"/>
              <w:right w:val="single" w:color="auto" w:sz="4" w:space="0"/>
            </w:tcBorders>
            <w:noWrap w:val="0"/>
            <w:vAlign w:val="center"/>
          </w:tcPr>
          <w:p w14:paraId="159FB19C">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指标项目</w:t>
            </w:r>
          </w:p>
        </w:tc>
        <w:tc>
          <w:tcPr>
            <w:tcW w:w="3805" w:type="pct"/>
            <w:tcBorders>
              <w:top w:val="single" w:color="auto" w:sz="4" w:space="0"/>
              <w:left w:val="single" w:color="auto" w:sz="4" w:space="0"/>
              <w:bottom w:val="single" w:color="auto" w:sz="4" w:space="0"/>
              <w:right w:val="single" w:color="auto" w:sz="4" w:space="0"/>
            </w:tcBorders>
            <w:noWrap w:val="0"/>
            <w:vAlign w:val="center"/>
          </w:tcPr>
          <w:p w14:paraId="1C628FA7">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主要技术指标及相关参数</w:t>
            </w:r>
          </w:p>
        </w:tc>
      </w:tr>
      <w:tr w14:paraId="638B3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tcBorders>
              <w:top w:val="single" w:color="auto" w:sz="4" w:space="0"/>
              <w:left w:val="single" w:color="auto" w:sz="4" w:space="0"/>
              <w:bottom w:val="single" w:color="auto" w:sz="4" w:space="0"/>
              <w:right w:val="single" w:color="auto" w:sz="4" w:space="0"/>
            </w:tcBorders>
            <w:noWrap w:val="0"/>
            <w:vAlign w:val="center"/>
          </w:tcPr>
          <w:p w14:paraId="1823668A">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w:t>
            </w:r>
          </w:p>
        </w:tc>
        <w:tc>
          <w:tcPr>
            <w:tcW w:w="705" w:type="pct"/>
            <w:tcBorders>
              <w:top w:val="single" w:color="auto" w:sz="4" w:space="0"/>
              <w:left w:val="single" w:color="auto" w:sz="4" w:space="0"/>
              <w:bottom w:val="single" w:color="auto" w:sz="4" w:space="0"/>
              <w:right w:val="single" w:color="auto" w:sz="4" w:space="0"/>
            </w:tcBorders>
            <w:noWrap w:val="0"/>
            <w:vAlign w:val="center"/>
          </w:tcPr>
          <w:p w14:paraId="59F57A02">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备用风机</w:t>
            </w:r>
          </w:p>
        </w:tc>
        <w:tc>
          <w:tcPr>
            <w:tcW w:w="3805" w:type="pct"/>
            <w:tcBorders>
              <w:top w:val="single" w:color="auto" w:sz="4" w:space="0"/>
              <w:left w:val="single" w:color="auto" w:sz="4" w:space="0"/>
              <w:bottom w:val="single" w:color="auto" w:sz="4" w:space="0"/>
              <w:right w:val="single" w:color="auto" w:sz="4" w:space="0"/>
            </w:tcBorders>
            <w:noWrap w:val="0"/>
            <w:vAlign w:val="center"/>
          </w:tcPr>
          <w:p w14:paraId="2905C47B">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1.引风机：7.5KW，鼓风机：7.5KW（高压风机）,风量风压不小于原设配套风机。</w:t>
            </w:r>
          </w:p>
          <w:p w14:paraId="02CFABC2">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2.每套鼓风机、引风机通过阀门控制，可随时供其中一台火化机使用。</w:t>
            </w:r>
          </w:p>
          <w:p w14:paraId="754144BD">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3.电器控制等应单独控制，在火化炉断电的情况下能正常启动。</w:t>
            </w:r>
          </w:p>
          <w:p w14:paraId="72C6DF8B">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4.投标人在投标文件应注明选用风机的类型、品牌、功率、风量、风压、噪音。</w:t>
            </w:r>
          </w:p>
          <w:p w14:paraId="28EF2652">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5.安装底座水平，无震动，底座应加有优质防振垫，风机有消音装置。供风系统要求：风量控制采用手动、自动双控制方式。炉体布局风管应排列整齐、平顺、有固定点、不漏风、油漆颜色一致。</w:t>
            </w:r>
          </w:p>
        </w:tc>
      </w:tr>
    </w:tbl>
    <w:p w14:paraId="5C96765C">
      <w:pPr>
        <w:numPr>
          <w:ilvl w:val="0"/>
          <w:numId w:val="0"/>
        </w:numPr>
        <w:ind w:leftChars="0"/>
        <w:rPr>
          <w:rFonts w:hint="default" w:ascii="CESI仿宋-GB2312" w:hAnsi="CESI仿宋-GB2312" w:eastAsia="CESI仿宋-GB2312" w:cs="CESI仿宋-GB2312"/>
          <w:b/>
          <w:bCs/>
          <w:color w:val="auto"/>
          <w:kern w:val="2"/>
          <w:sz w:val="24"/>
          <w:szCs w:val="24"/>
          <w:highlight w:val="none"/>
          <w:lang w:val="en-US" w:eastAsia="zh-CN" w:bidi="ar-SA"/>
        </w:rPr>
      </w:pPr>
    </w:p>
    <w:p w14:paraId="7C5044D7">
      <w:pPr>
        <w:numPr>
          <w:ilvl w:val="0"/>
          <w:numId w:val="1"/>
        </w:numPr>
        <w:ind w:left="432" w:leftChars="0" w:hanging="432" w:firstLineChars="0"/>
        <w:rPr>
          <w:rFonts w:hint="default" w:ascii="CESI仿宋-GB2312" w:hAnsi="CESI仿宋-GB2312" w:eastAsia="CESI仿宋-GB2312" w:cs="CESI仿宋-GB2312"/>
          <w:b/>
          <w:bCs/>
          <w:color w:val="auto"/>
          <w:kern w:val="2"/>
          <w:sz w:val="24"/>
          <w:szCs w:val="24"/>
          <w:highlight w:val="none"/>
          <w:lang w:val="en-US" w:eastAsia="zh-CN" w:bidi="ar-SA"/>
        </w:rPr>
      </w:pPr>
      <w:r>
        <w:rPr>
          <w:rFonts w:hint="eastAsia" w:ascii="CESI仿宋-GB2312" w:hAnsi="CESI仿宋-GB2312" w:eastAsia="CESI仿宋-GB2312" w:cs="CESI仿宋-GB2312"/>
          <w:b/>
          <w:bCs/>
          <w:color w:val="auto"/>
          <w:kern w:val="2"/>
          <w:sz w:val="24"/>
          <w:szCs w:val="24"/>
          <w:highlight w:val="none"/>
          <w:lang w:val="en-US" w:eastAsia="zh-CN" w:bidi="ar-SA"/>
        </w:rPr>
        <w:t>1T油罐6只及油路管道连接（含控制、油泵及油泵房等）</w:t>
      </w:r>
    </w:p>
    <w:tbl>
      <w:tblPr>
        <w:tblStyle w:val="6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1229"/>
        <w:gridCol w:w="6487"/>
      </w:tblGrid>
      <w:tr w14:paraId="303FB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1" w:type="pct"/>
            <w:tcBorders>
              <w:top w:val="single" w:color="auto" w:sz="4" w:space="0"/>
              <w:left w:val="single" w:color="auto" w:sz="4" w:space="0"/>
              <w:bottom w:val="single" w:color="auto" w:sz="4" w:space="0"/>
              <w:right w:val="single" w:color="auto" w:sz="4" w:space="0"/>
            </w:tcBorders>
            <w:noWrap w:val="0"/>
            <w:vAlign w:val="center"/>
          </w:tcPr>
          <w:p w14:paraId="65F59577">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序号</w:t>
            </w:r>
          </w:p>
        </w:tc>
        <w:tc>
          <w:tcPr>
            <w:tcW w:w="721" w:type="pct"/>
            <w:tcBorders>
              <w:top w:val="single" w:color="auto" w:sz="4" w:space="0"/>
              <w:left w:val="single" w:color="auto" w:sz="4" w:space="0"/>
              <w:bottom w:val="single" w:color="auto" w:sz="4" w:space="0"/>
              <w:right w:val="single" w:color="auto" w:sz="4" w:space="0"/>
            </w:tcBorders>
            <w:noWrap w:val="0"/>
            <w:vAlign w:val="center"/>
          </w:tcPr>
          <w:p w14:paraId="19CC9F4B">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指标项目</w:t>
            </w:r>
          </w:p>
        </w:tc>
        <w:tc>
          <w:tcPr>
            <w:tcW w:w="3806" w:type="pct"/>
            <w:tcBorders>
              <w:top w:val="single" w:color="auto" w:sz="4" w:space="0"/>
              <w:left w:val="single" w:color="auto" w:sz="4" w:space="0"/>
              <w:bottom w:val="single" w:color="auto" w:sz="4" w:space="0"/>
              <w:right w:val="single" w:color="auto" w:sz="4" w:space="0"/>
            </w:tcBorders>
            <w:noWrap w:val="0"/>
            <w:vAlign w:val="center"/>
          </w:tcPr>
          <w:p w14:paraId="640298EF">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主要技术参数</w:t>
            </w:r>
          </w:p>
        </w:tc>
      </w:tr>
      <w:tr w14:paraId="4B21E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Borders>
              <w:top w:val="single" w:color="auto" w:sz="4" w:space="0"/>
              <w:left w:val="single" w:color="auto" w:sz="4" w:space="0"/>
              <w:bottom w:val="single" w:color="auto" w:sz="4" w:space="0"/>
              <w:right w:val="single" w:color="auto" w:sz="4" w:space="0"/>
            </w:tcBorders>
            <w:noWrap w:val="0"/>
            <w:vAlign w:val="center"/>
          </w:tcPr>
          <w:p w14:paraId="5DE4846F">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w:t>
            </w:r>
          </w:p>
        </w:tc>
        <w:tc>
          <w:tcPr>
            <w:tcW w:w="721" w:type="pct"/>
            <w:tcBorders>
              <w:top w:val="single" w:color="auto" w:sz="4" w:space="0"/>
              <w:left w:val="single" w:color="auto" w:sz="4" w:space="0"/>
              <w:bottom w:val="single" w:color="auto" w:sz="4" w:space="0"/>
              <w:right w:val="single" w:color="auto" w:sz="4" w:space="0"/>
            </w:tcBorders>
            <w:noWrap w:val="0"/>
            <w:vAlign w:val="center"/>
          </w:tcPr>
          <w:p w14:paraId="46FEDEB5">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新建油罐</w:t>
            </w:r>
          </w:p>
        </w:tc>
        <w:tc>
          <w:tcPr>
            <w:tcW w:w="3806" w:type="pct"/>
            <w:tcBorders>
              <w:top w:val="single" w:color="auto" w:sz="4" w:space="0"/>
              <w:left w:val="single" w:color="auto" w:sz="4" w:space="0"/>
              <w:bottom w:val="single" w:color="auto" w:sz="4" w:space="0"/>
              <w:right w:val="single" w:color="auto" w:sz="4" w:space="0"/>
            </w:tcBorders>
            <w:noWrap w:val="0"/>
            <w:vAlign w:val="center"/>
          </w:tcPr>
          <w:p w14:paraId="735D7BFC">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材料及厚度：油罐采用δ=</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，优质</w:t>
            </w:r>
            <w:r>
              <w:rPr>
                <w:rFonts w:hint="eastAsia" w:ascii="仿宋" w:hAnsi="仿宋" w:eastAsia="仿宋" w:cs="仿宋"/>
                <w:color w:val="auto"/>
                <w:sz w:val="24"/>
                <w:szCs w:val="24"/>
                <w:highlight w:val="none"/>
                <w:lang w:val="en-US" w:eastAsia="zh-CN"/>
              </w:rPr>
              <w:t>不锈钢</w:t>
            </w:r>
            <w:r>
              <w:rPr>
                <w:rFonts w:hint="eastAsia" w:ascii="仿宋" w:hAnsi="仿宋" w:eastAsia="仿宋" w:cs="仿宋"/>
                <w:color w:val="auto"/>
                <w:sz w:val="24"/>
                <w:szCs w:val="24"/>
                <w:highlight w:val="none"/>
              </w:rPr>
              <w:t>卷制</w:t>
            </w:r>
          </w:p>
          <w:p w14:paraId="1774FD5E">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安装方式：卧式、架空安装</w:t>
            </w:r>
            <w:r>
              <w:rPr>
                <w:rFonts w:hint="eastAsia" w:ascii="仿宋" w:hAnsi="仿宋" w:eastAsia="仿宋" w:cs="仿宋"/>
                <w:color w:val="auto"/>
                <w:sz w:val="24"/>
                <w:szCs w:val="24"/>
                <w:highlight w:val="none"/>
                <w:lang w:eastAsia="zh-CN"/>
              </w:rPr>
              <w:t>（按馆方要求）</w:t>
            </w:r>
          </w:p>
          <w:p w14:paraId="6C30291A">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b w:val="0"/>
                <w:bCs w:val="0"/>
                <w:color w:val="auto"/>
                <w:kern w:val="0"/>
                <w:sz w:val="24"/>
                <w:szCs w:val="24"/>
                <w:highlight w:val="none"/>
                <w:u w:val="none"/>
                <w:lang w:val="en-US" w:eastAsia="zh-CN"/>
              </w:rPr>
              <w:t>火化车间高位油箱液面计改用磁翻板，油量显示更直观（可自、手动打油），需装有加装冷凝剂的口子。</w:t>
            </w:r>
          </w:p>
          <w:p w14:paraId="2F2B587A">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rPr>
                <w:rFonts w:hint="eastAsia" w:ascii="仿宋" w:hAnsi="仿宋" w:eastAsia="仿宋" w:cs="仿宋"/>
                <w:b w:val="0"/>
                <w:bCs w:val="0"/>
                <w:color w:val="auto"/>
                <w:sz w:val="24"/>
                <w:szCs w:val="24"/>
                <w:highlight w:val="none"/>
              </w:rPr>
            </w:pPr>
            <w:r>
              <w:rPr>
                <w:rFonts w:hint="eastAsia" w:ascii="仿宋" w:hAnsi="仿宋" w:eastAsia="仿宋" w:cs="仿宋"/>
                <w:color w:val="auto"/>
                <w:sz w:val="24"/>
                <w:szCs w:val="24"/>
                <w:highlight w:val="none"/>
              </w:rPr>
              <w:t>油罐两头采用平板封头，经对接后进行无缝焊接，然后经过油罐气密性常压施压检测。</w:t>
            </w:r>
          </w:p>
        </w:tc>
      </w:tr>
      <w:tr w14:paraId="5C869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Borders>
              <w:top w:val="single" w:color="auto" w:sz="4" w:space="0"/>
              <w:left w:val="single" w:color="auto" w:sz="4" w:space="0"/>
              <w:bottom w:val="single" w:color="auto" w:sz="4" w:space="0"/>
              <w:right w:val="single" w:color="auto" w:sz="4" w:space="0"/>
            </w:tcBorders>
            <w:noWrap w:val="0"/>
            <w:vAlign w:val="center"/>
          </w:tcPr>
          <w:p w14:paraId="3F882980">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w:t>
            </w:r>
          </w:p>
        </w:tc>
        <w:tc>
          <w:tcPr>
            <w:tcW w:w="721" w:type="pct"/>
            <w:tcBorders>
              <w:top w:val="single" w:color="auto" w:sz="4" w:space="0"/>
              <w:left w:val="single" w:color="auto" w:sz="4" w:space="0"/>
              <w:bottom w:val="single" w:color="auto" w:sz="4" w:space="0"/>
              <w:right w:val="single" w:color="auto" w:sz="4" w:space="0"/>
            </w:tcBorders>
            <w:noWrap w:val="0"/>
            <w:vAlign w:val="center"/>
          </w:tcPr>
          <w:p w14:paraId="3515C306">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油罐至车间连接管道</w:t>
            </w:r>
          </w:p>
        </w:tc>
        <w:tc>
          <w:tcPr>
            <w:tcW w:w="3806" w:type="pct"/>
            <w:tcBorders>
              <w:top w:val="single" w:color="auto" w:sz="4" w:space="0"/>
              <w:left w:val="single" w:color="auto" w:sz="4" w:space="0"/>
              <w:bottom w:val="single" w:color="auto" w:sz="4" w:space="0"/>
              <w:right w:val="single" w:color="auto" w:sz="4" w:space="0"/>
            </w:tcBorders>
            <w:noWrap w:val="0"/>
            <w:vAlign w:val="center"/>
          </w:tcPr>
          <w:p w14:paraId="0A69E8DC">
            <w:pPr>
              <w:keepNext w:val="0"/>
              <w:keepLines w:val="0"/>
              <w:pageBreakBefore w:val="0"/>
              <w:numPr>
                <w:ilvl w:val="0"/>
                <w:numId w:val="2"/>
              </w:numPr>
              <w:suppressLineNumbers w:val="0"/>
              <w:kinsoku/>
              <w:overflowPunct/>
              <w:topLinePunct w:val="0"/>
              <w:bidi w:val="0"/>
              <w:spacing w:before="0" w:beforeAutospacing="0" w:after="0" w:afterAutospacing="0" w:line="400" w:lineRule="exact"/>
              <w:ind w:left="0" w:right="0" w:firstLine="0" w:firstLine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油罐至车间管道连接，采用304不锈钢管制作。</w:t>
            </w:r>
          </w:p>
          <w:p w14:paraId="1C614269">
            <w:pPr>
              <w:keepNext w:val="0"/>
              <w:keepLines w:val="0"/>
              <w:pageBreakBefore w:val="0"/>
              <w:numPr>
                <w:ilvl w:val="0"/>
                <w:numId w:val="2"/>
              </w:numPr>
              <w:suppressLineNumbers w:val="0"/>
              <w:kinsoku/>
              <w:overflowPunct/>
              <w:topLinePunct w:val="0"/>
              <w:bidi w:val="0"/>
              <w:spacing w:before="0" w:beforeAutospacing="0" w:after="0" w:afterAutospacing="0" w:line="400" w:lineRule="exact"/>
              <w:ind w:left="0" w:right="0" w:firstLine="0" w:firstLine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每只油罐之间供油管道及管道连接</w:t>
            </w:r>
          </w:p>
          <w:p w14:paraId="697223EA">
            <w:pPr>
              <w:keepNext w:val="0"/>
              <w:keepLines w:val="0"/>
              <w:pageBreakBefore w:val="0"/>
              <w:numPr>
                <w:ilvl w:val="0"/>
                <w:numId w:val="0"/>
              </w:numPr>
              <w:suppressLineNumbers w:val="0"/>
              <w:kinsoku/>
              <w:overflowPunct/>
              <w:topLinePunct w:val="0"/>
              <w:bidi w:val="0"/>
              <w:spacing w:before="0" w:beforeAutospacing="0" w:after="0" w:afterAutospacing="0" w:line="400" w:lineRule="exact"/>
              <w:ind w:left="0" w:right="0"/>
              <w:rPr>
                <w:rFonts w:hint="eastAsia" w:ascii="仿宋" w:hAnsi="仿宋" w:eastAsia="仿宋" w:cs="仿宋"/>
                <w:b/>
                <w:bCs/>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3、罐之间的油路控制</w:t>
            </w:r>
          </w:p>
        </w:tc>
      </w:tr>
      <w:tr w14:paraId="5346B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Borders>
              <w:top w:val="single" w:color="auto" w:sz="4" w:space="0"/>
              <w:left w:val="single" w:color="auto" w:sz="4" w:space="0"/>
              <w:bottom w:val="single" w:color="auto" w:sz="4" w:space="0"/>
              <w:right w:val="single" w:color="auto" w:sz="4" w:space="0"/>
            </w:tcBorders>
            <w:noWrap w:val="0"/>
            <w:vAlign w:val="center"/>
          </w:tcPr>
          <w:p w14:paraId="7F07AD7E">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w:t>
            </w:r>
          </w:p>
        </w:tc>
        <w:tc>
          <w:tcPr>
            <w:tcW w:w="721" w:type="pct"/>
            <w:tcBorders>
              <w:top w:val="single" w:color="auto" w:sz="4" w:space="0"/>
              <w:left w:val="single" w:color="auto" w:sz="4" w:space="0"/>
              <w:bottom w:val="single" w:color="auto" w:sz="4" w:space="0"/>
              <w:right w:val="single" w:color="auto" w:sz="4" w:space="0"/>
            </w:tcBorders>
            <w:noWrap w:val="0"/>
            <w:vAlign w:val="center"/>
          </w:tcPr>
          <w:p w14:paraId="65059363">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油泵及油泵房</w:t>
            </w:r>
          </w:p>
        </w:tc>
        <w:tc>
          <w:tcPr>
            <w:tcW w:w="3806" w:type="pct"/>
            <w:tcBorders>
              <w:top w:val="single" w:color="auto" w:sz="4" w:space="0"/>
              <w:left w:val="single" w:color="auto" w:sz="4" w:space="0"/>
              <w:bottom w:val="single" w:color="auto" w:sz="4" w:space="0"/>
              <w:right w:val="single" w:color="auto" w:sz="4" w:space="0"/>
            </w:tcBorders>
            <w:noWrap w:val="0"/>
            <w:vAlign w:val="center"/>
          </w:tcPr>
          <w:p w14:paraId="6A72E0D1">
            <w:pPr>
              <w:keepNext w:val="0"/>
              <w:keepLines w:val="0"/>
              <w:pageBreakBefore w:val="0"/>
              <w:numPr>
                <w:ilvl w:val="0"/>
                <w:numId w:val="0"/>
              </w:numPr>
              <w:suppressLineNumbers w:val="0"/>
              <w:kinsoku/>
              <w:overflowPunct/>
              <w:topLinePunct w:val="0"/>
              <w:bidi w:val="0"/>
              <w:spacing w:before="0" w:beforeAutospacing="0" w:after="0" w:afterAutospacing="0" w:line="400" w:lineRule="exact"/>
              <w:ind w:left="0" w:right="0"/>
              <w:rPr>
                <w:rFonts w:hint="default"/>
                <w:color w:val="auto"/>
                <w:highlight w:val="none"/>
                <w:lang w:val="en-US" w:eastAsia="zh-CN"/>
              </w:rPr>
            </w:pPr>
            <w:r>
              <w:rPr>
                <w:rFonts w:hint="eastAsia" w:ascii="仿宋" w:hAnsi="仿宋" w:eastAsia="仿宋" w:cs="仿宋"/>
                <w:b w:val="0"/>
                <w:bCs w:val="0"/>
                <w:color w:val="auto"/>
                <w:sz w:val="24"/>
                <w:szCs w:val="24"/>
                <w:highlight w:val="none"/>
                <w:lang w:val="en-US" w:eastAsia="zh-CN"/>
              </w:rPr>
              <w:t>油泵两只（其中一只备用，通过在线连接），油泵房面积能同时覆盖两只油泵，建造要求为可封闭式304不锈钢结构，面积不小于4m²。</w:t>
            </w:r>
          </w:p>
        </w:tc>
      </w:tr>
    </w:tbl>
    <w:p w14:paraId="7E880BB9">
      <w:pPr>
        <w:pStyle w:val="5"/>
        <w:numPr>
          <w:ilvl w:val="0"/>
          <w:numId w:val="1"/>
        </w:numPr>
        <w:ind w:left="432" w:leftChars="0" w:hanging="432" w:firstLineChars="0"/>
        <w:rPr>
          <w:rFonts w:hint="default" w:ascii="CESI仿宋-GB2312" w:hAnsi="CESI仿宋-GB2312" w:eastAsia="CESI仿宋-GB2312" w:cs="CESI仿宋-GB2312"/>
          <w:b/>
          <w:bCs/>
          <w:color w:val="auto"/>
          <w:kern w:val="2"/>
          <w:sz w:val="24"/>
          <w:szCs w:val="24"/>
          <w:highlight w:val="none"/>
          <w:lang w:val="en-US" w:eastAsia="zh-CN" w:bidi="ar-SA"/>
        </w:rPr>
      </w:pPr>
      <w:r>
        <w:rPr>
          <w:rFonts w:hint="default" w:ascii="CESI仿宋-GB2312" w:hAnsi="CESI仿宋-GB2312" w:eastAsia="CESI仿宋-GB2312" w:cs="CESI仿宋-GB2312"/>
          <w:b/>
          <w:bCs/>
          <w:color w:val="auto"/>
          <w:kern w:val="2"/>
          <w:sz w:val="24"/>
          <w:szCs w:val="24"/>
          <w:highlight w:val="none"/>
          <w:lang w:val="en-US" w:eastAsia="zh-CN" w:bidi="ar-SA"/>
        </w:rPr>
        <w:t>骨灰冷却整理平台（带除尘）</w:t>
      </w:r>
    </w:p>
    <w:p w14:paraId="4C55D977">
      <w:pPr>
        <w:numPr>
          <w:ilvl w:val="0"/>
          <w:numId w:val="0"/>
        </w:numPr>
        <w:ind w:leftChars="0"/>
        <w:rPr>
          <w:rFonts w:hint="default" w:ascii="CESI仿宋-GB2312" w:hAnsi="CESI仿宋-GB2312" w:eastAsia="CESI仿宋-GB2312" w:cs="CESI仿宋-GB2312"/>
          <w:b/>
          <w:bCs/>
          <w:color w:val="auto"/>
          <w:kern w:val="2"/>
          <w:sz w:val="24"/>
          <w:szCs w:val="24"/>
          <w:highlight w:val="none"/>
          <w:lang w:val="en-US" w:eastAsia="zh-CN" w:bidi="ar-SA"/>
        </w:rPr>
      </w:pPr>
      <w:r>
        <w:rPr>
          <w:rFonts w:hint="eastAsia" w:ascii="CESI仿宋-GB2312" w:hAnsi="CESI仿宋-GB2312" w:eastAsia="CESI仿宋-GB2312" w:cs="CESI仿宋-GB2312"/>
          <w:b/>
          <w:bCs/>
          <w:color w:val="auto"/>
          <w:kern w:val="2"/>
          <w:sz w:val="24"/>
          <w:szCs w:val="24"/>
          <w:highlight w:val="none"/>
          <w:lang w:val="en-US" w:eastAsia="zh-CN" w:bidi="ar-SA"/>
        </w:rPr>
        <w:t>7.1</w:t>
      </w:r>
      <w:r>
        <w:rPr>
          <w:rFonts w:hint="default" w:ascii="CESI仿宋-GB2312" w:hAnsi="CESI仿宋-GB2312" w:eastAsia="CESI仿宋-GB2312" w:cs="CESI仿宋-GB2312"/>
          <w:b/>
          <w:bCs/>
          <w:color w:val="auto"/>
          <w:kern w:val="2"/>
          <w:sz w:val="24"/>
          <w:szCs w:val="24"/>
          <w:highlight w:val="none"/>
          <w:lang w:val="en-US" w:eastAsia="zh-CN" w:bidi="ar-SA"/>
        </w:rPr>
        <w:t>骨灰冷却整理平台技术参数</w:t>
      </w:r>
    </w:p>
    <w:tbl>
      <w:tblPr>
        <w:tblStyle w:val="62"/>
        <w:tblpPr w:leftFromText="180" w:rightFromText="180" w:vertAnchor="text" w:horzAnchor="page" w:tblpX="1795" w:tblpY="107"/>
        <w:tblW w:w="500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4"/>
        <w:gridCol w:w="1417"/>
        <w:gridCol w:w="6323"/>
      </w:tblGrid>
      <w:tr w14:paraId="31EA9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 w:type="pct"/>
            <w:noWrap w:val="0"/>
            <w:vAlign w:val="center"/>
          </w:tcPr>
          <w:p w14:paraId="4EB613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序号</w:t>
            </w:r>
          </w:p>
        </w:tc>
        <w:tc>
          <w:tcPr>
            <w:tcW w:w="830" w:type="pct"/>
            <w:noWrap w:val="0"/>
            <w:vAlign w:val="center"/>
          </w:tcPr>
          <w:p w14:paraId="7E399B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名称</w:t>
            </w:r>
          </w:p>
        </w:tc>
        <w:tc>
          <w:tcPr>
            <w:tcW w:w="3703" w:type="pct"/>
            <w:noWrap w:val="0"/>
            <w:vAlign w:val="center"/>
          </w:tcPr>
          <w:p w14:paraId="31306D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技术参数</w:t>
            </w:r>
          </w:p>
        </w:tc>
      </w:tr>
      <w:tr w14:paraId="4AA33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 w:type="pct"/>
            <w:noWrap w:val="0"/>
            <w:vAlign w:val="center"/>
          </w:tcPr>
          <w:p w14:paraId="2EE036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w:t>
            </w:r>
          </w:p>
        </w:tc>
        <w:tc>
          <w:tcPr>
            <w:tcW w:w="830" w:type="pct"/>
            <w:noWrap w:val="0"/>
            <w:vAlign w:val="center"/>
          </w:tcPr>
          <w:p w14:paraId="5E032707">
            <w:pPr>
              <w:pStyle w:val="340"/>
              <w:keepNext w:val="0"/>
              <w:keepLines w:val="0"/>
              <w:pageBreakBefore w:val="0"/>
              <w:widowControl w:val="0"/>
              <w:suppressLineNumbers w:val="0"/>
              <w:kinsoku/>
              <w:wordWrap/>
              <w:overflowPunct/>
              <w:topLinePunct w:val="0"/>
              <w:autoSpaceDE/>
              <w:autoSpaceDN/>
              <w:bidi w:val="0"/>
              <w:adjustRightInd/>
              <w:snapToGrid/>
              <w:spacing w:beforeAutospacing="0" w:afterAutospacing="0" w:line="400" w:lineRule="exact"/>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pacing w:val="-12"/>
                <w:sz w:val="24"/>
                <w:szCs w:val="24"/>
                <w:highlight w:val="none"/>
              </w:rPr>
              <w:t>设备机壳</w:t>
            </w:r>
          </w:p>
        </w:tc>
        <w:tc>
          <w:tcPr>
            <w:tcW w:w="3703" w:type="pct"/>
            <w:noWrap w:val="0"/>
            <w:vAlign w:val="center"/>
          </w:tcPr>
          <w:p w14:paraId="500B5CF8">
            <w:pPr>
              <w:pStyle w:val="340"/>
              <w:keepNext w:val="0"/>
              <w:keepLines w:val="0"/>
              <w:pageBreakBefore w:val="0"/>
              <w:widowControl w:val="0"/>
              <w:suppressLineNumbers w:val="0"/>
              <w:kinsoku/>
              <w:wordWrap/>
              <w:overflowPunct/>
              <w:topLinePunct w:val="0"/>
              <w:autoSpaceDE/>
              <w:autoSpaceDN/>
              <w:bidi w:val="0"/>
              <w:adjustRightInd/>
              <w:snapToGrid/>
              <w:spacing w:beforeAutospacing="0" w:afterAutospacing="0" w:line="400" w:lineRule="exact"/>
              <w:ind w:left="0" w:right="0" w:firstLine="0" w:firstLineChars="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pacing w:val="-12"/>
                <w:sz w:val="24"/>
                <w:szCs w:val="24"/>
                <w:highlight w:val="none"/>
              </w:rPr>
              <w:t>304</w:t>
            </w:r>
            <w:r>
              <w:rPr>
                <w:rFonts w:hint="eastAsia" w:ascii="仿宋" w:hAnsi="仿宋" w:eastAsia="仿宋" w:cs="仿宋"/>
                <w:color w:val="auto"/>
                <w:spacing w:val="-33"/>
                <w:sz w:val="24"/>
                <w:szCs w:val="24"/>
                <w:highlight w:val="none"/>
              </w:rPr>
              <w:t xml:space="preserve"> </w:t>
            </w:r>
            <w:r>
              <w:rPr>
                <w:rFonts w:hint="eastAsia" w:ascii="仿宋" w:hAnsi="仿宋" w:eastAsia="仿宋" w:cs="仿宋"/>
                <w:color w:val="auto"/>
                <w:spacing w:val="-12"/>
                <w:sz w:val="24"/>
                <w:szCs w:val="24"/>
                <w:highlight w:val="none"/>
              </w:rPr>
              <w:t>不锈钢</w:t>
            </w:r>
          </w:p>
        </w:tc>
      </w:tr>
      <w:tr w14:paraId="3B6D3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 w:type="pct"/>
            <w:noWrap w:val="0"/>
            <w:vAlign w:val="center"/>
          </w:tcPr>
          <w:p w14:paraId="7D7FBE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w:t>
            </w:r>
          </w:p>
        </w:tc>
        <w:tc>
          <w:tcPr>
            <w:tcW w:w="830" w:type="pct"/>
            <w:noWrap w:val="0"/>
            <w:vAlign w:val="center"/>
          </w:tcPr>
          <w:p w14:paraId="40F5FA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pacing w:val="-9"/>
                <w:sz w:val="24"/>
                <w:szCs w:val="24"/>
                <w:highlight w:val="none"/>
              </w:rPr>
              <w:t>台面</w:t>
            </w:r>
          </w:p>
        </w:tc>
        <w:tc>
          <w:tcPr>
            <w:tcW w:w="3703" w:type="pct"/>
            <w:noWrap w:val="0"/>
            <w:vAlign w:val="center"/>
          </w:tcPr>
          <w:p w14:paraId="367EEE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pacing w:val="-9"/>
                <w:sz w:val="24"/>
                <w:szCs w:val="24"/>
                <w:highlight w:val="none"/>
              </w:rPr>
              <w:t>5mm304</w:t>
            </w:r>
            <w:r>
              <w:rPr>
                <w:rFonts w:hint="eastAsia" w:ascii="仿宋" w:hAnsi="仿宋" w:eastAsia="仿宋" w:cs="仿宋"/>
                <w:color w:val="auto"/>
                <w:spacing w:val="-34"/>
                <w:sz w:val="24"/>
                <w:szCs w:val="24"/>
                <w:highlight w:val="none"/>
              </w:rPr>
              <w:t xml:space="preserve"> </w:t>
            </w:r>
            <w:r>
              <w:rPr>
                <w:rFonts w:hint="eastAsia" w:ascii="仿宋" w:hAnsi="仿宋" w:eastAsia="仿宋" w:cs="仿宋"/>
                <w:color w:val="auto"/>
                <w:spacing w:val="-9"/>
                <w:sz w:val="24"/>
                <w:szCs w:val="24"/>
                <w:highlight w:val="none"/>
              </w:rPr>
              <w:t>不锈钢</w:t>
            </w:r>
            <w:r>
              <w:rPr>
                <w:rFonts w:hint="eastAsia" w:ascii="仿宋" w:hAnsi="仿宋" w:eastAsia="仿宋" w:cs="仿宋"/>
                <w:color w:val="auto"/>
                <w:spacing w:val="-9"/>
                <w:sz w:val="24"/>
                <w:szCs w:val="24"/>
                <w:highlight w:val="none"/>
                <w:lang w:eastAsia="zh-CN"/>
              </w:rPr>
              <w:t>（</w:t>
            </w:r>
            <w:r>
              <w:rPr>
                <w:rFonts w:hint="eastAsia" w:ascii="仿宋" w:hAnsi="仿宋" w:eastAsia="仿宋" w:cs="仿宋"/>
                <w:color w:val="auto"/>
                <w:spacing w:val="-9"/>
                <w:sz w:val="24"/>
                <w:szCs w:val="24"/>
                <w:highlight w:val="none"/>
                <w:lang w:val="en-US" w:eastAsia="zh-CN"/>
              </w:rPr>
              <w:t>是否打孔按</w:t>
            </w:r>
            <w:r>
              <w:rPr>
                <w:rFonts w:hint="eastAsia" w:ascii="仿宋" w:hAnsi="仿宋" w:eastAsia="仿宋" w:cs="仿宋"/>
                <w:color w:val="auto"/>
                <w:spacing w:val="-9"/>
                <w:sz w:val="24"/>
                <w:szCs w:val="24"/>
                <w:highlight w:val="none"/>
                <w:lang w:val="en-US" w:eastAsia="zh-CN"/>
              </w:rPr>
              <w:t>采购人</w:t>
            </w:r>
            <w:r>
              <w:rPr>
                <w:rFonts w:hint="eastAsia" w:ascii="仿宋" w:hAnsi="仿宋" w:eastAsia="仿宋" w:cs="仿宋"/>
                <w:color w:val="auto"/>
                <w:spacing w:val="-9"/>
                <w:sz w:val="24"/>
                <w:szCs w:val="24"/>
                <w:highlight w:val="none"/>
                <w:lang w:val="en-US" w:eastAsia="zh-CN"/>
              </w:rPr>
              <w:t>要求）</w:t>
            </w:r>
          </w:p>
        </w:tc>
      </w:tr>
      <w:tr w14:paraId="6471D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 w:type="pct"/>
            <w:noWrap w:val="0"/>
            <w:vAlign w:val="center"/>
          </w:tcPr>
          <w:p w14:paraId="4318F2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w:t>
            </w:r>
          </w:p>
        </w:tc>
        <w:tc>
          <w:tcPr>
            <w:tcW w:w="830" w:type="pct"/>
            <w:noWrap w:val="0"/>
            <w:vAlign w:val="center"/>
          </w:tcPr>
          <w:p w14:paraId="7D3130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pacing w:val="-7"/>
                <w:sz w:val="24"/>
                <w:szCs w:val="24"/>
                <w:highlight w:val="none"/>
              </w:rPr>
              <w:t>设备尺寸</w:t>
            </w:r>
          </w:p>
        </w:tc>
        <w:tc>
          <w:tcPr>
            <w:tcW w:w="3703" w:type="pct"/>
            <w:noWrap w:val="0"/>
            <w:vAlign w:val="center"/>
          </w:tcPr>
          <w:p w14:paraId="31C88C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pacing w:val="-7"/>
                <w:sz w:val="24"/>
                <w:szCs w:val="24"/>
                <w:highlight w:val="none"/>
              </w:rPr>
              <w:t>1200*1000*1600mm</w:t>
            </w:r>
          </w:p>
        </w:tc>
      </w:tr>
      <w:tr w14:paraId="30672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 w:type="pct"/>
            <w:noWrap w:val="0"/>
            <w:vAlign w:val="center"/>
          </w:tcPr>
          <w:p w14:paraId="735CE8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w:t>
            </w:r>
          </w:p>
        </w:tc>
        <w:tc>
          <w:tcPr>
            <w:tcW w:w="830" w:type="pct"/>
            <w:noWrap w:val="0"/>
            <w:vAlign w:val="center"/>
          </w:tcPr>
          <w:p w14:paraId="0AA2B4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pacing w:val="2"/>
                <w:sz w:val="24"/>
                <w:szCs w:val="24"/>
                <w:highlight w:val="none"/>
              </w:rPr>
              <w:t>配置</w:t>
            </w:r>
          </w:p>
        </w:tc>
        <w:tc>
          <w:tcPr>
            <w:tcW w:w="3703" w:type="pct"/>
            <w:noWrap w:val="0"/>
            <w:vAlign w:val="center"/>
          </w:tcPr>
          <w:p w14:paraId="7FE58126">
            <w:pPr>
              <w:pStyle w:val="340"/>
              <w:keepNext w:val="0"/>
              <w:keepLines w:val="0"/>
              <w:pageBreakBefore w:val="0"/>
              <w:widowControl w:val="0"/>
              <w:suppressLineNumbers w:val="0"/>
              <w:kinsoku/>
              <w:wordWrap/>
              <w:overflowPunct/>
              <w:topLinePunct w:val="0"/>
              <w:autoSpaceDE/>
              <w:autoSpaceDN/>
              <w:bidi w:val="0"/>
              <w:adjustRightInd/>
              <w:snapToGrid/>
              <w:spacing w:beforeAutospacing="0" w:afterAutospacing="0" w:line="400" w:lineRule="exact"/>
              <w:ind w:left="0" w:right="0" w:firstLine="0" w:firstLineChars="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pacing w:val="-12"/>
                <w:sz w:val="24"/>
                <w:szCs w:val="24"/>
                <w:highlight w:val="none"/>
              </w:rPr>
              <w:t>2.2kw 风机一台、脉冲自动清灰系统一 套、 325*500mm 滤芯两个、控制电箱一套、LED 灯一套、油水分离器一个、工业插头一 套、正面半开门一套、物料回收槽一个。</w:t>
            </w:r>
          </w:p>
        </w:tc>
      </w:tr>
    </w:tbl>
    <w:p w14:paraId="62DEBBE9">
      <w:pPr>
        <w:pStyle w:val="5"/>
        <w:rPr>
          <w:rFonts w:hint="default" w:ascii="CESI仿宋-GB2312" w:hAnsi="CESI仿宋-GB2312" w:eastAsia="CESI仿宋-GB2312" w:cs="CESI仿宋-GB2312"/>
          <w:b/>
          <w:bCs/>
          <w:color w:val="auto"/>
          <w:kern w:val="2"/>
          <w:sz w:val="24"/>
          <w:szCs w:val="24"/>
          <w:highlight w:val="none"/>
          <w:lang w:val="en-US" w:eastAsia="zh-CN" w:bidi="ar-SA"/>
        </w:rPr>
      </w:pPr>
      <w:r>
        <w:rPr>
          <w:rFonts w:hint="eastAsia" w:ascii="CESI仿宋-GB2312" w:hAnsi="CESI仿宋-GB2312" w:eastAsia="CESI仿宋-GB2312" w:cs="CESI仿宋-GB2312"/>
          <w:b/>
          <w:bCs/>
          <w:color w:val="auto"/>
          <w:kern w:val="2"/>
          <w:sz w:val="24"/>
          <w:szCs w:val="24"/>
          <w:highlight w:val="none"/>
          <w:lang w:val="en-US" w:eastAsia="zh-CN" w:bidi="ar-SA"/>
        </w:rPr>
        <w:t>7.</w:t>
      </w:r>
      <w:r>
        <w:rPr>
          <w:rFonts w:hint="default" w:ascii="CESI仿宋-GB2312" w:hAnsi="CESI仿宋-GB2312" w:eastAsia="CESI仿宋-GB2312" w:cs="CESI仿宋-GB2312"/>
          <w:b/>
          <w:bCs/>
          <w:color w:val="auto"/>
          <w:kern w:val="2"/>
          <w:sz w:val="24"/>
          <w:szCs w:val="24"/>
          <w:highlight w:val="none"/>
          <w:lang w:val="en-US" w:eastAsia="zh-CN" w:bidi="ar-SA"/>
        </w:rPr>
        <w:t>2骨灰冷却平台技术要求：</w:t>
      </w:r>
    </w:p>
    <w:p w14:paraId="675DD5E5">
      <w:pPr>
        <w:pageBreakBefore w:val="0"/>
        <w:kinsoku/>
        <w:overflowPunct/>
        <w:topLinePunct w:val="0"/>
        <w:bidi w:val="0"/>
        <w:spacing w:line="400" w:lineRule="exact"/>
        <w:ind w:firstLine="0" w:firstLineChars="0"/>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1、骨灰冷却平台进风口处设置一导流板，用于防止含尘气体直接冲击滤桶，从而延长滤桶的适用寿命。</w:t>
      </w:r>
    </w:p>
    <w:p w14:paraId="48AE8323">
      <w:pPr>
        <w:pageBreakBefore w:val="0"/>
        <w:kinsoku/>
        <w:overflowPunct/>
        <w:topLinePunct w:val="0"/>
        <w:bidi w:val="0"/>
        <w:spacing w:line="400" w:lineRule="exact"/>
        <w:ind w:firstLine="0" w:firstLineChars="0"/>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2、防爆式冷却平台设有观察口方便观察集尘箱内粉尘流动情况，大大降低易爆粉尘产生爆炸的可能性。</w:t>
      </w:r>
    </w:p>
    <w:p w14:paraId="44B1678C">
      <w:pPr>
        <w:pageBreakBefore w:val="0"/>
        <w:kinsoku/>
        <w:overflowPunct/>
        <w:topLinePunct w:val="0"/>
        <w:bidi w:val="0"/>
        <w:spacing w:line="400" w:lineRule="exact"/>
        <w:ind w:firstLine="0" w:firstLineChars="0"/>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3、冷却平台下方安装有冷却风机，风机采用优质知名品牌，要求高效高压离心风机，具有效率高，运行平稳等特点。要求风机运行更稳定、寿命更长，能有效避免电机发热、热过载等现象。</w:t>
      </w:r>
    </w:p>
    <w:p w14:paraId="7C09990B">
      <w:pPr>
        <w:pageBreakBefore w:val="0"/>
        <w:kinsoku/>
        <w:overflowPunct/>
        <w:topLinePunct w:val="0"/>
        <w:bidi w:val="0"/>
        <w:spacing w:line="400" w:lineRule="exact"/>
        <w:ind w:firstLine="0" w:firstLineChars="0"/>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4、为了防止噪声污染，对风机出风需采用迷宫降噪、隔音棉等多种降噪处理，保障操作者的身心健康。</w:t>
      </w:r>
    </w:p>
    <w:p w14:paraId="7F59D969">
      <w:pPr>
        <w:pageBreakBefore w:val="0"/>
        <w:kinsoku/>
        <w:overflowPunct/>
        <w:topLinePunct w:val="0"/>
        <w:bidi w:val="0"/>
        <w:spacing w:line="400" w:lineRule="exact"/>
        <w:ind w:firstLine="0" w:firstLineChars="0"/>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5、集冷却平台与除尘功能于一身，直接在产尘源头进行粉尘的清除。</w:t>
      </w:r>
    </w:p>
    <w:p w14:paraId="491EDC8F">
      <w:pPr>
        <w:pageBreakBefore w:val="0"/>
        <w:kinsoku/>
        <w:overflowPunct/>
        <w:topLinePunct w:val="0"/>
        <w:bidi w:val="0"/>
        <w:spacing w:line="400" w:lineRule="exact"/>
        <w:ind w:firstLine="0" w:firstLineChars="0"/>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6、设备结构紧凑、占地面积小，可双工位或多工位同时作业。</w:t>
      </w:r>
    </w:p>
    <w:p w14:paraId="7EDC89A2">
      <w:pPr>
        <w:pageBreakBefore w:val="0"/>
        <w:kinsoku/>
        <w:overflowPunct/>
        <w:topLinePunct w:val="0"/>
        <w:bidi w:val="0"/>
        <w:spacing w:line="400" w:lineRule="exact"/>
        <w:ind w:firstLine="0" w:firstLineChars="0"/>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7、冷却平台上方带有冷却集尘罩，顶部自带灯光照明，采用节能LED灯。</w:t>
      </w:r>
    </w:p>
    <w:p w14:paraId="43B55E94">
      <w:pPr>
        <w:pageBreakBefore w:val="0"/>
        <w:kinsoku/>
        <w:overflowPunct/>
        <w:topLinePunct w:val="0"/>
        <w:bidi w:val="0"/>
        <w:spacing w:line="400" w:lineRule="exact"/>
        <w:ind w:firstLine="0" w:firstLineChars="0"/>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8、滤筒的使用寿命长，性能稳定，更换方便。</w:t>
      </w:r>
    </w:p>
    <w:p w14:paraId="4928A28C">
      <w:pPr>
        <w:pageBreakBefore w:val="0"/>
        <w:kinsoku/>
        <w:overflowPunct/>
        <w:topLinePunct w:val="0"/>
        <w:bidi w:val="0"/>
        <w:spacing w:line="400" w:lineRule="exact"/>
        <w:ind w:firstLine="0" w:firstLineChars="0"/>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9、脉冲反吹式自动清灰，可保障设备始终处于良好工作状态。</w:t>
      </w:r>
    </w:p>
    <w:p w14:paraId="20CC3324">
      <w:pPr>
        <w:pageBreakBefore w:val="0"/>
        <w:kinsoku/>
        <w:overflowPunct/>
        <w:topLinePunct w:val="0"/>
        <w:bidi w:val="0"/>
        <w:spacing w:line="400" w:lineRule="exact"/>
        <w:ind w:firstLine="0" w:firstLineChars="0"/>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10、设有集尘箱，保障倒灰快捷、方便。</w:t>
      </w:r>
    </w:p>
    <w:p w14:paraId="43E97492">
      <w:pPr>
        <w:pageBreakBefore w:val="0"/>
        <w:kinsoku/>
        <w:overflowPunct/>
        <w:topLinePunct w:val="0"/>
        <w:bidi w:val="0"/>
        <w:spacing w:line="400" w:lineRule="exact"/>
        <w:ind w:firstLine="0" w:firstLineChars="0"/>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11、设有相序、缺相、短路保护器，可确保设备的电路系统的稳定性与安全性，安装接电更方便快捷。</w:t>
      </w:r>
    </w:p>
    <w:p w14:paraId="372A3A6A">
      <w:pPr>
        <w:pageBreakBefore w:val="0"/>
        <w:kinsoku/>
        <w:overflowPunct/>
        <w:topLinePunct w:val="0"/>
        <w:bidi w:val="0"/>
        <w:spacing w:line="400" w:lineRule="exact"/>
        <w:ind w:firstLine="0" w:firstLineChars="0"/>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12、独立电箱，避免过滤气体和电气件的接触，阻止电火花与气体接触，起到了防止粉尘爆燃的效果。</w:t>
      </w:r>
    </w:p>
    <w:p w14:paraId="0E1A1AB4">
      <w:pPr>
        <w:bidi w:val="0"/>
        <w:jc w:val="left"/>
        <w:rPr>
          <w:rFonts w:hint="default" w:ascii="CESI仿宋-GB2312" w:hAnsi="CESI仿宋-GB2312" w:eastAsia="CESI仿宋-GB2312" w:cs="CESI仿宋-GB2312"/>
          <w:b/>
          <w:bCs/>
          <w:color w:val="auto"/>
          <w:kern w:val="2"/>
          <w:sz w:val="24"/>
          <w:szCs w:val="24"/>
          <w:highlight w:val="none"/>
          <w:lang w:val="en-US" w:eastAsia="zh-CN" w:bidi="ar-SA"/>
        </w:rPr>
      </w:pPr>
      <w:r>
        <w:rPr>
          <w:rFonts w:hint="eastAsia" w:ascii="CESI仿宋-GB2312" w:hAnsi="CESI仿宋-GB2312" w:eastAsia="CESI仿宋-GB2312" w:cs="CESI仿宋-GB2312"/>
          <w:b/>
          <w:bCs/>
          <w:color w:val="auto"/>
          <w:kern w:val="2"/>
          <w:sz w:val="24"/>
          <w:szCs w:val="24"/>
          <w:highlight w:val="none"/>
          <w:lang w:val="en-US" w:eastAsia="zh-CN" w:bidi="ar-SA"/>
        </w:rPr>
        <w:t>8.</w:t>
      </w:r>
      <w:r>
        <w:rPr>
          <w:rFonts w:hint="default" w:ascii="CESI仿宋-GB2312" w:hAnsi="CESI仿宋-GB2312" w:eastAsia="CESI仿宋-GB2312" w:cs="CESI仿宋-GB2312"/>
          <w:b/>
          <w:bCs/>
          <w:color w:val="auto"/>
          <w:kern w:val="2"/>
          <w:sz w:val="24"/>
          <w:szCs w:val="24"/>
          <w:highlight w:val="none"/>
          <w:lang w:val="en-US" w:eastAsia="zh-CN" w:bidi="ar-SA"/>
        </w:rPr>
        <w:t>火化操作工具及工具架</w:t>
      </w:r>
    </w:p>
    <w:tbl>
      <w:tblPr>
        <w:tblStyle w:val="6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1202"/>
        <w:gridCol w:w="6485"/>
      </w:tblGrid>
      <w:tr w14:paraId="602D4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tcBorders>
              <w:top w:val="single" w:color="auto" w:sz="4" w:space="0"/>
              <w:left w:val="single" w:color="auto" w:sz="4" w:space="0"/>
              <w:bottom w:val="single" w:color="auto" w:sz="4" w:space="0"/>
              <w:right w:val="single" w:color="auto" w:sz="4" w:space="0"/>
            </w:tcBorders>
            <w:noWrap w:val="0"/>
            <w:vAlign w:val="center"/>
          </w:tcPr>
          <w:p w14:paraId="0135F64D">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val="0"/>
                <w:bCs w:val="0"/>
                <w:color w:val="auto"/>
                <w:sz w:val="24"/>
                <w:szCs w:val="24"/>
                <w:highlight w:val="none"/>
              </w:rPr>
            </w:pPr>
            <w:r>
              <w:rPr>
                <w:rFonts w:hint="eastAsia" w:ascii="CESI仿宋-GB2312" w:hAnsi="CESI仿宋-GB2312" w:eastAsia="CESI仿宋-GB2312" w:cs="CESI仿宋-GB2312"/>
                <w:b w:val="0"/>
                <w:bCs w:val="0"/>
                <w:color w:val="auto"/>
                <w:sz w:val="24"/>
                <w:szCs w:val="24"/>
                <w:highlight w:val="none"/>
              </w:rPr>
              <w:t>序号</w:t>
            </w:r>
          </w:p>
        </w:tc>
        <w:tc>
          <w:tcPr>
            <w:tcW w:w="705" w:type="pct"/>
            <w:tcBorders>
              <w:top w:val="single" w:color="auto" w:sz="4" w:space="0"/>
              <w:left w:val="single" w:color="auto" w:sz="4" w:space="0"/>
              <w:bottom w:val="single" w:color="auto" w:sz="4" w:space="0"/>
              <w:right w:val="single" w:color="auto" w:sz="4" w:space="0"/>
            </w:tcBorders>
            <w:noWrap w:val="0"/>
            <w:vAlign w:val="center"/>
          </w:tcPr>
          <w:p w14:paraId="30994A09">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val="0"/>
                <w:bCs w:val="0"/>
                <w:color w:val="auto"/>
                <w:sz w:val="24"/>
                <w:szCs w:val="24"/>
                <w:highlight w:val="none"/>
              </w:rPr>
            </w:pPr>
            <w:r>
              <w:rPr>
                <w:rFonts w:hint="eastAsia" w:ascii="CESI仿宋-GB2312" w:hAnsi="CESI仿宋-GB2312" w:eastAsia="CESI仿宋-GB2312" w:cs="CESI仿宋-GB2312"/>
                <w:b w:val="0"/>
                <w:bCs w:val="0"/>
                <w:color w:val="auto"/>
                <w:sz w:val="24"/>
                <w:szCs w:val="24"/>
                <w:highlight w:val="none"/>
              </w:rPr>
              <w:t>指标项目</w:t>
            </w:r>
          </w:p>
        </w:tc>
        <w:tc>
          <w:tcPr>
            <w:tcW w:w="3805" w:type="pct"/>
            <w:tcBorders>
              <w:top w:val="single" w:color="auto" w:sz="4" w:space="0"/>
              <w:left w:val="single" w:color="auto" w:sz="4" w:space="0"/>
              <w:bottom w:val="single" w:color="auto" w:sz="4" w:space="0"/>
              <w:right w:val="single" w:color="auto" w:sz="4" w:space="0"/>
            </w:tcBorders>
            <w:noWrap w:val="0"/>
            <w:vAlign w:val="center"/>
          </w:tcPr>
          <w:p w14:paraId="40390F6F">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val="0"/>
                <w:bCs w:val="0"/>
                <w:color w:val="auto"/>
                <w:sz w:val="24"/>
                <w:szCs w:val="24"/>
                <w:highlight w:val="none"/>
              </w:rPr>
            </w:pPr>
            <w:r>
              <w:rPr>
                <w:rFonts w:hint="eastAsia" w:ascii="CESI仿宋-GB2312" w:hAnsi="CESI仿宋-GB2312" w:eastAsia="CESI仿宋-GB2312" w:cs="CESI仿宋-GB2312"/>
                <w:b w:val="0"/>
                <w:bCs w:val="0"/>
                <w:color w:val="auto"/>
                <w:sz w:val="24"/>
                <w:szCs w:val="24"/>
                <w:highlight w:val="none"/>
              </w:rPr>
              <w:t>主要技术指标及相关参数</w:t>
            </w:r>
          </w:p>
        </w:tc>
      </w:tr>
      <w:tr w14:paraId="08CCD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tcBorders>
              <w:top w:val="single" w:color="auto" w:sz="4" w:space="0"/>
              <w:left w:val="single" w:color="auto" w:sz="4" w:space="0"/>
              <w:bottom w:val="single" w:color="auto" w:sz="4" w:space="0"/>
              <w:right w:val="single" w:color="auto" w:sz="4" w:space="0"/>
            </w:tcBorders>
            <w:noWrap w:val="0"/>
            <w:vAlign w:val="center"/>
          </w:tcPr>
          <w:p w14:paraId="53A09B3E">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val="0"/>
                <w:bCs w:val="0"/>
                <w:color w:val="auto"/>
                <w:sz w:val="24"/>
                <w:szCs w:val="24"/>
                <w:highlight w:val="none"/>
              </w:rPr>
            </w:pPr>
            <w:r>
              <w:rPr>
                <w:rFonts w:hint="eastAsia" w:ascii="CESI仿宋-GB2312" w:hAnsi="CESI仿宋-GB2312" w:eastAsia="CESI仿宋-GB2312" w:cs="CESI仿宋-GB2312"/>
                <w:b w:val="0"/>
                <w:bCs w:val="0"/>
                <w:color w:val="auto"/>
                <w:sz w:val="24"/>
                <w:szCs w:val="24"/>
                <w:highlight w:val="none"/>
              </w:rPr>
              <w:t>1</w:t>
            </w:r>
          </w:p>
        </w:tc>
        <w:tc>
          <w:tcPr>
            <w:tcW w:w="705" w:type="pct"/>
            <w:tcBorders>
              <w:top w:val="single" w:color="auto" w:sz="4" w:space="0"/>
              <w:left w:val="single" w:color="auto" w:sz="4" w:space="0"/>
              <w:bottom w:val="single" w:color="auto" w:sz="4" w:space="0"/>
              <w:right w:val="single" w:color="auto" w:sz="4" w:space="0"/>
            </w:tcBorders>
            <w:noWrap w:val="0"/>
            <w:vAlign w:val="center"/>
          </w:tcPr>
          <w:p w14:paraId="01CB20C4">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val="0"/>
                <w:bCs w:val="0"/>
                <w:color w:val="auto"/>
                <w:sz w:val="24"/>
                <w:szCs w:val="24"/>
                <w:highlight w:val="none"/>
              </w:rPr>
            </w:pPr>
            <w:r>
              <w:rPr>
                <w:rFonts w:hint="eastAsia" w:ascii="CESI仿宋-GB2312" w:hAnsi="CESI仿宋-GB2312" w:eastAsia="CESI仿宋-GB2312" w:cs="CESI仿宋-GB2312"/>
                <w:b w:val="0"/>
                <w:bCs w:val="0"/>
                <w:color w:val="auto"/>
                <w:sz w:val="24"/>
                <w:szCs w:val="24"/>
                <w:highlight w:val="none"/>
              </w:rPr>
              <w:t>火化操作工具</w:t>
            </w:r>
          </w:p>
        </w:tc>
        <w:tc>
          <w:tcPr>
            <w:tcW w:w="3805" w:type="pct"/>
            <w:tcBorders>
              <w:top w:val="single" w:color="auto" w:sz="4" w:space="0"/>
              <w:left w:val="single" w:color="auto" w:sz="4" w:space="0"/>
              <w:bottom w:val="single" w:color="auto" w:sz="4" w:space="0"/>
              <w:right w:val="single" w:color="auto" w:sz="4" w:space="0"/>
            </w:tcBorders>
            <w:noWrap w:val="0"/>
            <w:vAlign w:val="center"/>
          </w:tcPr>
          <w:p w14:paraId="1D3D7C4A">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rPr>
                <w:rFonts w:hint="eastAsia" w:ascii="CESI仿宋-GB2312" w:hAnsi="CESI仿宋-GB2312" w:eastAsia="CESI仿宋-GB2312" w:cs="CESI仿宋-GB2312"/>
                <w:b w:val="0"/>
                <w:bCs w:val="0"/>
                <w:color w:val="auto"/>
                <w:sz w:val="24"/>
                <w:szCs w:val="24"/>
                <w:highlight w:val="none"/>
              </w:rPr>
            </w:pPr>
            <w:r>
              <w:rPr>
                <w:rFonts w:hint="eastAsia" w:ascii="CESI仿宋-GB2312" w:hAnsi="CESI仿宋-GB2312" w:eastAsia="CESI仿宋-GB2312" w:cs="CESI仿宋-GB2312"/>
                <w:b w:val="0"/>
                <w:bCs w:val="0"/>
                <w:color w:val="auto"/>
                <w:sz w:val="24"/>
                <w:szCs w:val="24"/>
                <w:highlight w:val="none"/>
              </w:rPr>
              <w:t>碳钢钩子：φ16mm×3200mm长1件；碳钢钩子：φ16mm×2200mm长1件；不锈钢耙子：φ22mm×2800mm长1件。</w:t>
            </w:r>
          </w:p>
        </w:tc>
      </w:tr>
      <w:tr w14:paraId="09069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tcBorders>
              <w:top w:val="single" w:color="auto" w:sz="4" w:space="0"/>
              <w:left w:val="single" w:color="auto" w:sz="4" w:space="0"/>
              <w:bottom w:val="single" w:color="auto" w:sz="4" w:space="0"/>
              <w:right w:val="single" w:color="auto" w:sz="4" w:space="0"/>
            </w:tcBorders>
            <w:noWrap w:val="0"/>
            <w:vAlign w:val="center"/>
          </w:tcPr>
          <w:p w14:paraId="2FDE7B13">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val="0"/>
                <w:bCs w:val="0"/>
                <w:color w:val="auto"/>
                <w:sz w:val="24"/>
                <w:szCs w:val="24"/>
                <w:highlight w:val="none"/>
              </w:rPr>
            </w:pPr>
            <w:r>
              <w:rPr>
                <w:rFonts w:hint="eastAsia" w:ascii="CESI仿宋-GB2312" w:hAnsi="CESI仿宋-GB2312" w:eastAsia="CESI仿宋-GB2312" w:cs="CESI仿宋-GB2312"/>
                <w:b w:val="0"/>
                <w:bCs w:val="0"/>
                <w:color w:val="auto"/>
                <w:sz w:val="24"/>
                <w:szCs w:val="24"/>
                <w:highlight w:val="none"/>
              </w:rPr>
              <w:t>2</w:t>
            </w:r>
          </w:p>
        </w:tc>
        <w:tc>
          <w:tcPr>
            <w:tcW w:w="705" w:type="pct"/>
            <w:tcBorders>
              <w:top w:val="single" w:color="auto" w:sz="4" w:space="0"/>
              <w:left w:val="single" w:color="auto" w:sz="4" w:space="0"/>
              <w:bottom w:val="single" w:color="auto" w:sz="4" w:space="0"/>
              <w:right w:val="single" w:color="auto" w:sz="4" w:space="0"/>
            </w:tcBorders>
            <w:noWrap w:val="0"/>
            <w:vAlign w:val="center"/>
          </w:tcPr>
          <w:p w14:paraId="431B1758">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val="0"/>
                <w:bCs w:val="0"/>
                <w:color w:val="auto"/>
                <w:sz w:val="24"/>
                <w:szCs w:val="24"/>
                <w:highlight w:val="none"/>
              </w:rPr>
            </w:pPr>
            <w:r>
              <w:rPr>
                <w:rFonts w:hint="eastAsia" w:ascii="CESI仿宋-GB2312" w:hAnsi="CESI仿宋-GB2312" w:eastAsia="CESI仿宋-GB2312" w:cs="CESI仿宋-GB2312"/>
                <w:b w:val="0"/>
                <w:bCs w:val="0"/>
                <w:color w:val="auto"/>
                <w:sz w:val="24"/>
                <w:szCs w:val="24"/>
                <w:highlight w:val="none"/>
              </w:rPr>
              <w:t>工具架</w:t>
            </w:r>
          </w:p>
        </w:tc>
        <w:tc>
          <w:tcPr>
            <w:tcW w:w="3805" w:type="pct"/>
            <w:tcBorders>
              <w:top w:val="single" w:color="auto" w:sz="4" w:space="0"/>
              <w:left w:val="single" w:color="auto" w:sz="4" w:space="0"/>
              <w:bottom w:val="single" w:color="auto" w:sz="4" w:space="0"/>
              <w:right w:val="single" w:color="auto" w:sz="4" w:space="0"/>
            </w:tcBorders>
            <w:noWrap w:val="0"/>
            <w:vAlign w:val="center"/>
          </w:tcPr>
          <w:p w14:paraId="121A8EBF">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rPr>
                <w:rFonts w:hint="eastAsia" w:ascii="CESI仿宋-GB2312" w:hAnsi="CESI仿宋-GB2312" w:eastAsia="CESI仿宋-GB2312" w:cs="CESI仿宋-GB2312"/>
                <w:b w:val="0"/>
                <w:bCs w:val="0"/>
                <w:color w:val="auto"/>
                <w:sz w:val="24"/>
                <w:szCs w:val="24"/>
                <w:highlight w:val="none"/>
              </w:rPr>
            </w:pPr>
            <w:r>
              <w:rPr>
                <w:rFonts w:hint="eastAsia" w:ascii="CESI仿宋-GB2312" w:hAnsi="CESI仿宋-GB2312" w:eastAsia="CESI仿宋-GB2312" w:cs="CESI仿宋-GB2312"/>
                <w:b w:val="0"/>
                <w:bCs w:val="0"/>
                <w:color w:val="auto"/>
                <w:sz w:val="24"/>
                <w:szCs w:val="24"/>
                <w:highlight w:val="none"/>
              </w:rPr>
              <w:t>采用304不锈钢制作，厚度1.2mm，尺寸：长×宽×高=3400mm×600mm×900mm，尾部自1200mm处加装防护罩，自带吸风系统，更有效减少操作间异味。</w:t>
            </w:r>
          </w:p>
        </w:tc>
      </w:tr>
    </w:tbl>
    <w:p w14:paraId="7CE91828">
      <w:pPr>
        <w:bidi w:val="0"/>
        <w:spacing w:line="360" w:lineRule="auto"/>
        <w:jc w:val="left"/>
        <w:rPr>
          <w:rFonts w:hint="default"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二、人员配备情况（包括但不限于以下人员）</w:t>
      </w:r>
    </w:p>
    <w:tbl>
      <w:tblPr>
        <w:tblStyle w:val="6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4794"/>
        <w:gridCol w:w="2894"/>
      </w:tblGrid>
      <w:tr w14:paraId="67B2F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tcBorders>
              <w:top w:val="single" w:color="auto" w:sz="4" w:space="0"/>
              <w:left w:val="single" w:color="auto" w:sz="4" w:space="0"/>
              <w:bottom w:val="single" w:color="auto" w:sz="4" w:space="0"/>
              <w:right w:val="single" w:color="auto" w:sz="4" w:space="0"/>
            </w:tcBorders>
            <w:noWrap w:val="0"/>
            <w:vAlign w:val="center"/>
          </w:tcPr>
          <w:p w14:paraId="0298E2C0">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val="0"/>
                <w:bCs w:val="0"/>
                <w:color w:val="auto"/>
                <w:sz w:val="24"/>
                <w:szCs w:val="24"/>
                <w:highlight w:val="none"/>
              </w:rPr>
            </w:pPr>
            <w:r>
              <w:rPr>
                <w:rFonts w:hint="eastAsia" w:ascii="CESI仿宋-GB2312" w:hAnsi="CESI仿宋-GB2312" w:eastAsia="CESI仿宋-GB2312" w:cs="CESI仿宋-GB2312"/>
                <w:b w:val="0"/>
                <w:bCs w:val="0"/>
                <w:color w:val="auto"/>
                <w:sz w:val="24"/>
                <w:szCs w:val="24"/>
                <w:highlight w:val="none"/>
              </w:rPr>
              <w:t>序号</w:t>
            </w:r>
          </w:p>
        </w:tc>
        <w:tc>
          <w:tcPr>
            <w:tcW w:w="2813" w:type="pct"/>
            <w:tcBorders>
              <w:top w:val="single" w:color="auto" w:sz="4" w:space="0"/>
              <w:left w:val="single" w:color="auto" w:sz="4" w:space="0"/>
              <w:bottom w:val="single" w:color="auto" w:sz="4" w:space="0"/>
              <w:right w:val="single" w:color="auto" w:sz="4" w:space="0"/>
            </w:tcBorders>
            <w:noWrap w:val="0"/>
            <w:vAlign w:val="center"/>
          </w:tcPr>
          <w:p w14:paraId="3383760E">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val="0"/>
                <w:bCs w:val="0"/>
                <w:color w:val="auto"/>
                <w:sz w:val="24"/>
                <w:szCs w:val="24"/>
                <w:highlight w:val="none"/>
                <w:lang w:eastAsia="zh-CN"/>
              </w:rPr>
            </w:pPr>
            <w:r>
              <w:rPr>
                <w:rFonts w:hint="eastAsia" w:ascii="CESI仿宋-GB2312" w:hAnsi="CESI仿宋-GB2312" w:eastAsia="CESI仿宋-GB2312" w:cs="CESI仿宋-GB2312"/>
                <w:b w:val="0"/>
                <w:bCs w:val="0"/>
                <w:color w:val="auto"/>
                <w:sz w:val="24"/>
                <w:szCs w:val="24"/>
                <w:highlight w:val="none"/>
                <w:lang w:val="en-US" w:eastAsia="zh-CN"/>
              </w:rPr>
              <w:t>岗 位</w:t>
            </w:r>
          </w:p>
        </w:tc>
        <w:tc>
          <w:tcPr>
            <w:tcW w:w="1698" w:type="pct"/>
            <w:tcBorders>
              <w:top w:val="single" w:color="auto" w:sz="4" w:space="0"/>
              <w:left w:val="single" w:color="auto" w:sz="4" w:space="0"/>
              <w:bottom w:val="single" w:color="auto" w:sz="4" w:space="0"/>
              <w:right w:val="single" w:color="auto" w:sz="4" w:space="0"/>
            </w:tcBorders>
            <w:noWrap w:val="0"/>
            <w:vAlign w:val="center"/>
          </w:tcPr>
          <w:p w14:paraId="69C06796">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val="0"/>
                <w:bCs w:val="0"/>
                <w:color w:val="auto"/>
                <w:sz w:val="24"/>
                <w:szCs w:val="24"/>
                <w:highlight w:val="none"/>
                <w:lang w:eastAsia="zh-CN"/>
              </w:rPr>
            </w:pPr>
            <w:r>
              <w:rPr>
                <w:rFonts w:hint="eastAsia" w:ascii="CESI仿宋-GB2312" w:hAnsi="CESI仿宋-GB2312" w:eastAsia="CESI仿宋-GB2312" w:cs="CESI仿宋-GB2312"/>
                <w:b w:val="0"/>
                <w:bCs w:val="0"/>
                <w:color w:val="auto"/>
                <w:sz w:val="24"/>
                <w:szCs w:val="24"/>
                <w:highlight w:val="none"/>
                <w:lang w:val="en-US" w:eastAsia="zh-CN"/>
              </w:rPr>
              <w:t>人数</w:t>
            </w:r>
          </w:p>
        </w:tc>
      </w:tr>
      <w:tr w14:paraId="6082C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tcBorders>
              <w:top w:val="single" w:color="auto" w:sz="4" w:space="0"/>
              <w:left w:val="single" w:color="auto" w:sz="4" w:space="0"/>
              <w:bottom w:val="single" w:color="auto" w:sz="4" w:space="0"/>
              <w:right w:val="single" w:color="auto" w:sz="4" w:space="0"/>
            </w:tcBorders>
            <w:noWrap w:val="0"/>
            <w:vAlign w:val="center"/>
          </w:tcPr>
          <w:p w14:paraId="109475AB">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val="0"/>
                <w:bCs w:val="0"/>
                <w:color w:val="auto"/>
                <w:sz w:val="24"/>
                <w:szCs w:val="24"/>
                <w:highlight w:val="none"/>
              </w:rPr>
            </w:pPr>
            <w:r>
              <w:rPr>
                <w:rFonts w:hint="eastAsia" w:ascii="CESI仿宋-GB2312" w:hAnsi="CESI仿宋-GB2312" w:eastAsia="CESI仿宋-GB2312" w:cs="CESI仿宋-GB2312"/>
                <w:b w:val="0"/>
                <w:bCs w:val="0"/>
                <w:color w:val="auto"/>
                <w:sz w:val="24"/>
                <w:szCs w:val="24"/>
                <w:highlight w:val="none"/>
              </w:rPr>
              <w:t>1</w:t>
            </w:r>
          </w:p>
        </w:tc>
        <w:tc>
          <w:tcPr>
            <w:tcW w:w="4794" w:type="dxa"/>
            <w:tcBorders>
              <w:top w:val="single" w:color="auto" w:sz="4" w:space="0"/>
              <w:left w:val="single" w:color="auto" w:sz="4" w:space="0"/>
              <w:bottom w:val="single" w:color="auto" w:sz="4" w:space="0"/>
              <w:right w:val="single" w:color="auto" w:sz="4" w:space="0"/>
            </w:tcBorders>
            <w:noWrap w:val="0"/>
            <w:vAlign w:val="center"/>
          </w:tcPr>
          <w:p w14:paraId="07F67E46">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val="0"/>
                <w:bCs w:val="0"/>
                <w:color w:val="auto"/>
                <w:sz w:val="24"/>
                <w:szCs w:val="24"/>
                <w:highlight w:val="none"/>
              </w:rPr>
            </w:pPr>
            <w:r>
              <w:rPr>
                <w:rFonts w:hint="eastAsia" w:ascii="CESI仿宋-GB2312" w:hAnsi="CESI仿宋-GB2312" w:eastAsia="CESI仿宋-GB2312" w:cs="CESI仿宋-GB2312"/>
                <w:b w:val="0"/>
                <w:bCs w:val="0"/>
                <w:color w:val="auto"/>
                <w:sz w:val="24"/>
                <w:szCs w:val="24"/>
                <w:highlight w:val="none"/>
                <w:lang w:val="en-US" w:eastAsia="zh-CN"/>
              </w:rPr>
              <w:t>项目负责人</w:t>
            </w:r>
          </w:p>
        </w:tc>
        <w:tc>
          <w:tcPr>
            <w:tcW w:w="2894" w:type="dxa"/>
            <w:tcBorders>
              <w:top w:val="single" w:color="auto" w:sz="4" w:space="0"/>
              <w:left w:val="single" w:color="auto" w:sz="4" w:space="0"/>
              <w:bottom w:val="single" w:color="auto" w:sz="4" w:space="0"/>
              <w:right w:val="single" w:color="auto" w:sz="4" w:space="0"/>
            </w:tcBorders>
            <w:noWrap w:val="0"/>
            <w:vAlign w:val="center"/>
          </w:tcPr>
          <w:p w14:paraId="393F45E0">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val="0"/>
                <w:bCs w:val="0"/>
                <w:color w:val="auto"/>
                <w:sz w:val="24"/>
                <w:szCs w:val="24"/>
                <w:highlight w:val="none"/>
                <w:lang w:val="en-US" w:eastAsia="zh-CN"/>
              </w:rPr>
            </w:pPr>
            <w:r>
              <w:rPr>
                <w:rFonts w:hint="eastAsia" w:ascii="CESI仿宋-GB2312" w:hAnsi="CESI仿宋-GB2312" w:eastAsia="CESI仿宋-GB2312" w:cs="CESI仿宋-GB2312"/>
                <w:b w:val="0"/>
                <w:bCs w:val="0"/>
                <w:color w:val="auto"/>
                <w:sz w:val="24"/>
                <w:szCs w:val="24"/>
                <w:highlight w:val="none"/>
                <w:lang w:val="en-US" w:eastAsia="zh-CN"/>
              </w:rPr>
              <w:t>1人</w:t>
            </w:r>
          </w:p>
        </w:tc>
      </w:tr>
      <w:tr w14:paraId="71AD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tcBorders>
              <w:top w:val="single" w:color="auto" w:sz="4" w:space="0"/>
              <w:left w:val="single" w:color="auto" w:sz="4" w:space="0"/>
              <w:bottom w:val="single" w:color="auto" w:sz="4" w:space="0"/>
              <w:right w:val="single" w:color="auto" w:sz="4" w:space="0"/>
            </w:tcBorders>
            <w:noWrap w:val="0"/>
            <w:vAlign w:val="center"/>
          </w:tcPr>
          <w:p w14:paraId="3ED79B22">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val="0"/>
                <w:bCs w:val="0"/>
                <w:color w:val="auto"/>
                <w:sz w:val="24"/>
                <w:szCs w:val="24"/>
                <w:highlight w:val="none"/>
              </w:rPr>
            </w:pPr>
            <w:r>
              <w:rPr>
                <w:rFonts w:hint="eastAsia" w:ascii="CESI仿宋-GB2312" w:hAnsi="CESI仿宋-GB2312" w:eastAsia="CESI仿宋-GB2312" w:cs="CESI仿宋-GB2312"/>
                <w:b w:val="0"/>
                <w:bCs w:val="0"/>
                <w:color w:val="auto"/>
                <w:sz w:val="24"/>
                <w:szCs w:val="24"/>
                <w:highlight w:val="none"/>
              </w:rPr>
              <w:t>2</w:t>
            </w:r>
          </w:p>
        </w:tc>
        <w:tc>
          <w:tcPr>
            <w:tcW w:w="4794" w:type="dxa"/>
            <w:tcBorders>
              <w:top w:val="single" w:color="auto" w:sz="4" w:space="0"/>
              <w:left w:val="single" w:color="auto" w:sz="4" w:space="0"/>
              <w:bottom w:val="single" w:color="auto" w:sz="4" w:space="0"/>
              <w:right w:val="single" w:color="auto" w:sz="4" w:space="0"/>
            </w:tcBorders>
            <w:noWrap w:val="0"/>
            <w:vAlign w:val="center"/>
          </w:tcPr>
          <w:p w14:paraId="0F77DF05">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val="0"/>
                <w:bCs w:val="0"/>
                <w:color w:val="auto"/>
                <w:sz w:val="24"/>
                <w:szCs w:val="24"/>
                <w:highlight w:val="none"/>
              </w:rPr>
            </w:pPr>
            <w:r>
              <w:rPr>
                <w:rFonts w:hint="eastAsia" w:ascii="CESI仿宋-GB2312" w:hAnsi="CESI仿宋-GB2312" w:eastAsia="CESI仿宋-GB2312" w:cs="CESI仿宋-GB2312"/>
                <w:b w:val="0"/>
                <w:bCs w:val="0"/>
                <w:color w:val="auto"/>
                <w:sz w:val="24"/>
                <w:szCs w:val="24"/>
                <w:highlight w:val="none"/>
                <w:lang w:val="en-US" w:eastAsia="zh-CN"/>
              </w:rPr>
              <w:t>电焊气割工</w:t>
            </w:r>
          </w:p>
        </w:tc>
        <w:tc>
          <w:tcPr>
            <w:tcW w:w="2894" w:type="dxa"/>
            <w:tcBorders>
              <w:top w:val="single" w:color="auto" w:sz="4" w:space="0"/>
              <w:left w:val="single" w:color="auto" w:sz="4" w:space="0"/>
              <w:bottom w:val="single" w:color="auto" w:sz="4" w:space="0"/>
              <w:right w:val="single" w:color="auto" w:sz="4" w:space="0"/>
            </w:tcBorders>
            <w:noWrap w:val="0"/>
            <w:vAlign w:val="center"/>
          </w:tcPr>
          <w:p w14:paraId="7990A732">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val="0"/>
                <w:bCs w:val="0"/>
                <w:color w:val="auto"/>
                <w:sz w:val="24"/>
                <w:szCs w:val="24"/>
                <w:highlight w:val="none"/>
                <w:lang w:val="en-US" w:eastAsia="zh-CN"/>
              </w:rPr>
            </w:pPr>
            <w:r>
              <w:rPr>
                <w:rFonts w:hint="eastAsia" w:ascii="CESI仿宋-GB2312" w:hAnsi="CESI仿宋-GB2312" w:eastAsia="CESI仿宋-GB2312" w:cs="CESI仿宋-GB2312"/>
                <w:b w:val="0"/>
                <w:bCs w:val="0"/>
                <w:color w:val="auto"/>
                <w:sz w:val="24"/>
                <w:szCs w:val="24"/>
                <w:highlight w:val="none"/>
                <w:lang w:val="en-US" w:eastAsia="zh-CN"/>
              </w:rPr>
              <w:t>3人</w:t>
            </w:r>
          </w:p>
        </w:tc>
      </w:tr>
      <w:tr w14:paraId="1658B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tcBorders>
              <w:top w:val="single" w:color="auto" w:sz="4" w:space="0"/>
              <w:left w:val="single" w:color="auto" w:sz="4" w:space="0"/>
              <w:bottom w:val="single" w:color="auto" w:sz="4" w:space="0"/>
              <w:right w:val="single" w:color="auto" w:sz="4" w:space="0"/>
            </w:tcBorders>
            <w:noWrap w:val="0"/>
            <w:vAlign w:val="center"/>
          </w:tcPr>
          <w:p w14:paraId="56624BB1">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val="0"/>
                <w:bCs w:val="0"/>
                <w:color w:val="auto"/>
                <w:sz w:val="24"/>
                <w:szCs w:val="24"/>
                <w:highlight w:val="none"/>
                <w:lang w:val="en-US" w:eastAsia="zh-CN"/>
              </w:rPr>
            </w:pPr>
            <w:r>
              <w:rPr>
                <w:rFonts w:hint="eastAsia" w:ascii="CESI仿宋-GB2312" w:hAnsi="CESI仿宋-GB2312" w:eastAsia="CESI仿宋-GB2312" w:cs="CESI仿宋-GB2312"/>
                <w:b w:val="0"/>
                <w:bCs w:val="0"/>
                <w:color w:val="auto"/>
                <w:sz w:val="24"/>
                <w:szCs w:val="24"/>
                <w:highlight w:val="none"/>
                <w:lang w:val="en-US" w:eastAsia="zh-CN"/>
              </w:rPr>
              <w:t>3</w:t>
            </w:r>
          </w:p>
        </w:tc>
        <w:tc>
          <w:tcPr>
            <w:tcW w:w="4794" w:type="dxa"/>
            <w:tcBorders>
              <w:top w:val="single" w:color="auto" w:sz="4" w:space="0"/>
              <w:left w:val="single" w:color="auto" w:sz="4" w:space="0"/>
              <w:bottom w:val="single" w:color="auto" w:sz="4" w:space="0"/>
              <w:right w:val="single" w:color="auto" w:sz="4" w:space="0"/>
            </w:tcBorders>
            <w:noWrap w:val="0"/>
            <w:vAlign w:val="center"/>
          </w:tcPr>
          <w:p w14:paraId="18BA04DB">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val="0"/>
                <w:bCs w:val="0"/>
                <w:color w:val="auto"/>
                <w:sz w:val="24"/>
                <w:szCs w:val="24"/>
                <w:highlight w:val="none"/>
              </w:rPr>
            </w:pPr>
            <w:r>
              <w:rPr>
                <w:rFonts w:hint="eastAsia" w:ascii="CESI仿宋-GB2312" w:hAnsi="CESI仿宋-GB2312" w:eastAsia="CESI仿宋-GB2312" w:cs="CESI仿宋-GB2312"/>
                <w:b w:val="0"/>
                <w:bCs w:val="0"/>
                <w:color w:val="auto"/>
                <w:sz w:val="24"/>
                <w:szCs w:val="24"/>
                <w:highlight w:val="none"/>
                <w:lang w:val="en-US" w:eastAsia="zh-CN"/>
              </w:rPr>
              <w:t>电工</w:t>
            </w:r>
          </w:p>
        </w:tc>
        <w:tc>
          <w:tcPr>
            <w:tcW w:w="2894" w:type="dxa"/>
            <w:tcBorders>
              <w:top w:val="single" w:color="auto" w:sz="4" w:space="0"/>
              <w:left w:val="single" w:color="auto" w:sz="4" w:space="0"/>
              <w:bottom w:val="single" w:color="auto" w:sz="4" w:space="0"/>
              <w:right w:val="single" w:color="auto" w:sz="4" w:space="0"/>
            </w:tcBorders>
            <w:noWrap w:val="0"/>
            <w:vAlign w:val="center"/>
          </w:tcPr>
          <w:p w14:paraId="04858258">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val="0"/>
                <w:bCs w:val="0"/>
                <w:color w:val="auto"/>
                <w:sz w:val="24"/>
                <w:szCs w:val="24"/>
                <w:highlight w:val="none"/>
                <w:lang w:val="en-US" w:eastAsia="zh-CN"/>
              </w:rPr>
            </w:pPr>
            <w:r>
              <w:rPr>
                <w:rFonts w:hint="eastAsia" w:ascii="CESI仿宋-GB2312" w:hAnsi="CESI仿宋-GB2312" w:eastAsia="CESI仿宋-GB2312" w:cs="CESI仿宋-GB2312"/>
                <w:b w:val="0"/>
                <w:bCs w:val="0"/>
                <w:color w:val="auto"/>
                <w:sz w:val="24"/>
                <w:szCs w:val="24"/>
                <w:highlight w:val="none"/>
                <w:lang w:val="en-US" w:eastAsia="zh-CN"/>
              </w:rPr>
              <w:t>3人</w:t>
            </w:r>
          </w:p>
        </w:tc>
      </w:tr>
      <w:tr w14:paraId="2D40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tcBorders>
              <w:top w:val="single" w:color="auto" w:sz="4" w:space="0"/>
              <w:left w:val="single" w:color="auto" w:sz="4" w:space="0"/>
              <w:bottom w:val="single" w:color="auto" w:sz="4" w:space="0"/>
              <w:right w:val="single" w:color="auto" w:sz="4" w:space="0"/>
            </w:tcBorders>
            <w:noWrap w:val="0"/>
            <w:vAlign w:val="center"/>
          </w:tcPr>
          <w:p w14:paraId="31D4064F">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val="0"/>
                <w:bCs w:val="0"/>
                <w:color w:val="auto"/>
                <w:sz w:val="24"/>
                <w:szCs w:val="24"/>
                <w:highlight w:val="none"/>
                <w:lang w:val="en-US" w:eastAsia="zh-CN"/>
              </w:rPr>
            </w:pPr>
            <w:r>
              <w:rPr>
                <w:rFonts w:hint="eastAsia" w:ascii="CESI仿宋-GB2312" w:hAnsi="CESI仿宋-GB2312" w:eastAsia="CESI仿宋-GB2312" w:cs="CESI仿宋-GB2312"/>
                <w:b w:val="0"/>
                <w:bCs w:val="0"/>
                <w:color w:val="auto"/>
                <w:sz w:val="24"/>
                <w:szCs w:val="24"/>
                <w:highlight w:val="none"/>
                <w:lang w:val="en-US" w:eastAsia="zh-CN"/>
              </w:rPr>
              <w:t>4</w:t>
            </w:r>
          </w:p>
        </w:tc>
        <w:tc>
          <w:tcPr>
            <w:tcW w:w="4794" w:type="dxa"/>
            <w:tcBorders>
              <w:top w:val="single" w:color="auto" w:sz="4" w:space="0"/>
              <w:left w:val="single" w:color="auto" w:sz="4" w:space="0"/>
              <w:bottom w:val="single" w:color="auto" w:sz="4" w:space="0"/>
              <w:right w:val="single" w:color="auto" w:sz="4" w:space="0"/>
            </w:tcBorders>
            <w:noWrap w:val="0"/>
            <w:vAlign w:val="center"/>
          </w:tcPr>
          <w:p w14:paraId="1CB32C6F">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val="0"/>
                <w:bCs w:val="0"/>
                <w:color w:val="auto"/>
                <w:sz w:val="24"/>
                <w:szCs w:val="24"/>
                <w:highlight w:val="none"/>
              </w:rPr>
            </w:pPr>
            <w:r>
              <w:rPr>
                <w:rFonts w:hint="eastAsia" w:ascii="CESI仿宋-GB2312" w:hAnsi="CESI仿宋-GB2312" w:eastAsia="CESI仿宋-GB2312" w:cs="CESI仿宋-GB2312"/>
                <w:b w:val="0"/>
                <w:bCs w:val="0"/>
                <w:color w:val="auto"/>
                <w:sz w:val="24"/>
                <w:szCs w:val="24"/>
                <w:highlight w:val="none"/>
                <w:lang w:val="en-US" w:eastAsia="zh-CN"/>
              </w:rPr>
              <w:t>售后服务人员</w:t>
            </w:r>
          </w:p>
        </w:tc>
        <w:tc>
          <w:tcPr>
            <w:tcW w:w="2894" w:type="dxa"/>
            <w:tcBorders>
              <w:top w:val="single" w:color="auto" w:sz="4" w:space="0"/>
              <w:left w:val="single" w:color="auto" w:sz="4" w:space="0"/>
              <w:bottom w:val="single" w:color="auto" w:sz="4" w:space="0"/>
              <w:right w:val="single" w:color="auto" w:sz="4" w:space="0"/>
            </w:tcBorders>
            <w:noWrap w:val="0"/>
            <w:vAlign w:val="center"/>
          </w:tcPr>
          <w:p w14:paraId="52B3A5E8">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val="0"/>
                <w:bCs w:val="0"/>
                <w:color w:val="auto"/>
                <w:sz w:val="24"/>
                <w:szCs w:val="24"/>
                <w:highlight w:val="none"/>
                <w:lang w:val="en-US" w:eastAsia="zh-CN"/>
              </w:rPr>
            </w:pPr>
            <w:r>
              <w:rPr>
                <w:rFonts w:hint="eastAsia" w:ascii="CESI仿宋-GB2312" w:hAnsi="CESI仿宋-GB2312" w:eastAsia="CESI仿宋-GB2312" w:cs="CESI仿宋-GB2312"/>
                <w:b w:val="0"/>
                <w:bCs w:val="0"/>
                <w:color w:val="auto"/>
                <w:sz w:val="24"/>
                <w:szCs w:val="24"/>
                <w:highlight w:val="none"/>
                <w:lang w:val="en-US" w:eastAsia="zh-CN"/>
              </w:rPr>
              <w:t>3人</w:t>
            </w:r>
          </w:p>
        </w:tc>
      </w:tr>
      <w:tr w14:paraId="379C8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tcBorders>
              <w:top w:val="single" w:color="auto" w:sz="4" w:space="0"/>
              <w:left w:val="single" w:color="auto" w:sz="4" w:space="0"/>
              <w:bottom w:val="single" w:color="auto" w:sz="4" w:space="0"/>
              <w:right w:val="single" w:color="auto" w:sz="4" w:space="0"/>
            </w:tcBorders>
            <w:noWrap w:val="0"/>
            <w:vAlign w:val="center"/>
          </w:tcPr>
          <w:p w14:paraId="6AB3EBAA">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val="0"/>
                <w:bCs w:val="0"/>
                <w:color w:val="auto"/>
                <w:sz w:val="24"/>
                <w:szCs w:val="24"/>
                <w:highlight w:val="none"/>
                <w:lang w:val="en-US" w:eastAsia="zh-CN"/>
              </w:rPr>
            </w:pPr>
            <w:r>
              <w:rPr>
                <w:rFonts w:hint="eastAsia" w:ascii="CESI仿宋-GB2312" w:hAnsi="CESI仿宋-GB2312" w:eastAsia="CESI仿宋-GB2312" w:cs="CESI仿宋-GB2312"/>
                <w:b w:val="0"/>
                <w:bCs w:val="0"/>
                <w:color w:val="auto"/>
                <w:sz w:val="24"/>
                <w:szCs w:val="24"/>
                <w:highlight w:val="none"/>
                <w:lang w:val="en-US" w:eastAsia="zh-CN"/>
              </w:rPr>
              <w:t>5</w:t>
            </w:r>
          </w:p>
        </w:tc>
        <w:tc>
          <w:tcPr>
            <w:tcW w:w="4794" w:type="dxa"/>
            <w:tcBorders>
              <w:top w:val="single" w:color="auto" w:sz="4" w:space="0"/>
              <w:left w:val="single" w:color="auto" w:sz="4" w:space="0"/>
              <w:bottom w:val="single" w:color="auto" w:sz="4" w:space="0"/>
              <w:right w:val="single" w:color="auto" w:sz="4" w:space="0"/>
            </w:tcBorders>
            <w:noWrap w:val="0"/>
            <w:vAlign w:val="center"/>
          </w:tcPr>
          <w:p w14:paraId="773C4D86">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val="0"/>
                <w:bCs w:val="0"/>
                <w:color w:val="auto"/>
                <w:sz w:val="24"/>
                <w:szCs w:val="24"/>
                <w:highlight w:val="none"/>
              </w:rPr>
            </w:pPr>
            <w:r>
              <w:rPr>
                <w:rFonts w:hint="eastAsia" w:ascii="CESI仿宋-GB2312" w:hAnsi="CESI仿宋-GB2312" w:eastAsia="CESI仿宋-GB2312" w:cs="CESI仿宋-GB2312"/>
                <w:b w:val="0"/>
                <w:bCs w:val="0"/>
                <w:color w:val="auto"/>
                <w:sz w:val="24"/>
                <w:szCs w:val="24"/>
                <w:highlight w:val="none"/>
                <w:lang w:val="en-US" w:eastAsia="zh-CN"/>
              </w:rPr>
              <w:t>泥工</w:t>
            </w:r>
          </w:p>
        </w:tc>
        <w:tc>
          <w:tcPr>
            <w:tcW w:w="2894" w:type="dxa"/>
            <w:tcBorders>
              <w:top w:val="single" w:color="auto" w:sz="4" w:space="0"/>
              <w:left w:val="single" w:color="auto" w:sz="4" w:space="0"/>
              <w:bottom w:val="single" w:color="auto" w:sz="4" w:space="0"/>
              <w:right w:val="single" w:color="auto" w:sz="4" w:space="0"/>
            </w:tcBorders>
            <w:noWrap w:val="0"/>
            <w:vAlign w:val="center"/>
          </w:tcPr>
          <w:p w14:paraId="1E54E4A7">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val="0"/>
                <w:bCs w:val="0"/>
                <w:color w:val="auto"/>
                <w:sz w:val="24"/>
                <w:szCs w:val="24"/>
                <w:highlight w:val="none"/>
                <w:lang w:val="en-US" w:eastAsia="zh-CN"/>
              </w:rPr>
            </w:pPr>
            <w:r>
              <w:rPr>
                <w:rFonts w:hint="eastAsia" w:ascii="CESI仿宋-GB2312" w:hAnsi="CESI仿宋-GB2312" w:eastAsia="CESI仿宋-GB2312" w:cs="CESI仿宋-GB2312"/>
                <w:b w:val="0"/>
                <w:bCs w:val="0"/>
                <w:color w:val="auto"/>
                <w:sz w:val="24"/>
                <w:szCs w:val="24"/>
                <w:highlight w:val="none"/>
                <w:lang w:val="en-US" w:eastAsia="zh-CN"/>
              </w:rPr>
              <w:t>3人</w:t>
            </w:r>
          </w:p>
        </w:tc>
      </w:tr>
      <w:tr w14:paraId="2D0A7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tcBorders>
              <w:top w:val="single" w:color="auto" w:sz="4" w:space="0"/>
              <w:left w:val="single" w:color="auto" w:sz="4" w:space="0"/>
              <w:bottom w:val="single" w:color="auto" w:sz="4" w:space="0"/>
              <w:right w:val="single" w:color="auto" w:sz="4" w:space="0"/>
            </w:tcBorders>
            <w:noWrap w:val="0"/>
            <w:vAlign w:val="center"/>
          </w:tcPr>
          <w:p w14:paraId="65125AA2">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val="0"/>
                <w:bCs w:val="0"/>
                <w:color w:val="auto"/>
                <w:sz w:val="24"/>
                <w:szCs w:val="24"/>
                <w:highlight w:val="none"/>
                <w:lang w:val="en-US" w:eastAsia="zh-CN"/>
              </w:rPr>
            </w:pPr>
            <w:r>
              <w:rPr>
                <w:rFonts w:hint="eastAsia" w:ascii="CESI仿宋-GB2312" w:hAnsi="CESI仿宋-GB2312" w:eastAsia="CESI仿宋-GB2312" w:cs="CESI仿宋-GB2312"/>
                <w:b w:val="0"/>
                <w:bCs w:val="0"/>
                <w:color w:val="auto"/>
                <w:sz w:val="24"/>
                <w:szCs w:val="24"/>
                <w:highlight w:val="none"/>
                <w:lang w:val="en-US" w:eastAsia="zh-CN"/>
              </w:rPr>
              <w:t>6</w:t>
            </w:r>
          </w:p>
        </w:tc>
        <w:tc>
          <w:tcPr>
            <w:tcW w:w="4794" w:type="dxa"/>
            <w:tcBorders>
              <w:top w:val="single" w:color="auto" w:sz="4" w:space="0"/>
              <w:left w:val="single" w:color="auto" w:sz="4" w:space="0"/>
              <w:bottom w:val="single" w:color="auto" w:sz="4" w:space="0"/>
              <w:right w:val="single" w:color="auto" w:sz="4" w:space="0"/>
            </w:tcBorders>
            <w:noWrap w:val="0"/>
            <w:vAlign w:val="center"/>
          </w:tcPr>
          <w:p w14:paraId="2984FE20">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val="0"/>
                <w:bCs w:val="0"/>
                <w:color w:val="auto"/>
                <w:sz w:val="24"/>
                <w:szCs w:val="24"/>
                <w:highlight w:val="none"/>
              </w:rPr>
            </w:pPr>
            <w:r>
              <w:rPr>
                <w:rFonts w:hint="eastAsia" w:ascii="CESI仿宋-GB2312" w:hAnsi="CESI仿宋-GB2312" w:eastAsia="CESI仿宋-GB2312" w:cs="CESI仿宋-GB2312"/>
                <w:b w:val="0"/>
                <w:bCs w:val="0"/>
                <w:color w:val="auto"/>
                <w:sz w:val="24"/>
                <w:szCs w:val="24"/>
                <w:highlight w:val="none"/>
                <w:lang w:val="en-US" w:eastAsia="zh-CN"/>
              </w:rPr>
              <w:t>仓库保管员</w:t>
            </w:r>
          </w:p>
        </w:tc>
        <w:tc>
          <w:tcPr>
            <w:tcW w:w="2894" w:type="dxa"/>
            <w:tcBorders>
              <w:top w:val="single" w:color="auto" w:sz="4" w:space="0"/>
              <w:left w:val="single" w:color="auto" w:sz="4" w:space="0"/>
              <w:bottom w:val="single" w:color="auto" w:sz="4" w:space="0"/>
              <w:right w:val="single" w:color="auto" w:sz="4" w:space="0"/>
            </w:tcBorders>
            <w:noWrap w:val="0"/>
            <w:vAlign w:val="center"/>
          </w:tcPr>
          <w:p w14:paraId="18D915D6">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val="0"/>
                <w:bCs w:val="0"/>
                <w:color w:val="auto"/>
                <w:sz w:val="24"/>
                <w:szCs w:val="24"/>
                <w:highlight w:val="none"/>
                <w:lang w:val="en-US" w:eastAsia="zh-CN"/>
              </w:rPr>
            </w:pPr>
            <w:r>
              <w:rPr>
                <w:rFonts w:hint="eastAsia" w:ascii="CESI仿宋-GB2312" w:hAnsi="CESI仿宋-GB2312" w:eastAsia="CESI仿宋-GB2312" w:cs="CESI仿宋-GB2312"/>
                <w:b w:val="0"/>
                <w:bCs w:val="0"/>
                <w:color w:val="auto"/>
                <w:sz w:val="24"/>
                <w:szCs w:val="24"/>
                <w:highlight w:val="none"/>
                <w:lang w:val="en-US" w:eastAsia="zh-CN"/>
              </w:rPr>
              <w:t>1人</w:t>
            </w:r>
          </w:p>
        </w:tc>
      </w:tr>
      <w:tr w14:paraId="39B5D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tcBorders>
              <w:top w:val="single" w:color="auto" w:sz="4" w:space="0"/>
              <w:left w:val="single" w:color="auto" w:sz="4" w:space="0"/>
              <w:bottom w:val="single" w:color="auto" w:sz="4" w:space="0"/>
              <w:right w:val="single" w:color="auto" w:sz="4" w:space="0"/>
            </w:tcBorders>
            <w:noWrap w:val="0"/>
            <w:vAlign w:val="center"/>
          </w:tcPr>
          <w:p w14:paraId="325305A5">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val="0"/>
                <w:bCs w:val="0"/>
                <w:color w:val="auto"/>
                <w:sz w:val="24"/>
                <w:szCs w:val="24"/>
                <w:highlight w:val="none"/>
                <w:lang w:val="en-US" w:eastAsia="zh-CN"/>
              </w:rPr>
            </w:pPr>
            <w:r>
              <w:rPr>
                <w:rFonts w:hint="eastAsia" w:ascii="CESI仿宋-GB2312" w:hAnsi="CESI仿宋-GB2312" w:eastAsia="CESI仿宋-GB2312" w:cs="CESI仿宋-GB2312"/>
                <w:b w:val="0"/>
                <w:bCs w:val="0"/>
                <w:color w:val="auto"/>
                <w:sz w:val="24"/>
                <w:szCs w:val="24"/>
                <w:highlight w:val="none"/>
                <w:lang w:val="en-US" w:eastAsia="zh-CN"/>
              </w:rPr>
              <w:t>7</w:t>
            </w:r>
          </w:p>
        </w:tc>
        <w:tc>
          <w:tcPr>
            <w:tcW w:w="4794" w:type="dxa"/>
            <w:tcBorders>
              <w:top w:val="single" w:color="auto" w:sz="4" w:space="0"/>
              <w:left w:val="single" w:color="auto" w:sz="4" w:space="0"/>
              <w:bottom w:val="single" w:color="auto" w:sz="4" w:space="0"/>
              <w:right w:val="single" w:color="auto" w:sz="4" w:space="0"/>
            </w:tcBorders>
            <w:noWrap w:val="0"/>
            <w:vAlign w:val="center"/>
          </w:tcPr>
          <w:p w14:paraId="643062C8">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val="0"/>
                <w:bCs w:val="0"/>
                <w:color w:val="auto"/>
                <w:sz w:val="24"/>
                <w:szCs w:val="24"/>
                <w:highlight w:val="none"/>
              </w:rPr>
            </w:pPr>
            <w:r>
              <w:rPr>
                <w:rFonts w:hint="eastAsia" w:ascii="CESI仿宋-GB2312" w:hAnsi="CESI仿宋-GB2312" w:eastAsia="CESI仿宋-GB2312" w:cs="CESI仿宋-GB2312"/>
                <w:b w:val="0"/>
                <w:bCs w:val="0"/>
                <w:color w:val="auto"/>
                <w:sz w:val="24"/>
                <w:szCs w:val="24"/>
                <w:highlight w:val="none"/>
                <w:lang w:val="en-US" w:eastAsia="zh-CN"/>
              </w:rPr>
              <w:t>安全员</w:t>
            </w:r>
          </w:p>
        </w:tc>
        <w:tc>
          <w:tcPr>
            <w:tcW w:w="2894" w:type="dxa"/>
            <w:tcBorders>
              <w:top w:val="single" w:color="auto" w:sz="4" w:space="0"/>
              <w:left w:val="single" w:color="auto" w:sz="4" w:space="0"/>
              <w:bottom w:val="single" w:color="auto" w:sz="4" w:space="0"/>
              <w:right w:val="single" w:color="auto" w:sz="4" w:space="0"/>
            </w:tcBorders>
            <w:noWrap w:val="0"/>
            <w:vAlign w:val="center"/>
          </w:tcPr>
          <w:p w14:paraId="196BA550">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val="0"/>
                <w:bCs w:val="0"/>
                <w:color w:val="auto"/>
                <w:sz w:val="24"/>
                <w:szCs w:val="24"/>
                <w:highlight w:val="none"/>
                <w:lang w:val="en-US" w:eastAsia="zh-CN"/>
              </w:rPr>
            </w:pPr>
            <w:r>
              <w:rPr>
                <w:rFonts w:hint="eastAsia" w:ascii="CESI仿宋-GB2312" w:hAnsi="CESI仿宋-GB2312" w:eastAsia="CESI仿宋-GB2312" w:cs="CESI仿宋-GB2312"/>
                <w:b w:val="0"/>
                <w:bCs w:val="0"/>
                <w:color w:val="auto"/>
                <w:sz w:val="24"/>
                <w:szCs w:val="24"/>
                <w:highlight w:val="none"/>
                <w:lang w:val="en-US" w:eastAsia="zh-CN"/>
              </w:rPr>
              <w:t>1人</w:t>
            </w:r>
          </w:p>
        </w:tc>
      </w:tr>
      <w:tr w14:paraId="4706E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tcBorders>
              <w:top w:val="single" w:color="auto" w:sz="4" w:space="0"/>
              <w:left w:val="single" w:color="auto" w:sz="4" w:space="0"/>
              <w:bottom w:val="single" w:color="auto" w:sz="4" w:space="0"/>
              <w:right w:val="single" w:color="auto" w:sz="4" w:space="0"/>
            </w:tcBorders>
            <w:noWrap w:val="0"/>
            <w:vAlign w:val="center"/>
          </w:tcPr>
          <w:p w14:paraId="7920F46C">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val="0"/>
                <w:bCs w:val="0"/>
                <w:color w:val="auto"/>
                <w:sz w:val="24"/>
                <w:szCs w:val="24"/>
                <w:highlight w:val="none"/>
                <w:lang w:val="en-US" w:eastAsia="zh-CN"/>
              </w:rPr>
            </w:pPr>
            <w:r>
              <w:rPr>
                <w:rFonts w:hint="eastAsia" w:ascii="CESI仿宋-GB2312" w:hAnsi="CESI仿宋-GB2312" w:eastAsia="CESI仿宋-GB2312" w:cs="CESI仿宋-GB2312"/>
                <w:b w:val="0"/>
                <w:bCs w:val="0"/>
                <w:color w:val="auto"/>
                <w:sz w:val="24"/>
                <w:szCs w:val="24"/>
                <w:highlight w:val="none"/>
                <w:lang w:val="en-US" w:eastAsia="zh-CN"/>
              </w:rPr>
              <w:t>8</w:t>
            </w:r>
          </w:p>
        </w:tc>
        <w:tc>
          <w:tcPr>
            <w:tcW w:w="4794" w:type="dxa"/>
            <w:tcBorders>
              <w:top w:val="single" w:color="auto" w:sz="4" w:space="0"/>
              <w:left w:val="single" w:color="auto" w:sz="4" w:space="0"/>
              <w:bottom w:val="single" w:color="auto" w:sz="4" w:space="0"/>
              <w:right w:val="single" w:color="auto" w:sz="4" w:space="0"/>
            </w:tcBorders>
            <w:noWrap w:val="0"/>
            <w:vAlign w:val="center"/>
          </w:tcPr>
          <w:p w14:paraId="2ADD4B08">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default" w:ascii="CESI仿宋-GB2312" w:hAnsi="CESI仿宋-GB2312" w:eastAsia="CESI仿宋-GB2312" w:cs="CESI仿宋-GB2312"/>
                <w:b w:val="0"/>
                <w:bCs w:val="0"/>
                <w:color w:val="auto"/>
                <w:sz w:val="24"/>
                <w:szCs w:val="24"/>
                <w:highlight w:val="none"/>
                <w:lang w:val="en-US"/>
              </w:rPr>
            </w:pPr>
            <w:r>
              <w:rPr>
                <w:rFonts w:hint="eastAsia" w:ascii="CESI仿宋-GB2312" w:hAnsi="CESI仿宋-GB2312" w:eastAsia="CESI仿宋-GB2312" w:cs="CESI仿宋-GB2312"/>
                <w:b w:val="0"/>
                <w:bCs w:val="0"/>
                <w:color w:val="auto"/>
                <w:sz w:val="24"/>
                <w:szCs w:val="24"/>
                <w:highlight w:val="none"/>
                <w:lang w:val="en-US" w:eastAsia="zh-CN"/>
              </w:rPr>
              <w:t>技术支持人员</w:t>
            </w:r>
          </w:p>
        </w:tc>
        <w:tc>
          <w:tcPr>
            <w:tcW w:w="2894" w:type="dxa"/>
            <w:tcBorders>
              <w:top w:val="single" w:color="auto" w:sz="4" w:space="0"/>
              <w:left w:val="single" w:color="auto" w:sz="4" w:space="0"/>
              <w:bottom w:val="single" w:color="auto" w:sz="4" w:space="0"/>
              <w:right w:val="single" w:color="auto" w:sz="4" w:space="0"/>
            </w:tcBorders>
            <w:noWrap w:val="0"/>
            <w:vAlign w:val="center"/>
          </w:tcPr>
          <w:p w14:paraId="60DE0C3C">
            <w:pPr>
              <w:keepNext w:val="0"/>
              <w:keepLines w:val="0"/>
              <w:pageBreakBefore w:val="0"/>
              <w:suppressLineNumbers w:val="0"/>
              <w:kinsoku/>
              <w:overflowPunct/>
              <w:topLinePunct w:val="0"/>
              <w:bidi w:val="0"/>
              <w:spacing w:before="0" w:beforeAutospacing="0" w:after="0" w:afterAutospacing="0" w:line="400" w:lineRule="exact"/>
              <w:ind w:left="0" w:right="0" w:firstLine="0" w:firstLineChars="0"/>
              <w:jc w:val="center"/>
              <w:rPr>
                <w:rFonts w:hint="eastAsia" w:ascii="CESI仿宋-GB2312" w:hAnsi="CESI仿宋-GB2312" w:eastAsia="CESI仿宋-GB2312" w:cs="CESI仿宋-GB2312"/>
                <w:b w:val="0"/>
                <w:bCs w:val="0"/>
                <w:color w:val="auto"/>
                <w:sz w:val="24"/>
                <w:szCs w:val="24"/>
                <w:highlight w:val="none"/>
                <w:lang w:val="en-US" w:eastAsia="zh-CN"/>
              </w:rPr>
            </w:pPr>
            <w:r>
              <w:rPr>
                <w:rFonts w:hint="eastAsia" w:ascii="CESI仿宋-GB2312" w:hAnsi="CESI仿宋-GB2312" w:eastAsia="CESI仿宋-GB2312" w:cs="CESI仿宋-GB2312"/>
                <w:b w:val="0"/>
                <w:bCs w:val="0"/>
                <w:color w:val="auto"/>
                <w:sz w:val="24"/>
                <w:szCs w:val="24"/>
                <w:highlight w:val="none"/>
                <w:lang w:val="en-US" w:eastAsia="zh-CN"/>
              </w:rPr>
              <w:t>2人</w:t>
            </w:r>
          </w:p>
        </w:tc>
      </w:tr>
    </w:tbl>
    <w:p w14:paraId="7DF5A73D">
      <w:pPr>
        <w:bidi w:val="0"/>
        <w:spacing w:line="360" w:lineRule="auto"/>
        <w:jc w:val="left"/>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三、供货要求</w:t>
      </w:r>
    </w:p>
    <w:p w14:paraId="10E69A80">
      <w:pPr>
        <w:pageBreakBefore w:val="0"/>
        <w:kinsoku/>
        <w:overflowPunct/>
        <w:topLinePunct w:val="0"/>
        <w:bidi w:val="0"/>
        <w:spacing w:line="360" w:lineRule="auto"/>
        <w:ind w:firstLine="0" w:firstLine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1、货物必须是原制造商制造的非淘汰类全新产品整机无污染，无侵权行为、表面无划损、无任何缺陷隐患，在中国境内可依常规安全合法使用。</w:t>
      </w:r>
    </w:p>
    <w:p w14:paraId="46B655E2">
      <w:pPr>
        <w:pageBreakBefore w:val="0"/>
        <w:kinsoku/>
        <w:overflowPunct/>
        <w:topLinePunct w:val="0"/>
        <w:bidi w:val="0"/>
        <w:spacing w:line="360" w:lineRule="auto"/>
        <w:ind w:firstLine="0" w:firstLine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2、货物为原厂商未启封全新包装，具出厂合格证，序列号、包装箱号与出厂批号一致，并可追索查阅。应附关键主机设备的用户手册、保修手册、有关单证资料及配备件、随机工具等，设备使用操作及安全须知等重要资料应附有中文说明。 </w:t>
      </w:r>
    </w:p>
    <w:p w14:paraId="00204739">
      <w:pPr>
        <w:pageBreakBefore w:val="0"/>
        <w:kinsoku/>
        <w:overflowPunct/>
        <w:topLinePunct w:val="0"/>
        <w:bidi w:val="0"/>
        <w:spacing w:line="360" w:lineRule="auto"/>
        <w:ind w:firstLine="0" w:firstLine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3、对于影响货物正常工作的必要组成部分，无论在技术规范中指出与否，投标人都应提供在投标文件中明确列出。</w:t>
      </w:r>
    </w:p>
    <w:p w14:paraId="51209265">
      <w:pPr>
        <w:pageBreakBefore w:val="0"/>
        <w:kinsoku/>
        <w:overflowPunct/>
        <w:topLinePunct w:val="0"/>
        <w:bidi w:val="0"/>
        <w:spacing w:line="360" w:lineRule="auto"/>
        <w:ind w:firstLine="0" w:firstLine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4、报价中应当包括在拆除和改造中设备正常工作必要的临时设备和保护措施费用。</w:t>
      </w:r>
    </w:p>
    <w:p w14:paraId="13CFA6C7">
      <w:pPr>
        <w:pStyle w:val="5"/>
        <w:spacing w:line="360" w:lineRule="auto"/>
        <w:rPr>
          <w:rFonts w:hint="eastAsia" w:ascii="仿宋" w:hAnsi="仿宋" w:eastAsia="仿宋" w:cs="仿宋"/>
          <w:b/>
          <w:bCs/>
          <w:color w:val="auto"/>
          <w:kern w:val="2"/>
          <w:sz w:val="24"/>
          <w:szCs w:val="24"/>
          <w:highlight w:val="none"/>
          <w:lang w:val="en-US" w:eastAsia="zh-CN" w:bidi="ar-SA"/>
        </w:rPr>
      </w:pPr>
      <w:r>
        <w:rPr>
          <w:rFonts w:hint="eastAsia" w:ascii="仿宋" w:eastAsia="仿宋" w:cs="仿宋"/>
          <w:b/>
          <w:bCs/>
          <w:color w:val="auto"/>
          <w:kern w:val="2"/>
          <w:sz w:val="24"/>
          <w:szCs w:val="24"/>
          <w:highlight w:val="none"/>
          <w:lang w:val="en-US" w:eastAsia="zh-CN" w:bidi="ar-SA"/>
        </w:rPr>
        <w:t>四</w:t>
      </w:r>
      <w:r>
        <w:rPr>
          <w:rFonts w:hint="eastAsia" w:ascii="仿宋" w:hAnsi="仿宋" w:eastAsia="仿宋" w:cs="仿宋"/>
          <w:b/>
          <w:bCs/>
          <w:color w:val="auto"/>
          <w:kern w:val="2"/>
          <w:sz w:val="24"/>
          <w:szCs w:val="24"/>
          <w:highlight w:val="none"/>
          <w:lang w:val="en-US" w:eastAsia="zh-CN" w:bidi="ar-SA"/>
        </w:rPr>
        <w:t>、交货、安装调试时间</w:t>
      </w:r>
    </w:p>
    <w:p w14:paraId="3456F2B1">
      <w:pPr>
        <w:pageBreakBefore w:val="0"/>
        <w:kinsoku/>
        <w:overflowPunct/>
        <w:topLinePunct w:val="0"/>
        <w:bidi w:val="0"/>
        <w:spacing w:line="360" w:lineRule="auto"/>
        <w:ind w:firstLine="0" w:firstLine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自采购人发出供货指令之日起150个日历天内完成供货及安装；</w:t>
      </w:r>
    </w:p>
    <w:p w14:paraId="32198E30">
      <w:pPr>
        <w:pStyle w:val="5"/>
        <w:numPr>
          <w:ilvl w:val="0"/>
          <w:numId w:val="0"/>
        </w:numPr>
        <w:spacing w:line="360" w:lineRule="auto"/>
        <w:ind w:leftChars="0"/>
        <w:rPr>
          <w:rFonts w:hint="eastAsia" w:ascii="仿宋" w:hAnsi="仿宋" w:eastAsia="仿宋" w:cs="仿宋"/>
          <w:b/>
          <w:bCs/>
          <w:color w:val="auto"/>
          <w:kern w:val="2"/>
          <w:sz w:val="24"/>
          <w:szCs w:val="24"/>
          <w:highlight w:val="none"/>
          <w:lang w:val="en-US" w:eastAsia="zh-CN" w:bidi="ar-SA"/>
        </w:rPr>
      </w:pPr>
      <w:r>
        <w:rPr>
          <w:rFonts w:hint="eastAsia" w:ascii="仿宋" w:eastAsia="仿宋" w:cs="仿宋"/>
          <w:b/>
          <w:bCs/>
          <w:color w:val="auto"/>
          <w:kern w:val="2"/>
          <w:sz w:val="24"/>
          <w:szCs w:val="24"/>
          <w:highlight w:val="none"/>
          <w:lang w:val="en-US" w:eastAsia="zh-CN" w:bidi="ar-SA"/>
        </w:rPr>
        <w:t>五、</w:t>
      </w:r>
      <w:r>
        <w:rPr>
          <w:rFonts w:hint="eastAsia" w:ascii="仿宋" w:hAnsi="仿宋" w:eastAsia="仿宋" w:cs="仿宋"/>
          <w:b/>
          <w:bCs/>
          <w:color w:val="auto"/>
          <w:kern w:val="2"/>
          <w:sz w:val="24"/>
          <w:szCs w:val="24"/>
          <w:highlight w:val="none"/>
          <w:lang w:val="en-US" w:eastAsia="zh-CN" w:bidi="ar-SA"/>
        </w:rPr>
        <w:t>地点：采购人指定地点</w:t>
      </w:r>
    </w:p>
    <w:p w14:paraId="27DF6089">
      <w:pPr>
        <w:numPr>
          <w:ilvl w:val="0"/>
          <w:numId w:val="0"/>
        </w:numPr>
        <w:spacing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六、包装和发运要求</w:t>
      </w:r>
    </w:p>
    <w:p w14:paraId="46FC7E95">
      <w:pPr>
        <w:pStyle w:val="5"/>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1、货物的包装和发运必须符合货物特性要求；</w:t>
      </w:r>
    </w:p>
    <w:p w14:paraId="36A7572F">
      <w:pPr>
        <w:pStyle w:val="5"/>
        <w:tabs>
          <w:tab w:val="left" w:pos="0"/>
          <w:tab w:val="clear" w:pos="432"/>
        </w:tabs>
        <w:spacing w:line="360" w:lineRule="auto"/>
        <w:ind w:left="0" w:leftChars="0" w:firstLine="0" w:firstLine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2、为了保证货物在长途运输和装卸过程中的安全，货物包装应符合国家或者行业标准规定。由于包装不善导致货物锈蚀、失缺或者损坏，由</w:t>
      </w:r>
      <w:r>
        <w:rPr>
          <w:rFonts w:hint="eastAsia" w:ascii="仿宋" w:hAnsi="仿宋" w:eastAsia="仿宋" w:cs="仿宋"/>
          <w:bCs/>
          <w:color w:val="auto"/>
          <w:sz w:val="24"/>
          <w:szCs w:val="24"/>
          <w:highlight w:val="none"/>
          <w:lang w:val="en-US" w:eastAsia="zh-CN"/>
        </w:rPr>
        <w:t>投标人</w:t>
      </w:r>
      <w:r>
        <w:rPr>
          <w:rFonts w:hint="eastAsia" w:ascii="仿宋" w:hAnsi="仿宋" w:eastAsia="仿宋" w:cs="仿宋"/>
          <w:b w:val="0"/>
          <w:bCs w:val="0"/>
          <w:color w:val="auto"/>
          <w:kern w:val="2"/>
          <w:sz w:val="24"/>
          <w:szCs w:val="24"/>
          <w:highlight w:val="none"/>
          <w:lang w:val="en-US" w:eastAsia="zh-CN" w:bidi="ar-SA"/>
        </w:rPr>
        <w:t>承担一切责任。</w:t>
      </w:r>
    </w:p>
    <w:p w14:paraId="78E90B17">
      <w:pPr>
        <w:spacing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七、安装调试、验收要求</w:t>
      </w:r>
    </w:p>
    <w:p w14:paraId="7F65745D">
      <w:pPr>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1、设备的安装、调试：</w:t>
      </w:r>
    </w:p>
    <w:p w14:paraId="3803FEAA">
      <w:pPr>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1）投标人负责合同内容下设备的安装调试，一切费用由投标人负责。</w:t>
      </w:r>
    </w:p>
    <w:p w14:paraId="0D8668F0">
      <w:pPr>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2）投标人安装时必须对各安装场地内的其它设备、设施有良好保护。</w:t>
      </w:r>
    </w:p>
    <w:p w14:paraId="7112C69A">
      <w:pPr>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2、设备的验收：</w:t>
      </w:r>
    </w:p>
    <w:p w14:paraId="38545CDB">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1）验收应在采购人和中标人双方共同参加下进行。</w:t>
      </w:r>
    </w:p>
    <w:p w14:paraId="08CC0C45">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验收按国家有关的规定、规范进行。验收时如发现所交付的货物有短缺、次品、损坏或其它不符合采购文件规定之情形者，采购人应做出详尽的现场记录，或由采购人和中标人双方签署备忘录。此现场记录或备忘录可用作补充、缺失和更换损坏部件的有效证据。由此产生的有关费用由中标人承担。</w:t>
      </w:r>
    </w:p>
    <w:p w14:paraId="1D3746EA">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3）如果合同设备运输和安装调试过程中因事故造成货物短缺、损坏，中标人应及时安排换货，以保证合同设备安装调试的成功完成。换货的相关费用由中标人承担。</w:t>
      </w:r>
    </w:p>
    <w:p w14:paraId="305985DE">
      <w:pPr>
        <w:pStyle w:val="5"/>
        <w:rPr>
          <w:rFonts w:hint="eastAsia" w:ascii="仿宋" w:hAnsi="仿宋" w:eastAsia="仿宋" w:cs="仿宋"/>
          <w:b/>
          <w:bCs/>
          <w:color w:val="auto"/>
          <w:kern w:val="2"/>
          <w:sz w:val="24"/>
          <w:szCs w:val="24"/>
          <w:highlight w:val="none"/>
          <w:lang w:val="en-US" w:eastAsia="zh-CN" w:bidi="ar-SA"/>
        </w:rPr>
      </w:pPr>
      <w:r>
        <w:rPr>
          <w:rFonts w:hint="eastAsia" w:ascii="仿宋" w:eastAsia="仿宋" w:cs="仿宋"/>
          <w:b/>
          <w:bCs/>
          <w:color w:val="auto"/>
          <w:kern w:val="2"/>
          <w:sz w:val="24"/>
          <w:szCs w:val="24"/>
          <w:highlight w:val="none"/>
          <w:lang w:val="en-US" w:eastAsia="zh-CN" w:bidi="ar-SA"/>
        </w:rPr>
        <w:t>八</w:t>
      </w:r>
      <w:r>
        <w:rPr>
          <w:rFonts w:hint="eastAsia" w:ascii="仿宋" w:hAnsi="仿宋" w:eastAsia="仿宋" w:cs="仿宋"/>
          <w:b/>
          <w:bCs/>
          <w:color w:val="auto"/>
          <w:kern w:val="2"/>
          <w:sz w:val="24"/>
          <w:szCs w:val="24"/>
          <w:highlight w:val="none"/>
          <w:lang w:val="en-US" w:eastAsia="zh-CN" w:bidi="ar-SA"/>
        </w:rPr>
        <w:t>、售后服务要求</w:t>
      </w:r>
    </w:p>
    <w:p w14:paraId="71DC05D0">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1、所有货物保证在交付采购人使用之日起，承诺2年免费售后服务质量保证期，终身维护，在质保期内中标人免费提供货物正常使用情况下的维修及保养服务。</w:t>
      </w:r>
    </w:p>
    <w:p w14:paraId="612B58D1">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2、采购人按中标价格和数量向</w:t>
      </w:r>
      <w:r>
        <w:rPr>
          <w:rFonts w:hint="eastAsia" w:ascii="仿宋" w:hAnsi="仿宋" w:eastAsia="仿宋" w:cs="仿宋"/>
          <w:b w:val="0"/>
          <w:bCs w:val="0"/>
          <w:color w:val="auto"/>
          <w:kern w:val="2"/>
          <w:sz w:val="24"/>
          <w:szCs w:val="24"/>
          <w:highlight w:val="none"/>
          <w:lang w:val="en-US" w:eastAsia="zh-CN" w:bidi="ar-SA"/>
        </w:rPr>
        <w:t>中标人</w:t>
      </w:r>
      <w:r>
        <w:rPr>
          <w:rFonts w:hint="eastAsia" w:ascii="仿宋" w:hAnsi="仿宋" w:eastAsia="仿宋" w:cs="仿宋"/>
          <w:b w:val="0"/>
          <w:bCs w:val="0"/>
          <w:color w:val="auto"/>
          <w:kern w:val="2"/>
          <w:sz w:val="24"/>
          <w:szCs w:val="24"/>
          <w:highlight w:val="none"/>
          <w:lang w:val="en-US" w:eastAsia="zh-CN" w:bidi="ar-SA"/>
        </w:rPr>
        <w:t>采购本项目货物后，若需增加采购相同品牌型号的货物，</w:t>
      </w:r>
      <w:r>
        <w:rPr>
          <w:rFonts w:hint="eastAsia" w:ascii="仿宋" w:hAnsi="仿宋" w:eastAsia="仿宋" w:cs="仿宋"/>
          <w:b w:val="0"/>
          <w:bCs w:val="0"/>
          <w:color w:val="auto"/>
          <w:kern w:val="2"/>
          <w:sz w:val="24"/>
          <w:szCs w:val="24"/>
          <w:highlight w:val="none"/>
          <w:lang w:val="en-US" w:eastAsia="zh-CN" w:bidi="ar-SA"/>
        </w:rPr>
        <w:t>中标人</w:t>
      </w:r>
      <w:r>
        <w:rPr>
          <w:rFonts w:hint="eastAsia" w:ascii="仿宋" w:hAnsi="仿宋" w:eastAsia="仿宋" w:cs="仿宋"/>
          <w:b w:val="0"/>
          <w:bCs w:val="0"/>
          <w:color w:val="auto"/>
          <w:kern w:val="2"/>
          <w:sz w:val="24"/>
          <w:szCs w:val="24"/>
          <w:highlight w:val="none"/>
          <w:lang w:val="en-US" w:eastAsia="zh-CN" w:bidi="ar-SA"/>
        </w:rPr>
        <w:t>必须按相同的配置和不高于中标价格销售给采购人。对提供的货物，即使中标人产品更新换代，不再批量生产该产品，也必须随时有备品零配件供应，并提供终身技术服务。</w:t>
      </w:r>
    </w:p>
    <w:p w14:paraId="274A7140">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3、中标人所供货物须按厂家承诺实行“三包”，若发现本次采购的货物本身存在缺陷，</w:t>
      </w:r>
      <w:r>
        <w:rPr>
          <w:rFonts w:hint="eastAsia" w:ascii="仿宋" w:hAnsi="仿宋" w:eastAsia="仿宋" w:cs="仿宋"/>
          <w:b w:val="0"/>
          <w:bCs w:val="0"/>
          <w:color w:val="auto"/>
          <w:kern w:val="2"/>
          <w:sz w:val="24"/>
          <w:szCs w:val="24"/>
          <w:highlight w:val="none"/>
          <w:lang w:val="en-US" w:eastAsia="zh-CN" w:bidi="ar-SA"/>
        </w:rPr>
        <w:t>投标人</w:t>
      </w:r>
      <w:r>
        <w:rPr>
          <w:rFonts w:hint="eastAsia" w:ascii="仿宋" w:hAnsi="仿宋" w:eastAsia="仿宋" w:cs="仿宋"/>
          <w:b w:val="0"/>
          <w:bCs w:val="0"/>
          <w:color w:val="auto"/>
          <w:kern w:val="2"/>
          <w:sz w:val="24"/>
          <w:szCs w:val="24"/>
          <w:highlight w:val="none"/>
          <w:lang w:val="en-US" w:eastAsia="zh-CN" w:bidi="ar-SA"/>
        </w:rPr>
        <w:t>须无条件退货或者更换同类产品。</w:t>
      </w:r>
    </w:p>
    <w:p w14:paraId="1FF0B76D">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4、在保用的期限内，系统产品货物出现故障的，无偿为采购人维修或者更换相应货物，并保证采购人的正常使用；</w:t>
      </w:r>
      <w:r>
        <w:rPr>
          <w:rFonts w:hint="eastAsia" w:ascii="仿宋" w:hAnsi="仿宋" w:eastAsia="仿宋" w:cs="仿宋"/>
          <w:b w:val="0"/>
          <w:bCs w:val="0"/>
          <w:color w:val="auto"/>
          <w:kern w:val="2"/>
          <w:sz w:val="24"/>
          <w:szCs w:val="24"/>
          <w:highlight w:val="none"/>
          <w:lang w:val="en-US" w:eastAsia="zh-CN" w:bidi="ar-SA"/>
        </w:rPr>
        <w:t>中标人</w:t>
      </w:r>
      <w:r>
        <w:rPr>
          <w:rFonts w:hint="eastAsia" w:ascii="仿宋" w:hAnsi="仿宋" w:eastAsia="仿宋" w:cs="仿宋"/>
          <w:b w:val="0"/>
          <w:bCs w:val="0"/>
          <w:color w:val="auto"/>
          <w:kern w:val="2"/>
          <w:sz w:val="24"/>
          <w:szCs w:val="24"/>
          <w:highlight w:val="none"/>
          <w:lang w:val="en-US" w:eastAsia="zh-CN" w:bidi="ar-SA"/>
        </w:rPr>
        <w:t>应在接到故障通知后1小时内给予解答指导排除，对于解答指导不能排除的故障，8小时之内到达现场服务，一般情况在24小时内须排除故障，特殊情况需与采购人说明情况，并提供代用货物，保证采购人的正常工作使用。</w:t>
      </w:r>
    </w:p>
    <w:p w14:paraId="00AA3594">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5、设备全部安装完毕及投入正常使用后，中标人必须向</w:t>
      </w:r>
      <w:r>
        <w:rPr>
          <w:rFonts w:hint="eastAsia" w:ascii="仿宋" w:hAnsi="仿宋" w:eastAsia="仿宋" w:cs="仿宋"/>
          <w:b w:val="0"/>
          <w:bCs w:val="0"/>
          <w:color w:val="auto"/>
          <w:kern w:val="2"/>
          <w:sz w:val="24"/>
          <w:szCs w:val="24"/>
          <w:highlight w:val="none"/>
          <w:lang w:val="en-US" w:eastAsia="zh-CN" w:bidi="ar-SA"/>
        </w:rPr>
        <w:t>采购人</w:t>
      </w:r>
      <w:r>
        <w:rPr>
          <w:rFonts w:hint="eastAsia" w:ascii="仿宋" w:hAnsi="仿宋" w:eastAsia="仿宋" w:cs="仿宋"/>
          <w:b w:val="0"/>
          <w:bCs w:val="0"/>
          <w:color w:val="auto"/>
          <w:kern w:val="2"/>
          <w:sz w:val="24"/>
          <w:szCs w:val="24"/>
          <w:highlight w:val="none"/>
          <w:lang w:val="en-US" w:eastAsia="zh-CN" w:bidi="ar-SA"/>
        </w:rPr>
        <w:t>提供相关设备电路控制图，并在安装现场教会用户单位人员直至能独立操作为止。</w:t>
      </w:r>
    </w:p>
    <w:p w14:paraId="65FF1F1A">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6、中标人应提供包括但不限于满足货物使用和维护的技术文件，如货物和附件装箱清单、质量合格检定证明文件、保修服务卡、使用说明（原版正本）和中文维护手册。</w:t>
      </w:r>
      <w:r>
        <w:rPr>
          <w:rFonts w:hint="eastAsia" w:ascii="仿宋" w:hAnsi="仿宋" w:eastAsia="仿宋" w:cs="仿宋"/>
          <w:b w:val="0"/>
          <w:bCs w:val="0"/>
          <w:color w:val="auto"/>
          <w:kern w:val="2"/>
          <w:sz w:val="24"/>
          <w:szCs w:val="24"/>
          <w:highlight w:val="none"/>
          <w:lang w:val="en-US" w:eastAsia="zh-CN" w:bidi="ar-SA"/>
        </w:rPr>
        <w:t>中标人</w:t>
      </w:r>
      <w:r>
        <w:rPr>
          <w:rFonts w:hint="eastAsia" w:ascii="仿宋" w:hAnsi="仿宋" w:eastAsia="仿宋" w:cs="仿宋"/>
          <w:b w:val="0"/>
          <w:bCs w:val="0"/>
          <w:color w:val="auto"/>
          <w:kern w:val="2"/>
          <w:sz w:val="24"/>
          <w:szCs w:val="24"/>
          <w:highlight w:val="none"/>
          <w:lang w:val="en-US" w:eastAsia="zh-CN" w:bidi="ar-SA"/>
        </w:rPr>
        <w:t>将货物、产品介绍说明资料（原装彩印）作为一并提供。</w:t>
      </w:r>
    </w:p>
    <w:p w14:paraId="345D92C8">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7、在投标文件中应详细列明培训计划时间安排、培训内容、人数、地点，所需费用计入投标报价，不再另行计算。</w:t>
      </w:r>
    </w:p>
    <w:p w14:paraId="0E511F07">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8、根据采购人需要，提供现场安装指导，调试和验收服务。</w:t>
      </w:r>
    </w:p>
    <w:p w14:paraId="7C8BAA61">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9、投标人须提供技术培训和现场培训</w:t>
      </w:r>
    </w:p>
    <w:p w14:paraId="5ED356AB">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1）对产品技术性能、结构、安装、操作、调试、维护等方面的培训；</w:t>
      </w:r>
    </w:p>
    <w:p w14:paraId="0EB7B650">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2）对产品的检测培训，投标人提供检测设备；</w:t>
      </w:r>
    </w:p>
    <w:p w14:paraId="1F4B172B">
      <w:pPr>
        <w:pStyle w:val="5"/>
        <w:rPr>
          <w:rFonts w:hint="eastAsia" w:ascii="CESI仿宋-GB2312" w:hAnsi="CESI仿宋-GB2312" w:eastAsia="CESI仿宋-GB2312" w:cs="CESI仿宋-GB2312"/>
          <w:b/>
          <w:bCs/>
          <w:i w:val="0"/>
          <w:iCs w:val="0"/>
          <w:caps w:val="0"/>
          <w:color w:val="auto"/>
          <w:spacing w:val="0"/>
          <w:sz w:val="24"/>
          <w:szCs w:val="24"/>
          <w:highlight w:val="none"/>
          <w:shd w:val="clear" w:color="auto" w:fill="FFFFFF"/>
          <w:lang w:val="en-US" w:eastAsia="zh-CN"/>
        </w:rPr>
      </w:pPr>
      <w:r>
        <w:rPr>
          <w:rFonts w:hint="eastAsia" w:ascii="CESI仿宋-GB2312" w:hAnsi="CESI仿宋-GB2312" w:eastAsia="CESI仿宋-GB2312" w:cs="CESI仿宋-GB2312"/>
          <w:b/>
          <w:bCs/>
          <w:i w:val="0"/>
          <w:iCs w:val="0"/>
          <w:caps w:val="0"/>
          <w:color w:val="auto"/>
          <w:spacing w:val="0"/>
          <w:sz w:val="24"/>
          <w:szCs w:val="24"/>
          <w:highlight w:val="none"/>
          <w:shd w:val="clear" w:color="auto" w:fill="FFFFFF"/>
          <w:lang w:val="en-US" w:eastAsia="zh-CN"/>
        </w:rPr>
        <w:t>九、付款说明</w:t>
      </w:r>
    </w:p>
    <w:p w14:paraId="3F2560D5">
      <w:pPr>
        <w:pStyle w:val="5"/>
        <w:ind w:left="0" w:leftChars="0" w:firstLine="0" w:firstLineChars="0"/>
        <w:rPr>
          <w:rFonts w:hint="eastAsia" w:ascii="仿宋" w:hAnsi="仿宋" w:eastAsia="仿宋" w:cs="仿宋"/>
          <w:b w:val="0"/>
          <w:bCs w:val="0"/>
          <w:i w:val="0"/>
          <w:iCs w:val="0"/>
          <w:caps w:val="0"/>
          <w:color w:val="auto"/>
          <w:spacing w:val="0"/>
          <w:sz w:val="24"/>
          <w:szCs w:val="24"/>
          <w:highlight w:val="none"/>
          <w:shd w:val="clear" w:color="auto" w:fill="FFFFFF"/>
          <w:lang w:val="en-US" w:eastAsia="zh-CN"/>
        </w:rPr>
      </w:pPr>
      <w:r>
        <w:rPr>
          <w:rFonts w:hint="eastAsia" w:ascii="仿宋" w:hAnsi="仿宋" w:eastAsia="仿宋" w:cs="仿宋"/>
          <w:b w:val="0"/>
          <w:bCs w:val="0"/>
          <w:i w:val="0"/>
          <w:iCs w:val="0"/>
          <w:caps w:val="0"/>
          <w:color w:val="auto"/>
          <w:spacing w:val="0"/>
          <w:sz w:val="24"/>
          <w:szCs w:val="24"/>
          <w:highlight w:val="none"/>
          <w:shd w:val="clear" w:color="auto" w:fill="FFFFFF"/>
          <w:lang w:val="en-US" w:eastAsia="zh-CN"/>
        </w:rPr>
        <w:t>合同签订后，投标人需支付中标额的1%的履约保证金给采购人，付款方式按《浙江省财政厅关于进一步发挥政府采购政策 功能全力推动经济稳进提质的通知》（浙财采监〔2022〕3号）等文件要求执行，具体付款方式由双方协商后在合同中明确。不得把履约保证金转为质量保证金或收取质量保证金。</w:t>
      </w:r>
    </w:p>
    <w:p w14:paraId="545FD9EE">
      <w:pPr>
        <w:pStyle w:val="5"/>
        <w:numPr>
          <w:ilvl w:val="0"/>
          <w:numId w:val="0"/>
        </w:numPr>
        <w:ind w:leftChars="0"/>
        <w:rPr>
          <w:rFonts w:hint="eastAsia" w:ascii="CESI仿宋-GB2312" w:hAnsi="CESI仿宋-GB2312" w:eastAsia="CESI仿宋-GB2312" w:cs="CESI仿宋-GB2312"/>
          <w:b/>
          <w:bCs/>
          <w:i w:val="0"/>
          <w:iCs w:val="0"/>
          <w:caps w:val="0"/>
          <w:color w:val="auto"/>
          <w:spacing w:val="0"/>
          <w:sz w:val="24"/>
          <w:szCs w:val="24"/>
          <w:highlight w:val="none"/>
          <w:shd w:val="clear" w:color="auto" w:fill="FFFFFF"/>
          <w:lang w:val="en-US" w:eastAsia="zh-CN"/>
        </w:rPr>
      </w:pPr>
      <w:r>
        <w:rPr>
          <w:rFonts w:hint="eastAsia" w:ascii="CESI仿宋-GB2312" w:hAnsi="CESI仿宋-GB2312" w:eastAsia="CESI仿宋-GB2312" w:cs="CESI仿宋-GB2312"/>
          <w:b/>
          <w:bCs/>
          <w:i w:val="0"/>
          <w:iCs w:val="0"/>
          <w:caps w:val="0"/>
          <w:color w:val="auto"/>
          <w:spacing w:val="0"/>
          <w:sz w:val="24"/>
          <w:szCs w:val="24"/>
          <w:highlight w:val="none"/>
          <w:shd w:val="clear" w:color="auto" w:fill="FFFFFF"/>
          <w:lang w:val="en-US" w:eastAsia="zh-CN"/>
        </w:rPr>
        <w:t>十、违约责任</w:t>
      </w:r>
    </w:p>
    <w:p w14:paraId="38FEDD2D">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1、合同签订后，中标人明确表示或者以自己的行为表示不履行合同约定的，</w:t>
      </w:r>
      <w:r>
        <w:rPr>
          <w:rFonts w:hint="eastAsia" w:ascii="仿宋" w:hAnsi="仿宋" w:eastAsia="仿宋" w:cs="仿宋"/>
          <w:b w:val="0"/>
          <w:bCs w:val="0"/>
          <w:color w:val="auto"/>
          <w:kern w:val="2"/>
          <w:sz w:val="24"/>
          <w:szCs w:val="24"/>
          <w:highlight w:val="none"/>
          <w:lang w:val="en-US" w:eastAsia="zh-CN" w:bidi="ar-SA"/>
        </w:rPr>
        <w:t>采购人</w:t>
      </w:r>
      <w:r>
        <w:rPr>
          <w:rFonts w:hint="eastAsia" w:ascii="仿宋" w:hAnsi="仿宋" w:eastAsia="仿宋" w:cs="仿宋"/>
          <w:b w:val="0"/>
          <w:bCs w:val="0"/>
          <w:color w:val="auto"/>
          <w:kern w:val="2"/>
          <w:sz w:val="24"/>
          <w:szCs w:val="24"/>
          <w:highlight w:val="none"/>
          <w:lang w:val="en-US" w:eastAsia="zh-CN" w:bidi="ar-SA"/>
        </w:rPr>
        <w:t>有权单方面终止或解除合同并不给中标人任何补偿，中标人承担全部违约责任及相应的法律责任。</w:t>
      </w:r>
    </w:p>
    <w:p w14:paraId="08165FB6">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2、中标人逾期交付的，中标人应按2000元/天向采购人支付违约金，由采购人从待付货款中扣除。</w:t>
      </w:r>
    </w:p>
    <w:p w14:paraId="463FDCCA">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 xml:space="preserve">3、中标人所交付的货物品种、型号、规格、技术参数、质量不符合合同规定的，采购人有权拒收该货物，中标人愿意更换货物但逾期交付的，按中标人逾期交付处理。中标人拒绝更换货物的，采购人有权单方面终止或解除合同并不给中标人任何补偿，中标人承担全部违约责任及相应的法律责任。 </w:t>
      </w:r>
    </w:p>
    <w:p w14:paraId="37B5F236">
      <w:pPr>
        <w:keepNext w:val="0"/>
        <w:keepLines w:val="0"/>
        <w:pageBreakBefore w:val="0"/>
        <w:kinsoku/>
        <w:wordWrap/>
        <w:overflowPunct/>
        <w:topLinePunct w:val="0"/>
        <w:bidi w:val="0"/>
        <w:spacing w:line="440" w:lineRule="exact"/>
        <w:ind w:right="-94" w:rightChars="0"/>
        <w:textAlignment w:val="auto"/>
        <w:rPr>
          <w:rFonts w:hint="eastAsia" w:ascii="仿宋_GB2312" w:hAnsi="仿宋_GB2312" w:eastAsia="仿宋_GB2312" w:cs="仿宋_GB2312"/>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4、中标人未履行质保期内应履行的义务的，中标人还应向采购人支付中标总价百分之五的违约金。且采购人有权委托第三方承担质保期内应由</w:t>
      </w:r>
      <w:r>
        <w:rPr>
          <w:rFonts w:hint="eastAsia" w:ascii="仿宋" w:hAnsi="仿宋" w:eastAsia="仿宋" w:cs="仿宋"/>
          <w:b w:val="0"/>
          <w:bCs w:val="0"/>
          <w:color w:val="auto"/>
          <w:kern w:val="2"/>
          <w:sz w:val="24"/>
          <w:szCs w:val="24"/>
          <w:highlight w:val="none"/>
          <w:lang w:val="en-US" w:eastAsia="zh-CN" w:bidi="ar-SA"/>
        </w:rPr>
        <w:t>中标人</w:t>
      </w:r>
      <w:r>
        <w:rPr>
          <w:rFonts w:hint="eastAsia" w:ascii="仿宋" w:hAnsi="仿宋" w:eastAsia="仿宋" w:cs="仿宋"/>
          <w:b w:val="0"/>
          <w:bCs w:val="0"/>
          <w:color w:val="auto"/>
          <w:kern w:val="2"/>
          <w:sz w:val="24"/>
          <w:szCs w:val="24"/>
          <w:highlight w:val="none"/>
          <w:lang w:val="en-US" w:eastAsia="zh-CN" w:bidi="ar-SA"/>
        </w:rPr>
        <w:t>履行的义务，相关维修、更换等费用由</w:t>
      </w:r>
      <w:r>
        <w:rPr>
          <w:rFonts w:hint="eastAsia" w:ascii="仿宋" w:hAnsi="仿宋" w:eastAsia="仿宋" w:cs="仿宋"/>
          <w:b w:val="0"/>
          <w:bCs w:val="0"/>
          <w:color w:val="auto"/>
          <w:kern w:val="2"/>
          <w:sz w:val="24"/>
          <w:szCs w:val="24"/>
          <w:highlight w:val="none"/>
          <w:lang w:val="en-US" w:eastAsia="zh-CN" w:bidi="ar-SA"/>
        </w:rPr>
        <w:t>中标人</w:t>
      </w:r>
      <w:r>
        <w:rPr>
          <w:rFonts w:hint="eastAsia" w:ascii="仿宋" w:hAnsi="仿宋" w:eastAsia="仿宋" w:cs="仿宋"/>
          <w:b w:val="0"/>
          <w:bCs w:val="0"/>
          <w:color w:val="auto"/>
          <w:kern w:val="2"/>
          <w:sz w:val="24"/>
          <w:szCs w:val="24"/>
          <w:highlight w:val="none"/>
          <w:lang w:val="en-US" w:eastAsia="zh-CN" w:bidi="ar-SA"/>
        </w:rPr>
        <w:t>承担，且不免除中标人应承担的相关责任。中标人不支付违约金或相关维修、更换等费用的，</w:t>
      </w:r>
      <w:r>
        <w:rPr>
          <w:rFonts w:hint="eastAsia" w:ascii="仿宋" w:hAnsi="仿宋" w:eastAsia="仿宋" w:cs="仿宋"/>
          <w:b w:val="0"/>
          <w:bCs w:val="0"/>
          <w:color w:val="auto"/>
          <w:kern w:val="2"/>
          <w:sz w:val="24"/>
          <w:szCs w:val="24"/>
          <w:highlight w:val="none"/>
          <w:lang w:val="en-US" w:eastAsia="zh-CN" w:bidi="ar-SA"/>
        </w:rPr>
        <w:t>采购人</w:t>
      </w:r>
      <w:r>
        <w:rPr>
          <w:rFonts w:hint="eastAsia" w:ascii="仿宋" w:hAnsi="仿宋" w:eastAsia="仿宋" w:cs="仿宋"/>
          <w:b w:val="0"/>
          <w:bCs w:val="0"/>
          <w:color w:val="auto"/>
          <w:kern w:val="2"/>
          <w:sz w:val="24"/>
          <w:szCs w:val="24"/>
          <w:highlight w:val="none"/>
          <w:lang w:val="en-US" w:eastAsia="zh-CN" w:bidi="ar-SA"/>
        </w:rPr>
        <w:t>有权追究其法律责任。</w:t>
      </w:r>
    </w:p>
    <w:p w14:paraId="11062BC9">
      <w:pPr>
        <w:keepNext w:val="0"/>
        <w:keepLines w:val="0"/>
        <w:pageBreakBefore w:val="0"/>
        <w:kinsoku/>
        <w:wordWrap/>
        <w:overflowPunct/>
        <w:topLinePunct w:val="0"/>
        <w:bidi w:val="0"/>
        <w:spacing w:line="440" w:lineRule="exact"/>
        <w:ind w:firstLine="482" w:firstLineChars="200"/>
        <w:textAlignment w:val="auto"/>
        <w:rPr>
          <w:rFonts w:hint="eastAsia" w:ascii="仿宋_GB2312" w:hAnsi="仿宋_GB2312" w:eastAsia="仿宋_GB2312" w:cs="仿宋_GB2312"/>
          <w:b/>
          <w:bCs/>
          <w:color w:val="auto"/>
          <w:sz w:val="24"/>
          <w:szCs w:val="24"/>
          <w:highlight w:val="none"/>
          <w:lang w:val="en-US" w:eastAsia="zh-CN"/>
        </w:rPr>
      </w:pPr>
    </w:p>
    <w:p w14:paraId="023F4F39">
      <w:pPr>
        <w:kinsoku/>
        <w:wordWrap w:val="0"/>
        <w:overflowPunct/>
        <w:topLinePunct w:val="0"/>
        <w:bidi w:val="0"/>
        <w:snapToGrid w:val="0"/>
        <w:spacing w:line="440" w:lineRule="exact"/>
        <w:jc w:val="left"/>
        <w:rPr>
          <w:rFonts w:hint="eastAsia" w:ascii="仿宋_GB2312" w:hAnsi="宋体" w:eastAsia="仿宋_GB2312"/>
          <w:color w:val="auto"/>
          <w:sz w:val="24"/>
          <w:highlight w:val="none"/>
        </w:rPr>
      </w:pPr>
    </w:p>
    <w:p w14:paraId="66E404D5">
      <w:pPr>
        <w:kinsoku/>
        <w:wordWrap w:val="0"/>
        <w:overflowPunct/>
        <w:topLinePunct w:val="0"/>
        <w:bidi w:val="0"/>
        <w:spacing w:line="360" w:lineRule="auto"/>
        <w:outlineLvl w:val="0"/>
        <w:rPr>
          <w:rFonts w:hint="eastAsia" w:ascii="仿宋" w:hAnsi="仿宋" w:eastAsia="仿宋" w:cs="仿宋"/>
          <w:b/>
          <w:color w:val="auto"/>
          <w:sz w:val="36"/>
          <w:szCs w:val="36"/>
          <w:highlight w:val="none"/>
        </w:rPr>
      </w:pPr>
    </w:p>
    <w:p w14:paraId="4D61654F">
      <w:pPr>
        <w:keepNext w:val="0"/>
        <w:keepLines w:val="0"/>
        <w:pageBreakBefore/>
        <w:widowControl w:val="0"/>
        <w:kinsoku/>
        <w:wordWrap w:val="0"/>
        <w:overflowPunct/>
        <w:topLinePunct w:val="0"/>
        <w:autoSpaceDE/>
        <w:autoSpaceDN/>
        <w:bidi w:val="0"/>
        <w:adjustRightInd/>
        <w:snapToGrid/>
        <w:spacing w:beforeAutospacing="0" w:afterAutospacing="0" w:line="440" w:lineRule="exact"/>
        <w:jc w:val="center"/>
        <w:textAlignment w:val="auto"/>
        <w:outlineLvl w:val="0"/>
        <w:rPr>
          <w:rFonts w:hint="default" w:ascii="仿宋" w:hAnsi="仿宋" w:eastAsia="仿宋" w:cs="仿宋"/>
          <w:b/>
          <w:color w:val="auto"/>
          <w:kern w:val="0"/>
          <w:sz w:val="36"/>
          <w:szCs w:val="36"/>
          <w:highlight w:val="none"/>
          <w:lang w:val="en"/>
        </w:rPr>
      </w:pPr>
      <w:r>
        <w:rPr>
          <w:rFonts w:hint="eastAsia" w:ascii="仿宋" w:hAnsi="仿宋" w:eastAsia="仿宋" w:cs="仿宋"/>
          <w:b/>
          <w:color w:val="auto"/>
          <w:kern w:val="0"/>
          <w:sz w:val="36"/>
          <w:szCs w:val="36"/>
          <w:highlight w:val="none"/>
        </w:rPr>
        <w:t>第四部分 拟签订的合同文本</w:t>
      </w:r>
    </w:p>
    <w:p w14:paraId="1596AE32">
      <w:pPr>
        <w:kinsoku/>
        <w:wordWrap w:val="0"/>
        <w:overflowPunct/>
        <w:topLinePunct w:val="0"/>
        <w:bidi w:val="0"/>
        <w:adjustRightInd/>
        <w:snapToGrid w:val="0"/>
        <w:spacing w:beforeAutospacing="0" w:afterAutospacing="0" w:line="440" w:lineRule="exact"/>
        <w:outlineLvl w:val="0"/>
        <w:rPr>
          <w:rFonts w:hint="eastAsia" w:ascii="仿宋" w:hAnsi="仿宋" w:eastAsia="仿宋" w:cs="仿宋"/>
          <w:b/>
          <w:color w:val="auto"/>
          <w:kern w:val="0"/>
          <w:sz w:val="36"/>
          <w:szCs w:val="36"/>
          <w:highlight w:val="none"/>
        </w:rPr>
      </w:pPr>
    </w:p>
    <w:p w14:paraId="4424D2DA">
      <w:pPr>
        <w:kinsoku/>
        <w:wordWrap w:val="0"/>
        <w:overflowPunct/>
        <w:topLinePunct w:val="0"/>
        <w:bidi w:val="0"/>
        <w:adjustRightInd/>
        <w:spacing w:beforeAutospacing="0" w:afterAutospacing="0" w:line="440" w:lineRule="exact"/>
        <w:jc w:val="center"/>
        <w:rPr>
          <w:rFonts w:hint="eastAsia" w:ascii="仿宋" w:hAnsi="仿宋" w:eastAsia="仿宋" w:cs="仿宋"/>
          <w:b/>
          <w:color w:val="auto"/>
          <w:kern w:val="0"/>
          <w:sz w:val="28"/>
          <w:szCs w:val="28"/>
          <w:highlight w:val="none"/>
        </w:rPr>
      </w:pPr>
    </w:p>
    <w:p w14:paraId="39EE28F1">
      <w:pPr>
        <w:pStyle w:val="5"/>
        <w:kinsoku/>
        <w:wordWrap w:val="0"/>
        <w:overflowPunct/>
        <w:topLinePunct w:val="0"/>
        <w:bidi w:val="0"/>
        <w:rPr>
          <w:rFonts w:hint="default" w:ascii="仿宋_GB2312" w:hAnsi="仿宋" w:eastAsia="仿宋_GB2312" w:cs="Times New Roman"/>
          <w:b/>
          <w:color w:val="auto"/>
          <w:kern w:val="2"/>
          <w:sz w:val="32"/>
          <w:szCs w:val="32"/>
          <w:highlight w:val="none"/>
        </w:rPr>
      </w:pPr>
    </w:p>
    <w:p w14:paraId="1E1DB2F7">
      <w:pPr>
        <w:kinsoku/>
        <w:wordWrap w:val="0"/>
        <w:overflowPunct/>
        <w:topLinePunct w:val="0"/>
        <w:bidi w:val="0"/>
        <w:adjustRightInd/>
        <w:spacing w:beforeAutospacing="0" w:afterAutospacing="0" w:line="440" w:lineRule="exact"/>
        <w:rPr>
          <w:rFonts w:hint="eastAsia" w:ascii="仿宋" w:hAnsi="仿宋" w:eastAsia="仿宋" w:cs="仿宋"/>
          <w:b/>
          <w:color w:val="auto"/>
          <w:kern w:val="0"/>
          <w:sz w:val="24"/>
          <w:szCs w:val="20"/>
          <w:highlight w:val="none"/>
        </w:rPr>
      </w:pPr>
    </w:p>
    <w:p w14:paraId="149E4E3F">
      <w:pPr>
        <w:kinsoku/>
        <w:wordWrap w:val="0"/>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政府采购合同参考范本</w:t>
      </w:r>
    </w:p>
    <w:p w14:paraId="1C24DBD2">
      <w:pPr>
        <w:kinsoku/>
        <w:wordWrap w:val="0"/>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（货物类）</w:t>
      </w:r>
    </w:p>
    <w:p w14:paraId="37104EB3">
      <w:pPr>
        <w:widowControl w:val="0"/>
        <w:kinsoku/>
        <w:wordWrap w:val="0"/>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14:paraId="10E09F13">
      <w:pPr>
        <w:widowControl w:val="0"/>
        <w:kinsoku/>
        <w:wordWrap w:val="0"/>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14:paraId="56D2D91B">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14:paraId="07292FB6">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14:paraId="5E370DBA">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14:paraId="3730D311">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14:paraId="50D1B4EB">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14:paraId="50822EED">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6609C153">
      <w:pPr>
        <w:kinsoku/>
        <w:wordWrap w:val="0"/>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auto"/>
          <w:kern w:val="0"/>
          <w:sz w:val="24"/>
          <w:szCs w:val="20"/>
          <w:highlight w:val="none"/>
          <w:lang w:eastAsia="zh-CN"/>
        </w:rPr>
      </w:pPr>
      <w:r>
        <w:rPr>
          <w:rFonts w:hint="eastAsia" w:ascii="仿宋" w:hAnsi="仿宋" w:eastAsia="仿宋" w:cs="仿宋"/>
          <w:b/>
          <w:bCs/>
          <w:color w:val="auto"/>
          <w:kern w:val="0"/>
          <w:sz w:val="24"/>
          <w:szCs w:val="20"/>
          <w:highlight w:val="none"/>
          <w:lang w:eastAsia="zh-CN"/>
        </w:rPr>
        <w:t>使</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用</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说</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明</w:t>
      </w:r>
    </w:p>
    <w:p w14:paraId="1F80E92C">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p w14:paraId="7951CD1A">
      <w:pPr>
        <w:numPr>
          <w:ilvl w:val="-1"/>
          <w:numId w:val="0"/>
        </w:num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1.本合同标准文本适用于购买现成货物的采购项目，不包括需要供应商定制开发、创新研发的货物采购项目。</w:t>
      </w:r>
    </w:p>
    <w:p w14:paraId="6B110974">
      <w:pPr>
        <w:numPr>
          <w:ilvl w:val="-1"/>
          <w:numId w:val="0"/>
        </w:num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2.本合同标准文本为政府采购货物买卖合同编制提供参考，可以结合采购项目具体情况，对文本作必要的调整修订后使用。</w:t>
      </w:r>
    </w:p>
    <w:p w14:paraId="2F77E657">
      <w:p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3.本合同标准文本各条款中，如涉及填写多家供应商、制造商，多种采购标的、分包主要内容等信息的，可根据采购项目具体情况添加信息项。</w:t>
      </w:r>
    </w:p>
    <w:p w14:paraId="64E8214F">
      <w:pPr>
        <w:kinsoku/>
        <w:wordWrap w:val="0"/>
        <w:overflowPunct/>
        <w:topLinePunct w:val="0"/>
        <w:bidi w:val="0"/>
        <w:spacing w:beforeAutospacing="0" w:afterAutospacing="0" w:line="440" w:lineRule="exact"/>
        <w:ind w:left="-420" w:leftChars="-200" w:right="-420" w:rightChars="-200" w:firstLine="480" w:firstLineChars="200"/>
        <w:rPr>
          <w:rFonts w:hint="eastAsia" w:ascii="仿宋" w:hAnsi="仿宋" w:eastAsia="仿宋" w:cs="仿宋"/>
          <w:color w:val="auto"/>
          <w:sz w:val="24"/>
          <w:highlight w:val="none"/>
        </w:rPr>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5AB5357">
      <w:pPr>
        <w:keepNext w:val="0"/>
        <w:keepLines w:val="0"/>
        <w:pageBreakBefore/>
        <w:widowControl w:val="0"/>
        <w:kinsoku/>
        <w:wordWrap w:val="0"/>
        <w:overflowPunct/>
        <w:topLinePunct w:val="0"/>
        <w:autoSpaceDE/>
        <w:autoSpaceDN/>
        <w:bidi w:val="0"/>
        <w:adjustRightInd/>
        <w:snapToGrid/>
        <w:spacing w:beforeAutospacing="0" w:afterAutospacing="0" w:line="440" w:lineRule="exact"/>
        <w:ind w:left="-420" w:leftChars="-200" w:right="-420" w:rightChars="-200" w:firstLine="482" w:firstLineChars="200"/>
        <w:jc w:val="center"/>
        <w:textAlignment w:val="auto"/>
        <w:rPr>
          <w:rFonts w:hint="eastAsia" w:ascii="仿宋" w:hAnsi="仿宋" w:eastAsia="仿宋" w:cs="仿宋"/>
          <w:color w:val="auto"/>
          <w:kern w:val="0"/>
          <w:sz w:val="24"/>
          <w:szCs w:val="20"/>
          <w:highlight w:val="none"/>
        </w:rPr>
      </w:pPr>
      <w:bookmarkStart w:id="43" w:name="_Toc22209"/>
      <w:r>
        <w:rPr>
          <w:rFonts w:hint="eastAsia" w:ascii="仿宋" w:hAnsi="仿宋" w:eastAsia="仿宋" w:cs="仿宋"/>
          <w:b/>
          <w:bCs/>
          <w:color w:val="auto"/>
          <w:kern w:val="0"/>
          <w:sz w:val="24"/>
          <w:szCs w:val="20"/>
          <w:highlight w:val="none"/>
        </w:rPr>
        <w:t>第一节 政府采购合同协议书</w:t>
      </w:r>
      <w:bookmarkEnd w:id="43"/>
    </w:p>
    <w:p w14:paraId="37487066">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1D5F1BEE">
      <w:pPr>
        <w:kinsoku/>
        <w:wordWrap w:val="0"/>
        <w:overflowPunct/>
        <w:topLinePunct w:val="0"/>
        <w:bidi w:val="0"/>
        <w:adjustRightInd/>
        <w:spacing w:beforeAutospacing="0" w:afterAutospacing="0" w:line="440" w:lineRule="exact"/>
        <w:ind w:left="0" w:leftChars="0" w:right="-346" w:rightChars="-165"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（采购人</w:t>
      </w:r>
      <w:r>
        <w:rPr>
          <w:rFonts w:hint="eastAsia" w:ascii="仿宋" w:hAnsi="仿宋" w:eastAsia="仿宋" w:cs="仿宋"/>
          <w:color w:val="auto"/>
          <w:kern w:val="0"/>
          <w:sz w:val="24"/>
          <w:szCs w:val="20"/>
          <w:highlight w:val="none"/>
          <w:lang w:eastAsia="zh-CN"/>
        </w:rPr>
        <w:t>、受采购人委托签订合同的单位</w:t>
      </w:r>
      <w:r>
        <w:rPr>
          <w:rFonts w:hint="eastAsia" w:ascii="仿宋" w:hAnsi="仿宋" w:eastAsia="仿宋" w:cs="仿宋"/>
          <w:color w:val="auto"/>
          <w:kern w:val="0"/>
          <w:sz w:val="24"/>
          <w:szCs w:val="20"/>
          <w:highlight w:val="none"/>
        </w:rPr>
        <w:t>或采购</w:t>
      </w:r>
    </w:p>
    <w:p w14:paraId="72FE80E1">
      <w:pPr>
        <w:kinsoku/>
        <w:wordWrap w:val="0"/>
        <w:overflowPunct/>
        <w:topLinePunct w:val="0"/>
        <w:bidi w:val="0"/>
        <w:adjustRightInd/>
        <w:spacing w:beforeAutospacing="0" w:afterAutospacing="0" w:line="440" w:lineRule="exact"/>
        <w:ind w:left="-210" w:leftChars="-100" w:right="-346" w:rightChars="-165" w:firstLine="4209" w:firstLineChars="1754"/>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14:paraId="1FC0CCE8">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 xml:space="preserve">（全称）：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 xml:space="preserve"> （供应商）</w:t>
      </w:r>
    </w:p>
    <w:p w14:paraId="2360CDD4">
      <w:pPr>
        <w:kinsoku/>
        <w:wordWrap w:val="0"/>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14:paraId="75A33284">
      <w:pPr>
        <w:kinsoku/>
        <w:wordWrap w:val="0"/>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lang w:val="en-US" w:eastAsia="zh-CN"/>
        </w:rPr>
        <w:t>3（全称）：</w:t>
      </w:r>
      <w:r>
        <w:rPr>
          <w:rFonts w:hint="eastAsia" w:ascii="仿宋" w:hAnsi="仿宋" w:eastAsia="仿宋" w:cs="仿宋"/>
          <w:color w:val="auto"/>
          <w:kern w:val="0"/>
          <w:sz w:val="24"/>
          <w:szCs w:val="20"/>
          <w:highlight w:val="none"/>
        </w:rPr>
        <w:t xml:space="preserve">                  （联合体成员供应商或其他合同主体）（如有）</w:t>
      </w:r>
    </w:p>
    <w:p w14:paraId="54C91EC2">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p>
    <w:p w14:paraId="1EF7A389">
      <w:pPr>
        <w:kinsoku/>
        <w:wordWrap w:val="0"/>
        <w:overflowPunct/>
        <w:topLinePunct w:val="0"/>
        <w:bidi w:val="0"/>
        <w:adjustRightInd/>
        <w:spacing w:beforeAutospacing="0" w:afterAutospacing="0" w:line="440" w:lineRule="exact"/>
        <w:ind w:left="-210" w:leftChars="-1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依据《中华人民共和国民法典》</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《中华人民共和国政府采购法》等有关的法律法规，以及</w:t>
      </w:r>
      <w:r>
        <w:rPr>
          <w:rFonts w:hint="eastAsia" w:ascii="仿宋" w:hAnsi="仿宋" w:eastAsia="仿宋" w:cs="仿宋"/>
          <w:color w:val="auto"/>
          <w:kern w:val="0"/>
          <w:sz w:val="24"/>
          <w:szCs w:val="20"/>
          <w:highlight w:val="none"/>
          <w:lang w:eastAsia="zh-CN"/>
        </w:rPr>
        <w:t>本采购项目</w:t>
      </w:r>
      <w:r>
        <w:rPr>
          <w:rFonts w:hint="eastAsia" w:ascii="仿宋" w:hAnsi="仿宋" w:eastAsia="仿宋" w:cs="仿宋"/>
          <w:color w:val="auto"/>
          <w:kern w:val="0"/>
          <w:sz w:val="24"/>
          <w:szCs w:val="20"/>
          <w:highlight w:val="none"/>
        </w:rPr>
        <w:t>的</w:t>
      </w:r>
      <w:r>
        <w:rPr>
          <w:rFonts w:hint="eastAsia" w:ascii="仿宋" w:hAnsi="仿宋" w:eastAsia="仿宋" w:cs="仿宋"/>
          <w:color w:val="auto"/>
          <w:kern w:val="0"/>
          <w:sz w:val="24"/>
          <w:szCs w:val="20"/>
          <w:highlight w:val="none"/>
          <w:lang w:eastAsia="zh-CN"/>
        </w:rPr>
        <w:t>招标</w:t>
      </w:r>
      <w:r>
        <w:rPr>
          <w:rFonts w:hint="eastAsia" w:ascii="仿宋" w:hAnsi="仿宋" w:eastAsia="仿宋" w:cs="仿宋"/>
          <w:color w:val="auto"/>
          <w:kern w:val="0"/>
          <w:sz w:val="24"/>
          <w:szCs w:val="20"/>
          <w:highlight w:val="none"/>
          <w:lang w:val="en-US" w:eastAsia="zh-CN"/>
        </w:rPr>
        <w:t>/谈判</w:t>
      </w:r>
      <w:r>
        <w:rPr>
          <w:rFonts w:hint="eastAsia" w:ascii="仿宋" w:hAnsi="仿宋" w:eastAsia="仿宋" w:cs="仿宋"/>
          <w:color w:val="auto"/>
          <w:kern w:val="0"/>
          <w:sz w:val="24"/>
          <w:szCs w:val="20"/>
          <w:highlight w:val="none"/>
          <w:lang w:eastAsia="zh-CN"/>
        </w:rPr>
        <w:t>文件等</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 xml:space="preserve">乙方的《投标（响应）文件》及《中标（成交）通知书》，甲乙双方同意签订本合同。具体情况及要求如下：     </w:t>
      </w:r>
    </w:p>
    <w:p w14:paraId="0EBCAE58">
      <w:pPr>
        <w:numPr>
          <w:ilvl w:val="0"/>
          <w:numId w:val="3"/>
        </w:numPr>
        <w:kinsoku/>
        <w:wordWrap w:val="0"/>
        <w:overflowPunct/>
        <w:topLinePunct w:val="0"/>
        <w:bidi w:val="0"/>
        <w:adjustRightInd/>
        <w:spacing w:beforeAutospacing="0" w:afterAutospacing="0" w:line="440" w:lineRule="exact"/>
        <w:ind w:left="-210" w:leftChars="-100" w:right="-420" w:rightChars="-200" w:firstLine="723" w:firstLineChars="300"/>
        <w:rPr>
          <w:rFonts w:hint="eastAsia"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14:paraId="4D4B8704">
      <w:pPr>
        <w:numPr>
          <w:ilvl w:val="-1"/>
          <w:numId w:val="0"/>
        </w:numPr>
        <w:kinsoku/>
        <w:wordWrap w:val="0"/>
        <w:overflowPunct/>
        <w:topLinePunct w:val="0"/>
        <w:bidi w:val="0"/>
        <w:adjustRightInd/>
        <w:spacing w:beforeAutospacing="0" w:afterAutospacing="0" w:line="440" w:lineRule="exact"/>
        <w:ind w:left="420" w:leftChars="20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1</w:t>
      </w:r>
      <w:r>
        <w:rPr>
          <w:rFonts w:hint="eastAsia" w:ascii="仿宋" w:hAnsi="仿宋" w:eastAsia="仿宋" w:cs="仿宋"/>
          <w:color w:val="auto"/>
          <w:kern w:val="0"/>
          <w:sz w:val="24"/>
          <w:szCs w:val="20"/>
          <w:highlight w:val="none"/>
        </w:rPr>
        <w:t>）采购项目名称：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2F261F3">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采购项目编号：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BC399B9">
      <w:pPr>
        <w:numPr>
          <w:ilvl w:val="0"/>
          <w:numId w:val="4"/>
        </w:num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ED51C18">
      <w:pPr>
        <w:numPr>
          <w:ilvl w:val="0"/>
          <w:numId w:val="4"/>
        </w:num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14:paraId="06F7FA05">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采购标的及数量</w:t>
      </w:r>
      <w:r>
        <w:rPr>
          <w:rFonts w:hint="eastAsia" w:ascii="仿宋" w:hAnsi="仿宋" w:eastAsia="仿宋" w:cs="仿宋"/>
          <w:color w:val="auto"/>
          <w:kern w:val="0"/>
          <w:sz w:val="24"/>
          <w:szCs w:val="20"/>
          <w:highlight w:val="none"/>
          <w:lang w:val="en-US" w:eastAsia="zh-CN"/>
        </w:rPr>
        <w:t>（台/套</w:t>
      </w:r>
      <w:r>
        <w:rPr>
          <w:rFonts w:hint="eastAsia" w:ascii="仿宋" w:hAnsi="仿宋" w:eastAsia="仿宋" w:cs="仿宋"/>
          <w:color w:val="auto"/>
          <w:kern w:val="0"/>
          <w:sz w:val="24"/>
          <w:szCs w:val="20"/>
          <w:highlight w:val="none"/>
          <w:lang w:val="en" w:eastAsia="zh-CN"/>
        </w:rPr>
        <w:t>/个/架/组等</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71467206">
      <w:pPr>
        <w:kinsoku/>
        <w:wordWrap w:val="0"/>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 w:eastAsia="zh-CN"/>
        </w:rPr>
        <w:t xml:space="preserve">   </w:t>
      </w:r>
      <w:r>
        <w:rPr>
          <w:rFonts w:hint="eastAsia" w:ascii="仿宋" w:hAnsi="仿宋" w:eastAsia="仿宋" w:cs="仿宋"/>
          <w:color w:val="auto"/>
          <w:kern w:val="0"/>
          <w:sz w:val="24"/>
          <w:szCs w:val="20"/>
          <w:highlight w:val="none"/>
          <w:lang w:val="en-US" w:eastAsia="zh-CN"/>
        </w:rPr>
        <w:t>规格型号：</w:t>
      </w:r>
      <w:r>
        <w:rPr>
          <w:rFonts w:ascii="宋体" w:hAnsi="宋体" w:eastAsia="宋体" w:cs="Times New Roman"/>
          <w:color w:val="auto"/>
          <w:kern w:val="0"/>
          <w:sz w:val="34"/>
          <w:szCs w:val="21"/>
          <w:highlight w:val="none"/>
          <w:u w:val="single"/>
        </w:rPr>
        <w:t xml:space="preserve">            </w:t>
      </w:r>
    </w:p>
    <w:p w14:paraId="10B3FB71">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采购标的的技术要求、商务要求具体见附件。</w:t>
      </w:r>
    </w:p>
    <w:p w14:paraId="65614A64">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①涉及信息类产品，请填写该产品关键部件的品牌、型号：</w:t>
      </w:r>
    </w:p>
    <w:p w14:paraId="4AA8329B">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标的名称：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8FDBD96">
      <w:pPr>
        <w:kinsoku/>
        <w:wordWrap w:val="0"/>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59C54FB1">
      <w:pPr>
        <w:kinsoku/>
        <w:wordWrap w:val="0"/>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60C601AE">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03CB9A99">
      <w:pPr>
        <w:kinsoku/>
        <w:wordWrap w:val="0"/>
        <w:overflowPunct/>
        <w:topLinePunct w:val="0"/>
        <w:bidi w:val="0"/>
        <w:adjustRightInd/>
        <w:spacing w:beforeAutospacing="0" w:afterAutospacing="0" w:line="440" w:lineRule="exact"/>
        <w:ind w:left="-10" w:leftChars="0" w:right="-346" w:rightChars="-165" w:firstLine="398" w:firstLineChars="166"/>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14:paraId="6543086E">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②涉及车辆采购，请填写是否属于新能源汽车：</w:t>
      </w:r>
    </w:p>
    <w:p w14:paraId="0CBCDC0E">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数量：</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734389FC">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7F735494">
      <w:pPr>
        <w:kinsoku/>
        <w:wordWrap w:val="0"/>
        <w:overflowPunct/>
        <w:topLinePunct w:val="0"/>
        <w:bidi w:val="0"/>
        <w:adjustRightInd/>
        <w:spacing w:beforeAutospacing="0" w:afterAutospacing="0" w:line="440" w:lineRule="exact"/>
        <w:ind w:left="-210" w:leftChars="-100" w:right="-420" w:rightChars="-200" w:firstLine="336" w:firstLineChars="14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4</w:t>
      </w:r>
      <w:r>
        <w:rPr>
          <w:rFonts w:hint="eastAsia" w:ascii="仿宋" w:hAnsi="仿宋" w:eastAsia="仿宋" w:cs="仿宋"/>
          <w:color w:val="auto"/>
          <w:kern w:val="0"/>
          <w:sz w:val="24"/>
          <w:szCs w:val="20"/>
          <w:highlight w:val="none"/>
          <w:lang w:val="en-US" w:eastAsia="zh-CN"/>
        </w:rPr>
        <w:t>）政府采购组织形式：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政府集中采购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分散采购</w:t>
      </w:r>
    </w:p>
    <w:p w14:paraId="60FB7CA9">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5</w:t>
      </w:r>
      <w:r>
        <w:rPr>
          <w:rFonts w:hint="eastAsia" w:ascii="仿宋" w:hAnsi="仿宋" w:eastAsia="仿宋" w:cs="仿宋"/>
          <w:color w:val="auto"/>
          <w:kern w:val="0"/>
          <w:sz w:val="24"/>
          <w:szCs w:val="20"/>
          <w:highlight w:val="none"/>
          <w:lang w:val="en-US" w:eastAsia="zh-CN"/>
        </w:rPr>
        <w:t>）政府采购方式：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公开招标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邀请招标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竞争性谈判</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竞争性磋商</w:t>
      </w:r>
    </w:p>
    <w:p w14:paraId="2FA554ED">
      <w:pPr>
        <w:kinsoku/>
        <w:wordWrap w:val="0"/>
        <w:overflowPunct/>
        <w:topLinePunct w:val="0"/>
        <w:bidi w:val="0"/>
        <w:adjustRightInd/>
        <w:spacing w:beforeAutospacing="0" w:afterAutospacing="0" w:line="440" w:lineRule="exact"/>
        <w:ind w:left="0" w:leftChars="0" w:right="-420" w:rightChars="-200" w:firstLine="2760" w:firstLineChars="115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询价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单一来源</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框架协议</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297450B7">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（注：在框架协议采购的第二阶段，可选择使用该合同文本）</w:t>
      </w:r>
    </w:p>
    <w:p w14:paraId="3C3E632A">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6</w:t>
      </w:r>
      <w:r>
        <w:rPr>
          <w:rFonts w:hint="eastAsia" w:ascii="仿宋" w:hAnsi="仿宋" w:eastAsia="仿宋" w:cs="仿宋"/>
          <w:color w:val="auto"/>
          <w:kern w:val="0"/>
          <w:sz w:val="24"/>
          <w:szCs w:val="20"/>
          <w:highlight w:val="none"/>
          <w:lang w:val="en-US" w:eastAsia="zh-CN"/>
        </w:rPr>
        <w:t>）中标（成交）采购标的制造商是否为中小企业：</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 xml:space="preserve">是      </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否</w:t>
      </w:r>
    </w:p>
    <w:p w14:paraId="74763D05">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本合同</w:t>
      </w:r>
      <w:r>
        <w:rPr>
          <w:rFonts w:hint="eastAsia" w:ascii="仿宋" w:hAnsi="仿宋" w:eastAsia="仿宋" w:cs="仿宋"/>
          <w:color w:val="auto"/>
          <w:kern w:val="0"/>
          <w:sz w:val="24"/>
          <w:szCs w:val="20"/>
          <w:highlight w:val="none"/>
        </w:rPr>
        <w:t>是否</w:t>
      </w:r>
      <w:r>
        <w:rPr>
          <w:rFonts w:hint="eastAsia" w:ascii="仿宋" w:hAnsi="仿宋" w:eastAsia="仿宋" w:cs="仿宋"/>
          <w:color w:val="auto"/>
          <w:kern w:val="0"/>
          <w:sz w:val="24"/>
          <w:szCs w:val="20"/>
          <w:highlight w:val="none"/>
          <w:lang w:eastAsia="zh-CN"/>
        </w:rPr>
        <w:t>为专门面向</w:t>
      </w:r>
      <w:r>
        <w:rPr>
          <w:rFonts w:hint="eastAsia" w:ascii="仿宋" w:hAnsi="仿宋" w:eastAsia="仿宋" w:cs="仿宋"/>
          <w:color w:val="auto"/>
          <w:kern w:val="0"/>
          <w:sz w:val="24"/>
          <w:szCs w:val="20"/>
          <w:highlight w:val="none"/>
        </w:rPr>
        <w:t>中小企业</w:t>
      </w:r>
      <w:r>
        <w:rPr>
          <w:rFonts w:hint="eastAsia" w:ascii="仿宋" w:hAnsi="仿宋" w:eastAsia="仿宋" w:cs="仿宋"/>
          <w:color w:val="auto"/>
          <w:kern w:val="0"/>
          <w:sz w:val="24"/>
          <w:szCs w:val="20"/>
          <w:highlight w:val="none"/>
          <w:lang w:eastAsia="zh-CN"/>
        </w:rPr>
        <w:t>的采购</w:t>
      </w:r>
      <w:r>
        <w:rPr>
          <w:rFonts w:hint="eastAsia" w:ascii="仿宋" w:hAnsi="仿宋" w:eastAsia="仿宋" w:cs="仿宋"/>
          <w:color w:val="auto"/>
          <w:kern w:val="0"/>
          <w:sz w:val="24"/>
          <w:szCs w:val="20"/>
          <w:highlight w:val="none"/>
        </w:rPr>
        <w:t>合同</w:t>
      </w:r>
      <w:r>
        <w:rPr>
          <w:rFonts w:hint="eastAsia" w:ascii="仿宋" w:hAnsi="仿宋" w:eastAsia="仿宋" w:cs="仿宋"/>
          <w:color w:val="auto"/>
          <w:kern w:val="0"/>
          <w:sz w:val="24"/>
          <w:szCs w:val="20"/>
          <w:highlight w:val="none"/>
          <w:lang w:eastAsia="zh-CN"/>
        </w:rPr>
        <w:t>（中小企业预留合同）</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1C730F7">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7B1DBE6">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C37D468">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E0BBB46">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eastAsia="zh-CN"/>
        </w:rPr>
        <w:t>7</w:t>
      </w:r>
      <w:r>
        <w:rPr>
          <w:rFonts w:hint="eastAsia" w:ascii="仿宋" w:hAnsi="仿宋" w:eastAsia="仿宋" w:cs="仿宋"/>
          <w:color w:val="auto"/>
          <w:kern w:val="0"/>
          <w:sz w:val="24"/>
          <w:szCs w:val="20"/>
          <w:highlight w:val="none"/>
        </w:rPr>
        <w:t>）合同是否分包：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A4AA26E">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分包主要内容：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44A2DE18">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名称</w:t>
      </w:r>
      <w:r>
        <w:rPr>
          <w:rFonts w:hint="eastAsia" w:ascii="仿宋" w:hAnsi="仿宋" w:eastAsia="仿宋" w:cs="仿宋"/>
          <w:color w:val="auto"/>
          <w:kern w:val="0"/>
          <w:sz w:val="24"/>
          <w:szCs w:val="20"/>
          <w:highlight w:val="none"/>
          <w:lang w:eastAsia="zh-CN"/>
        </w:rPr>
        <w:t>（如供应商和制造商不同，请分别填写）</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p>
    <w:p w14:paraId="7E1CF531">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类型</w:t>
      </w:r>
      <w:r>
        <w:rPr>
          <w:rFonts w:hint="eastAsia" w:ascii="仿宋" w:hAnsi="仿宋" w:eastAsia="仿宋" w:cs="仿宋"/>
          <w:color w:val="auto"/>
          <w:kern w:val="0"/>
          <w:sz w:val="24"/>
          <w:szCs w:val="20"/>
          <w:highlight w:val="none"/>
          <w:lang w:eastAsia="zh-CN"/>
        </w:rPr>
        <w:t>（如果供应商和制造商不同，只填写制造商类型）</w:t>
      </w:r>
      <w:r>
        <w:rPr>
          <w:rFonts w:hint="eastAsia" w:ascii="仿宋" w:hAnsi="仿宋" w:eastAsia="仿宋" w:cs="仿宋"/>
          <w:color w:val="auto"/>
          <w:kern w:val="0"/>
          <w:sz w:val="24"/>
          <w:szCs w:val="20"/>
          <w:highlight w:val="none"/>
        </w:rPr>
        <w:t>：</w:t>
      </w:r>
    </w:p>
    <w:p w14:paraId="5F2B100D">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小微型企业</w:t>
      </w:r>
      <w:r>
        <w:rPr>
          <w:rFonts w:hint="eastAsia" w:ascii="仿宋" w:hAnsi="仿宋" w:eastAsia="仿宋" w:cs="仿宋"/>
          <w:color w:val="auto"/>
          <w:kern w:val="0"/>
          <w:sz w:val="24"/>
          <w:szCs w:val="20"/>
          <w:highlight w:val="none"/>
          <w:lang w:val="en-US" w:eastAsia="zh-CN"/>
        </w:rPr>
        <w:t xml:space="preserve">  </w:t>
      </w:r>
    </w:p>
    <w:p w14:paraId="23094F81">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残疾人福利性单位</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监狱</w:t>
      </w:r>
      <w:r>
        <w:rPr>
          <w:rFonts w:hint="eastAsia" w:ascii="仿宋" w:hAnsi="仿宋" w:eastAsia="仿宋" w:cs="仿宋"/>
          <w:color w:val="auto"/>
          <w:kern w:val="0"/>
          <w:sz w:val="24"/>
          <w:szCs w:val="20"/>
          <w:highlight w:val="none"/>
        </w:rPr>
        <w:t>企业</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p>
    <w:p w14:paraId="7659A4C9">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8</w:t>
      </w:r>
      <w:r>
        <w:rPr>
          <w:rFonts w:hint="eastAsia" w:ascii="仿宋" w:hAnsi="仿宋" w:eastAsia="仿宋" w:cs="仿宋"/>
          <w:color w:val="auto"/>
          <w:kern w:val="0"/>
          <w:sz w:val="24"/>
          <w:szCs w:val="20"/>
          <w:highlight w:val="none"/>
          <w:lang w:val="en-US" w:eastAsia="zh-CN"/>
        </w:rPr>
        <w:t>）中标（成交）供应商是否为外商投资企业：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14395F9">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部分由外国投资者投资</w:t>
      </w:r>
    </w:p>
    <w:p w14:paraId="1F025DC7">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9</w:t>
      </w:r>
      <w:r>
        <w:rPr>
          <w:rFonts w:hint="eastAsia" w:ascii="仿宋" w:hAnsi="仿宋" w:eastAsia="仿宋" w:cs="仿宋"/>
          <w:color w:val="auto"/>
          <w:kern w:val="0"/>
          <w:sz w:val="24"/>
          <w:szCs w:val="20"/>
          <w:highlight w:val="none"/>
          <w:lang w:val="en-US" w:eastAsia="zh-CN"/>
        </w:rPr>
        <w:t>）是否涉及进口产品：</w:t>
      </w:r>
    </w:p>
    <w:p w14:paraId="1DD0EBC1">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31923D00">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国别：</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规格型号：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2D016E7">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1AA3DD7D">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（1</w:t>
      </w:r>
      <w:r>
        <w:rPr>
          <w:rFonts w:hint="eastAsia" w:ascii="仿宋" w:hAnsi="仿宋" w:eastAsia="仿宋" w:cs="仿宋"/>
          <w:color w:val="auto"/>
          <w:kern w:val="0"/>
          <w:sz w:val="24"/>
          <w:szCs w:val="20"/>
          <w:highlight w:val="none"/>
          <w:lang w:val="en" w:eastAsia="zh-CN"/>
        </w:rPr>
        <w:t>0</w:t>
      </w:r>
      <w:r>
        <w:rPr>
          <w:rFonts w:hint="eastAsia" w:ascii="仿宋" w:hAnsi="仿宋" w:eastAsia="仿宋" w:cs="仿宋"/>
          <w:color w:val="auto"/>
          <w:kern w:val="0"/>
          <w:sz w:val="24"/>
          <w:szCs w:val="20"/>
          <w:highlight w:val="none"/>
          <w:lang w:val="en-US" w:eastAsia="zh-CN"/>
        </w:rPr>
        <w:t>）是否涉及节能产品：</w:t>
      </w:r>
    </w:p>
    <w:p w14:paraId="1C6EEE7E">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，《节能产品政府采购品目清单》的底级品目名称：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50EB0BF1">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6EE6FFD3">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3F2CC8B">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是否涉及环境标志产品：</w:t>
      </w:r>
    </w:p>
    <w:p w14:paraId="025C1C9A">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，《环境标志产品政府采购品目清单》的底级品目名称：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6EC0C292">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0179E67F">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6F815EA">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是否涉及绿色产品： </w:t>
      </w:r>
    </w:p>
    <w:p w14:paraId="7967ADEB">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，绿色产品政府采购相关政策确定的底级品目名称：</w:t>
      </w:r>
      <w:r>
        <w:rPr>
          <w:rFonts w:hint="eastAsia" w:ascii="仿宋" w:hAnsi="仿宋" w:eastAsia="仿宋" w:cs="仿宋"/>
          <w:color w:val="auto"/>
          <w:kern w:val="0"/>
          <w:sz w:val="24"/>
          <w:szCs w:val="20"/>
          <w:highlight w:val="none"/>
          <w:lang w:val="en-US" w:eastAsia="zh-CN"/>
        </w:rPr>
        <w:t xml:space="preserve">         </w:t>
      </w:r>
    </w:p>
    <w:p w14:paraId="72F82D8B">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1F6E96C1">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F922972">
      <w:pPr>
        <w:kinsoku/>
        <w:wordWrap w:val="0"/>
        <w:overflowPunct/>
        <w:topLinePunct w:val="0"/>
        <w:bidi w:val="0"/>
        <w:adjustRightInd/>
        <w:spacing w:beforeAutospacing="0" w:afterAutospacing="0" w:line="440" w:lineRule="exact"/>
        <w:ind w:left="-19" w:leftChars="-9" w:right="-420" w:rightChars="-200" w:firstLine="540" w:firstLineChars="225"/>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lang w:val="en" w:eastAsia="zh-CN"/>
        </w:rPr>
        <w:t>1</w:t>
      </w:r>
      <w:r>
        <w:rPr>
          <w:rFonts w:hint="eastAsia" w:ascii="仿宋" w:hAnsi="仿宋" w:eastAsia="仿宋" w:cs="仿宋"/>
          <w:color w:val="auto"/>
          <w:kern w:val="0"/>
          <w:sz w:val="24"/>
          <w:szCs w:val="20"/>
          <w:highlight w:val="none"/>
          <w:lang w:val="en-US" w:eastAsia="zh-CN"/>
        </w:rPr>
        <w:t>）涉及商品包装和快递包装的，是否参考</w:t>
      </w:r>
      <w:r>
        <w:rPr>
          <w:rFonts w:hint="eastAsia" w:ascii="仿宋" w:hAnsi="仿宋" w:eastAsia="仿宋" w:cs="仿宋"/>
          <w:color w:val="auto"/>
          <w:kern w:val="0"/>
          <w:sz w:val="24"/>
          <w:szCs w:val="20"/>
          <w:highlight w:val="none"/>
        </w:rPr>
        <w:t>《商品包装政府采购需求标准（试行）》、《快递包装政府采购需求标准（试行）》</w:t>
      </w:r>
      <w:r>
        <w:rPr>
          <w:rFonts w:hint="eastAsia" w:ascii="仿宋" w:hAnsi="仿宋" w:eastAsia="仿宋" w:cs="仿宋"/>
          <w:color w:val="auto"/>
          <w:kern w:val="0"/>
          <w:sz w:val="24"/>
          <w:szCs w:val="20"/>
          <w:highlight w:val="none"/>
          <w:lang w:eastAsia="zh-CN"/>
        </w:rPr>
        <w:t>明确产品及相关快递服务的具体包装要求：</w:t>
      </w:r>
    </w:p>
    <w:p w14:paraId="4C3DDEE8">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不涉及</w:t>
      </w:r>
    </w:p>
    <w:p w14:paraId="0089E34B">
      <w:pPr>
        <w:kinsoku/>
        <w:wordWrap w:val="0"/>
        <w:overflowPunct/>
        <w:topLinePunct w:val="0"/>
        <w:bidi w:val="0"/>
        <w:adjustRightInd/>
        <w:spacing w:beforeAutospacing="0" w:afterAutospacing="0" w:line="440" w:lineRule="exact"/>
        <w:ind w:left="-420" w:leftChars="-200" w:right="-420" w:rightChars="-200" w:firstLine="1084" w:firstLineChars="4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合同金额</w:t>
      </w:r>
    </w:p>
    <w:p w14:paraId="6ACC1ABA">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060C648A">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32B30E74">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分包金额</w:t>
      </w:r>
      <w:r>
        <w:rPr>
          <w:rFonts w:hint="eastAsia" w:ascii="仿宋" w:hAnsi="仿宋" w:eastAsia="仿宋" w:cs="仿宋"/>
          <w:color w:val="auto"/>
          <w:kern w:val="0"/>
          <w:sz w:val="24"/>
          <w:szCs w:val="20"/>
          <w:highlight w:val="none"/>
          <w:lang w:eastAsia="zh-CN"/>
        </w:rPr>
        <w:t>（如有）</w:t>
      </w:r>
      <w:r>
        <w:rPr>
          <w:rFonts w:hint="eastAsia" w:ascii="仿宋" w:hAnsi="仿宋" w:eastAsia="仿宋" w:cs="仿宋"/>
          <w:color w:val="auto"/>
          <w:kern w:val="0"/>
          <w:sz w:val="24"/>
          <w:szCs w:val="20"/>
          <w:highlight w:val="none"/>
        </w:rPr>
        <w:t>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656106DD">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69F6F9FD">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（注：固定单价合同应填写单价和最高限价）</w:t>
      </w:r>
    </w:p>
    <w:p w14:paraId="358FE56F">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合同定价方式</w:t>
      </w:r>
      <w:r>
        <w:rPr>
          <w:rFonts w:hint="eastAsia" w:ascii="仿宋" w:hAnsi="仿宋" w:eastAsia="仿宋" w:cs="仿宋"/>
          <w:color w:val="auto"/>
          <w:kern w:val="0"/>
          <w:sz w:val="24"/>
          <w:szCs w:val="20"/>
          <w:highlight w:val="none"/>
          <w:lang w:eastAsia="zh-CN"/>
        </w:rPr>
        <w:t>（采用组合定价方式的，可以勾选多项）</w:t>
      </w:r>
      <w:r>
        <w:rPr>
          <w:rFonts w:hint="eastAsia" w:ascii="仿宋" w:hAnsi="仿宋" w:eastAsia="仿宋" w:cs="仿宋"/>
          <w:color w:val="auto"/>
          <w:kern w:val="0"/>
          <w:sz w:val="24"/>
          <w:szCs w:val="20"/>
          <w:highlight w:val="none"/>
        </w:rPr>
        <w:t>：</w:t>
      </w:r>
    </w:p>
    <w:p w14:paraId="414589A9">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固定单价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固定费率</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绩效激励</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hint="eastAsia" w:ascii="仿宋" w:hAnsi="仿宋" w:eastAsia="仿宋" w:cs="仿宋"/>
          <w:color w:val="auto"/>
          <w:kern w:val="0"/>
          <w:sz w:val="24"/>
          <w:szCs w:val="20"/>
          <w:highlight w:val="none"/>
        </w:rPr>
        <w:t xml:space="preserve">       </w:t>
      </w:r>
    </w:p>
    <w:p w14:paraId="09E3EC7E">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）付款方式（按项目实际勾选填写）：</w:t>
      </w:r>
    </w:p>
    <w:p w14:paraId="313CFC86">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4"/>
          <w:highlight w:val="none"/>
          <w:u w:val="single"/>
        </w:rPr>
        <w:t>（应</w:t>
      </w:r>
      <w:r>
        <w:rPr>
          <w:rFonts w:hint="eastAsia" w:ascii="仿宋" w:hAnsi="仿宋" w:eastAsia="仿宋" w:cs="仿宋"/>
          <w:color w:val="auto"/>
          <w:kern w:val="0"/>
          <w:sz w:val="24"/>
          <w:szCs w:val="24"/>
          <w:highlight w:val="none"/>
          <w:u w:val="single"/>
          <w:lang w:eastAsia="zh-CN"/>
        </w:rPr>
        <w:t>明确</w:t>
      </w:r>
      <w:r>
        <w:rPr>
          <w:rFonts w:hint="eastAsia" w:ascii="仿宋" w:hAnsi="仿宋" w:eastAsia="仿宋" w:cs="仿宋"/>
          <w:color w:val="auto"/>
          <w:kern w:val="0"/>
          <w:sz w:val="24"/>
          <w:szCs w:val="24"/>
          <w:highlight w:val="none"/>
          <w:u w:val="single"/>
        </w:rPr>
        <w:t>一次性支付合同款项</w:t>
      </w:r>
      <w:r>
        <w:rPr>
          <w:rFonts w:hint="eastAsia" w:ascii="仿宋" w:hAnsi="仿宋" w:eastAsia="仿宋" w:cs="仿宋"/>
          <w:color w:val="auto"/>
          <w:kern w:val="0"/>
          <w:sz w:val="24"/>
          <w:szCs w:val="24"/>
          <w:highlight w:val="none"/>
          <w:u w:val="single"/>
          <w:lang w:eastAsia="zh-CN"/>
        </w:rPr>
        <w:t>的条件</w:t>
      </w:r>
      <w:r>
        <w:rPr>
          <w:rFonts w:hint="eastAsia" w:ascii="仿宋" w:hAnsi="仿宋" w:eastAsia="仿宋" w:cs="仿宋"/>
          <w:color w:val="auto"/>
          <w:kern w:val="0"/>
          <w:sz w:val="24"/>
          <w:szCs w:val="24"/>
          <w:highlight w:val="none"/>
          <w:u w:val="single"/>
        </w:rPr>
        <w:t>）</w:t>
      </w:r>
      <w:r>
        <w:rPr>
          <w:rFonts w:hint="eastAsia" w:ascii="宋体" w:hAnsi="宋体" w:eastAsia="宋体" w:cs="Times New Roman"/>
          <w:color w:val="auto"/>
          <w:kern w:val="0"/>
          <w:sz w:val="34"/>
          <w:szCs w:val="21"/>
          <w:highlight w:val="none"/>
          <w:u w:val="single"/>
        </w:rPr>
        <w:t xml:space="preserve">              </w:t>
      </w:r>
    </w:p>
    <w:p w14:paraId="51BE5E29">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4"/>
          <w:highlight w:val="none"/>
          <w:u w:val="single"/>
          <w:lang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szCs w:val="24"/>
          <w:highlight w:val="none"/>
          <w:u w:val="single"/>
        </w:rPr>
        <w:t xml:space="preserve">  （应明确分期支付合同款项的各期比例和支付条件</w:t>
      </w:r>
      <w:r>
        <w:rPr>
          <w:rFonts w:hint="eastAsia" w:ascii="仿宋" w:hAnsi="仿宋" w:eastAsia="仿宋" w:cs="仿宋"/>
          <w:color w:val="auto"/>
          <w:kern w:val="0"/>
          <w:sz w:val="24"/>
          <w:szCs w:val="24"/>
          <w:highlight w:val="none"/>
          <w:u w:val="single"/>
          <w:lang w:eastAsia="zh-CN"/>
        </w:rPr>
        <w:t>，各期支付条件</w:t>
      </w:r>
    </w:p>
    <w:p w14:paraId="1E482C2C">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lang w:eastAsia="zh-CN"/>
        </w:rPr>
        <w:t>应与分期履约验收情况挂钩</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0"/>
          <w:highlight w:val="none"/>
          <w:u w:val="none"/>
          <w:lang w:eastAsia="zh-CN"/>
        </w:rPr>
        <w:t>，</w:t>
      </w:r>
      <w:r>
        <w:rPr>
          <w:rFonts w:hint="eastAsia" w:ascii="仿宋" w:hAnsi="仿宋" w:eastAsia="仿宋" w:cs="仿宋"/>
          <w:color w:val="auto"/>
          <w:kern w:val="0"/>
          <w:sz w:val="24"/>
          <w:szCs w:val="20"/>
          <w:highlight w:val="none"/>
          <w:lang w:eastAsia="zh-CN"/>
        </w:rPr>
        <w:t>其中涉及预付款的</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4"/>
          <w:highlight w:val="none"/>
          <w:u w:val="single"/>
        </w:rPr>
        <w:t xml:space="preserve"> （应明确预付款的支付比例和支付条件）</w:t>
      </w:r>
    </w:p>
    <w:p w14:paraId="50AF2975">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14:paraId="2FC594DD">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14:paraId="055E7A58">
      <w:pPr>
        <w:kinsoku/>
        <w:wordWrap w:val="0"/>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3.</w:t>
      </w:r>
      <w:r>
        <w:rPr>
          <w:rFonts w:hint="eastAsia" w:ascii="仿宋" w:hAnsi="仿宋" w:eastAsia="仿宋" w:cs="仿宋"/>
          <w:b/>
          <w:bCs/>
          <w:color w:val="auto"/>
          <w:kern w:val="0"/>
          <w:sz w:val="24"/>
          <w:szCs w:val="20"/>
          <w:highlight w:val="none"/>
        </w:rPr>
        <w:t>合同履行</w:t>
      </w:r>
    </w:p>
    <w:p w14:paraId="46FC7881">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14:paraId="35A12C4B">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eastAsia="zh-CN"/>
        </w:rPr>
        <w:t>履约</w:t>
      </w:r>
      <w:r>
        <w:rPr>
          <w:rFonts w:hint="eastAsia" w:ascii="仿宋" w:hAnsi="仿宋" w:eastAsia="仿宋" w:cs="仿宋"/>
          <w:color w:val="auto"/>
          <w:kern w:val="0"/>
          <w:sz w:val="24"/>
          <w:szCs w:val="20"/>
          <w:highlight w:val="none"/>
        </w:rPr>
        <w:t>地点：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5AC31DAD">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（3）履约担保：</w:t>
      </w:r>
      <w:r>
        <w:rPr>
          <w:rFonts w:hint="eastAsia" w:ascii="仿宋" w:hAnsi="仿宋" w:eastAsia="仿宋" w:cs="仿宋"/>
          <w:color w:val="auto"/>
          <w:kern w:val="0"/>
          <w:sz w:val="24"/>
          <w:szCs w:val="20"/>
          <w:highlight w:val="none"/>
          <w:lang w:val="en-US" w:eastAsia="zh-CN"/>
        </w:rPr>
        <w:t>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是</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544B8425">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收取履约保证金形式：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58A480B1">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收取履约保证金金额：</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6103415E">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履约担保期限</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7C8771A0">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16277D21">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w:t>
      </w:r>
      <w:r>
        <w:rPr>
          <w:rFonts w:hint="eastAsia" w:ascii="仿宋" w:hAnsi="仿宋" w:eastAsia="仿宋" w:cs="仿宋"/>
          <w:color w:val="auto"/>
          <w:kern w:val="0"/>
          <w:sz w:val="24"/>
          <w:szCs w:val="20"/>
          <w:highlight w:val="none"/>
          <w:lang w:eastAsia="zh-CN"/>
        </w:rPr>
        <w:t>风险处置措施和替代方案</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53B349E5">
      <w:pPr>
        <w:kinsoku/>
        <w:wordWrap w:val="0"/>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4.</w:t>
      </w:r>
      <w:r>
        <w:rPr>
          <w:rFonts w:hint="eastAsia" w:ascii="仿宋" w:hAnsi="仿宋" w:eastAsia="仿宋" w:cs="仿宋"/>
          <w:b/>
          <w:bCs/>
          <w:color w:val="auto"/>
          <w:kern w:val="0"/>
          <w:sz w:val="24"/>
          <w:szCs w:val="20"/>
          <w:highlight w:val="none"/>
        </w:rPr>
        <w:t>合同验收</w:t>
      </w:r>
    </w:p>
    <w:p w14:paraId="611D30FF">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14:paraId="390B362E">
      <w:pPr>
        <w:kinsoku/>
        <w:wordWrap w:val="0"/>
        <w:overflowPunct/>
        <w:topLinePunct w:val="0"/>
        <w:bidi w:val="0"/>
        <w:adjustRightInd/>
        <w:spacing w:beforeAutospacing="0" w:afterAutospacing="0" w:line="440" w:lineRule="exact"/>
        <w:ind w:left="0" w:leftChars="0" w:right="-420" w:rightChars="-200" w:firstLine="1080" w:firstLineChars="45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rPr>
        <w:t>验收主体：</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3B773B47">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是否邀请本项目的其他供应商</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78824FE">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5CE7E8F">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A22B36F">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3E6EFF2">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，抽查比例：</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E1DEC36">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，（应明确对被破坏的检测产品的处理方式）</w:t>
      </w:r>
    </w:p>
    <w:p w14:paraId="30C8AABB">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7E7630B">
      <w:pPr>
        <w:kinsoku/>
        <w:wordWrap w:val="0"/>
        <w:overflowPunct/>
        <w:topLinePunct w:val="0"/>
        <w:bidi w:val="0"/>
        <w:adjustRightInd/>
        <w:spacing w:beforeAutospacing="0" w:afterAutospacing="0" w:line="440" w:lineRule="exact"/>
        <w:ind w:left="0" w:leftChars="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1C130FC">
      <w:pPr>
        <w:numPr>
          <w:ilvl w:val="0"/>
          <w:numId w:val="0"/>
        </w:num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szCs w:val="24"/>
          <w:highlight w:val="none"/>
          <w:u w:val="single"/>
        </w:rPr>
        <w:t>（计划于何时验收/供应商提出验收申请之日起   日内组织验收）</w:t>
      </w:r>
    </w:p>
    <w:p w14:paraId="516D3C76">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14:paraId="24534B1B">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color w:val="auto"/>
          <w:kern w:val="0"/>
          <w:sz w:val="24"/>
          <w:szCs w:val="20"/>
          <w:highlight w:val="non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（应明确分期</w:t>
      </w:r>
      <w:r>
        <w:rPr>
          <w:rFonts w:hint="eastAsia" w:ascii="仿宋" w:hAnsi="仿宋" w:eastAsia="仿宋" w:cs="仿宋"/>
          <w:bCs/>
          <w:color w:val="auto"/>
          <w:kern w:val="0"/>
          <w:sz w:val="24"/>
          <w:szCs w:val="24"/>
          <w:highlight w:val="none"/>
          <w:u w:val="single"/>
          <w:lang w:val="en" w:eastAsia="zh-CN"/>
        </w:rPr>
        <w:t>/分项验收的工作安排</w:t>
      </w:r>
      <w:r>
        <w:rPr>
          <w:rFonts w:hint="eastAsia" w:ascii="仿宋" w:hAnsi="仿宋" w:eastAsia="仿宋" w:cs="仿宋"/>
          <w:bCs/>
          <w:color w:val="auto"/>
          <w:kern w:val="0"/>
          <w:sz w:val="24"/>
          <w:szCs w:val="24"/>
          <w:highlight w:val="none"/>
          <w:u w:val="singl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0E1BD9A7">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B4F29FB">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14:paraId="01859CCB">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ED76AD4">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lang w:eastAsia="zh-CN"/>
        </w:rPr>
        <w:t>）是否以采购活动中供应商提供的样品作为参考：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07F2CFC">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szCs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14:paraId="60CB5920">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5.</w:t>
      </w:r>
      <w:r>
        <w:rPr>
          <w:rFonts w:hint="eastAsia" w:ascii="仿宋" w:hAnsi="仿宋" w:eastAsia="仿宋" w:cs="仿宋"/>
          <w:b/>
          <w:bCs/>
          <w:color w:val="auto"/>
          <w:kern w:val="0"/>
          <w:sz w:val="24"/>
          <w:szCs w:val="20"/>
          <w:highlight w:val="none"/>
        </w:rPr>
        <w:t>组成合同的文件</w:t>
      </w:r>
    </w:p>
    <w:p w14:paraId="3E6D6762">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14:paraId="3F74F362">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p>
    <w:p w14:paraId="7996263B">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）政府采购合同专用条款</w:t>
      </w:r>
    </w:p>
    <w:p w14:paraId="2EF266B2">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）政府采购合同通用条款</w:t>
      </w:r>
    </w:p>
    <w:p w14:paraId="223101F3">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p>
    <w:p w14:paraId="77BB07EC">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）投标（响应）文件</w:t>
      </w:r>
    </w:p>
    <w:p w14:paraId="244358D0">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14:paraId="561577E6">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14:paraId="0FDC0384">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lang w:eastAsia="zh-CN"/>
        </w:rPr>
        <w:t>）国家法律、行政法规和规章制度规定或合同约定的作为合同组成部分的其他文件</w:t>
      </w:r>
    </w:p>
    <w:p w14:paraId="31F5191C">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合同生效</w:t>
      </w:r>
    </w:p>
    <w:p w14:paraId="220C357A">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szCs w:val="24"/>
          <w:highlight w:val="none"/>
          <w:u w:val="single"/>
        </w:rPr>
        <w:t xml:space="preserve">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生效。</w:t>
      </w:r>
    </w:p>
    <w:p w14:paraId="2F9338EA">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7.</w:t>
      </w:r>
      <w:r>
        <w:rPr>
          <w:rFonts w:hint="eastAsia" w:ascii="仿宋" w:hAnsi="仿宋" w:eastAsia="仿宋" w:cs="仿宋"/>
          <w:b/>
          <w:bCs/>
          <w:color w:val="auto"/>
          <w:kern w:val="0"/>
          <w:sz w:val="24"/>
          <w:szCs w:val="20"/>
          <w:highlight w:val="none"/>
        </w:rPr>
        <w:t>合同份数</w:t>
      </w:r>
    </w:p>
    <w:p w14:paraId="654F7F98">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 xml:space="preserve">执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执</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份，均具有同等法律效力。</w:t>
      </w:r>
    </w:p>
    <w:p w14:paraId="63749E7C">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月</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日</w:t>
      </w:r>
    </w:p>
    <w:p w14:paraId="1916C819">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30EE3D17">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w:t>
      </w:r>
      <w:r>
        <w:rPr>
          <w:rFonts w:hint="eastAsia" w:ascii="仿宋" w:hAnsi="仿宋" w:eastAsia="仿宋" w:cs="仿宋"/>
          <w:color w:val="auto"/>
          <w:kern w:val="0"/>
          <w:sz w:val="24"/>
          <w:szCs w:val="20"/>
          <w:highlight w:val="none"/>
          <w:lang w:eastAsia="zh-CN"/>
        </w:rPr>
        <w:t>的及其</w:t>
      </w:r>
      <w:r>
        <w:rPr>
          <w:rFonts w:hint="eastAsia" w:ascii="仿宋" w:hAnsi="仿宋" w:eastAsia="仿宋" w:cs="仿宋"/>
          <w:color w:val="auto"/>
          <w:kern w:val="0"/>
          <w:sz w:val="24"/>
          <w:szCs w:val="20"/>
          <w:highlight w:val="none"/>
          <w:lang w:val="en-US" w:eastAsia="zh-CN"/>
        </w:rPr>
        <w:t>技术要求和商务要求</w:t>
      </w:r>
      <w:r>
        <w:rPr>
          <w:rFonts w:hint="eastAsia" w:ascii="仿宋" w:hAnsi="仿宋" w:eastAsia="仿宋" w:cs="仿宋"/>
          <w:color w:val="auto"/>
          <w:kern w:val="0"/>
          <w:sz w:val="24"/>
          <w:szCs w:val="20"/>
          <w:highlight w:val="none"/>
        </w:rPr>
        <w:t>、联合协议、分包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协议等。</w:t>
      </w:r>
    </w:p>
    <w:p w14:paraId="1CF5E280">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14170CEC">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
        </w:rPr>
        <w:t xml:space="preserve">   </w:t>
      </w:r>
    </w:p>
    <w:p w14:paraId="1ED4604C">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2E8F90C5">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3B48463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79BD7FC3">
            <w:pPr>
              <w:kinsoku/>
              <w:wordWrap w:val="0"/>
              <w:overflowPunct/>
              <w:topLinePunct w:val="0"/>
              <w:bidi w:val="0"/>
              <w:adjustRightInd/>
              <w:spacing w:beforeAutospacing="0" w:afterAutospacing="0" w:line="440" w:lineRule="exact"/>
              <w:ind w:left="-420" w:leftChars="-200" w:right="-420" w:rightChars="-200" w:firstLine="630" w:firstLineChars="300"/>
              <w:jc w:val="both"/>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甲方（采购人</w:t>
            </w:r>
            <w:r>
              <w:rPr>
                <w:rFonts w:hint="eastAsia" w:ascii="仿宋" w:hAnsi="仿宋" w:eastAsia="仿宋" w:cs="仿宋"/>
                <w:color w:val="auto"/>
                <w:kern w:val="0"/>
                <w:sz w:val="21"/>
                <w:szCs w:val="21"/>
                <w:highlight w:val="none"/>
                <w:lang w:eastAsia="zh-CN"/>
              </w:rPr>
              <w:t>、受采购人委托签订合同的</w:t>
            </w:r>
          </w:p>
          <w:p w14:paraId="1AD87DBC">
            <w:pPr>
              <w:kinsoku/>
              <w:wordWrap w:val="0"/>
              <w:overflowPunct/>
              <w:topLinePunct w:val="0"/>
              <w:bidi w:val="0"/>
              <w:adjustRightInd/>
              <w:spacing w:beforeAutospacing="0" w:afterAutospacing="0" w:line="440" w:lineRule="exact"/>
              <w:ind w:left="-420" w:leftChars="-200" w:right="-420" w:rightChars="-200" w:firstLine="1050" w:firstLineChars="5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1"/>
                <w:szCs w:val="21"/>
                <w:highlight w:val="none"/>
                <w:lang w:eastAsia="zh-CN"/>
              </w:rPr>
              <w:t>单位</w:t>
            </w:r>
            <w:r>
              <w:rPr>
                <w:rFonts w:hint="eastAsia" w:ascii="仿宋" w:hAnsi="仿宋" w:eastAsia="仿宋" w:cs="仿宋"/>
                <w:color w:val="auto"/>
                <w:kern w:val="0"/>
                <w:sz w:val="21"/>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14:paraId="41858B2F">
            <w:pPr>
              <w:kinsoku/>
              <w:wordWrap w:val="0"/>
              <w:overflowPunct/>
              <w:topLinePunct w:val="0"/>
              <w:bidi w:val="0"/>
              <w:adjustRightInd/>
              <w:spacing w:beforeAutospacing="0" w:afterAutospacing="0" w:line="440" w:lineRule="exact"/>
              <w:ind w:left="-420" w:leftChars="-200" w:right="-420" w:rightChars="-200" w:firstLine="1680" w:firstLineChars="7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14:paraId="6CCAF09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5BA79FD9">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555AF09C">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DD2B24A">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449223A">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05A028D7">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259" w:type="pct"/>
            <w:tcBorders>
              <w:top w:val="single" w:color="auto" w:sz="2" w:space="0"/>
              <w:left w:val="single" w:color="auto" w:sz="2" w:space="0"/>
              <w:bottom w:val="single" w:color="auto" w:sz="2" w:space="0"/>
            </w:tcBorders>
            <w:noWrap w:val="0"/>
            <w:vAlign w:val="center"/>
          </w:tcPr>
          <w:p w14:paraId="61E6943D">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D2E8CA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124D85EB">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14:paraId="09ED84B9">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14:paraId="052B2FA9">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right w:val="single" w:color="auto" w:sz="2" w:space="0"/>
            </w:tcBorders>
            <w:noWrap w:val="0"/>
            <w:vAlign w:val="center"/>
          </w:tcPr>
          <w:p w14:paraId="7D838CD5">
            <w:pPr>
              <w:kinsoku/>
              <w:wordWrap w:val="0"/>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noWrap w:val="0"/>
            <w:vAlign w:val="center"/>
          </w:tcPr>
          <w:p w14:paraId="05922D6F">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692FA9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7D8ECEE8">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14:paraId="724193D9">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3BBF207">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5ADCB6D9">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46ABAF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975115B">
            <w:pPr>
              <w:kinsoku/>
              <w:wordWrap w:val="0"/>
              <w:overflowPunct/>
              <w:topLinePunct w:val="0"/>
              <w:bidi w:val="0"/>
              <w:adjustRightInd/>
              <w:spacing w:beforeAutospacing="0" w:afterAutospacing="0" w:line="440" w:lineRule="exact"/>
              <w:ind w:left="-420" w:leftChars="-200" w:right="-420" w:rightChars="-200" w:firstLine="1080" w:firstLineChars="45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A2E14F7">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28F8F1D">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14:paraId="58CDFF4D">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F4BA44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BA054D7">
            <w:pPr>
              <w:kinsoku/>
              <w:wordWrap w:val="0"/>
              <w:overflowPunct/>
              <w:topLinePunct w:val="0"/>
              <w:bidi w:val="0"/>
              <w:adjustRightInd/>
              <w:spacing w:beforeAutospacing="0" w:afterAutospacing="0" w:line="440" w:lineRule="exact"/>
              <w:ind w:left="0" w:leftChars="0" w:right="-420" w:rightChars="-200" w:firstLine="480" w:firstLineChars="2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21A8E00">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C98FA0D">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noWrap w:val="0"/>
            <w:vAlign w:val="center"/>
          </w:tcPr>
          <w:p w14:paraId="03F66A03">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EADEAF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BD9EEF0">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18A14E5">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E307825">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noWrap w:val="0"/>
            <w:vAlign w:val="center"/>
          </w:tcPr>
          <w:p w14:paraId="0759903E">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8A3B4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D678EBC">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82B6CFF">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25AF784">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4693810B">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0CAAD8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6170013">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B7B0F82">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227016F">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noWrap w:val="0"/>
            <w:vAlign w:val="center"/>
          </w:tcPr>
          <w:p w14:paraId="1B176910">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A4E44C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7FCD1F0">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3CD6E86">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616803B">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noWrap w:val="0"/>
            <w:vAlign w:val="center"/>
          </w:tcPr>
          <w:p w14:paraId="584D9CEB">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4E7D93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1F8C82F">
            <w:pPr>
              <w:kinsoku/>
              <w:wordWrap w:val="0"/>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42FF28B">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B77BD2F">
            <w:pPr>
              <w:kinsoku/>
              <w:wordWrap w:val="0"/>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14:paraId="449988EC">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B04801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D14DFFB">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A11C7A0">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EE733B5">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noWrap w:val="0"/>
            <w:vAlign w:val="center"/>
          </w:tcPr>
          <w:p w14:paraId="3F48DF8C">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EE2975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E7A38EE">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2D7D6BD">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C844172">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noWrap w:val="0"/>
            <w:vAlign w:val="center"/>
          </w:tcPr>
          <w:p w14:paraId="766D7E74">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E0813A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48F131B">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C0B3F93">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77F0130">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noWrap w:val="0"/>
            <w:vAlign w:val="center"/>
          </w:tcPr>
          <w:p w14:paraId="60432C77">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ED3349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70D62952">
            <w:pPr>
              <w:kinsoku/>
              <w:wordWrap w:val="0"/>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14:paraId="7A32D4E8">
      <w:pPr>
        <w:numPr>
          <w:ilvl w:val="0"/>
          <w:numId w:val="5"/>
        </w:numPr>
        <w:kinsoku/>
        <w:wordWrap w:val="0"/>
        <w:overflowPunct/>
        <w:topLinePunct w:val="0"/>
        <w:bidi w:val="0"/>
        <w:adjustRightInd/>
        <w:spacing w:beforeAutospacing="0" w:afterAutospacing="0" w:line="440" w:lineRule="exact"/>
        <w:ind w:left="-420" w:leftChars="-200" w:right="-420" w:rightChars="-200" w:firstLine="480"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bookmarkStart w:id="44" w:name="_Toc27624"/>
      <w:r>
        <w:rPr>
          <w:rFonts w:hint="eastAsia" w:ascii="仿宋" w:hAnsi="仿宋" w:eastAsia="仿宋" w:cs="仿宋"/>
          <w:b/>
          <w:bCs/>
          <w:color w:val="auto"/>
          <w:kern w:val="0"/>
          <w:sz w:val="24"/>
          <w:szCs w:val="20"/>
          <w:highlight w:val="none"/>
        </w:rPr>
        <w:t>政府采购合同通用条款</w:t>
      </w:r>
      <w:bookmarkEnd w:id="44"/>
    </w:p>
    <w:p w14:paraId="46906A83">
      <w:pPr>
        <w:numPr>
          <w:ilvl w:val="-1"/>
          <w:numId w:val="0"/>
        </w:numPr>
        <w:kinsoku/>
        <w:wordWrap w:val="0"/>
        <w:overflowPunct/>
        <w:topLinePunct w:val="0"/>
        <w:bidi w:val="0"/>
        <w:adjustRightInd/>
        <w:spacing w:beforeAutospacing="0" w:afterAutospacing="0" w:line="440" w:lineRule="exact"/>
        <w:ind w:left="-200" w:leftChars="0" w:right="-420" w:rightChars="-200" w:firstLine="482" w:firstLineChars="200"/>
        <w:jc w:val="both"/>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14:paraId="599F14E5">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14:paraId="4FC07128">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w:t>
      </w:r>
      <w:r>
        <w:rPr>
          <w:rFonts w:hint="eastAsia" w:ascii="仿宋" w:hAnsi="仿宋" w:eastAsia="仿宋" w:cs="仿宋"/>
          <w:color w:val="auto"/>
          <w:kern w:val="0"/>
          <w:sz w:val="24"/>
          <w:szCs w:val="20"/>
          <w:highlight w:val="none"/>
          <w:lang w:val="en-US" w:eastAsia="zh-CN"/>
        </w:rPr>
        <w:t>及其相关服务的</w:t>
      </w:r>
      <w:r>
        <w:rPr>
          <w:rFonts w:hint="eastAsia" w:ascii="仿宋" w:hAnsi="仿宋" w:eastAsia="仿宋" w:cs="仿宋"/>
          <w:color w:val="auto"/>
          <w:kern w:val="0"/>
          <w:sz w:val="24"/>
          <w:szCs w:val="20"/>
          <w:highlight w:val="none"/>
        </w:rPr>
        <w:t>国家机关、事业单位、团体组织。</w:t>
      </w:r>
    </w:p>
    <w:p w14:paraId="2ADCBF89">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方）是指参加政府采购活动并且中标（成交），向采购人提供</w:t>
      </w:r>
      <w:r>
        <w:rPr>
          <w:rFonts w:hint="eastAsia" w:ascii="仿宋" w:hAnsi="仿宋" w:eastAsia="仿宋" w:cs="仿宋"/>
          <w:color w:val="auto"/>
          <w:kern w:val="0"/>
          <w:sz w:val="24"/>
          <w:szCs w:val="20"/>
          <w:highlight w:val="none"/>
          <w:lang w:val="en-US" w:eastAsia="zh-CN"/>
        </w:rPr>
        <w:t>合同约定的货物及其相关服务的法人、非法人组织或者自然人</w:t>
      </w:r>
      <w:r>
        <w:rPr>
          <w:rFonts w:hint="eastAsia" w:ascii="仿宋" w:hAnsi="仿宋" w:eastAsia="仿宋" w:cs="仿宋"/>
          <w:color w:val="auto"/>
          <w:kern w:val="0"/>
          <w:sz w:val="24"/>
          <w:szCs w:val="20"/>
          <w:highlight w:val="none"/>
        </w:rPr>
        <w:t>。</w:t>
      </w:r>
    </w:p>
    <w:p w14:paraId="5AD4DAF6">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14:paraId="4F2396AD">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14:paraId="620C82B7">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政府采购合同通用条款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投标（响应）文件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有关技术文件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图纸</w:t>
      </w:r>
      <w:r>
        <w:rPr>
          <w:rFonts w:hint="eastAsia" w:ascii="仿宋" w:hAnsi="仿宋" w:eastAsia="仿宋" w:cs="仿宋"/>
          <w:color w:val="auto"/>
          <w:kern w:val="0"/>
          <w:sz w:val="24"/>
          <w:szCs w:val="20"/>
          <w:highlight w:val="none"/>
          <w:lang w:eastAsia="zh-CN"/>
        </w:rPr>
        <w:t>，以及国家法律、行政法规和规章制度规定或合同约定的作为合同组成部分的其他文件</w:t>
      </w:r>
      <w:r>
        <w:rPr>
          <w:rFonts w:hint="eastAsia" w:ascii="仿宋" w:hAnsi="仿宋" w:eastAsia="仿宋" w:cs="仿宋"/>
          <w:color w:val="auto"/>
          <w:kern w:val="0"/>
          <w:sz w:val="24"/>
          <w:szCs w:val="20"/>
          <w:highlight w:val="none"/>
        </w:rPr>
        <w:t>。</w:t>
      </w:r>
    </w:p>
    <w:p w14:paraId="6C2A8F8B">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）“合同价</w:t>
      </w:r>
      <w:r>
        <w:rPr>
          <w:rFonts w:hint="eastAsia" w:ascii="仿宋" w:hAnsi="仿宋" w:eastAsia="仿宋" w:cs="仿宋"/>
          <w:color w:val="auto"/>
          <w:kern w:val="0"/>
          <w:sz w:val="24"/>
          <w:szCs w:val="20"/>
          <w:highlight w:val="none"/>
          <w:lang w:val="en-US" w:eastAsia="zh-CN"/>
        </w:rPr>
        <w:t>款</w:t>
      </w:r>
      <w:r>
        <w:rPr>
          <w:rFonts w:hint="eastAsia" w:ascii="仿宋" w:hAnsi="仿宋" w:eastAsia="仿宋" w:cs="仿宋"/>
          <w:color w:val="auto"/>
          <w:kern w:val="0"/>
          <w:sz w:val="24"/>
          <w:szCs w:val="20"/>
          <w:highlight w:val="none"/>
        </w:rPr>
        <w:t>”系指根据本合同规定乙方在全面履行合同义务后甲方应支付给乙方的价款。</w:t>
      </w:r>
    </w:p>
    <w:p w14:paraId="2A3709D5">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技术资料和材料</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p>
    <w:p w14:paraId="46712826">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相关</w:t>
      </w:r>
      <w:r>
        <w:rPr>
          <w:rFonts w:hint="eastAsia" w:ascii="仿宋" w:hAnsi="仿宋" w:eastAsia="仿宋" w:cs="仿宋"/>
          <w:color w:val="auto"/>
          <w:kern w:val="0"/>
          <w:sz w:val="24"/>
          <w:szCs w:val="20"/>
          <w:highlight w:val="none"/>
        </w:rPr>
        <w:t>服务”系指根据合同规定，乙方应提供的</w:t>
      </w:r>
      <w:r>
        <w:rPr>
          <w:rFonts w:hint="eastAsia" w:ascii="仿宋" w:hAnsi="仿宋" w:eastAsia="仿宋" w:cs="仿宋"/>
          <w:color w:val="auto"/>
          <w:kern w:val="0"/>
          <w:sz w:val="24"/>
          <w:szCs w:val="20"/>
          <w:highlight w:val="none"/>
          <w:lang w:val="en-US" w:eastAsia="zh-CN"/>
        </w:rPr>
        <w:t>与货物有关的</w:t>
      </w:r>
      <w:r>
        <w:rPr>
          <w:rFonts w:hint="eastAsia" w:ascii="仿宋" w:hAnsi="仿宋" w:eastAsia="仿宋" w:cs="仿宋"/>
          <w:color w:val="auto"/>
          <w:kern w:val="0"/>
          <w:sz w:val="24"/>
          <w:szCs w:val="20"/>
          <w:highlight w:val="none"/>
        </w:rPr>
        <w:t>技术、管理和</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服务，包括但不限于：管理和质量保证、运输、保险、检验、现场准备、安装、集成、调试、培训、维修、</w:t>
      </w:r>
      <w:r>
        <w:rPr>
          <w:rFonts w:hint="eastAsia" w:ascii="仿宋" w:hAnsi="仿宋" w:eastAsia="仿宋" w:cs="仿宋"/>
          <w:color w:val="auto"/>
          <w:kern w:val="0"/>
          <w:sz w:val="24"/>
          <w:szCs w:val="20"/>
          <w:highlight w:val="none"/>
          <w:lang w:eastAsia="zh-CN"/>
        </w:rPr>
        <w:t>废弃处置、</w:t>
      </w:r>
      <w:r>
        <w:rPr>
          <w:rFonts w:hint="eastAsia" w:ascii="仿宋" w:hAnsi="仿宋" w:eastAsia="仿宋" w:cs="仿宋"/>
          <w:color w:val="auto"/>
          <w:kern w:val="0"/>
          <w:sz w:val="24"/>
          <w:szCs w:val="20"/>
          <w:highlight w:val="none"/>
        </w:rPr>
        <w:t>技术支持等以及合同中规定乙方应承担的</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义务。</w:t>
      </w:r>
    </w:p>
    <w:p w14:paraId="0AC36787">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）“分包”系指中标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供应商按采购文件、投标（响应）文件的规定，根据分包意向协议，将中标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项目中的部分履约内容，分给具有相应资质条件的供应商履行合同的行为。</w:t>
      </w:r>
    </w:p>
    <w:p w14:paraId="7B83B256">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）“联合体”系指</w:t>
      </w:r>
      <w:r>
        <w:rPr>
          <w:rFonts w:hint="eastAsia" w:ascii="仿宋" w:hAnsi="仿宋" w:eastAsia="仿宋" w:cs="仿宋"/>
          <w:color w:val="auto"/>
          <w:kern w:val="0"/>
          <w:sz w:val="24"/>
          <w:szCs w:val="20"/>
          <w:highlight w:val="none"/>
          <w:lang w:eastAsia="zh-CN"/>
        </w:rPr>
        <w:t>由</w:t>
      </w:r>
      <w:r>
        <w:rPr>
          <w:rFonts w:hint="eastAsia" w:ascii="仿宋" w:hAnsi="仿宋" w:eastAsia="仿宋" w:cs="仿宋"/>
          <w:color w:val="auto"/>
          <w:kern w:val="0"/>
          <w:sz w:val="24"/>
          <w:szCs w:val="20"/>
          <w:highlight w:val="none"/>
        </w:rPr>
        <w:t>两个以上的自然人、法人或者</w:t>
      </w:r>
      <w:r>
        <w:rPr>
          <w:rFonts w:hint="eastAsia" w:ascii="仿宋" w:hAnsi="仿宋" w:eastAsia="仿宋" w:cs="仿宋"/>
          <w:color w:val="auto"/>
          <w:kern w:val="0"/>
          <w:sz w:val="24"/>
          <w:szCs w:val="20"/>
          <w:highlight w:val="none"/>
          <w:lang w:val="en-US" w:eastAsia="zh-CN"/>
        </w:rPr>
        <w:t>非法人</w:t>
      </w:r>
      <w:r>
        <w:rPr>
          <w:rFonts w:hint="eastAsia" w:ascii="仿宋" w:hAnsi="仿宋" w:eastAsia="仿宋" w:cs="仿宋"/>
          <w:color w:val="auto"/>
          <w:kern w:val="0"/>
          <w:sz w:val="24"/>
          <w:szCs w:val="20"/>
          <w:highlight w:val="none"/>
        </w:rPr>
        <w:t>组织组成，</w:t>
      </w:r>
      <w:r>
        <w:rPr>
          <w:rFonts w:hint="eastAsia" w:ascii="仿宋" w:hAnsi="仿宋" w:eastAsia="仿宋" w:cs="仿宋"/>
          <w:color w:val="auto"/>
          <w:kern w:val="0"/>
          <w:sz w:val="24"/>
          <w:szCs w:val="20"/>
          <w:highlight w:val="none"/>
          <w:lang w:eastAsia="zh-CN"/>
        </w:rPr>
        <w:t>以一个供应商的身份共同参加政府采购的主体。</w:t>
      </w:r>
      <w:r>
        <w:rPr>
          <w:rFonts w:hint="eastAsia" w:ascii="仿宋" w:hAnsi="仿宋" w:eastAsia="仿宋" w:cs="仿宋"/>
          <w:color w:val="auto"/>
          <w:kern w:val="0"/>
          <w:sz w:val="24"/>
          <w:szCs w:val="20"/>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承担连带责任。联合体具体要求见【政府采购合同专用条款】。</w:t>
      </w:r>
    </w:p>
    <w:p w14:paraId="3261B4BF">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）其他术语解释，见【政府采购合同专用条款】。</w:t>
      </w:r>
    </w:p>
    <w:p w14:paraId="5F274539">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合同标的及金额</w:t>
      </w:r>
    </w:p>
    <w:p w14:paraId="41A68D2A">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.1 合同标的及金额应与中标（成交）结果一致。乙方为履行本合同而发生的所有费用均应包含在合同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中，甲方不再另行支付</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任何费用。</w:t>
      </w:r>
    </w:p>
    <w:p w14:paraId="43CFC5A0">
      <w:pPr>
        <w:numPr>
          <w:ilvl w:val="0"/>
          <w:numId w:val="0"/>
        </w:numPr>
        <w:kinsoku/>
        <w:wordWrap w:val="0"/>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3</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履行合同的时间、地点和方式</w:t>
      </w:r>
    </w:p>
    <w:p w14:paraId="1F40D003">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乙方应当在约定的时间、地点</w:t>
      </w:r>
      <w:r>
        <w:rPr>
          <w:rFonts w:hint="eastAsia" w:ascii="仿宋" w:hAnsi="仿宋" w:eastAsia="仿宋" w:cs="仿宋"/>
          <w:color w:val="auto"/>
          <w:kern w:val="0"/>
          <w:sz w:val="24"/>
          <w:szCs w:val="20"/>
          <w:highlight w:val="none"/>
          <w:lang w:eastAsia="zh-CN"/>
        </w:rPr>
        <w:t>，按照约定</w:t>
      </w:r>
      <w:r>
        <w:rPr>
          <w:rFonts w:hint="eastAsia" w:ascii="仿宋" w:hAnsi="仿宋" w:eastAsia="仿宋" w:cs="仿宋"/>
          <w:color w:val="auto"/>
          <w:kern w:val="0"/>
          <w:sz w:val="24"/>
          <w:szCs w:val="20"/>
          <w:highlight w:val="none"/>
        </w:rPr>
        <w:t>方式履行合同。</w:t>
      </w:r>
    </w:p>
    <w:p w14:paraId="21715F86">
      <w:pPr>
        <w:numPr>
          <w:ilvl w:val="0"/>
          <w:numId w:val="0"/>
        </w:numPr>
        <w:kinsoku/>
        <w:wordWrap w:val="0"/>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4</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甲方的权利和义务</w:t>
      </w:r>
    </w:p>
    <w:p w14:paraId="07FFF1CA">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签署合同后，甲方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，负责与本合同有关的事务。甲方有权对乙方的履约行为进行检查，并及时确认乙方提交的事项。甲方应当配合乙方完成相关项目实施工作。</w:t>
      </w:r>
    </w:p>
    <w:p w14:paraId="5E0F983F">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.2 甲方有权要求乙方按时提交各阶段有关安排计划，并有权定期核对乙方提供货物数量、规格、质量等内容。甲方有权督促乙方工作并要求乙方更换不符合要求的货物。</w:t>
      </w:r>
    </w:p>
    <w:p w14:paraId="0C7AF6D6">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.3 甲方有权要求乙方对缺陷部分予以修复，并按合同约定享有货物保修及其他合同约定的权利。</w:t>
      </w:r>
    </w:p>
    <w:p w14:paraId="4E7E4BF9">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4.4 甲方应当按照合同约定及时对交付的货物进行验收，</w:t>
      </w:r>
      <w:r>
        <w:rPr>
          <w:rFonts w:hint="eastAsia" w:ascii="仿宋" w:hAnsi="仿宋" w:eastAsia="仿宋" w:cs="仿宋"/>
          <w:color w:val="auto"/>
          <w:kern w:val="0"/>
          <w:sz w:val="24"/>
          <w:szCs w:val="20"/>
          <w:highlight w:val="none"/>
          <w:lang w:eastAsia="zh-CN"/>
        </w:rPr>
        <w:t>未</w:t>
      </w:r>
      <w:r>
        <w:rPr>
          <w:rFonts w:hint="eastAsia" w:ascii="仿宋" w:hAnsi="仿宋" w:eastAsia="仿宋" w:cs="仿宋"/>
          <w:color w:val="auto"/>
          <w:kern w:val="0"/>
          <w:sz w:val="24"/>
          <w:szCs w:val="20"/>
          <w:highlight w:val="none"/>
          <w:lang w:val="en-US" w:eastAsia="zh-CN"/>
        </w:rPr>
        <w:t>在</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约定的期限内对乙方履约提出任何异议或者向乙方作出任何说明的，</w:t>
      </w:r>
      <w:r>
        <w:rPr>
          <w:rFonts w:hint="eastAsia" w:ascii="仿宋" w:hAnsi="仿宋" w:eastAsia="仿宋" w:cs="仿宋"/>
          <w:color w:val="auto"/>
          <w:kern w:val="0"/>
          <w:sz w:val="24"/>
          <w:szCs w:val="20"/>
          <w:highlight w:val="none"/>
          <w:lang w:val="en-US" w:eastAsia="zh-CN"/>
        </w:rPr>
        <w:t>视为验收通过。</w:t>
      </w:r>
    </w:p>
    <w:p w14:paraId="5F59EA36">
      <w:pPr>
        <w:numPr>
          <w:ilvl w:val="-1"/>
          <w:numId w:val="0"/>
        </w:num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 xml:space="preserve"> 甲方应当根据合同约定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时向乙方支付</w:t>
      </w:r>
      <w:r>
        <w:rPr>
          <w:rFonts w:hint="eastAsia" w:ascii="仿宋" w:hAnsi="仿宋" w:eastAsia="仿宋" w:cs="仿宋"/>
          <w:color w:val="auto"/>
          <w:kern w:val="0"/>
          <w:sz w:val="24"/>
          <w:szCs w:val="20"/>
          <w:highlight w:val="none"/>
          <w:lang w:eastAsia="zh-CN"/>
        </w:rPr>
        <w:t>合同价款，不得以内部人员变更、履行内部付款流程等为由，拒绝或迟延支付。</w:t>
      </w:r>
    </w:p>
    <w:p w14:paraId="713087BC">
      <w:pPr>
        <w:numPr>
          <w:ilvl w:val="-1"/>
          <w:numId w:val="0"/>
        </w:num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 xml:space="preserve"> 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由甲方承担的其他义务和责任。</w:t>
      </w:r>
    </w:p>
    <w:p w14:paraId="5E6FF74B">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5</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乙方的权利和义务</w:t>
      </w:r>
    </w:p>
    <w:p w14:paraId="346DE23C">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 签署合同后，乙方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w:t>
      </w:r>
    </w:p>
    <w:p w14:paraId="3507E471">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乙方应按照合同要求履约，充分合理安排，确保提供的货物</w:t>
      </w:r>
      <w:r>
        <w:rPr>
          <w:rFonts w:hint="eastAsia" w:ascii="仿宋" w:hAnsi="仿宋" w:eastAsia="仿宋" w:cs="仿宋"/>
          <w:color w:val="auto"/>
          <w:kern w:val="0"/>
          <w:sz w:val="24"/>
          <w:szCs w:val="20"/>
          <w:highlight w:val="none"/>
          <w:lang w:eastAsia="zh-CN"/>
        </w:rPr>
        <w:t>及相关</w:t>
      </w:r>
      <w:r>
        <w:rPr>
          <w:rFonts w:hint="eastAsia" w:ascii="仿宋" w:hAnsi="仿宋" w:eastAsia="仿宋" w:cs="仿宋"/>
          <w:color w:val="auto"/>
          <w:kern w:val="0"/>
          <w:sz w:val="24"/>
          <w:szCs w:val="20"/>
          <w:highlight w:val="none"/>
        </w:rPr>
        <w:t>服务符合合同</w:t>
      </w:r>
      <w:r>
        <w:rPr>
          <w:rFonts w:hint="eastAsia" w:ascii="仿宋" w:hAnsi="仿宋" w:eastAsia="仿宋" w:cs="仿宋"/>
          <w:color w:val="auto"/>
          <w:kern w:val="0"/>
          <w:sz w:val="24"/>
          <w:szCs w:val="20"/>
          <w:highlight w:val="none"/>
          <w:lang w:eastAsia="zh-CN"/>
        </w:rPr>
        <w:t>有关</w:t>
      </w:r>
      <w:r>
        <w:rPr>
          <w:rFonts w:hint="eastAsia" w:ascii="仿宋" w:hAnsi="仿宋" w:eastAsia="仿宋" w:cs="仿宋"/>
          <w:color w:val="auto"/>
          <w:kern w:val="0"/>
          <w:sz w:val="24"/>
          <w:szCs w:val="20"/>
          <w:highlight w:val="none"/>
        </w:rPr>
        <w:t>要求。接受项目行业管理部门及政府有关部门的指导，配合甲方的履约检查</w:t>
      </w:r>
      <w:r>
        <w:rPr>
          <w:rFonts w:hint="eastAsia" w:ascii="仿宋" w:hAnsi="仿宋" w:eastAsia="仿宋" w:cs="仿宋"/>
          <w:color w:val="auto"/>
          <w:kern w:val="0"/>
          <w:sz w:val="24"/>
          <w:szCs w:val="20"/>
          <w:highlight w:val="none"/>
          <w:lang w:eastAsia="zh-CN"/>
        </w:rPr>
        <w:t>及验收</w:t>
      </w:r>
      <w:r>
        <w:rPr>
          <w:rFonts w:hint="eastAsia" w:ascii="仿宋" w:hAnsi="仿宋" w:eastAsia="仿宋" w:cs="仿宋"/>
          <w:color w:val="auto"/>
          <w:kern w:val="0"/>
          <w:sz w:val="24"/>
          <w:szCs w:val="20"/>
          <w:highlight w:val="none"/>
        </w:rPr>
        <w:t>，并负责项目实施过程中的所有协调工作。</w:t>
      </w:r>
    </w:p>
    <w:p w14:paraId="586BE08B">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.3乙方有权根据合同约定向甲方收取</w:t>
      </w:r>
      <w:r>
        <w:rPr>
          <w:rFonts w:hint="eastAsia" w:ascii="仿宋" w:hAnsi="仿宋" w:eastAsia="仿宋" w:cs="仿宋"/>
          <w:color w:val="auto"/>
          <w:kern w:val="0"/>
          <w:sz w:val="24"/>
          <w:szCs w:val="20"/>
          <w:highlight w:val="none"/>
          <w:lang w:eastAsia="zh-CN"/>
        </w:rPr>
        <w:t>合同价款</w:t>
      </w:r>
      <w:r>
        <w:rPr>
          <w:rFonts w:hint="eastAsia" w:ascii="仿宋" w:hAnsi="仿宋" w:eastAsia="仿宋" w:cs="仿宋"/>
          <w:color w:val="auto"/>
          <w:kern w:val="0"/>
          <w:sz w:val="24"/>
          <w:szCs w:val="20"/>
          <w:highlight w:val="none"/>
        </w:rPr>
        <w:t>。</w:t>
      </w:r>
    </w:p>
    <w:p w14:paraId="7AC8037A">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由乙方承担的其他义务和责任。</w:t>
      </w:r>
    </w:p>
    <w:p w14:paraId="024BF59A">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合同履</w:t>
      </w:r>
      <w:r>
        <w:rPr>
          <w:rFonts w:hint="eastAsia" w:ascii="仿宋" w:hAnsi="仿宋" w:eastAsia="仿宋" w:cs="仿宋"/>
          <w:b/>
          <w:bCs/>
          <w:color w:val="auto"/>
          <w:kern w:val="0"/>
          <w:sz w:val="24"/>
          <w:szCs w:val="20"/>
          <w:highlight w:val="none"/>
          <w:lang w:val="en-US" w:eastAsia="zh-CN"/>
        </w:rPr>
        <w:t>行</w:t>
      </w:r>
    </w:p>
    <w:p w14:paraId="446D62A8">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.1 甲乙双方应当按照【政府采购合同专用条款】约定顺序履行合同义务；如果没有先后顺序的，应当同时履行。</w:t>
      </w:r>
    </w:p>
    <w:p w14:paraId="157DF4DD">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.2 甲乙双方按照合同约定顺序履行合同义务时，应当先履行一方未履行的，后履行一方有权拒绝其履行请求。先履行一方履行不符合约定的，后履行一方有权拒绝其相应的履行请求。</w:t>
      </w:r>
    </w:p>
    <w:p w14:paraId="1262498C">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7</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货物包装、运输</w:t>
      </w:r>
      <w:r>
        <w:rPr>
          <w:rFonts w:hint="eastAsia" w:ascii="仿宋" w:hAnsi="仿宋" w:eastAsia="仿宋" w:cs="仿宋"/>
          <w:b/>
          <w:bCs/>
          <w:color w:val="auto"/>
          <w:kern w:val="0"/>
          <w:sz w:val="24"/>
          <w:szCs w:val="20"/>
          <w:highlight w:val="none"/>
          <w:lang w:eastAsia="zh-CN"/>
        </w:rPr>
        <w:t>、</w:t>
      </w:r>
      <w:r>
        <w:rPr>
          <w:rFonts w:hint="eastAsia" w:ascii="仿宋" w:hAnsi="仿宋" w:eastAsia="仿宋" w:cs="仿宋"/>
          <w:b/>
          <w:bCs/>
          <w:color w:val="auto"/>
          <w:kern w:val="0"/>
          <w:sz w:val="24"/>
          <w:szCs w:val="20"/>
          <w:highlight w:val="none"/>
        </w:rPr>
        <w:t>保险</w:t>
      </w:r>
      <w:r>
        <w:rPr>
          <w:rFonts w:hint="eastAsia" w:ascii="仿宋" w:hAnsi="仿宋" w:eastAsia="仿宋" w:cs="仿宋"/>
          <w:b/>
          <w:bCs/>
          <w:color w:val="auto"/>
          <w:kern w:val="0"/>
          <w:sz w:val="24"/>
          <w:szCs w:val="20"/>
          <w:highlight w:val="none"/>
          <w:lang w:eastAsia="zh-CN"/>
        </w:rPr>
        <w:t>和交付</w:t>
      </w:r>
      <w:r>
        <w:rPr>
          <w:rFonts w:hint="eastAsia" w:ascii="仿宋" w:hAnsi="仿宋" w:eastAsia="仿宋" w:cs="仿宋"/>
          <w:b/>
          <w:bCs/>
          <w:color w:val="auto"/>
          <w:kern w:val="0"/>
          <w:sz w:val="24"/>
          <w:szCs w:val="20"/>
          <w:highlight w:val="none"/>
        </w:rPr>
        <w:t>要求</w:t>
      </w:r>
    </w:p>
    <w:p w14:paraId="25CE5712">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.1 本合同涉及商品包装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快递包装的，除【政府采购合同专用条款】另有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，包装应适应远距离运输、防潮、防震、防锈和防野蛮装卸等要求，确保货物安全无损地运抵【政府采购合同专用条款】</w:t>
      </w:r>
      <w:r>
        <w:rPr>
          <w:rFonts w:hint="eastAsia" w:ascii="仿宋" w:hAnsi="仿宋" w:eastAsia="仿宋" w:cs="仿宋"/>
          <w:color w:val="auto"/>
          <w:kern w:val="0"/>
          <w:sz w:val="24"/>
          <w:szCs w:val="20"/>
          <w:highlight w:val="none"/>
          <w:lang w:eastAsia="zh-CN"/>
        </w:rPr>
        <w:t>约定的</w:t>
      </w:r>
      <w:r>
        <w:rPr>
          <w:rFonts w:hint="eastAsia" w:ascii="仿宋" w:hAnsi="仿宋" w:eastAsia="仿宋" w:cs="仿宋"/>
          <w:color w:val="auto"/>
          <w:kern w:val="0"/>
          <w:sz w:val="24"/>
          <w:szCs w:val="20"/>
          <w:highlight w:val="none"/>
        </w:rPr>
        <w:t>指定现场。</w:t>
      </w:r>
    </w:p>
    <w:p w14:paraId="6D65A35A">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.2 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，乙方负责办理将货物运抵本合同规定的交货地点</w:t>
      </w:r>
      <w:r>
        <w:rPr>
          <w:rFonts w:hint="eastAsia" w:ascii="仿宋" w:hAnsi="仿宋" w:eastAsia="仿宋" w:cs="仿宋"/>
          <w:color w:val="auto"/>
          <w:kern w:val="0"/>
          <w:sz w:val="24"/>
          <w:szCs w:val="20"/>
          <w:highlight w:val="none"/>
          <w:lang w:eastAsia="zh-CN"/>
        </w:rPr>
        <w:t>，并装卸、交付至甲方</w:t>
      </w:r>
      <w:r>
        <w:rPr>
          <w:rFonts w:hint="eastAsia" w:ascii="仿宋" w:hAnsi="仿宋" w:eastAsia="仿宋" w:cs="仿宋"/>
          <w:color w:val="auto"/>
          <w:kern w:val="0"/>
          <w:sz w:val="24"/>
          <w:szCs w:val="20"/>
          <w:highlight w:val="none"/>
        </w:rPr>
        <w:t>的一切运输事项，相关费用应</w:t>
      </w:r>
      <w:r>
        <w:rPr>
          <w:rFonts w:hint="eastAsia" w:ascii="仿宋" w:hAnsi="仿宋" w:eastAsia="仿宋" w:cs="仿宋"/>
          <w:color w:val="auto"/>
          <w:kern w:val="0"/>
          <w:sz w:val="24"/>
          <w:szCs w:val="20"/>
          <w:highlight w:val="none"/>
          <w:lang w:eastAsia="zh-CN"/>
        </w:rPr>
        <w:t>包含</w:t>
      </w:r>
      <w:r>
        <w:rPr>
          <w:rFonts w:hint="eastAsia" w:ascii="仿宋" w:hAnsi="仿宋" w:eastAsia="仿宋" w:cs="仿宋"/>
          <w:color w:val="auto"/>
          <w:kern w:val="0"/>
          <w:sz w:val="24"/>
          <w:szCs w:val="20"/>
          <w:highlight w:val="none"/>
        </w:rPr>
        <w:t>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w:t>
      </w:r>
    </w:p>
    <w:p w14:paraId="36993349">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.3 货物保险要求按【政府采购合同专用条款】规定执行。</w:t>
      </w:r>
    </w:p>
    <w:p w14:paraId="123660F5">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 xml:space="preserve">.4 </w:t>
      </w:r>
      <w:r>
        <w:rPr>
          <w:rFonts w:hint="eastAsia" w:ascii="仿宋" w:hAnsi="仿宋" w:eastAsia="仿宋" w:cs="仿宋"/>
          <w:color w:val="auto"/>
          <w:kern w:val="0"/>
          <w:sz w:val="24"/>
          <w:szCs w:val="20"/>
          <w:highlight w:val="none"/>
          <w:lang w:val="en-US" w:eastAsia="zh-CN"/>
        </w:rPr>
        <w:t>除采购活动</w:t>
      </w:r>
      <w:r>
        <w:rPr>
          <w:rFonts w:hint="eastAsia" w:ascii="仿宋" w:hAnsi="仿宋" w:eastAsia="仿宋" w:cs="仿宋"/>
          <w:color w:val="auto"/>
          <w:kern w:val="0"/>
          <w:sz w:val="24"/>
          <w:szCs w:val="20"/>
          <w:highlight w:val="none"/>
        </w:rPr>
        <w:t>对商品包装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w:t>
      </w:r>
      <w:r>
        <w:rPr>
          <w:rFonts w:hint="eastAsia" w:ascii="仿宋" w:hAnsi="仿宋" w:eastAsia="仿宋" w:cs="仿宋"/>
          <w:color w:val="auto"/>
          <w:kern w:val="0"/>
          <w:sz w:val="24"/>
          <w:szCs w:val="20"/>
          <w:highlight w:val="none"/>
          <w:lang w:val="en-US" w:eastAsia="zh-CN"/>
        </w:rPr>
        <w:t>达成具体约定外</w:t>
      </w:r>
      <w:r>
        <w:rPr>
          <w:rFonts w:hint="eastAsia" w:ascii="仿宋" w:hAnsi="仿宋" w:eastAsia="仿宋" w:cs="仿宋"/>
          <w:color w:val="auto"/>
          <w:kern w:val="0"/>
          <w:sz w:val="24"/>
          <w:szCs w:val="20"/>
          <w:highlight w:val="none"/>
        </w:rPr>
        <w:t>，乙方提供产品及相关快递服务</w:t>
      </w:r>
      <w:r>
        <w:rPr>
          <w:rFonts w:hint="eastAsia" w:ascii="仿宋" w:hAnsi="仿宋" w:eastAsia="仿宋" w:cs="仿宋"/>
          <w:color w:val="auto"/>
          <w:kern w:val="0"/>
          <w:sz w:val="24"/>
          <w:szCs w:val="20"/>
          <w:highlight w:val="none"/>
          <w:lang w:val="en-US" w:eastAsia="zh-CN"/>
        </w:rPr>
        <w:t>涉及到</w:t>
      </w:r>
      <w:r>
        <w:rPr>
          <w:rFonts w:hint="eastAsia" w:ascii="仿宋" w:hAnsi="仿宋" w:eastAsia="仿宋" w:cs="仿宋"/>
          <w:color w:val="auto"/>
          <w:kern w:val="0"/>
          <w:sz w:val="24"/>
          <w:szCs w:val="20"/>
          <w:highlight w:val="none"/>
        </w:rPr>
        <w:t>具体包装要求</w:t>
      </w:r>
      <w:r>
        <w:rPr>
          <w:rFonts w:hint="eastAsia" w:ascii="仿宋" w:hAnsi="仿宋" w:eastAsia="仿宋" w:cs="仿宋"/>
          <w:color w:val="auto"/>
          <w:kern w:val="0"/>
          <w:sz w:val="24"/>
          <w:szCs w:val="20"/>
          <w:highlight w:val="none"/>
          <w:lang w:val="en-US" w:eastAsia="zh-CN"/>
        </w:rPr>
        <w:t>的，</w:t>
      </w:r>
      <w:r>
        <w:rPr>
          <w:rFonts w:hint="eastAsia" w:ascii="仿宋" w:hAnsi="仿宋" w:eastAsia="仿宋" w:cs="仿宋"/>
          <w:color w:val="auto"/>
          <w:kern w:val="0"/>
          <w:sz w:val="24"/>
          <w:szCs w:val="20"/>
          <w:highlight w:val="none"/>
        </w:rPr>
        <w:t>应</w:t>
      </w:r>
      <w:r>
        <w:rPr>
          <w:rFonts w:hint="eastAsia" w:ascii="仿宋" w:hAnsi="仿宋" w:eastAsia="仿宋" w:cs="仿宋"/>
          <w:color w:val="auto"/>
          <w:kern w:val="0"/>
          <w:sz w:val="24"/>
          <w:szCs w:val="20"/>
          <w:highlight w:val="none"/>
          <w:lang w:val="en-US" w:eastAsia="zh-CN"/>
        </w:rPr>
        <w:t>不低于</w:t>
      </w:r>
      <w:r>
        <w:rPr>
          <w:rFonts w:hint="eastAsia" w:ascii="仿宋" w:hAnsi="仿宋" w:eastAsia="仿宋" w:cs="仿宋"/>
          <w:color w:val="auto"/>
          <w:kern w:val="0"/>
          <w:sz w:val="24"/>
          <w:szCs w:val="20"/>
          <w:highlight w:val="none"/>
        </w:rPr>
        <w:t>《商品包装政府采购需求标准（试行）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快递包装政府采购需求标准（试行）》</w:t>
      </w:r>
      <w:r>
        <w:rPr>
          <w:rFonts w:hint="eastAsia" w:ascii="仿宋" w:hAnsi="仿宋" w:eastAsia="仿宋" w:cs="仿宋"/>
          <w:color w:val="auto"/>
          <w:kern w:val="0"/>
          <w:sz w:val="24"/>
          <w:szCs w:val="20"/>
          <w:highlight w:val="none"/>
          <w:lang w:val="en-US" w:eastAsia="zh-CN"/>
        </w:rPr>
        <w:t>标准</w:t>
      </w:r>
      <w:r>
        <w:rPr>
          <w:rFonts w:hint="eastAsia" w:ascii="仿宋" w:hAnsi="仿宋" w:eastAsia="仿宋" w:cs="仿宋"/>
          <w:color w:val="auto"/>
          <w:kern w:val="0"/>
          <w:sz w:val="24"/>
          <w:szCs w:val="20"/>
          <w:highlight w:val="none"/>
        </w:rPr>
        <w:t>，并作为履约验收的内容，必要时甲方可以要求乙方在履约验收环节出具检测报告。</w:t>
      </w:r>
    </w:p>
    <w:p w14:paraId="23F9B2AE">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7.5 </w:t>
      </w:r>
      <w:r>
        <w:rPr>
          <w:rFonts w:hint="eastAsia" w:ascii="仿宋" w:hAnsi="仿宋" w:eastAsia="仿宋" w:cs="仿宋"/>
          <w:color w:val="auto"/>
          <w:kern w:val="0"/>
          <w:sz w:val="24"/>
          <w:szCs w:val="20"/>
          <w:highlight w:val="none"/>
        </w:rPr>
        <w:t>乙方在运输到达之前</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提前通知</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，并提示货物运输装卸的注意事项</w:t>
      </w:r>
      <w:r>
        <w:rPr>
          <w:rFonts w:hint="eastAsia" w:ascii="仿宋" w:hAnsi="仿宋" w:eastAsia="仿宋" w:cs="仿宋"/>
          <w:color w:val="auto"/>
          <w:kern w:val="0"/>
          <w:sz w:val="24"/>
          <w:szCs w:val="20"/>
          <w:highlight w:val="none"/>
          <w:lang w:eastAsia="zh-CN"/>
        </w:rPr>
        <w:t>，甲方配合乙方做好货物的接收工作。</w:t>
      </w:r>
    </w:p>
    <w:p w14:paraId="267FD7A0">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7.6 </w:t>
      </w:r>
      <w:r>
        <w:rPr>
          <w:rFonts w:hint="eastAsia" w:ascii="仿宋" w:hAnsi="仿宋" w:eastAsia="仿宋" w:cs="仿宋"/>
          <w:color w:val="auto"/>
          <w:kern w:val="0"/>
          <w:sz w:val="24"/>
          <w:szCs w:val="20"/>
          <w:highlight w:val="none"/>
        </w:rPr>
        <w:t>如因包装</w:t>
      </w:r>
      <w:r>
        <w:rPr>
          <w:rFonts w:hint="eastAsia" w:ascii="仿宋" w:hAnsi="仿宋" w:eastAsia="仿宋" w:cs="仿宋"/>
          <w:color w:val="auto"/>
          <w:kern w:val="0"/>
          <w:sz w:val="24"/>
          <w:szCs w:val="20"/>
          <w:highlight w:val="none"/>
          <w:lang w:eastAsia="zh-CN"/>
        </w:rPr>
        <w:t>、运输</w:t>
      </w:r>
      <w:r>
        <w:rPr>
          <w:rFonts w:hint="eastAsia" w:ascii="仿宋" w:hAnsi="仿宋" w:eastAsia="仿宋" w:cs="仿宋"/>
          <w:color w:val="auto"/>
          <w:kern w:val="0"/>
          <w:sz w:val="24"/>
          <w:szCs w:val="20"/>
          <w:highlight w:val="none"/>
        </w:rPr>
        <w:t>问题导致货物</w:t>
      </w:r>
      <w:r>
        <w:rPr>
          <w:rFonts w:hint="eastAsia" w:ascii="仿宋" w:hAnsi="仿宋" w:eastAsia="仿宋" w:cs="仿宋"/>
          <w:color w:val="auto"/>
          <w:kern w:val="0"/>
          <w:sz w:val="24"/>
          <w:szCs w:val="20"/>
          <w:highlight w:val="none"/>
          <w:lang w:eastAsia="zh-CN"/>
        </w:rPr>
        <w:t>损毁、丢失</w:t>
      </w:r>
      <w:r>
        <w:rPr>
          <w:rFonts w:hint="eastAsia" w:ascii="仿宋" w:hAnsi="仿宋" w:eastAsia="仿宋" w:cs="仿宋"/>
          <w:color w:val="auto"/>
          <w:kern w:val="0"/>
          <w:sz w:val="24"/>
          <w:szCs w:val="20"/>
          <w:highlight w:val="none"/>
        </w:rPr>
        <w:t>或者品质下降，</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有权要求降价、换货、拒收部分或整批货物，由此</w:t>
      </w:r>
      <w:r>
        <w:rPr>
          <w:rFonts w:hint="eastAsia" w:ascii="仿宋" w:hAnsi="仿宋" w:eastAsia="仿宋" w:cs="仿宋"/>
          <w:color w:val="auto"/>
          <w:kern w:val="0"/>
          <w:sz w:val="24"/>
          <w:szCs w:val="20"/>
          <w:highlight w:val="none"/>
          <w:lang w:eastAsia="zh-CN"/>
        </w:rPr>
        <w:t>产生</w:t>
      </w:r>
      <w:r>
        <w:rPr>
          <w:rFonts w:hint="eastAsia" w:ascii="仿宋" w:hAnsi="仿宋" w:eastAsia="仿宋" w:cs="仿宋"/>
          <w:color w:val="auto"/>
          <w:kern w:val="0"/>
          <w:sz w:val="24"/>
          <w:szCs w:val="20"/>
          <w:highlight w:val="none"/>
        </w:rPr>
        <w:t>的费用和损失，均由</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承担。</w:t>
      </w:r>
    </w:p>
    <w:p w14:paraId="2AA96845">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8</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质量标准和保证</w:t>
      </w:r>
    </w:p>
    <w:p w14:paraId="4D868007">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.1 质量标准</w:t>
      </w:r>
    </w:p>
    <w:p w14:paraId="53DF5DF7">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w:t>
      </w:r>
      <w:r>
        <w:rPr>
          <w:rFonts w:hint="eastAsia" w:ascii="仿宋" w:hAnsi="仿宋" w:eastAsia="仿宋" w:cs="仿宋"/>
          <w:color w:val="auto"/>
          <w:kern w:val="0"/>
          <w:sz w:val="24"/>
          <w:szCs w:val="20"/>
          <w:highlight w:val="none"/>
          <w:lang w:eastAsia="zh-CN"/>
        </w:rPr>
        <w:t>合同约</w:t>
      </w:r>
      <w:r>
        <w:rPr>
          <w:rFonts w:hint="eastAsia" w:ascii="仿宋" w:hAnsi="仿宋" w:eastAsia="仿宋" w:cs="仿宋"/>
          <w:color w:val="auto"/>
          <w:kern w:val="0"/>
          <w:sz w:val="24"/>
          <w:szCs w:val="20"/>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kern w:val="0"/>
          <w:sz w:val="24"/>
          <w:szCs w:val="20"/>
          <w:highlight w:val="none"/>
          <w:lang w:eastAsia="zh-CN"/>
        </w:rPr>
        <w:t>。</w:t>
      </w:r>
    </w:p>
    <w:p w14:paraId="38F41023">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14:paraId="5944EA5A">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的货物应符合国家有关安全、环保、卫生</w:t>
      </w: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规定。</w:t>
      </w:r>
    </w:p>
    <w:p w14:paraId="2874587E">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货物的技术文件，包括相应的中文技术文件，如：产品目录、图纸、操作手册、使用说明、维护手册或服务指南</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eastAsia="zh-CN"/>
        </w:rPr>
        <w:t>上述</w:t>
      </w:r>
      <w:r>
        <w:rPr>
          <w:rFonts w:hint="eastAsia" w:ascii="仿宋" w:hAnsi="仿宋" w:eastAsia="仿宋" w:cs="仿宋"/>
          <w:color w:val="auto"/>
          <w:kern w:val="0"/>
          <w:sz w:val="24"/>
          <w:szCs w:val="20"/>
          <w:highlight w:val="none"/>
        </w:rPr>
        <w:t>文件应包装好随货物一同发运。</w:t>
      </w:r>
    </w:p>
    <w:p w14:paraId="49321611">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.2 保证</w:t>
      </w:r>
    </w:p>
    <w:p w14:paraId="3CF1611F">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w:t>
      </w:r>
      <w:r>
        <w:rPr>
          <w:rFonts w:hint="eastAsia" w:ascii="仿宋" w:hAnsi="仿宋" w:eastAsia="仿宋" w:cs="仿宋"/>
          <w:color w:val="auto"/>
          <w:kern w:val="0"/>
          <w:sz w:val="24"/>
          <w:szCs w:val="20"/>
          <w:highlight w:val="none"/>
          <w:lang w:eastAsia="zh-CN"/>
        </w:rPr>
        <w:t>提供的货物</w:t>
      </w:r>
      <w:r>
        <w:rPr>
          <w:rFonts w:hint="eastAsia" w:ascii="仿宋" w:hAnsi="仿宋" w:eastAsia="仿宋" w:cs="仿宋"/>
          <w:color w:val="auto"/>
          <w:kern w:val="0"/>
          <w:sz w:val="24"/>
          <w:szCs w:val="20"/>
          <w:highlight w:val="none"/>
        </w:rPr>
        <w:t>完全符合合同规定的质量、规格和性能要求。乙方应保证货物在正确安装、正常使用和保养条件下，在其使用寿命期内具</w:t>
      </w:r>
      <w:r>
        <w:rPr>
          <w:rFonts w:hint="eastAsia" w:ascii="仿宋" w:hAnsi="仿宋" w:eastAsia="仿宋" w:cs="仿宋"/>
          <w:color w:val="auto"/>
          <w:kern w:val="0"/>
          <w:sz w:val="24"/>
          <w:szCs w:val="20"/>
          <w:highlight w:val="none"/>
          <w:lang w:eastAsia="zh-CN"/>
        </w:rPr>
        <w:t>备合同约定</w:t>
      </w:r>
      <w:r>
        <w:rPr>
          <w:rFonts w:hint="eastAsia" w:ascii="仿宋" w:hAnsi="仿宋" w:eastAsia="仿宋" w:cs="仿宋"/>
          <w:color w:val="auto"/>
          <w:kern w:val="0"/>
          <w:sz w:val="24"/>
          <w:szCs w:val="20"/>
          <w:highlight w:val="none"/>
        </w:rPr>
        <w:t>的性能。</w:t>
      </w:r>
      <w:r>
        <w:rPr>
          <w:rFonts w:hint="eastAsia" w:ascii="仿宋" w:hAnsi="仿宋" w:eastAsia="仿宋" w:cs="仿宋"/>
          <w:color w:val="auto"/>
          <w:kern w:val="0"/>
          <w:sz w:val="24"/>
          <w:szCs w:val="20"/>
          <w:highlight w:val="none"/>
          <w:lang w:eastAsia="zh-CN"/>
        </w:rPr>
        <w:t>存在</w:t>
      </w:r>
      <w:r>
        <w:rPr>
          <w:rFonts w:hint="eastAsia" w:ascii="仿宋" w:hAnsi="仿宋" w:eastAsia="仿宋" w:cs="仿宋"/>
          <w:color w:val="auto"/>
          <w:kern w:val="0"/>
          <w:sz w:val="24"/>
          <w:szCs w:val="20"/>
          <w:highlight w:val="none"/>
        </w:rPr>
        <w:t>质量保证期的，货物最终交付验收</w:t>
      </w:r>
      <w:r>
        <w:rPr>
          <w:rFonts w:hint="eastAsia" w:ascii="仿宋" w:hAnsi="仿宋" w:eastAsia="仿宋" w:cs="仿宋"/>
          <w:color w:val="auto"/>
          <w:kern w:val="0"/>
          <w:sz w:val="24"/>
          <w:szCs w:val="20"/>
          <w:highlight w:val="none"/>
          <w:lang w:eastAsia="zh-CN"/>
        </w:rPr>
        <w:t>合格</w:t>
      </w:r>
      <w:r>
        <w:rPr>
          <w:rFonts w:hint="eastAsia" w:ascii="仿宋" w:hAnsi="仿宋" w:eastAsia="仿宋" w:cs="仿宋"/>
          <w:color w:val="auto"/>
          <w:kern w:val="0"/>
          <w:sz w:val="24"/>
          <w:szCs w:val="20"/>
          <w:highlight w:val="none"/>
        </w:rPr>
        <w:t>后</w:t>
      </w:r>
      <w:r>
        <w:rPr>
          <w:rFonts w:hint="eastAsia" w:ascii="仿宋" w:hAnsi="仿宋" w:eastAsia="仿宋" w:cs="仿宋"/>
          <w:color w:val="auto"/>
          <w:kern w:val="0"/>
          <w:sz w:val="24"/>
          <w:szCs w:val="20"/>
          <w:highlight w:val="none"/>
          <w:lang w:eastAsia="zh-CN"/>
        </w:rPr>
        <w:t>在</w:t>
      </w:r>
      <w:r>
        <w:rPr>
          <w:rFonts w:hint="eastAsia" w:ascii="仿宋" w:hAnsi="仿宋" w:eastAsia="仿宋" w:cs="仿宋"/>
          <w:color w:val="auto"/>
          <w:kern w:val="0"/>
          <w:sz w:val="24"/>
          <w:szCs w:val="20"/>
          <w:highlight w:val="none"/>
        </w:rPr>
        <w:t>【政府采购合同专用条款】规定或乙方</w:t>
      </w:r>
      <w:r>
        <w:rPr>
          <w:rFonts w:hint="eastAsia" w:ascii="仿宋" w:hAnsi="仿宋" w:eastAsia="仿宋" w:cs="仿宋"/>
          <w:color w:val="auto"/>
          <w:kern w:val="0"/>
          <w:sz w:val="24"/>
          <w:szCs w:val="20"/>
          <w:highlight w:val="none"/>
          <w:lang w:eastAsia="zh-CN"/>
        </w:rPr>
        <w:t>书面</w:t>
      </w:r>
      <w:r>
        <w:rPr>
          <w:rFonts w:hint="eastAsia" w:ascii="仿宋" w:hAnsi="仿宋" w:eastAsia="仿宋" w:cs="仿宋"/>
          <w:color w:val="auto"/>
          <w:kern w:val="0"/>
          <w:sz w:val="24"/>
          <w:szCs w:val="20"/>
          <w:highlight w:val="none"/>
        </w:rPr>
        <w:t>承诺（两者以较长的为准）的质量保证期内，本保证保持有效。</w:t>
      </w:r>
    </w:p>
    <w:p w14:paraId="5359DCC0">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14:paraId="61A1A0B0">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应在【政府采购合同专用条款】规定的响应时间内以合理的速度免费维修或更换有缺陷的货物或部件。</w:t>
      </w:r>
    </w:p>
    <w:p w14:paraId="37F6A112">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.1条规定以书面形式</w:t>
      </w:r>
      <w:r>
        <w:rPr>
          <w:rFonts w:hint="eastAsia" w:ascii="仿宋" w:hAnsi="仿宋" w:eastAsia="仿宋" w:cs="仿宋"/>
          <w:color w:val="auto"/>
          <w:kern w:val="0"/>
          <w:sz w:val="24"/>
          <w:szCs w:val="20"/>
          <w:highlight w:val="none"/>
          <w:lang w:eastAsia="zh-CN"/>
        </w:rPr>
        <w:t>追究</w:t>
      </w: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的违约责任</w:t>
      </w:r>
      <w:r>
        <w:rPr>
          <w:rFonts w:hint="eastAsia" w:ascii="仿宋" w:hAnsi="仿宋" w:eastAsia="仿宋" w:cs="仿宋"/>
          <w:color w:val="auto"/>
          <w:kern w:val="0"/>
          <w:sz w:val="24"/>
          <w:szCs w:val="20"/>
          <w:highlight w:val="none"/>
        </w:rPr>
        <w:t>。</w:t>
      </w:r>
    </w:p>
    <w:p w14:paraId="0E3BA0E4">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对乙方行使的其他权利不受影响。</w:t>
      </w:r>
    </w:p>
    <w:p w14:paraId="1CD01C5E">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9</w:t>
      </w:r>
      <w:r>
        <w:rPr>
          <w:rFonts w:hint="default" w:ascii="仿宋" w:hAnsi="仿宋" w:eastAsia="仿宋" w:cs="仿宋"/>
          <w:b/>
          <w:bCs/>
          <w:color w:val="auto"/>
          <w:kern w:val="0"/>
          <w:sz w:val="24"/>
          <w:szCs w:val="20"/>
          <w:highlight w:val="none"/>
        </w:rPr>
        <w:t>.权利瑕疵担保</w:t>
      </w:r>
    </w:p>
    <w:p w14:paraId="339CB906">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.1 乙方保证对其出售的货物享有合法的权利。</w:t>
      </w:r>
    </w:p>
    <w:p w14:paraId="6884A274">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.2 乙方保证在交付的货物上不存在抵押权等担保物权。</w:t>
      </w:r>
    </w:p>
    <w:p w14:paraId="3F9B4451">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.3 如甲方使用</w:t>
      </w:r>
      <w:r>
        <w:rPr>
          <w:rFonts w:hint="eastAsia" w:ascii="仿宋" w:hAnsi="仿宋" w:eastAsia="仿宋" w:cs="仿宋"/>
          <w:color w:val="auto"/>
          <w:kern w:val="0"/>
          <w:sz w:val="24"/>
          <w:szCs w:val="20"/>
          <w:highlight w:val="none"/>
          <w:lang w:val="en-US" w:eastAsia="zh-CN"/>
        </w:rPr>
        <w:t>上述</w:t>
      </w:r>
      <w:r>
        <w:rPr>
          <w:rFonts w:hint="eastAsia" w:ascii="仿宋" w:hAnsi="仿宋" w:eastAsia="仿宋" w:cs="仿宋"/>
          <w:color w:val="auto"/>
          <w:kern w:val="0"/>
          <w:sz w:val="24"/>
          <w:szCs w:val="20"/>
          <w:highlight w:val="none"/>
        </w:rPr>
        <w:t>货物构成</w:t>
      </w:r>
      <w:r>
        <w:rPr>
          <w:rFonts w:hint="eastAsia" w:ascii="仿宋" w:hAnsi="仿宋" w:eastAsia="仿宋" w:cs="仿宋"/>
          <w:color w:val="auto"/>
          <w:kern w:val="0"/>
          <w:sz w:val="24"/>
          <w:szCs w:val="20"/>
          <w:highlight w:val="none"/>
          <w:lang w:val="en-US" w:eastAsia="zh-CN"/>
        </w:rPr>
        <w:t>对第三人</w:t>
      </w:r>
      <w:r>
        <w:rPr>
          <w:rFonts w:hint="eastAsia" w:ascii="仿宋" w:hAnsi="仿宋" w:eastAsia="仿宋" w:cs="仿宋"/>
          <w:color w:val="auto"/>
          <w:kern w:val="0"/>
          <w:sz w:val="24"/>
          <w:szCs w:val="20"/>
          <w:highlight w:val="none"/>
        </w:rPr>
        <w:t>侵权的，则由乙方承担全部责任。</w:t>
      </w:r>
    </w:p>
    <w:p w14:paraId="147A4A73">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0</w:t>
      </w:r>
      <w:r>
        <w:rPr>
          <w:rFonts w:hint="default" w:ascii="仿宋" w:hAnsi="仿宋" w:eastAsia="仿宋" w:cs="仿宋"/>
          <w:b/>
          <w:bCs/>
          <w:color w:val="auto"/>
          <w:kern w:val="0"/>
          <w:sz w:val="24"/>
          <w:szCs w:val="20"/>
          <w:highlight w:val="none"/>
        </w:rPr>
        <w:t>.知识产权保护</w:t>
      </w:r>
    </w:p>
    <w:p w14:paraId="65C73B6B">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0</w:t>
      </w:r>
      <w:r>
        <w:rPr>
          <w:rFonts w:hint="eastAsia" w:ascii="仿宋" w:hAnsi="仿宋" w:eastAsia="仿宋" w:cs="仿宋"/>
          <w:color w:val="auto"/>
          <w:kern w:val="0"/>
          <w:sz w:val="24"/>
          <w:szCs w:val="20"/>
          <w:highlight w:val="none"/>
        </w:rPr>
        <w:t>.1 乙方对其所销售的货物应当享有知识产权或经权利人合法授权，保证没有侵犯任何第三人的知识产权等权利。</w:t>
      </w:r>
      <w:bookmarkStart w:id="45" w:name="_Hlk163047038"/>
      <w:r>
        <w:rPr>
          <w:rFonts w:hint="eastAsia" w:ascii="仿宋" w:hAnsi="仿宋" w:eastAsia="仿宋" w:cs="仿宋"/>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45"/>
      <w:r>
        <w:rPr>
          <w:rFonts w:hint="eastAsia" w:ascii="仿宋" w:hAnsi="仿宋" w:eastAsia="仿宋" w:cs="仿宋"/>
          <w:color w:val="auto"/>
          <w:kern w:val="0"/>
          <w:sz w:val="24"/>
          <w:szCs w:val="20"/>
          <w:highlight w:val="none"/>
        </w:rPr>
        <w:t>。</w:t>
      </w:r>
    </w:p>
    <w:p w14:paraId="5BCA431E">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rPr>
        <w:t>.保密义务</w:t>
      </w:r>
    </w:p>
    <w:p w14:paraId="6D4490B4">
      <w:pPr>
        <w:numPr>
          <w:ilvl w:val="0"/>
          <w:numId w:val="0"/>
        </w:numPr>
        <w:kinsoku/>
        <w:wordWrap w:val="0"/>
        <w:overflowPunct/>
        <w:topLinePunct w:val="0"/>
        <w:bidi w:val="0"/>
        <w:adjustRightInd/>
        <w:spacing w:beforeAutospacing="0" w:afterAutospacing="0" w:line="440" w:lineRule="exact"/>
        <w:ind w:left="-20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11.1 </w:t>
      </w:r>
      <w:r>
        <w:rPr>
          <w:rFonts w:hint="eastAsia" w:ascii="仿宋" w:hAnsi="仿宋" w:eastAsia="仿宋" w:cs="仿宋"/>
          <w:color w:val="auto"/>
          <w:kern w:val="0"/>
          <w:sz w:val="24"/>
          <w:szCs w:val="20"/>
          <w:highlight w:val="none"/>
        </w:rPr>
        <w:t>甲、乙双方</w:t>
      </w:r>
      <w:r>
        <w:rPr>
          <w:rFonts w:hint="eastAsia" w:ascii="仿宋" w:hAnsi="仿宋" w:eastAsia="仿宋" w:cs="仿宋"/>
          <w:color w:val="auto"/>
          <w:kern w:val="0"/>
          <w:sz w:val="24"/>
          <w:szCs w:val="20"/>
          <w:highlight w:val="none"/>
          <w:lang w:eastAsia="zh-CN"/>
        </w:rPr>
        <w:t>对</w:t>
      </w:r>
      <w:r>
        <w:rPr>
          <w:rFonts w:hint="eastAsia" w:ascii="仿宋" w:hAnsi="仿宋" w:eastAsia="仿宋" w:cs="仿宋"/>
          <w:color w:val="auto"/>
          <w:kern w:val="0"/>
          <w:sz w:val="24"/>
          <w:szCs w:val="20"/>
          <w:highlight w:val="none"/>
        </w:rPr>
        <w:t>采购和合同履行过程中所获悉的</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商业秘密或者其他应当保密的信息，均有保密义务</w:t>
      </w:r>
      <w:r>
        <w:rPr>
          <w:rFonts w:hint="eastAsia" w:ascii="仿宋" w:hAnsi="仿宋" w:eastAsia="仿宋" w:cs="仿宋"/>
          <w:color w:val="auto"/>
          <w:kern w:val="0"/>
          <w:sz w:val="24"/>
          <w:szCs w:val="20"/>
          <w:highlight w:val="none"/>
          <w:lang w:eastAsia="zh-CN"/>
        </w:rPr>
        <w:t>且不受合同有效期所限，直至该信息成为公开信息</w:t>
      </w:r>
      <w:r>
        <w:rPr>
          <w:rFonts w:hint="eastAsia" w:ascii="仿宋" w:hAnsi="仿宋" w:eastAsia="仿宋" w:cs="仿宋"/>
          <w:color w:val="auto"/>
          <w:kern w:val="0"/>
          <w:sz w:val="24"/>
          <w:szCs w:val="20"/>
          <w:highlight w:val="none"/>
        </w:rPr>
        <w:t>。泄露、不正当地使用</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w:t>
      </w:r>
      <w:r>
        <w:rPr>
          <w:rFonts w:hint="eastAsia" w:ascii="仿宋" w:hAnsi="仿宋" w:eastAsia="仿宋" w:cs="仿宋"/>
          <w:color w:val="auto"/>
          <w:kern w:val="0"/>
          <w:sz w:val="24"/>
          <w:szCs w:val="20"/>
          <w:highlight w:val="none"/>
          <w:lang w:eastAsia="zh-CN"/>
        </w:rPr>
        <w:t>其他应当保密的</w:t>
      </w:r>
      <w:r>
        <w:rPr>
          <w:rFonts w:hint="eastAsia" w:ascii="仿宋" w:hAnsi="仿宋" w:eastAsia="仿宋" w:cs="仿宋"/>
          <w:color w:val="auto"/>
          <w:kern w:val="0"/>
          <w:sz w:val="24"/>
          <w:szCs w:val="20"/>
          <w:highlight w:val="none"/>
        </w:rPr>
        <w:t>信息，应当承担</w:t>
      </w:r>
      <w:r>
        <w:rPr>
          <w:rFonts w:hint="eastAsia" w:ascii="仿宋" w:hAnsi="仿宋" w:eastAsia="仿宋" w:cs="仿宋"/>
          <w:color w:val="auto"/>
          <w:kern w:val="0"/>
          <w:sz w:val="24"/>
          <w:szCs w:val="20"/>
          <w:highlight w:val="none"/>
          <w:lang w:eastAsia="zh-CN"/>
        </w:rPr>
        <w:t>相应</w:t>
      </w:r>
      <w:r>
        <w:rPr>
          <w:rFonts w:hint="eastAsia" w:ascii="仿宋" w:hAnsi="仿宋" w:eastAsia="仿宋" w:cs="仿宋"/>
          <w:color w:val="auto"/>
          <w:kern w:val="0"/>
          <w:sz w:val="24"/>
          <w:szCs w:val="20"/>
          <w:highlight w:val="none"/>
        </w:rPr>
        <w:t>责任。其他应当保密的信息由双方在【政府采购合同专用条款】中约定。</w:t>
      </w:r>
    </w:p>
    <w:p w14:paraId="26A9D844">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2</w:t>
      </w:r>
      <w:r>
        <w:rPr>
          <w:rFonts w:hint="default" w:ascii="仿宋" w:hAnsi="仿宋" w:eastAsia="仿宋" w:cs="仿宋"/>
          <w:b/>
          <w:bCs/>
          <w:color w:val="auto"/>
          <w:kern w:val="0"/>
          <w:sz w:val="24"/>
          <w:szCs w:val="20"/>
          <w:highlight w:val="none"/>
        </w:rPr>
        <w:t>.</w:t>
      </w:r>
      <w:r>
        <w:rPr>
          <w:rFonts w:hint="default" w:ascii="仿宋" w:hAnsi="仿宋" w:eastAsia="仿宋" w:cs="仿宋"/>
          <w:b/>
          <w:bCs/>
          <w:color w:val="auto"/>
          <w:kern w:val="0"/>
          <w:sz w:val="24"/>
          <w:szCs w:val="20"/>
          <w:highlight w:val="none"/>
          <w:lang w:val="en-US" w:eastAsia="zh-CN"/>
        </w:rPr>
        <w:t xml:space="preserve"> </w:t>
      </w:r>
      <w:r>
        <w:rPr>
          <w:rFonts w:hint="default" w:ascii="仿宋" w:hAnsi="仿宋" w:eastAsia="仿宋" w:cs="仿宋"/>
          <w:b/>
          <w:bCs/>
          <w:color w:val="auto"/>
          <w:kern w:val="0"/>
          <w:sz w:val="24"/>
          <w:szCs w:val="20"/>
          <w:highlight w:val="none"/>
        </w:rPr>
        <w:t>合同价款支付</w:t>
      </w:r>
    </w:p>
    <w:p w14:paraId="28EFFC1D">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 xml:space="preserve">.1 </w:t>
      </w:r>
      <w:r>
        <w:rPr>
          <w:rFonts w:hint="eastAsia" w:ascii="仿宋" w:hAnsi="仿宋" w:eastAsia="仿宋" w:cs="仿宋"/>
          <w:color w:val="auto"/>
          <w:kern w:val="0"/>
          <w:sz w:val="24"/>
          <w:szCs w:val="20"/>
          <w:highlight w:val="none"/>
          <w:lang w:eastAsia="zh-CN"/>
        </w:rPr>
        <w:t>合同价款支付</w:t>
      </w:r>
      <w:r>
        <w:rPr>
          <w:rFonts w:hint="eastAsia" w:ascii="仿宋" w:hAnsi="仿宋" w:eastAsia="仿宋" w:cs="仿宋"/>
          <w:color w:val="auto"/>
          <w:kern w:val="0"/>
          <w:sz w:val="24"/>
          <w:szCs w:val="20"/>
          <w:highlight w:val="none"/>
        </w:rPr>
        <w:t>按照国库集中支付</w:t>
      </w:r>
      <w:r>
        <w:rPr>
          <w:rFonts w:hint="eastAsia" w:ascii="仿宋" w:hAnsi="仿宋" w:eastAsia="仿宋" w:cs="仿宋"/>
          <w:color w:val="auto"/>
          <w:kern w:val="0"/>
          <w:sz w:val="24"/>
          <w:szCs w:val="20"/>
          <w:highlight w:val="none"/>
          <w:lang w:eastAsia="zh-CN"/>
        </w:rPr>
        <w:t>制度及财政管理相关</w:t>
      </w:r>
      <w:r>
        <w:rPr>
          <w:rFonts w:hint="eastAsia" w:ascii="仿宋" w:hAnsi="仿宋" w:eastAsia="仿宋" w:cs="仿宋"/>
          <w:color w:val="auto"/>
          <w:kern w:val="0"/>
          <w:sz w:val="24"/>
          <w:szCs w:val="20"/>
          <w:highlight w:val="none"/>
        </w:rPr>
        <w:t>规定执行。</w:t>
      </w:r>
    </w:p>
    <w:p w14:paraId="71B04720">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12.2 </w:t>
      </w:r>
      <w:r>
        <w:rPr>
          <w:rFonts w:hint="eastAsia" w:ascii="仿宋" w:hAnsi="仿宋" w:eastAsia="仿宋" w:cs="仿宋"/>
          <w:color w:val="auto"/>
          <w:kern w:val="0"/>
          <w:sz w:val="24"/>
          <w:szCs w:val="20"/>
          <w:highlight w:val="none"/>
        </w:rPr>
        <w:t>对于满足合同约定支付条件的，</w:t>
      </w:r>
      <w:r>
        <w:rPr>
          <w:rFonts w:hint="eastAsia" w:ascii="仿宋" w:hAnsi="仿宋" w:eastAsia="仿宋" w:cs="仿宋"/>
          <w:color w:val="auto"/>
          <w:kern w:val="0"/>
          <w:sz w:val="24"/>
          <w:szCs w:val="20"/>
          <w:highlight w:val="none"/>
          <w:lang w:val="en-US" w:eastAsia="zh-CN"/>
        </w:rPr>
        <w:t>甲方</w:t>
      </w:r>
      <w:r>
        <w:rPr>
          <w:rFonts w:hint="eastAsia" w:ascii="仿宋" w:hAnsi="仿宋" w:eastAsia="仿宋" w:cs="仿宋"/>
          <w:color w:val="auto"/>
          <w:kern w:val="0"/>
          <w:sz w:val="24"/>
          <w:szCs w:val="20"/>
          <w:highlight w:val="none"/>
        </w:rPr>
        <w:t>原则上应当自收到发票后</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个工作日内将资金支付到合同约定的</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账户，不得以机构变动、人员更替、政策调整等为由迟延付款，不得将采购文件和合同中未规定的义务作为向</w:t>
      </w:r>
      <w:r>
        <w:rPr>
          <w:rFonts w:hint="eastAsia" w:ascii="仿宋" w:hAnsi="仿宋" w:eastAsia="仿宋" w:cs="仿宋"/>
          <w:color w:val="auto"/>
          <w:kern w:val="0"/>
          <w:sz w:val="24"/>
          <w:szCs w:val="20"/>
          <w:highlight w:val="none"/>
          <w:lang w:val="en-US" w:eastAsia="zh-CN"/>
        </w:rPr>
        <w:t>乙方</w:t>
      </w:r>
      <w:r>
        <w:rPr>
          <w:rFonts w:hint="eastAsia" w:ascii="仿宋" w:hAnsi="仿宋" w:eastAsia="仿宋" w:cs="仿宋"/>
          <w:color w:val="auto"/>
          <w:kern w:val="0"/>
          <w:sz w:val="24"/>
          <w:szCs w:val="20"/>
          <w:highlight w:val="none"/>
        </w:rPr>
        <w:t>付款的条件。具体合同价款支付时间在【政府采购合同专用条款】中</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p>
    <w:p w14:paraId="7C0CCDB9">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3</w:t>
      </w:r>
      <w:r>
        <w:rPr>
          <w:rFonts w:hint="default" w:ascii="仿宋" w:hAnsi="仿宋" w:eastAsia="仿宋" w:cs="仿宋"/>
          <w:b/>
          <w:bCs/>
          <w:color w:val="auto"/>
          <w:kern w:val="0"/>
          <w:sz w:val="24"/>
          <w:szCs w:val="20"/>
          <w:highlight w:val="none"/>
        </w:rPr>
        <w:t>.履约保证金</w:t>
      </w:r>
    </w:p>
    <w:p w14:paraId="52F6148C">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乙方应当以支票、汇票、本票或者金融机构、担保机构出具的保函等非现金形式提交。</w:t>
      </w:r>
    </w:p>
    <w:p w14:paraId="2E716966">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.2 如果乙方</w:t>
      </w:r>
      <w:r>
        <w:rPr>
          <w:rFonts w:hint="eastAsia" w:ascii="仿宋" w:hAnsi="仿宋" w:eastAsia="仿宋" w:cs="仿宋"/>
          <w:color w:val="auto"/>
          <w:kern w:val="0"/>
          <w:sz w:val="24"/>
          <w:szCs w:val="20"/>
          <w:highlight w:val="none"/>
          <w:lang w:eastAsia="zh-CN"/>
        </w:rPr>
        <w:t>出现</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约定情形的</w:t>
      </w:r>
      <w:r>
        <w:rPr>
          <w:rFonts w:hint="eastAsia" w:ascii="仿宋" w:hAnsi="仿宋" w:eastAsia="仿宋" w:cs="仿宋"/>
          <w:color w:val="auto"/>
          <w:kern w:val="0"/>
          <w:sz w:val="24"/>
          <w:szCs w:val="20"/>
          <w:highlight w:val="none"/>
        </w:rPr>
        <w:t>，履约保证金不予退还；如果乙方未能按合同约定全面履行义务，甲方有权从履约保证金中取得补偿或赔偿，</w:t>
      </w:r>
      <w:r>
        <w:rPr>
          <w:rFonts w:hint="eastAsia" w:ascii="仿宋" w:hAnsi="仿宋" w:eastAsia="仿宋" w:cs="仿宋"/>
          <w:color w:val="auto"/>
          <w:kern w:val="0"/>
          <w:sz w:val="24"/>
          <w:szCs w:val="20"/>
          <w:highlight w:val="none"/>
          <w:lang w:eastAsia="zh-CN"/>
        </w:rPr>
        <w:t>且</w:t>
      </w:r>
      <w:r>
        <w:rPr>
          <w:rFonts w:hint="eastAsia" w:ascii="仿宋" w:hAnsi="仿宋" w:eastAsia="仿宋" w:cs="仿宋"/>
          <w:color w:val="auto"/>
          <w:kern w:val="0"/>
          <w:sz w:val="24"/>
          <w:szCs w:val="20"/>
          <w:highlight w:val="none"/>
        </w:rPr>
        <w:t>不影响甲方要求乙方承担合同约定的超过履约保证金的违约责任的权利。</w:t>
      </w:r>
    </w:p>
    <w:p w14:paraId="6E109BB2">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.3 甲方在项目通过验收后按照【政府采购合同专用条款】规定的时间内将履约保证金退还乙方；逾期退还的，乙方可要求甲方支付违约金，违约金按照【政府采购合同专用条款】规定支付。</w:t>
      </w:r>
    </w:p>
    <w:p w14:paraId="2079AA1C">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4</w:t>
      </w:r>
      <w:r>
        <w:rPr>
          <w:rFonts w:hint="default" w:ascii="仿宋" w:hAnsi="仿宋" w:eastAsia="仿宋" w:cs="仿宋"/>
          <w:b/>
          <w:bCs/>
          <w:color w:val="auto"/>
          <w:kern w:val="0"/>
          <w:sz w:val="24"/>
          <w:szCs w:val="20"/>
          <w:highlight w:val="none"/>
        </w:rPr>
        <w:t>.售后服务</w:t>
      </w:r>
    </w:p>
    <w:p w14:paraId="4BA44C0A">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除项目不涉及或采购活动中明确约定无须承担外，乙方还应提供下列服务：</w:t>
      </w:r>
    </w:p>
    <w:p w14:paraId="38C93D9A">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14:paraId="265EA891">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14:paraId="0BFA3E72">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的期限内对所有的货物实施运行监督、维修，但前提条件是该服务并不能免除乙方在质量保证期内所承担的义务；</w:t>
      </w:r>
    </w:p>
    <w:p w14:paraId="23AF0954">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w:t>
      </w:r>
      <w:r>
        <w:rPr>
          <w:rFonts w:hint="eastAsia" w:ascii="仿宋" w:hAnsi="仿宋" w:eastAsia="仿宋" w:cs="仿宋"/>
          <w:color w:val="auto"/>
          <w:kern w:val="0"/>
          <w:sz w:val="24"/>
          <w:szCs w:val="20"/>
          <w:highlight w:val="none"/>
          <w:lang w:eastAsia="zh-CN"/>
        </w:rPr>
        <w:t>所在地</w:t>
      </w:r>
      <w:r>
        <w:rPr>
          <w:rFonts w:hint="eastAsia" w:ascii="仿宋" w:hAnsi="仿宋" w:eastAsia="仿宋" w:cs="仿宋"/>
          <w:color w:val="auto"/>
          <w:kern w:val="0"/>
          <w:sz w:val="24"/>
          <w:szCs w:val="20"/>
          <w:highlight w:val="none"/>
        </w:rPr>
        <w:t>或</w:t>
      </w:r>
      <w:r>
        <w:rPr>
          <w:rFonts w:hint="eastAsia" w:ascii="仿宋" w:hAnsi="仿宋" w:eastAsia="仿宋" w:cs="仿宋"/>
          <w:color w:val="auto"/>
          <w:kern w:val="0"/>
          <w:sz w:val="24"/>
          <w:szCs w:val="20"/>
          <w:highlight w:val="none"/>
          <w:lang w:eastAsia="zh-CN"/>
        </w:rPr>
        <w:t>指定</w:t>
      </w:r>
      <w:r>
        <w:rPr>
          <w:rFonts w:hint="eastAsia" w:ascii="仿宋" w:hAnsi="仿宋" w:eastAsia="仿宋" w:cs="仿宋"/>
          <w:color w:val="auto"/>
          <w:kern w:val="0"/>
          <w:sz w:val="24"/>
          <w:szCs w:val="20"/>
          <w:highlight w:val="none"/>
        </w:rPr>
        <w:t>现场就货物的安装、启动、运营、维护</w:t>
      </w:r>
      <w:r>
        <w:rPr>
          <w:rFonts w:hint="eastAsia" w:ascii="仿宋" w:hAnsi="仿宋" w:eastAsia="仿宋" w:cs="仿宋"/>
          <w:color w:val="auto"/>
          <w:kern w:val="0"/>
          <w:sz w:val="24"/>
          <w:szCs w:val="20"/>
          <w:highlight w:val="none"/>
          <w:lang w:eastAsia="zh-CN"/>
        </w:rPr>
        <w:t>、废弃处置等</w:t>
      </w:r>
      <w:r>
        <w:rPr>
          <w:rFonts w:hint="eastAsia" w:ascii="仿宋" w:hAnsi="仿宋" w:eastAsia="仿宋" w:cs="仿宋"/>
          <w:color w:val="auto"/>
          <w:kern w:val="0"/>
          <w:sz w:val="24"/>
          <w:szCs w:val="20"/>
          <w:highlight w:val="none"/>
        </w:rPr>
        <w:t>对甲方操作人员进行培训</w:t>
      </w:r>
      <w:r>
        <w:rPr>
          <w:rFonts w:hint="eastAsia" w:ascii="仿宋" w:hAnsi="仿宋" w:eastAsia="仿宋" w:cs="仿宋"/>
          <w:color w:val="auto"/>
          <w:kern w:val="0"/>
          <w:sz w:val="24"/>
          <w:szCs w:val="20"/>
          <w:highlight w:val="none"/>
          <w:lang w:eastAsia="zh-CN"/>
        </w:rPr>
        <w:t>；</w:t>
      </w:r>
    </w:p>
    <w:p w14:paraId="3EE0D069">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05E9B392">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）【政府采购合同专用条款】规定由乙方提供的其他服务。</w:t>
      </w:r>
    </w:p>
    <w:p w14:paraId="65CA0366">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.2 乙方提供的</w:t>
      </w:r>
      <w:r>
        <w:rPr>
          <w:rFonts w:hint="eastAsia" w:ascii="仿宋" w:hAnsi="仿宋" w:eastAsia="仿宋" w:cs="仿宋"/>
          <w:color w:val="auto"/>
          <w:kern w:val="0"/>
          <w:sz w:val="24"/>
          <w:szCs w:val="20"/>
          <w:highlight w:val="none"/>
          <w:lang w:eastAsia="zh-CN"/>
        </w:rPr>
        <w:t>售后</w:t>
      </w:r>
      <w:r>
        <w:rPr>
          <w:rFonts w:hint="eastAsia" w:ascii="仿宋" w:hAnsi="仿宋" w:eastAsia="仿宋" w:cs="仿宋"/>
          <w:color w:val="auto"/>
          <w:kern w:val="0"/>
          <w:sz w:val="24"/>
          <w:szCs w:val="20"/>
          <w:highlight w:val="none"/>
        </w:rPr>
        <w:t>服务的费用</w:t>
      </w:r>
      <w:r>
        <w:rPr>
          <w:rFonts w:hint="eastAsia" w:ascii="仿宋" w:hAnsi="仿宋" w:eastAsia="仿宋" w:cs="仿宋"/>
          <w:color w:val="auto"/>
          <w:kern w:val="0"/>
          <w:sz w:val="24"/>
          <w:szCs w:val="20"/>
          <w:highlight w:val="none"/>
          <w:lang w:val="en-US" w:eastAsia="zh-CN"/>
        </w:rPr>
        <w:t>已</w:t>
      </w:r>
      <w:r>
        <w:rPr>
          <w:rFonts w:hint="eastAsia" w:ascii="仿宋" w:hAnsi="仿宋" w:eastAsia="仿宋" w:cs="仿宋"/>
          <w:color w:val="auto"/>
          <w:kern w:val="0"/>
          <w:sz w:val="24"/>
          <w:szCs w:val="20"/>
          <w:highlight w:val="none"/>
        </w:rPr>
        <w:t>包含在合同价款中，甲方不再另行支付。</w:t>
      </w:r>
    </w:p>
    <w:p w14:paraId="5907C491">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5</w:t>
      </w:r>
      <w:r>
        <w:rPr>
          <w:rFonts w:hint="default" w:ascii="仿宋" w:hAnsi="仿宋" w:eastAsia="仿宋" w:cs="仿宋"/>
          <w:b/>
          <w:bCs/>
          <w:color w:val="auto"/>
          <w:kern w:val="0"/>
          <w:sz w:val="24"/>
          <w:szCs w:val="20"/>
          <w:highlight w:val="none"/>
        </w:rPr>
        <w:t>.违约责任</w:t>
      </w:r>
    </w:p>
    <w:p w14:paraId="5AB46456">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.1质量瑕疵的</w:t>
      </w:r>
      <w:r>
        <w:rPr>
          <w:rFonts w:hint="eastAsia" w:ascii="仿宋" w:hAnsi="仿宋" w:eastAsia="仿宋" w:cs="仿宋"/>
          <w:color w:val="auto"/>
          <w:kern w:val="0"/>
          <w:sz w:val="24"/>
          <w:szCs w:val="20"/>
          <w:highlight w:val="none"/>
          <w:lang w:eastAsia="zh-CN"/>
        </w:rPr>
        <w:t>违约责任</w:t>
      </w:r>
    </w:p>
    <w:p w14:paraId="6EB3DE79">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的产品不符合</w:t>
      </w:r>
      <w:r>
        <w:rPr>
          <w:rFonts w:hint="eastAsia" w:ascii="仿宋" w:hAnsi="仿宋" w:eastAsia="仿宋" w:cs="仿宋"/>
          <w:color w:val="auto"/>
          <w:kern w:val="0"/>
          <w:sz w:val="24"/>
          <w:szCs w:val="20"/>
          <w:highlight w:val="none"/>
          <w:lang w:eastAsia="zh-CN"/>
        </w:rPr>
        <w:t>合同约定的</w:t>
      </w:r>
      <w:r>
        <w:rPr>
          <w:rFonts w:hint="eastAsia" w:ascii="仿宋" w:hAnsi="仿宋" w:eastAsia="仿宋" w:cs="仿宋"/>
          <w:color w:val="auto"/>
          <w:kern w:val="0"/>
          <w:sz w:val="24"/>
          <w:szCs w:val="20"/>
          <w:highlight w:val="none"/>
        </w:rPr>
        <w:t>质量标准或存在产品质量缺陷，</w:t>
      </w:r>
      <w:r>
        <w:rPr>
          <w:rFonts w:hint="eastAsia" w:ascii="仿宋" w:hAnsi="仿宋" w:eastAsia="仿宋" w:cs="仿宋"/>
          <w:color w:val="auto"/>
          <w:kern w:val="0"/>
          <w:sz w:val="24"/>
          <w:szCs w:val="20"/>
          <w:highlight w:val="none"/>
          <w:lang w:eastAsia="zh-CN"/>
        </w:rPr>
        <w:t>甲方有权要求乙方根据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要求及时修理、重作、更换，并承担由此给甲</w:t>
      </w:r>
      <w:r>
        <w:rPr>
          <w:rFonts w:hint="eastAsia" w:ascii="仿宋" w:hAnsi="仿宋" w:eastAsia="仿宋" w:cs="仿宋"/>
          <w:color w:val="auto"/>
          <w:kern w:val="0"/>
          <w:sz w:val="24"/>
          <w:szCs w:val="20"/>
          <w:highlight w:val="none"/>
        </w:rPr>
        <w:t>方</w:t>
      </w:r>
      <w:r>
        <w:rPr>
          <w:rFonts w:hint="eastAsia" w:ascii="仿宋" w:hAnsi="仿宋" w:eastAsia="仿宋" w:cs="仿宋"/>
          <w:color w:val="auto"/>
          <w:kern w:val="0"/>
          <w:sz w:val="24"/>
          <w:szCs w:val="20"/>
          <w:highlight w:val="none"/>
          <w:lang w:eastAsia="zh-CN"/>
        </w:rPr>
        <w:t>造成的损失</w:t>
      </w:r>
      <w:r>
        <w:rPr>
          <w:rFonts w:hint="eastAsia" w:ascii="仿宋" w:hAnsi="仿宋" w:eastAsia="仿宋" w:cs="仿宋"/>
          <w:color w:val="auto"/>
          <w:kern w:val="0"/>
          <w:sz w:val="24"/>
          <w:szCs w:val="20"/>
          <w:highlight w:val="none"/>
        </w:rPr>
        <w:t>。</w:t>
      </w:r>
    </w:p>
    <w:p w14:paraId="494B6853">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迟延交货的违约责任</w:t>
      </w:r>
    </w:p>
    <w:p w14:paraId="0D65CE6E">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服务。在履行合同过程中，如果乙方遇到可能</w:t>
      </w:r>
      <w:r>
        <w:rPr>
          <w:rFonts w:hint="eastAsia" w:ascii="仿宋" w:hAnsi="仿宋" w:eastAsia="仿宋" w:cs="仿宋"/>
          <w:color w:val="auto"/>
          <w:kern w:val="0"/>
          <w:sz w:val="24"/>
          <w:szCs w:val="20"/>
          <w:highlight w:val="none"/>
          <w:lang w:eastAsia="zh-CN"/>
        </w:rPr>
        <w:t>影响</w:t>
      </w:r>
      <w:r>
        <w:rPr>
          <w:rFonts w:hint="eastAsia" w:ascii="仿宋" w:hAnsi="仿宋" w:eastAsia="仿宋" w:cs="仿宋"/>
          <w:color w:val="auto"/>
          <w:kern w:val="0"/>
          <w:sz w:val="24"/>
          <w:szCs w:val="20"/>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kern w:val="0"/>
          <w:sz w:val="24"/>
          <w:szCs w:val="20"/>
          <w:highlight w:val="none"/>
          <w:lang w:eastAsia="zh-CN"/>
        </w:rPr>
        <w:t>长</w:t>
      </w:r>
      <w:r>
        <w:rPr>
          <w:rFonts w:hint="eastAsia" w:ascii="仿宋" w:hAnsi="仿宋" w:eastAsia="仿宋" w:cs="仿宋"/>
          <w:color w:val="auto"/>
          <w:kern w:val="0"/>
          <w:sz w:val="24"/>
          <w:szCs w:val="20"/>
          <w:highlight w:val="none"/>
        </w:rPr>
        <w:t>交货时间或延期提供服务。</w:t>
      </w:r>
    </w:p>
    <w:p w14:paraId="1050FF4B">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（2）如果乙方没有按照合同规定的时间交货和提供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服务，甲方有权从货款中扣除误期赔偿费而不影响合同项下的其他补救方法，赔偿费按【政府采购合同专用条款】规定执行。如果涉及公共利益，且赔偿金额无法弥补公共利益损失，</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可要求继续履行或者</w:t>
      </w:r>
      <w:r>
        <w:rPr>
          <w:rFonts w:hint="eastAsia" w:ascii="仿宋" w:hAnsi="仿宋" w:eastAsia="仿宋" w:cs="仿宋"/>
          <w:color w:val="auto"/>
          <w:kern w:val="0"/>
          <w:sz w:val="24"/>
          <w:szCs w:val="20"/>
          <w:highlight w:val="none"/>
          <w:lang w:eastAsia="zh-CN"/>
        </w:rPr>
        <w:t>采取其他补救措施</w:t>
      </w:r>
      <w:r>
        <w:rPr>
          <w:rFonts w:hint="eastAsia" w:ascii="仿宋" w:hAnsi="仿宋" w:eastAsia="仿宋" w:cs="仿宋"/>
          <w:color w:val="auto"/>
          <w:kern w:val="0"/>
          <w:sz w:val="24"/>
          <w:szCs w:val="20"/>
          <w:highlight w:val="none"/>
        </w:rPr>
        <w:t>。</w:t>
      </w:r>
    </w:p>
    <w:p w14:paraId="1D988BF1">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 迟延支付的违约责任</w:t>
      </w:r>
    </w:p>
    <w:p w14:paraId="5B8E63F4">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14:paraId="0B7FA4FE">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.4其他违约责任根据项目实际需要按【政府采购合同专用条款】规定执行。</w:t>
      </w:r>
    </w:p>
    <w:p w14:paraId="2757B464">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16.</w:t>
      </w:r>
      <w:r>
        <w:rPr>
          <w:rFonts w:hint="default" w:ascii="仿宋" w:hAnsi="仿宋" w:eastAsia="仿宋" w:cs="仿宋"/>
          <w:b/>
          <w:bCs/>
          <w:color w:val="auto"/>
          <w:kern w:val="0"/>
          <w:sz w:val="24"/>
          <w:szCs w:val="20"/>
          <w:highlight w:val="none"/>
        </w:rPr>
        <w:t>合同变更</w:t>
      </w:r>
      <w:r>
        <w:rPr>
          <w:rFonts w:hint="default" w:ascii="仿宋" w:hAnsi="仿宋" w:eastAsia="仿宋" w:cs="仿宋"/>
          <w:b/>
          <w:bCs/>
          <w:color w:val="auto"/>
          <w:kern w:val="0"/>
          <w:sz w:val="24"/>
          <w:szCs w:val="20"/>
          <w:highlight w:val="none"/>
          <w:lang w:eastAsia="zh-CN"/>
        </w:rPr>
        <w:t>、中止与终止</w:t>
      </w:r>
    </w:p>
    <w:p w14:paraId="4FDAA8E9">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.1合同的</w:t>
      </w:r>
      <w:r>
        <w:rPr>
          <w:rFonts w:hint="eastAsia" w:ascii="仿宋" w:hAnsi="仿宋" w:eastAsia="仿宋" w:cs="仿宋"/>
          <w:color w:val="auto"/>
          <w:kern w:val="0"/>
          <w:sz w:val="24"/>
          <w:szCs w:val="20"/>
          <w:highlight w:val="none"/>
          <w:lang w:eastAsia="zh-CN"/>
        </w:rPr>
        <w:t>变更</w:t>
      </w:r>
    </w:p>
    <w:p w14:paraId="38B46623">
      <w:pPr>
        <w:kinsoku/>
        <w:wordWrap w:val="0"/>
        <w:overflowPunct/>
        <w:topLinePunct w:val="0"/>
        <w:bidi w:val="0"/>
        <w:adjustRightInd/>
        <w:spacing w:beforeAutospacing="0" w:afterAutospacing="0" w:line="440" w:lineRule="exact"/>
        <w:ind w:left="-199" w:leftChars="-95" w:right="-420" w:rightChars="-200" w:firstLine="259" w:firstLineChars="1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政府采购合同履行中，</w:t>
      </w:r>
      <w:r>
        <w:rPr>
          <w:rFonts w:hint="eastAsia" w:ascii="仿宋" w:hAnsi="仿宋" w:eastAsia="仿宋" w:cs="仿宋"/>
          <w:color w:val="auto"/>
          <w:kern w:val="0"/>
          <w:sz w:val="24"/>
          <w:szCs w:val="20"/>
          <w:highlight w:val="none"/>
        </w:rPr>
        <w:t>在不改变合同其他条款的前提下，甲方可以在合同价款10%的范围内追加与合同标的相同的货物，并就此与乙方协商</w:t>
      </w:r>
      <w:r>
        <w:rPr>
          <w:rFonts w:hint="eastAsia" w:ascii="仿宋" w:hAnsi="仿宋" w:eastAsia="仿宋" w:cs="仿宋"/>
          <w:color w:val="auto"/>
          <w:kern w:val="0"/>
          <w:sz w:val="24"/>
          <w:szCs w:val="20"/>
          <w:highlight w:val="none"/>
          <w:lang w:eastAsia="zh-CN"/>
        </w:rPr>
        <w:t>一致后</w:t>
      </w:r>
      <w:r>
        <w:rPr>
          <w:rFonts w:hint="eastAsia" w:ascii="仿宋" w:hAnsi="仿宋" w:eastAsia="仿宋" w:cs="仿宋"/>
          <w:color w:val="auto"/>
          <w:kern w:val="0"/>
          <w:sz w:val="24"/>
          <w:szCs w:val="20"/>
          <w:highlight w:val="none"/>
        </w:rPr>
        <w:t>签订补充协议。</w:t>
      </w:r>
    </w:p>
    <w:p w14:paraId="770B07DA">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合同的中止</w:t>
      </w:r>
    </w:p>
    <w:p w14:paraId="3DECF55E">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w:t>
      </w:r>
      <w:r>
        <w:rPr>
          <w:rFonts w:hint="eastAsia" w:ascii="仿宋" w:hAnsi="仿宋" w:eastAsia="仿宋" w:cs="仿宋"/>
          <w:color w:val="auto"/>
          <w:kern w:val="0"/>
          <w:sz w:val="24"/>
          <w:szCs w:val="20"/>
          <w:highlight w:val="none"/>
          <w:lang w:eastAsia="zh-CN"/>
        </w:rPr>
        <w:t>可以</w:t>
      </w:r>
      <w:r>
        <w:rPr>
          <w:rFonts w:hint="eastAsia" w:ascii="仿宋" w:hAnsi="仿宋" w:eastAsia="仿宋" w:cs="仿宋"/>
          <w:color w:val="auto"/>
          <w:kern w:val="0"/>
          <w:sz w:val="24"/>
          <w:szCs w:val="20"/>
          <w:highlight w:val="none"/>
        </w:rPr>
        <w:t>中止合同的履行。</w:t>
      </w:r>
    </w:p>
    <w:p w14:paraId="51710503">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合同履行过程中，</w:t>
      </w:r>
      <w:r>
        <w:rPr>
          <w:rFonts w:hint="eastAsia" w:ascii="仿宋" w:hAnsi="仿宋" w:eastAsia="仿宋" w:cs="仿宋"/>
          <w:color w:val="auto"/>
          <w:kern w:val="0"/>
          <w:sz w:val="24"/>
          <w:szCs w:val="20"/>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kern w:val="0"/>
          <w:sz w:val="24"/>
          <w:szCs w:val="20"/>
          <w:highlight w:val="none"/>
          <w:lang w:eastAsia="zh-CN"/>
        </w:rPr>
        <w:t>，乙方有义务及时告知甲方</w:t>
      </w:r>
      <w:r>
        <w:rPr>
          <w:rFonts w:hint="eastAsia" w:ascii="仿宋" w:hAnsi="仿宋" w:eastAsia="仿宋" w:cs="仿宋"/>
          <w:color w:val="auto"/>
          <w:kern w:val="0"/>
          <w:sz w:val="24"/>
          <w:szCs w:val="20"/>
          <w:highlight w:val="none"/>
        </w:rPr>
        <w:t>。甲方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以书面形式通知乙方中止合同</w:t>
      </w:r>
      <w:r>
        <w:rPr>
          <w:rFonts w:hint="eastAsia" w:ascii="仿宋" w:hAnsi="仿宋" w:eastAsia="仿宋" w:cs="仿宋"/>
          <w:color w:val="auto"/>
          <w:kern w:val="0"/>
          <w:sz w:val="24"/>
          <w:szCs w:val="20"/>
          <w:highlight w:val="none"/>
          <w:lang w:eastAsia="zh-CN"/>
        </w:rPr>
        <w:t>并要求乙方在合理期限内消除相关情形或者提供适当担保。</w:t>
      </w:r>
      <w:r>
        <w:rPr>
          <w:rFonts w:hint="eastAsia" w:ascii="仿宋" w:hAnsi="仿宋" w:eastAsia="仿宋" w:cs="仿宋"/>
          <w:color w:val="auto"/>
          <w:kern w:val="0"/>
          <w:sz w:val="24"/>
          <w:szCs w:val="20"/>
          <w:highlight w:val="none"/>
        </w:rPr>
        <w:t>乙方提供适当担保的，</w:t>
      </w:r>
      <w:r>
        <w:rPr>
          <w:rFonts w:hint="eastAsia" w:ascii="仿宋" w:hAnsi="仿宋" w:eastAsia="仿宋" w:cs="仿宋"/>
          <w:color w:val="auto"/>
          <w:kern w:val="0"/>
          <w:sz w:val="24"/>
          <w:szCs w:val="20"/>
          <w:highlight w:val="none"/>
          <w:lang w:eastAsia="zh-CN"/>
        </w:rPr>
        <w:t>合同继续</w:t>
      </w:r>
      <w:r>
        <w:rPr>
          <w:rFonts w:hint="eastAsia" w:ascii="仿宋" w:hAnsi="仿宋" w:eastAsia="仿宋" w:cs="仿宋"/>
          <w:color w:val="auto"/>
          <w:kern w:val="0"/>
          <w:sz w:val="24"/>
          <w:szCs w:val="20"/>
          <w:highlight w:val="none"/>
        </w:rPr>
        <w:t>履行</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方在合理期限内未恢复履约能力且未提供适当担保的，视为拒绝</w:t>
      </w:r>
      <w:r>
        <w:rPr>
          <w:rFonts w:hint="eastAsia" w:ascii="仿宋" w:hAnsi="仿宋" w:eastAsia="仿宋" w:cs="仿宋"/>
          <w:color w:val="auto"/>
          <w:kern w:val="0"/>
          <w:sz w:val="24"/>
          <w:szCs w:val="20"/>
          <w:highlight w:val="none"/>
          <w:lang w:eastAsia="zh-CN"/>
        </w:rPr>
        <w:t>继续</w:t>
      </w:r>
      <w:r>
        <w:rPr>
          <w:rFonts w:hint="eastAsia" w:ascii="仿宋" w:hAnsi="仿宋" w:eastAsia="仿宋" w:cs="仿宋"/>
          <w:color w:val="auto"/>
          <w:kern w:val="0"/>
          <w:sz w:val="24"/>
          <w:szCs w:val="20"/>
          <w:highlight w:val="none"/>
        </w:rPr>
        <w:t>履约，甲方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解除合同并要求乙方承担</w:t>
      </w:r>
      <w:r>
        <w:rPr>
          <w:rFonts w:hint="eastAsia" w:ascii="仿宋" w:hAnsi="仿宋" w:eastAsia="仿宋" w:cs="仿宋"/>
          <w:color w:val="auto"/>
          <w:kern w:val="0"/>
          <w:sz w:val="24"/>
          <w:szCs w:val="20"/>
          <w:highlight w:val="none"/>
          <w:lang w:eastAsia="zh-CN"/>
        </w:rPr>
        <w:t>由此给甲方造成的损失</w:t>
      </w:r>
      <w:r>
        <w:rPr>
          <w:rFonts w:hint="eastAsia" w:ascii="仿宋" w:hAnsi="仿宋" w:eastAsia="仿宋" w:cs="仿宋"/>
          <w:color w:val="auto"/>
          <w:kern w:val="0"/>
          <w:sz w:val="24"/>
          <w:szCs w:val="20"/>
          <w:highlight w:val="none"/>
        </w:rPr>
        <w:t>。</w:t>
      </w:r>
    </w:p>
    <w:p w14:paraId="4CBB4185">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w:t>
      </w:r>
      <w:r>
        <w:rPr>
          <w:rFonts w:hint="eastAsia" w:ascii="仿宋" w:hAnsi="仿宋" w:eastAsia="仿宋" w:cs="仿宋"/>
          <w:color w:val="auto"/>
          <w:kern w:val="0"/>
          <w:sz w:val="24"/>
          <w:szCs w:val="20"/>
          <w:highlight w:val="none"/>
          <w:lang w:eastAsia="zh-CN"/>
        </w:rPr>
        <w:t>及时告知</w:t>
      </w:r>
      <w:r>
        <w:rPr>
          <w:rFonts w:hint="eastAsia" w:ascii="仿宋" w:hAnsi="仿宋" w:eastAsia="仿宋" w:cs="仿宋"/>
          <w:color w:val="auto"/>
          <w:kern w:val="0"/>
          <w:sz w:val="24"/>
          <w:szCs w:val="20"/>
          <w:highlight w:val="none"/>
        </w:rPr>
        <w:t>甲方，致使</w:t>
      </w:r>
      <w:r>
        <w:rPr>
          <w:rFonts w:hint="eastAsia" w:ascii="仿宋" w:hAnsi="仿宋" w:eastAsia="仿宋" w:cs="仿宋"/>
          <w:color w:val="auto"/>
          <w:kern w:val="0"/>
          <w:sz w:val="24"/>
          <w:szCs w:val="20"/>
          <w:highlight w:val="none"/>
          <w:lang w:eastAsia="zh-CN"/>
        </w:rPr>
        <w:t>合同</w:t>
      </w:r>
      <w:r>
        <w:rPr>
          <w:rFonts w:hint="eastAsia" w:ascii="仿宋" w:hAnsi="仿宋" w:eastAsia="仿宋" w:cs="仿宋"/>
          <w:color w:val="auto"/>
          <w:kern w:val="0"/>
          <w:sz w:val="24"/>
          <w:szCs w:val="20"/>
          <w:highlight w:val="none"/>
        </w:rPr>
        <w:t>履行发生困难的，甲方可以中止合同履行并要求乙方承担由此给甲方造成的损失。</w:t>
      </w:r>
    </w:p>
    <w:p w14:paraId="1C5865E1">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）甲方不得以行政区划调整、政府换届、机构或者职能调整以及相关责任人更替为由中止合同。</w:t>
      </w:r>
    </w:p>
    <w:p w14:paraId="59FA6617">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合同的终止</w:t>
      </w:r>
    </w:p>
    <w:p w14:paraId="0058AE43">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14:paraId="677DB627">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（2）乙方未</w:t>
      </w:r>
      <w:r>
        <w:rPr>
          <w:rFonts w:hint="eastAsia" w:ascii="仿宋" w:hAnsi="仿宋" w:eastAsia="仿宋" w:cs="仿宋"/>
          <w:color w:val="auto"/>
          <w:kern w:val="0"/>
          <w:sz w:val="24"/>
          <w:szCs w:val="20"/>
          <w:highlight w:val="none"/>
          <w:lang w:eastAsia="zh-CN"/>
        </w:rPr>
        <w:t>按</w:t>
      </w:r>
      <w:r>
        <w:rPr>
          <w:rFonts w:hint="eastAsia" w:ascii="仿宋" w:hAnsi="仿宋" w:eastAsia="仿宋" w:cs="仿宋"/>
          <w:color w:val="auto"/>
          <w:kern w:val="0"/>
          <w:sz w:val="24"/>
          <w:szCs w:val="20"/>
          <w:highlight w:val="none"/>
        </w:rPr>
        <w:t>合同约定履行，构成根本性违约的，甲方有权终止合同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并追究乙方的违约责</w:t>
      </w:r>
      <w:r>
        <w:rPr>
          <w:rFonts w:hint="eastAsia" w:ascii="仿宋" w:hAnsi="仿宋" w:eastAsia="仿宋" w:cs="仿宋"/>
          <w:color w:val="auto"/>
          <w:kern w:val="0"/>
          <w:sz w:val="24"/>
          <w:szCs w:val="20"/>
          <w:highlight w:val="none"/>
          <w:lang w:val="en-US" w:eastAsia="zh-CN"/>
        </w:rPr>
        <w:t>任</w:t>
      </w:r>
      <w:r>
        <w:rPr>
          <w:rFonts w:hint="eastAsia" w:ascii="仿宋" w:hAnsi="仿宋" w:eastAsia="仿宋" w:cs="仿宋"/>
          <w:color w:val="auto"/>
          <w:kern w:val="0"/>
          <w:sz w:val="24"/>
          <w:szCs w:val="20"/>
          <w:highlight w:val="none"/>
        </w:rPr>
        <w:t>。</w:t>
      </w:r>
    </w:p>
    <w:p w14:paraId="0004B650">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16.4 涉及国家利益、社会公共利益的情形</w:t>
      </w:r>
    </w:p>
    <w:p w14:paraId="612B8238">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w:t>
      </w:r>
      <w:r>
        <w:rPr>
          <w:rFonts w:hint="eastAsia" w:ascii="仿宋" w:hAnsi="仿宋" w:eastAsia="仿宋" w:cs="仿宋"/>
          <w:color w:val="auto"/>
          <w:kern w:val="0"/>
          <w:sz w:val="24"/>
          <w:szCs w:val="20"/>
          <w:highlight w:val="none"/>
          <w:lang w:val="en-US" w:eastAsia="zh-CN"/>
        </w:rPr>
        <w:t>应当变更、</w:t>
      </w:r>
      <w:r>
        <w:rPr>
          <w:rFonts w:hint="eastAsia" w:ascii="仿宋" w:hAnsi="仿宋" w:eastAsia="仿宋" w:cs="仿宋"/>
          <w:color w:val="auto"/>
          <w:kern w:val="0"/>
          <w:sz w:val="24"/>
          <w:szCs w:val="20"/>
          <w:highlight w:val="none"/>
        </w:rPr>
        <w:t>中止</w:t>
      </w:r>
      <w:r>
        <w:rPr>
          <w:rFonts w:hint="eastAsia" w:ascii="仿宋" w:hAnsi="仿宋" w:eastAsia="仿宋" w:cs="仿宋"/>
          <w:color w:val="auto"/>
          <w:kern w:val="0"/>
          <w:sz w:val="24"/>
          <w:szCs w:val="20"/>
          <w:highlight w:val="none"/>
          <w:lang w:eastAsia="zh-CN"/>
        </w:rPr>
        <w:t>或者终止</w:t>
      </w:r>
      <w:r>
        <w:rPr>
          <w:rFonts w:hint="eastAsia" w:ascii="仿宋" w:hAnsi="仿宋" w:eastAsia="仿宋" w:cs="仿宋"/>
          <w:color w:val="auto"/>
          <w:kern w:val="0"/>
          <w:sz w:val="24"/>
          <w:szCs w:val="20"/>
          <w:highlight w:val="none"/>
        </w:rPr>
        <w:t>合同。有过错的一方应当承担赔偿责任，双方都有过错的，各自承担相应的责任。</w:t>
      </w:r>
    </w:p>
    <w:p w14:paraId="332E8630">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val="en-US" w:eastAsia="zh-CN"/>
        </w:rPr>
        <w:t>7</w:t>
      </w:r>
      <w:r>
        <w:rPr>
          <w:rFonts w:hint="default" w:ascii="仿宋" w:hAnsi="仿宋" w:eastAsia="仿宋" w:cs="仿宋"/>
          <w:b/>
          <w:bCs/>
          <w:color w:val="auto"/>
          <w:kern w:val="0"/>
          <w:sz w:val="24"/>
          <w:szCs w:val="20"/>
          <w:highlight w:val="none"/>
        </w:rPr>
        <w:t>.合同分包</w:t>
      </w:r>
    </w:p>
    <w:p w14:paraId="308890CE">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 乙方不得</w:t>
      </w:r>
      <w:r>
        <w:rPr>
          <w:rFonts w:hint="eastAsia" w:ascii="仿宋" w:hAnsi="仿宋" w:eastAsia="仿宋" w:cs="仿宋"/>
          <w:color w:val="auto"/>
          <w:kern w:val="0"/>
          <w:sz w:val="24"/>
          <w:szCs w:val="20"/>
          <w:highlight w:val="none"/>
          <w:lang w:eastAsia="zh-CN"/>
        </w:rPr>
        <w:t>将合同转包给其他供应商。涉及合同分包的，乙方</w:t>
      </w:r>
      <w:r>
        <w:rPr>
          <w:rFonts w:hint="eastAsia" w:ascii="仿宋" w:hAnsi="仿宋" w:eastAsia="仿宋" w:cs="仿宋"/>
          <w:color w:val="auto"/>
          <w:kern w:val="0"/>
          <w:sz w:val="24"/>
          <w:szCs w:val="20"/>
          <w:highlight w:val="none"/>
          <w:lang w:val="en-US" w:eastAsia="zh-CN"/>
        </w:rPr>
        <w:t>应</w:t>
      </w:r>
      <w:r>
        <w:rPr>
          <w:rFonts w:hint="eastAsia" w:ascii="仿宋" w:hAnsi="仿宋" w:eastAsia="仿宋" w:cs="仿宋"/>
          <w:color w:val="auto"/>
          <w:kern w:val="0"/>
          <w:sz w:val="24"/>
          <w:szCs w:val="20"/>
          <w:highlight w:val="none"/>
          <w:lang w:eastAsia="zh-CN"/>
        </w:rPr>
        <w:t>根据采购文件和投标（响应）文件规定进行</w:t>
      </w:r>
      <w:r>
        <w:rPr>
          <w:rFonts w:hint="eastAsia" w:ascii="仿宋" w:hAnsi="仿宋" w:eastAsia="仿宋" w:cs="仿宋"/>
          <w:color w:val="auto"/>
          <w:kern w:val="0"/>
          <w:sz w:val="24"/>
          <w:szCs w:val="20"/>
          <w:highlight w:val="none"/>
        </w:rPr>
        <w:t>合同分包。</w:t>
      </w:r>
    </w:p>
    <w:p w14:paraId="487A8C72">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 乙方执行政府采购政策向中小企业依法分包的</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乙方应当按采购文件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投标（响应）文件签订分包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协议属于本合同组成部分。</w:t>
      </w:r>
    </w:p>
    <w:p w14:paraId="59951F8D">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lang w:val="en-US" w:eastAsia="zh-CN"/>
        </w:rPr>
        <w:t>8</w:t>
      </w:r>
      <w:r>
        <w:rPr>
          <w:rFonts w:hint="default" w:ascii="仿宋" w:hAnsi="仿宋" w:eastAsia="仿宋" w:cs="仿宋"/>
          <w:b/>
          <w:bCs/>
          <w:color w:val="auto"/>
          <w:kern w:val="0"/>
          <w:sz w:val="24"/>
          <w:szCs w:val="20"/>
          <w:highlight w:val="none"/>
        </w:rPr>
        <w:t>.不可抗力</w:t>
      </w:r>
    </w:p>
    <w:p w14:paraId="622A117D">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.1 不可抗力是指合同双方不能预见、不能避免且不能克服的客观情况。</w:t>
      </w:r>
    </w:p>
    <w:p w14:paraId="3F4B46A5">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 任何一方对由于不可抗力造成的部分或全部不能履行合同不承担违约责任。但迟延履行后发生不可抗力的，不能免除责任。</w:t>
      </w:r>
    </w:p>
    <w:p w14:paraId="52FE489F">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.3 遇有不可抗力的一方，应及时将事件情况以书面形式</w:t>
      </w:r>
      <w:r>
        <w:rPr>
          <w:rFonts w:hint="eastAsia" w:ascii="仿宋" w:hAnsi="仿宋" w:eastAsia="仿宋" w:cs="仿宋"/>
          <w:color w:val="auto"/>
          <w:kern w:val="0"/>
          <w:sz w:val="24"/>
          <w:szCs w:val="20"/>
          <w:highlight w:val="none"/>
          <w:lang w:eastAsia="zh-CN"/>
        </w:rPr>
        <w:t>告</w:t>
      </w:r>
      <w:r>
        <w:rPr>
          <w:rFonts w:hint="eastAsia" w:ascii="仿宋" w:hAnsi="仿宋" w:eastAsia="仿宋" w:cs="仿宋"/>
          <w:color w:val="auto"/>
          <w:kern w:val="0"/>
          <w:sz w:val="24"/>
          <w:szCs w:val="20"/>
          <w:highlight w:val="none"/>
        </w:rPr>
        <w:t>知另一方，并在事件发生后及时向另一方提交合同不能履行或部分不能履行或需要延期履行</w:t>
      </w:r>
      <w:r>
        <w:rPr>
          <w:rFonts w:hint="eastAsia" w:ascii="仿宋" w:hAnsi="仿宋" w:eastAsia="仿宋" w:cs="仿宋"/>
          <w:color w:val="auto"/>
          <w:kern w:val="0"/>
          <w:sz w:val="24"/>
          <w:szCs w:val="20"/>
          <w:highlight w:val="none"/>
          <w:lang w:eastAsia="zh-CN"/>
        </w:rPr>
        <w:t>的详细</w:t>
      </w:r>
      <w:r>
        <w:rPr>
          <w:rFonts w:hint="eastAsia" w:ascii="仿宋" w:hAnsi="仿宋" w:eastAsia="仿宋" w:cs="仿宋"/>
          <w:color w:val="auto"/>
          <w:kern w:val="0"/>
          <w:sz w:val="24"/>
          <w:szCs w:val="20"/>
          <w:highlight w:val="none"/>
        </w:rPr>
        <w:t>报告</w:t>
      </w:r>
      <w:r>
        <w:rPr>
          <w:rFonts w:hint="eastAsia" w:ascii="仿宋" w:hAnsi="仿宋" w:eastAsia="仿宋" w:cs="仿宋"/>
          <w:color w:val="auto"/>
          <w:kern w:val="0"/>
          <w:sz w:val="24"/>
          <w:szCs w:val="20"/>
          <w:highlight w:val="none"/>
          <w:lang w:eastAsia="zh-CN"/>
        </w:rPr>
        <w:t>，以</w:t>
      </w:r>
      <w:r>
        <w:rPr>
          <w:rFonts w:hint="eastAsia" w:ascii="仿宋" w:hAnsi="仿宋" w:eastAsia="仿宋" w:cs="仿宋"/>
          <w:color w:val="auto"/>
          <w:kern w:val="0"/>
          <w:sz w:val="24"/>
          <w:szCs w:val="20"/>
          <w:highlight w:val="none"/>
          <w:lang w:val="en-US" w:eastAsia="zh-CN"/>
        </w:rPr>
        <w:t>及证明不可抗力发生及其持续时间的证据</w:t>
      </w:r>
      <w:r>
        <w:rPr>
          <w:rFonts w:hint="eastAsia" w:ascii="仿宋" w:hAnsi="仿宋" w:eastAsia="仿宋" w:cs="仿宋"/>
          <w:color w:val="auto"/>
          <w:kern w:val="0"/>
          <w:sz w:val="24"/>
          <w:szCs w:val="20"/>
          <w:highlight w:val="none"/>
        </w:rPr>
        <w:t>。</w:t>
      </w:r>
    </w:p>
    <w:p w14:paraId="7EC899BB">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19</w:t>
      </w:r>
      <w:r>
        <w:rPr>
          <w:rFonts w:hint="default" w:ascii="仿宋" w:hAnsi="仿宋" w:eastAsia="仿宋" w:cs="仿宋"/>
          <w:b/>
          <w:bCs/>
          <w:color w:val="auto"/>
          <w:kern w:val="0"/>
          <w:sz w:val="24"/>
          <w:szCs w:val="20"/>
          <w:highlight w:val="none"/>
        </w:rPr>
        <w:t>.解决争议的方法</w:t>
      </w:r>
    </w:p>
    <w:p w14:paraId="7C1774FF">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.1 因本合同及合同有关事项发生的争议，由</w:t>
      </w:r>
      <w:r>
        <w:rPr>
          <w:rFonts w:hint="eastAsia" w:ascii="仿宋" w:hAnsi="仿宋" w:eastAsia="仿宋" w:cs="仿宋"/>
          <w:color w:val="auto"/>
          <w:kern w:val="0"/>
          <w:sz w:val="24"/>
          <w:szCs w:val="20"/>
          <w:highlight w:val="none"/>
          <w:lang w:eastAsia="zh-CN"/>
        </w:rPr>
        <w:t>甲乙双</w:t>
      </w:r>
      <w:r>
        <w:rPr>
          <w:rFonts w:hint="eastAsia" w:ascii="仿宋" w:hAnsi="仿宋" w:eastAsia="仿宋" w:cs="仿宋"/>
          <w:color w:val="auto"/>
          <w:kern w:val="0"/>
          <w:sz w:val="24"/>
          <w:szCs w:val="20"/>
          <w:highlight w:val="none"/>
        </w:rPr>
        <w:t>方友好协商解决。协商不成时，可以</w:t>
      </w:r>
      <w:r>
        <w:rPr>
          <w:rFonts w:hint="eastAsia" w:ascii="仿宋" w:hAnsi="仿宋" w:eastAsia="仿宋" w:cs="仿宋"/>
          <w:color w:val="auto"/>
          <w:kern w:val="0"/>
          <w:sz w:val="24"/>
          <w:szCs w:val="20"/>
          <w:highlight w:val="none"/>
          <w:lang w:eastAsia="zh-CN"/>
        </w:rPr>
        <w:t>向有关组织申请</w:t>
      </w:r>
      <w:r>
        <w:rPr>
          <w:rFonts w:hint="eastAsia" w:ascii="仿宋" w:hAnsi="仿宋" w:eastAsia="仿宋" w:cs="仿宋"/>
          <w:color w:val="auto"/>
          <w:kern w:val="0"/>
          <w:sz w:val="24"/>
          <w:szCs w:val="20"/>
          <w:highlight w:val="none"/>
        </w:rPr>
        <w:t>调解。合同一方或</w:t>
      </w:r>
      <w:r>
        <w:rPr>
          <w:rFonts w:hint="eastAsia" w:ascii="仿宋" w:hAnsi="仿宋" w:eastAsia="仿宋" w:cs="仿宋"/>
          <w:color w:val="auto"/>
          <w:kern w:val="0"/>
          <w:sz w:val="24"/>
          <w:szCs w:val="20"/>
          <w:highlight w:val="none"/>
          <w:lang w:eastAsia="zh-CN"/>
        </w:rPr>
        <w:t>双</w:t>
      </w:r>
      <w:r>
        <w:rPr>
          <w:rFonts w:hint="eastAsia" w:ascii="仿宋" w:hAnsi="仿宋" w:eastAsia="仿宋" w:cs="仿宋"/>
          <w:color w:val="auto"/>
          <w:kern w:val="0"/>
          <w:sz w:val="24"/>
          <w:szCs w:val="20"/>
          <w:highlight w:val="none"/>
        </w:rPr>
        <w:t>方不愿调解或调解不成的，可以通过仲裁的方式解决争议</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将争议提交绍兴仲裁委员会仲裁。</w:t>
      </w:r>
    </w:p>
    <w:p w14:paraId="36CBB461">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如</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rPr>
        <w:t>有争议的事项不影响合同其他部分的履行，在争议解决期间，合同其他部分应</w:t>
      </w:r>
      <w:r>
        <w:rPr>
          <w:rFonts w:hint="eastAsia" w:ascii="仿宋" w:hAnsi="仿宋" w:eastAsia="仿宋" w:cs="仿宋"/>
          <w:color w:val="auto"/>
          <w:kern w:val="0"/>
          <w:sz w:val="24"/>
          <w:szCs w:val="20"/>
          <w:highlight w:val="none"/>
          <w:lang w:eastAsia="zh-CN"/>
        </w:rPr>
        <w:t>当</w:t>
      </w:r>
      <w:r>
        <w:rPr>
          <w:rFonts w:hint="eastAsia" w:ascii="仿宋" w:hAnsi="仿宋" w:eastAsia="仿宋" w:cs="仿宋"/>
          <w:color w:val="auto"/>
          <w:kern w:val="0"/>
          <w:sz w:val="24"/>
          <w:szCs w:val="20"/>
          <w:highlight w:val="none"/>
        </w:rPr>
        <w:t>继续履行。</w:t>
      </w:r>
    </w:p>
    <w:p w14:paraId="3264B555">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20</w:t>
      </w:r>
      <w:r>
        <w:rPr>
          <w:rFonts w:hint="default" w:ascii="仿宋" w:hAnsi="仿宋" w:eastAsia="仿宋" w:cs="仿宋"/>
          <w:b/>
          <w:bCs/>
          <w:color w:val="auto"/>
          <w:kern w:val="0"/>
          <w:sz w:val="24"/>
          <w:szCs w:val="20"/>
          <w:highlight w:val="none"/>
        </w:rPr>
        <w:t>.政府采购政策</w:t>
      </w:r>
    </w:p>
    <w:p w14:paraId="2A1ADA43">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20.1 </w:t>
      </w:r>
      <w:r>
        <w:rPr>
          <w:rFonts w:hint="eastAsia" w:ascii="仿宋" w:hAnsi="仿宋" w:eastAsia="仿宋" w:cs="仿宋"/>
          <w:color w:val="auto"/>
          <w:kern w:val="0"/>
          <w:sz w:val="24"/>
          <w:szCs w:val="20"/>
          <w:highlight w:val="none"/>
          <w:lang w:val="en-GB"/>
        </w:rPr>
        <w:t>本合同应当按照规定执行政府采购政策。</w:t>
      </w:r>
    </w:p>
    <w:p w14:paraId="7E68D4BE">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本合同依法执行政府采购政策的方式和内容，属于合同履约验收的范围。</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14:paraId="0D38A27D">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 xml:space="preserve"> 对于</w:t>
      </w:r>
      <w:r>
        <w:rPr>
          <w:rFonts w:hint="eastAsia" w:ascii="仿宋" w:hAnsi="仿宋" w:eastAsia="仿宋" w:cs="仿宋"/>
          <w:color w:val="auto"/>
          <w:kern w:val="0"/>
          <w:sz w:val="24"/>
          <w:szCs w:val="20"/>
          <w:highlight w:val="none"/>
          <w:lang w:eastAsia="zh-CN"/>
        </w:rPr>
        <w:t>为落实中小企业支持政策，</w:t>
      </w:r>
      <w:r>
        <w:rPr>
          <w:rFonts w:hint="eastAsia" w:ascii="仿宋" w:hAnsi="仿宋" w:eastAsia="仿宋" w:cs="仿宋"/>
          <w:color w:val="auto"/>
          <w:kern w:val="0"/>
          <w:sz w:val="24"/>
          <w:szCs w:val="20"/>
          <w:highlight w:val="none"/>
        </w:rPr>
        <w:t>通过采购项目</w:t>
      </w:r>
      <w:r>
        <w:rPr>
          <w:rFonts w:hint="eastAsia" w:ascii="仿宋" w:hAnsi="仿宋" w:eastAsia="仿宋" w:cs="仿宋"/>
          <w:color w:val="auto"/>
          <w:kern w:val="0"/>
          <w:sz w:val="24"/>
          <w:szCs w:val="20"/>
          <w:highlight w:val="none"/>
          <w:lang w:eastAsia="zh-CN"/>
        </w:rPr>
        <w:t>整体</w:t>
      </w:r>
      <w:r>
        <w:rPr>
          <w:rFonts w:hint="eastAsia" w:ascii="仿宋" w:hAnsi="仿宋" w:eastAsia="仿宋" w:cs="仿宋"/>
          <w:color w:val="auto"/>
          <w:kern w:val="0"/>
          <w:sz w:val="24"/>
          <w:szCs w:val="20"/>
          <w:highlight w:val="none"/>
        </w:rPr>
        <w:t>预留、</w:t>
      </w:r>
      <w:r>
        <w:rPr>
          <w:rFonts w:hint="eastAsia" w:ascii="仿宋" w:hAnsi="仿宋" w:eastAsia="仿宋" w:cs="仿宋"/>
          <w:color w:val="auto"/>
          <w:kern w:val="0"/>
          <w:sz w:val="24"/>
          <w:szCs w:val="20"/>
          <w:highlight w:val="none"/>
          <w:lang w:eastAsia="zh-CN"/>
        </w:rPr>
        <w:t>设置</w:t>
      </w:r>
      <w:r>
        <w:rPr>
          <w:rFonts w:hint="eastAsia" w:ascii="仿宋" w:hAnsi="仿宋" w:eastAsia="仿宋" w:cs="仿宋"/>
          <w:color w:val="auto"/>
          <w:kern w:val="0"/>
          <w:sz w:val="24"/>
          <w:szCs w:val="20"/>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80F3EDC">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2</w:t>
      </w:r>
      <w:r>
        <w:rPr>
          <w:rFonts w:hint="default" w:ascii="仿宋" w:hAnsi="仿宋" w:eastAsia="仿宋" w:cs="仿宋"/>
          <w:b/>
          <w:bCs/>
          <w:color w:val="auto"/>
          <w:kern w:val="0"/>
          <w:sz w:val="24"/>
          <w:szCs w:val="20"/>
          <w:highlight w:val="none"/>
          <w:lang w:val="en-US" w:eastAsia="zh-CN"/>
        </w:rPr>
        <w:t>1</w:t>
      </w:r>
      <w:r>
        <w:rPr>
          <w:rFonts w:hint="default" w:ascii="仿宋" w:hAnsi="仿宋" w:eastAsia="仿宋" w:cs="仿宋"/>
          <w:b/>
          <w:bCs/>
          <w:color w:val="auto"/>
          <w:kern w:val="0"/>
          <w:sz w:val="24"/>
          <w:szCs w:val="20"/>
          <w:highlight w:val="none"/>
        </w:rPr>
        <w:t>.法律适用</w:t>
      </w:r>
    </w:p>
    <w:p w14:paraId="54EBF3C1">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.1 本合同的订立、生效、解释、履行及与本合同有关的争议解决，均适用法律、行政法规。</w:t>
      </w:r>
    </w:p>
    <w:p w14:paraId="7A47B0E6">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.2 本合同条款与法律、行政法规的强制性规定不一致的，双方当事人应按照法律、行政法规的强制性规定修改本合同的相关条款。</w:t>
      </w:r>
    </w:p>
    <w:p w14:paraId="3D755C7F">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22.</w:t>
      </w:r>
      <w:r>
        <w:rPr>
          <w:rFonts w:hint="default" w:ascii="仿宋" w:hAnsi="仿宋" w:eastAsia="仿宋" w:cs="仿宋"/>
          <w:b/>
          <w:bCs/>
          <w:color w:val="auto"/>
          <w:kern w:val="0"/>
          <w:sz w:val="24"/>
          <w:szCs w:val="20"/>
          <w:highlight w:val="none"/>
        </w:rPr>
        <w:t>通知</w:t>
      </w:r>
    </w:p>
    <w:p w14:paraId="55BAF28C">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本合同任何一方向对方发出的通知、信件、数据电文等，应当发送至本合同第一部分《政府采购合同协议书》所约定的通讯地址、联系人、联系电话或电子邮箱。</w:t>
      </w:r>
    </w:p>
    <w:p w14:paraId="6691D694">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一方当事人变更名称、</w:t>
      </w:r>
      <w:r>
        <w:rPr>
          <w:rFonts w:hint="eastAsia" w:ascii="仿宋" w:hAnsi="仿宋" w:eastAsia="仿宋" w:cs="仿宋"/>
          <w:color w:val="auto"/>
          <w:kern w:val="0"/>
          <w:sz w:val="24"/>
          <w:szCs w:val="20"/>
          <w:highlight w:val="none"/>
          <w:lang w:eastAsia="zh-CN"/>
        </w:rPr>
        <w:t>住所</w:t>
      </w:r>
      <w:r>
        <w:rPr>
          <w:rFonts w:hint="eastAsia" w:ascii="仿宋" w:hAnsi="仿宋" w:eastAsia="仿宋" w:cs="仿宋"/>
          <w:color w:val="auto"/>
          <w:kern w:val="0"/>
          <w:sz w:val="24"/>
          <w:szCs w:val="20"/>
          <w:highlight w:val="none"/>
        </w:rPr>
        <w:t>、联系人、联系电话或电子邮箱</w:t>
      </w:r>
      <w:r>
        <w:rPr>
          <w:rFonts w:hint="eastAsia" w:ascii="仿宋" w:hAnsi="仿宋" w:eastAsia="仿宋" w:cs="仿宋"/>
          <w:color w:val="auto"/>
          <w:kern w:val="0"/>
          <w:sz w:val="24"/>
          <w:szCs w:val="20"/>
          <w:highlight w:val="none"/>
          <w:lang w:eastAsia="zh-CN"/>
        </w:rPr>
        <w:t>等信息</w:t>
      </w:r>
      <w:r>
        <w:rPr>
          <w:rFonts w:hint="eastAsia" w:ascii="仿宋" w:hAnsi="仿宋" w:eastAsia="仿宋" w:cs="仿宋"/>
          <w:color w:val="auto"/>
          <w:kern w:val="0"/>
          <w:sz w:val="24"/>
          <w:szCs w:val="20"/>
          <w:highlight w:val="none"/>
        </w:rPr>
        <w:t>的，应当在变更后3日内及时书面通知对方，对方实际收到变更通知前的送达仍为有效送达。</w:t>
      </w:r>
    </w:p>
    <w:p w14:paraId="73467C3B">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本合同一方给另一方的通知均应采用书面形式，传真或快递送到本合同中规定的对方的地址和办理签收手续。</w:t>
      </w:r>
    </w:p>
    <w:p w14:paraId="141AABB0">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通知以送达之日或通知书中规定的生效之日起生效，两者中以较迟之日为准。</w:t>
      </w:r>
    </w:p>
    <w:p w14:paraId="45515E7A">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23.</w:t>
      </w:r>
      <w:r>
        <w:rPr>
          <w:rFonts w:hint="default" w:ascii="仿宋" w:hAnsi="仿宋" w:eastAsia="仿宋" w:cs="仿宋"/>
          <w:b/>
          <w:bCs/>
          <w:color w:val="auto"/>
          <w:kern w:val="0"/>
          <w:sz w:val="24"/>
          <w:szCs w:val="20"/>
          <w:highlight w:val="none"/>
        </w:rPr>
        <w:t>合同未尽事项</w:t>
      </w:r>
    </w:p>
    <w:p w14:paraId="1EEA606B">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.1合同未尽事项见【政府采购合同专用条款】。</w:t>
      </w:r>
    </w:p>
    <w:p w14:paraId="1FFE5F3A">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23.2 合同附件与合同正文具有同等的法律效力。</w:t>
      </w:r>
      <w:bookmarkStart w:id="46" w:name="_Toc20313"/>
    </w:p>
    <w:p w14:paraId="7AABC779">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0B18DA04">
      <w:pPr>
        <w:kinsoku/>
        <w:wordWrap w:val="0"/>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bookmarkEnd w:id="46"/>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723E170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8CF66E1">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F557252">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14:paraId="10AA4866">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联合体具体要求</w:t>
            </w:r>
          </w:p>
        </w:tc>
        <w:tc>
          <w:tcPr>
            <w:tcW w:w="4875" w:type="dxa"/>
            <w:noWrap w:val="0"/>
            <w:vAlign w:val="center"/>
          </w:tcPr>
          <w:p w14:paraId="361A500E">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C69F5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14:paraId="7BB90136">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3738824">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）项</w:t>
            </w:r>
          </w:p>
        </w:tc>
        <w:tc>
          <w:tcPr>
            <w:tcW w:w="1857" w:type="dxa"/>
            <w:noWrap w:val="0"/>
            <w:vAlign w:val="center"/>
          </w:tcPr>
          <w:p w14:paraId="25F4864F">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其他术语解释</w:t>
            </w:r>
          </w:p>
        </w:tc>
        <w:tc>
          <w:tcPr>
            <w:tcW w:w="4875" w:type="dxa"/>
            <w:noWrap w:val="0"/>
            <w:vAlign w:val="center"/>
          </w:tcPr>
          <w:p w14:paraId="6A75133F">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2F926B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BBCD409">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82CA50E">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4.4款</w:t>
            </w:r>
          </w:p>
        </w:tc>
        <w:tc>
          <w:tcPr>
            <w:tcW w:w="1857" w:type="dxa"/>
            <w:noWrap w:val="0"/>
            <w:vAlign w:val="center"/>
          </w:tcPr>
          <w:p w14:paraId="148B0660">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履约验收中甲方</w:t>
            </w:r>
          </w:p>
          <w:p w14:paraId="0FEA69D9">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提出异议或作</w:t>
            </w:r>
          </w:p>
          <w:p w14:paraId="53BCB756">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出说明的期限</w:t>
            </w:r>
          </w:p>
        </w:tc>
        <w:tc>
          <w:tcPr>
            <w:tcW w:w="4875" w:type="dxa"/>
            <w:noWrap w:val="0"/>
            <w:vAlign w:val="center"/>
          </w:tcPr>
          <w:p w14:paraId="0EC5CAB9">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3A0A66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1FFE6B2">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F239E23">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4.6款</w:t>
            </w:r>
          </w:p>
        </w:tc>
        <w:tc>
          <w:tcPr>
            <w:tcW w:w="1857" w:type="dxa"/>
            <w:noWrap w:val="0"/>
            <w:vAlign w:val="center"/>
          </w:tcPr>
          <w:p w14:paraId="51C9C69F">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约定甲方承担的</w:t>
            </w:r>
          </w:p>
          <w:p w14:paraId="2DCA314D">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14:paraId="59C230B0">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39F661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F115A81">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14:paraId="1C52139B">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5.4款</w:t>
            </w:r>
          </w:p>
        </w:tc>
        <w:tc>
          <w:tcPr>
            <w:tcW w:w="1857" w:type="dxa"/>
            <w:noWrap w:val="0"/>
            <w:vAlign w:val="center"/>
          </w:tcPr>
          <w:p w14:paraId="6D3D7E10">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约定乙方承担的</w:t>
            </w:r>
          </w:p>
          <w:p w14:paraId="4A5A5EB5">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14:paraId="31A3661D">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219FD6A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BCC4E2F">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14:paraId="1789A7D7">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6.1款</w:t>
            </w:r>
          </w:p>
        </w:tc>
        <w:tc>
          <w:tcPr>
            <w:tcW w:w="1857" w:type="dxa"/>
            <w:noWrap w:val="0"/>
            <w:vAlign w:val="center"/>
          </w:tcPr>
          <w:p w14:paraId="202B499A">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履行合同义务</w:t>
            </w:r>
          </w:p>
          <w:p w14:paraId="7656D328">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的顺序</w:t>
            </w:r>
          </w:p>
        </w:tc>
        <w:tc>
          <w:tcPr>
            <w:tcW w:w="4875" w:type="dxa"/>
            <w:noWrap w:val="0"/>
            <w:vAlign w:val="center"/>
          </w:tcPr>
          <w:p w14:paraId="14116C90">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6BB512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14:paraId="6CBEE60A">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3E87BA6">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14:paraId="0592795D">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w:t>
            </w:r>
            <w:r>
              <w:rPr>
                <w:rFonts w:hint="eastAsia" w:ascii="仿宋" w:hAnsi="仿宋" w:eastAsia="仿宋" w:cs="仿宋"/>
                <w:color w:val="auto"/>
                <w:kern w:val="0"/>
                <w:sz w:val="24"/>
                <w:szCs w:val="20"/>
                <w:highlight w:val="none"/>
                <w:lang w:eastAsia="zh-CN"/>
              </w:rPr>
              <w:t>特殊要求</w:t>
            </w:r>
          </w:p>
        </w:tc>
        <w:tc>
          <w:tcPr>
            <w:tcW w:w="4875" w:type="dxa"/>
            <w:noWrap w:val="0"/>
            <w:vAlign w:val="center"/>
          </w:tcPr>
          <w:p w14:paraId="4BACD876">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195E0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14:paraId="029E673E">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857" w:type="dxa"/>
            <w:noWrap w:val="0"/>
            <w:vAlign w:val="center"/>
          </w:tcPr>
          <w:p w14:paraId="0552E7B3">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指定现场</w:t>
            </w:r>
          </w:p>
        </w:tc>
        <w:tc>
          <w:tcPr>
            <w:tcW w:w="4875" w:type="dxa"/>
            <w:noWrap w:val="0"/>
            <w:vAlign w:val="center"/>
          </w:tcPr>
          <w:p w14:paraId="6E6366CD">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1F30B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14:paraId="3C0048DC">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0AD2FD7">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14:paraId="6F2AEA6D">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运输特殊要求</w:t>
            </w:r>
          </w:p>
        </w:tc>
        <w:tc>
          <w:tcPr>
            <w:tcW w:w="4875" w:type="dxa"/>
            <w:noWrap w:val="0"/>
            <w:vAlign w:val="center"/>
          </w:tcPr>
          <w:p w14:paraId="4B0CB215">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CBE9C1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14:paraId="125309D6">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7D6559B">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.3</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14:paraId="235A1C1A">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保险要求</w:t>
            </w:r>
          </w:p>
        </w:tc>
        <w:tc>
          <w:tcPr>
            <w:tcW w:w="4875" w:type="dxa"/>
            <w:noWrap w:val="0"/>
            <w:vAlign w:val="center"/>
          </w:tcPr>
          <w:p w14:paraId="119B636F">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63DCF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0DD4101">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2283054">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.2（1）项</w:t>
            </w:r>
          </w:p>
        </w:tc>
        <w:tc>
          <w:tcPr>
            <w:tcW w:w="1857" w:type="dxa"/>
            <w:noWrap w:val="0"/>
            <w:vAlign w:val="center"/>
          </w:tcPr>
          <w:p w14:paraId="6D6CDD3E">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noWrap w:val="0"/>
            <w:vAlign w:val="center"/>
          </w:tcPr>
          <w:p w14:paraId="5CC37CE5">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7BDE6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61B7AF4">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A02D5B8">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.2（3）项</w:t>
            </w:r>
          </w:p>
        </w:tc>
        <w:tc>
          <w:tcPr>
            <w:tcW w:w="1857" w:type="dxa"/>
            <w:noWrap w:val="0"/>
            <w:vAlign w:val="center"/>
          </w:tcPr>
          <w:p w14:paraId="27D7B879">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货物质量缺陷</w:t>
            </w:r>
          </w:p>
          <w:p w14:paraId="5A6EBDF2">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noWrap w:val="0"/>
            <w:vAlign w:val="center"/>
          </w:tcPr>
          <w:p w14:paraId="2FF1E8A3">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3460C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81FE7C9">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第二节</w:t>
            </w:r>
          </w:p>
          <w:p w14:paraId="19F96EB8">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第11.1款</w:t>
            </w:r>
          </w:p>
        </w:tc>
        <w:tc>
          <w:tcPr>
            <w:tcW w:w="1857" w:type="dxa"/>
            <w:noWrap w:val="0"/>
            <w:vAlign w:val="center"/>
          </w:tcPr>
          <w:p w14:paraId="26E9DD70">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其他应当保密</w:t>
            </w:r>
          </w:p>
          <w:p w14:paraId="44054CB3">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的信息</w:t>
            </w:r>
          </w:p>
        </w:tc>
        <w:tc>
          <w:tcPr>
            <w:tcW w:w="4875" w:type="dxa"/>
            <w:noWrap w:val="0"/>
            <w:vAlign w:val="center"/>
          </w:tcPr>
          <w:p w14:paraId="41B0811C">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518D8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31B2B43D">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B613E1D">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.2款</w:t>
            </w:r>
          </w:p>
        </w:tc>
        <w:tc>
          <w:tcPr>
            <w:tcW w:w="1857" w:type="dxa"/>
            <w:noWrap w:val="0"/>
            <w:vAlign w:val="center"/>
          </w:tcPr>
          <w:p w14:paraId="58EB5256">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14:paraId="01B8BB7F">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时间</w:t>
            </w:r>
          </w:p>
        </w:tc>
        <w:tc>
          <w:tcPr>
            <w:tcW w:w="4875" w:type="dxa"/>
            <w:noWrap w:val="0"/>
            <w:vAlign w:val="center"/>
          </w:tcPr>
          <w:p w14:paraId="23BBD64D">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45BAB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4A034A09">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7A99807">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13.2</w:t>
            </w:r>
            <w:r>
              <w:rPr>
                <w:rFonts w:hint="eastAsia" w:ascii="仿宋" w:hAnsi="仿宋" w:eastAsia="仿宋" w:cs="仿宋"/>
                <w:color w:val="auto"/>
                <w:kern w:val="0"/>
                <w:sz w:val="24"/>
                <w:szCs w:val="20"/>
                <w:highlight w:val="none"/>
              </w:rPr>
              <w:t>款</w:t>
            </w:r>
          </w:p>
        </w:tc>
        <w:tc>
          <w:tcPr>
            <w:tcW w:w="1857" w:type="dxa"/>
            <w:noWrap w:val="0"/>
            <w:vAlign w:val="center"/>
          </w:tcPr>
          <w:p w14:paraId="622173B0">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履约保证金</w:t>
            </w:r>
          </w:p>
          <w:p w14:paraId="745E9610">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不予退还的情形</w:t>
            </w:r>
          </w:p>
        </w:tc>
        <w:tc>
          <w:tcPr>
            <w:tcW w:w="4875" w:type="dxa"/>
            <w:noWrap w:val="0"/>
            <w:vAlign w:val="center"/>
          </w:tcPr>
          <w:p w14:paraId="0D6BC057">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9701B3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96CD3B6">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2CA61BD">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13.3</w:t>
            </w:r>
            <w:r>
              <w:rPr>
                <w:rFonts w:hint="eastAsia" w:ascii="仿宋" w:hAnsi="仿宋" w:eastAsia="仿宋" w:cs="仿宋"/>
                <w:color w:val="auto"/>
                <w:kern w:val="0"/>
                <w:sz w:val="24"/>
                <w:szCs w:val="20"/>
                <w:highlight w:val="none"/>
              </w:rPr>
              <w:t>款</w:t>
            </w:r>
          </w:p>
        </w:tc>
        <w:tc>
          <w:tcPr>
            <w:tcW w:w="1857" w:type="dxa"/>
            <w:noWrap w:val="0"/>
            <w:vAlign w:val="center"/>
          </w:tcPr>
          <w:p w14:paraId="720D1DA3">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14:paraId="0DC85D21">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时间及</w:t>
            </w:r>
            <w:r>
              <w:rPr>
                <w:rFonts w:hint="eastAsia" w:ascii="仿宋" w:hAnsi="仿宋" w:eastAsia="仿宋" w:cs="仿宋"/>
                <w:color w:val="auto"/>
                <w:kern w:val="0"/>
                <w:sz w:val="24"/>
                <w:szCs w:val="20"/>
                <w:highlight w:val="none"/>
                <w:lang w:eastAsia="zh-CN"/>
              </w:rPr>
              <w:t>逾期退还</w:t>
            </w:r>
          </w:p>
          <w:p w14:paraId="7A3EDEC0">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违约金</w:t>
            </w:r>
          </w:p>
        </w:tc>
        <w:tc>
          <w:tcPr>
            <w:tcW w:w="4875" w:type="dxa"/>
            <w:noWrap w:val="0"/>
            <w:vAlign w:val="center"/>
          </w:tcPr>
          <w:p w14:paraId="27773650">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934CF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4A0F87B1">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38E24A1">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）项</w:t>
            </w:r>
          </w:p>
        </w:tc>
        <w:tc>
          <w:tcPr>
            <w:tcW w:w="1857" w:type="dxa"/>
            <w:noWrap w:val="0"/>
            <w:vAlign w:val="center"/>
          </w:tcPr>
          <w:p w14:paraId="5152B264">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运行监督、</w:t>
            </w:r>
          </w:p>
          <w:p w14:paraId="0D1ADCA0">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维修期限</w:t>
            </w:r>
          </w:p>
        </w:tc>
        <w:tc>
          <w:tcPr>
            <w:tcW w:w="4875" w:type="dxa"/>
            <w:noWrap w:val="0"/>
            <w:vAlign w:val="center"/>
          </w:tcPr>
          <w:p w14:paraId="3DDD2BEA">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p>
        </w:tc>
      </w:tr>
      <w:tr w14:paraId="299CE6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61A19580">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F11E893">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）项</w:t>
            </w:r>
          </w:p>
        </w:tc>
        <w:tc>
          <w:tcPr>
            <w:tcW w:w="1857" w:type="dxa"/>
            <w:noWrap w:val="0"/>
            <w:vAlign w:val="center"/>
          </w:tcPr>
          <w:p w14:paraId="0E736586">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货物回收的约定</w:t>
            </w:r>
          </w:p>
        </w:tc>
        <w:tc>
          <w:tcPr>
            <w:tcW w:w="4875" w:type="dxa"/>
            <w:noWrap w:val="0"/>
            <w:vAlign w:val="center"/>
          </w:tcPr>
          <w:p w14:paraId="1BF0E308">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D76AE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803F975">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0A07A7F">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14:paraId="1F2E51C5">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14:paraId="2D536AEA">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noWrap w:val="0"/>
            <w:vAlign w:val="center"/>
          </w:tcPr>
          <w:p w14:paraId="6F9DDCF0">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D6619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9A70495">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632E672">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1款</w:t>
            </w:r>
          </w:p>
        </w:tc>
        <w:tc>
          <w:tcPr>
            <w:tcW w:w="1857" w:type="dxa"/>
            <w:noWrap w:val="0"/>
            <w:vAlign w:val="center"/>
          </w:tcPr>
          <w:p w14:paraId="1D4B2E4E">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修理、重作、更</w:t>
            </w:r>
          </w:p>
          <w:p w14:paraId="49A2F5C3">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换相关具体规定</w:t>
            </w:r>
          </w:p>
        </w:tc>
        <w:tc>
          <w:tcPr>
            <w:tcW w:w="4875" w:type="dxa"/>
            <w:noWrap w:val="0"/>
            <w:vAlign w:val="center"/>
          </w:tcPr>
          <w:p w14:paraId="5F53DD71">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E28CB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48BD179">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D8C2519">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.2（2）项</w:t>
            </w:r>
          </w:p>
        </w:tc>
        <w:tc>
          <w:tcPr>
            <w:tcW w:w="1857" w:type="dxa"/>
            <w:noWrap w:val="0"/>
            <w:vAlign w:val="center"/>
          </w:tcPr>
          <w:p w14:paraId="4352A580">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noWrap w:val="0"/>
            <w:vAlign w:val="center"/>
          </w:tcPr>
          <w:p w14:paraId="068E7030">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F47FC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EBCA54B">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512B669">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3款</w:t>
            </w:r>
          </w:p>
        </w:tc>
        <w:tc>
          <w:tcPr>
            <w:tcW w:w="1857" w:type="dxa"/>
            <w:noWrap w:val="0"/>
            <w:vAlign w:val="center"/>
          </w:tcPr>
          <w:p w14:paraId="64E1B275">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noWrap w:val="0"/>
            <w:vAlign w:val="center"/>
          </w:tcPr>
          <w:p w14:paraId="1FA5AA3C">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1C3B1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14:paraId="228E87F7">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E655B72">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.4</w:t>
            </w:r>
            <w:r>
              <w:rPr>
                <w:rFonts w:hint="eastAsia" w:ascii="仿宋" w:hAnsi="仿宋" w:eastAsia="仿宋" w:cs="仿宋"/>
                <w:color w:val="auto"/>
                <w:kern w:val="0"/>
                <w:sz w:val="24"/>
                <w:szCs w:val="20"/>
                <w:highlight w:val="none"/>
                <w:lang w:val="en-US" w:eastAsia="zh-CN"/>
              </w:rPr>
              <w:t>款</w:t>
            </w:r>
          </w:p>
        </w:tc>
        <w:tc>
          <w:tcPr>
            <w:tcW w:w="1857" w:type="dxa"/>
            <w:tcBorders>
              <w:left w:val="single" w:color="auto" w:sz="2" w:space="0"/>
              <w:bottom w:val="single" w:color="auto" w:sz="2" w:space="0"/>
              <w:right w:val="single" w:color="auto" w:sz="2" w:space="0"/>
            </w:tcBorders>
            <w:noWrap w:val="0"/>
            <w:vAlign w:val="center"/>
          </w:tcPr>
          <w:p w14:paraId="3221F647">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noWrap w:val="0"/>
            <w:vAlign w:val="center"/>
          </w:tcPr>
          <w:p w14:paraId="1C78FA41">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C4635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14:paraId="25320398">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EB1E235">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1款</w:t>
            </w:r>
          </w:p>
        </w:tc>
        <w:tc>
          <w:tcPr>
            <w:tcW w:w="1857" w:type="dxa"/>
            <w:tcBorders>
              <w:top w:val="single" w:color="auto" w:sz="2" w:space="0"/>
              <w:left w:val="single" w:color="auto" w:sz="2" w:space="0"/>
              <w:right w:val="single" w:color="auto" w:sz="2" w:space="0"/>
            </w:tcBorders>
            <w:noWrap w:val="0"/>
            <w:vAlign w:val="center"/>
          </w:tcPr>
          <w:p w14:paraId="21EF3934">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解决争议的方法</w:t>
            </w:r>
          </w:p>
        </w:tc>
        <w:tc>
          <w:tcPr>
            <w:tcW w:w="4875" w:type="dxa"/>
            <w:tcBorders>
              <w:top w:val="single" w:color="auto" w:sz="2" w:space="0"/>
              <w:left w:val="single" w:color="auto" w:sz="2" w:space="0"/>
            </w:tcBorders>
            <w:noWrap w:val="0"/>
            <w:vAlign w:val="center"/>
          </w:tcPr>
          <w:p w14:paraId="29692598">
            <w:pPr>
              <w:kinsoku/>
              <w:wordWrap w:val="0"/>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14:paraId="09D8AAB0">
            <w:pPr>
              <w:kinsoku/>
              <w:wordWrap w:val="0"/>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14:paraId="19C94E33">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议提交绍兴仲裁委员会仲裁。</w:t>
            </w:r>
          </w:p>
        </w:tc>
      </w:tr>
      <w:tr w14:paraId="2602A4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14:paraId="6AFABA37">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3CB4639">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w:t>
            </w:r>
            <w:r>
              <w:rPr>
                <w:rFonts w:hint="eastAsia" w:ascii="仿宋" w:hAnsi="仿宋" w:eastAsia="仿宋" w:cs="仿宋"/>
                <w:color w:val="auto"/>
                <w:kern w:val="0"/>
                <w:sz w:val="24"/>
                <w:szCs w:val="20"/>
                <w:highlight w:val="none"/>
                <w:lang w:val="en-US" w:eastAsia="zh-CN"/>
              </w:rPr>
              <w:t>3.1</w:t>
            </w:r>
            <w:r>
              <w:rPr>
                <w:rFonts w:hint="eastAsia" w:ascii="仿宋" w:hAnsi="仿宋" w:eastAsia="仿宋" w:cs="仿宋"/>
                <w:color w:val="auto"/>
                <w:kern w:val="0"/>
                <w:sz w:val="24"/>
                <w:szCs w:val="20"/>
                <w:highlight w:val="none"/>
                <w:lang w:eastAsia="zh-CN"/>
              </w:rPr>
              <w:t>款</w:t>
            </w:r>
          </w:p>
        </w:tc>
        <w:tc>
          <w:tcPr>
            <w:tcW w:w="1857" w:type="dxa"/>
            <w:noWrap w:val="0"/>
            <w:vAlign w:val="center"/>
          </w:tcPr>
          <w:p w14:paraId="563D802A">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其他专用条款</w:t>
            </w:r>
          </w:p>
        </w:tc>
        <w:tc>
          <w:tcPr>
            <w:tcW w:w="4875" w:type="dxa"/>
            <w:noWrap w:val="0"/>
            <w:vAlign w:val="center"/>
          </w:tcPr>
          <w:p w14:paraId="166CA27A">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bl>
    <w:p w14:paraId="26F68323">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2A8DF804">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0A926602">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64090AE8">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BA34B27">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27AE5AB5">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45492AB">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CF0CF2E">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4998F141">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14:paraId="0D933345">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70 </w:t>
      </w:r>
      <w:r>
        <w:rPr>
          <w:rFonts w:hint="eastAsia" w:ascii="仿宋" w:hAnsi="仿宋" w:eastAsia="仿宋" w:cs="仿宋"/>
          <w:b/>
          <w:bCs/>
          <w:iCs/>
          <w:color w:val="auto"/>
          <w:sz w:val="24"/>
          <w:highlight w:val="none"/>
        </w:rPr>
        <w:t>分）</w:t>
      </w:r>
    </w:p>
    <w:tbl>
      <w:tblPr>
        <w:tblStyle w:val="62"/>
        <w:tblW w:w="9719" w:type="dxa"/>
        <w:jc w:val="center"/>
        <w:tblLayout w:type="fixed"/>
        <w:tblCellMar>
          <w:top w:w="0" w:type="dxa"/>
          <w:left w:w="108" w:type="dxa"/>
          <w:bottom w:w="0" w:type="dxa"/>
          <w:right w:w="108" w:type="dxa"/>
        </w:tblCellMar>
      </w:tblPr>
      <w:tblGrid>
        <w:gridCol w:w="835"/>
        <w:gridCol w:w="1656"/>
        <w:gridCol w:w="6288"/>
        <w:gridCol w:w="940"/>
      </w:tblGrid>
      <w:tr w14:paraId="618F3A9D">
        <w:tblPrEx>
          <w:tblCellMar>
            <w:top w:w="0" w:type="dxa"/>
            <w:left w:w="108" w:type="dxa"/>
            <w:bottom w:w="0" w:type="dxa"/>
            <w:right w:w="108" w:type="dxa"/>
          </w:tblCellMar>
        </w:tblPrEx>
        <w:trPr>
          <w:trHeight w:val="561" w:hRule="atLeast"/>
          <w:jc w:val="center"/>
        </w:trPr>
        <w:tc>
          <w:tcPr>
            <w:tcW w:w="835" w:type="dxa"/>
            <w:tcBorders>
              <w:top w:val="single" w:color="auto" w:sz="4" w:space="0"/>
              <w:left w:val="single" w:color="auto" w:sz="4" w:space="0"/>
              <w:bottom w:val="single" w:color="auto" w:sz="4" w:space="0"/>
              <w:right w:val="single" w:color="auto" w:sz="4" w:space="0"/>
            </w:tcBorders>
            <w:vAlign w:val="center"/>
          </w:tcPr>
          <w:p w14:paraId="301AA896">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序号</w:t>
            </w:r>
          </w:p>
        </w:tc>
        <w:tc>
          <w:tcPr>
            <w:tcW w:w="1656" w:type="dxa"/>
            <w:tcBorders>
              <w:top w:val="single" w:color="auto" w:sz="4" w:space="0"/>
              <w:left w:val="single" w:color="auto" w:sz="4" w:space="0"/>
              <w:bottom w:val="single" w:color="auto" w:sz="4" w:space="0"/>
              <w:right w:val="single" w:color="auto" w:sz="4" w:space="0"/>
            </w:tcBorders>
            <w:vAlign w:val="center"/>
          </w:tcPr>
          <w:p w14:paraId="6F421785">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评分项</w:t>
            </w:r>
          </w:p>
        </w:tc>
        <w:tc>
          <w:tcPr>
            <w:tcW w:w="6288" w:type="dxa"/>
            <w:tcBorders>
              <w:top w:val="single" w:color="auto" w:sz="4" w:space="0"/>
              <w:left w:val="single" w:color="auto" w:sz="4" w:space="0"/>
              <w:bottom w:val="single" w:color="auto" w:sz="4" w:space="0"/>
              <w:right w:val="single" w:color="auto" w:sz="4" w:space="0"/>
            </w:tcBorders>
            <w:vAlign w:val="center"/>
          </w:tcPr>
          <w:p w14:paraId="78569D6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评审依据及标准</w:t>
            </w:r>
          </w:p>
        </w:tc>
        <w:tc>
          <w:tcPr>
            <w:tcW w:w="940" w:type="dxa"/>
            <w:tcBorders>
              <w:top w:val="single" w:color="auto" w:sz="4" w:space="0"/>
              <w:left w:val="single" w:color="auto" w:sz="4" w:space="0"/>
              <w:bottom w:val="single" w:color="auto" w:sz="4" w:space="0"/>
              <w:right w:val="single" w:color="auto" w:sz="4" w:space="0"/>
            </w:tcBorders>
            <w:vAlign w:val="center"/>
          </w:tcPr>
          <w:p w14:paraId="6ACA4CE8">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分值</w:t>
            </w:r>
          </w:p>
        </w:tc>
      </w:tr>
      <w:tr w14:paraId="7722A76B">
        <w:tblPrEx>
          <w:tblCellMar>
            <w:top w:w="0" w:type="dxa"/>
            <w:left w:w="108" w:type="dxa"/>
            <w:bottom w:w="0" w:type="dxa"/>
            <w:right w:w="108" w:type="dxa"/>
          </w:tblCellMar>
        </w:tblPrEx>
        <w:trPr>
          <w:trHeight w:val="1134" w:hRule="atLeast"/>
          <w:jc w:val="center"/>
        </w:trPr>
        <w:tc>
          <w:tcPr>
            <w:tcW w:w="835" w:type="dxa"/>
            <w:tcBorders>
              <w:top w:val="single" w:color="auto" w:sz="4" w:space="0"/>
              <w:left w:val="single" w:color="auto" w:sz="4" w:space="0"/>
              <w:bottom w:val="single" w:color="auto" w:sz="4" w:space="0"/>
              <w:right w:val="single" w:color="auto" w:sz="4" w:space="0"/>
            </w:tcBorders>
            <w:vAlign w:val="center"/>
          </w:tcPr>
          <w:p w14:paraId="0331B4B7">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c>
          <w:tcPr>
            <w:tcW w:w="1656" w:type="dxa"/>
            <w:tcBorders>
              <w:top w:val="single" w:color="auto" w:sz="4" w:space="0"/>
              <w:left w:val="single" w:color="auto" w:sz="4" w:space="0"/>
              <w:bottom w:val="single" w:color="auto" w:sz="4" w:space="0"/>
              <w:right w:val="single" w:color="auto" w:sz="4" w:space="0"/>
            </w:tcBorders>
            <w:vAlign w:val="center"/>
          </w:tcPr>
          <w:p w14:paraId="4CC9F94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技术参数响应情况</w:t>
            </w:r>
          </w:p>
        </w:tc>
        <w:tc>
          <w:tcPr>
            <w:tcW w:w="6288" w:type="dxa"/>
            <w:tcBorders>
              <w:top w:val="single" w:color="auto" w:sz="4" w:space="0"/>
              <w:left w:val="single" w:color="auto" w:sz="4" w:space="0"/>
              <w:bottom w:val="single" w:color="auto" w:sz="4" w:space="0"/>
              <w:right w:val="single" w:color="auto" w:sz="4" w:space="0"/>
            </w:tcBorders>
            <w:vAlign w:val="center"/>
          </w:tcPr>
          <w:p w14:paraId="56B26238">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技术参数响应情况：对应于招标文件第三部分招标项目范围及要求——“</w:t>
            </w:r>
            <w:r>
              <w:rPr>
                <w:rFonts w:hint="eastAsia" w:ascii="仿宋" w:hAnsi="仿宋" w:eastAsia="仿宋" w:cs="仿宋"/>
                <w:color w:val="auto"/>
                <w:sz w:val="24"/>
                <w:szCs w:val="24"/>
                <w:highlight w:val="none"/>
                <w:lang w:val="en-US" w:eastAsia="zh-CN"/>
              </w:rPr>
              <w:t>二</w:t>
            </w:r>
            <w:r>
              <w:rPr>
                <w:rFonts w:hint="eastAsia" w:ascii="仿宋" w:hAnsi="仿宋" w:eastAsia="仿宋" w:cs="仿宋"/>
                <w:color w:val="auto"/>
                <w:sz w:val="24"/>
                <w:szCs w:val="24"/>
                <w:highlight w:val="none"/>
              </w:rPr>
              <w:t>、采购内容、数量及要求”，完全满足指标参数得</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val="en-US" w:eastAsia="zh-CN"/>
              </w:rPr>
              <w:t>打“★”号的性能指标为实质性指标，若出现负偏离作无效标处理；打“▲”为主要性能指标，每有一项负偏离扣3分；其他指标，每有一项负偏离扣1分，扣完为止。</w:t>
            </w:r>
          </w:p>
        </w:tc>
        <w:tc>
          <w:tcPr>
            <w:tcW w:w="940" w:type="dxa"/>
            <w:tcBorders>
              <w:top w:val="single" w:color="auto" w:sz="4" w:space="0"/>
              <w:left w:val="single" w:color="auto" w:sz="4" w:space="0"/>
              <w:bottom w:val="single" w:color="auto" w:sz="4" w:space="0"/>
              <w:right w:val="single" w:color="auto" w:sz="4" w:space="0"/>
            </w:tcBorders>
            <w:vAlign w:val="center"/>
          </w:tcPr>
          <w:p w14:paraId="4724E863">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30</w:t>
            </w:r>
          </w:p>
        </w:tc>
      </w:tr>
      <w:tr w14:paraId="0E32A85C">
        <w:tblPrEx>
          <w:tblCellMar>
            <w:top w:w="0" w:type="dxa"/>
            <w:left w:w="108" w:type="dxa"/>
            <w:bottom w:w="0" w:type="dxa"/>
            <w:right w:w="108" w:type="dxa"/>
          </w:tblCellMar>
        </w:tblPrEx>
        <w:trPr>
          <w:trHeight w:val="1134" w:hRule="atLeast"/>
          <w:jc w:val="center"/>
        </w:trPr>
        <w:tc>
          <w:tcPr>
            <w:tcW w:w="835" w:type="dxa"/>
            <w:tcBorders>
              <w:top w:val="single" w:color="auto" w:sz="4" w:space="0"/>
              <w:left w:val="single" w:color="auto" w:sz="4" w:space="0"/>
              <w:bottom w:val="single" w:color="auto" w:sz="4" w:space="0"/>
              <w:right w:val="single" w:color="auto" w:sz="4" w:space="0"/>
            </w:tcBorders>
            <w:vAlign w:val="center"/>
          </w:tcPr>
          <w:p w14:paraId="52CF354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c>
          <w:tcPr>
            <w:tcW w:w="1656" w:type="dxa"/>
            <w:tcBorders>
              <w:top w:val="single" w:color="auto" w:sz="4" w:space="0"/>
              <w:left w:val="single" w:color="auto" w:sz="4" w:space="0"/>
              <w:bottom w:val="single" w:color="auto" w:sz="4" w:space="0"/>
              <w:right w:val="single" w:color="auto" w:sz="4" w:space="0"/>
            </w:tcBorders>
            <w:vAlign w:val="center"/>
          </w:tcPr>
          <w:p w14:paraId="0C4BBBEA">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_GB2312" w:hAnsi="仿宋" w:eastAsia="仿宋_GB2312" w:cs="仿宋_GB2312"/>
                <w:color w:val="auto"/>
                <w:sz w:val="24"/>
                <w:highlight w:val="none"/>
                <w:lang w:val="en-US" w:eastAsia="zh-CN"/>
              </w:rPr>
            </w:pPr>
            <w:r>
              <w:rPr>
                <w:rFonts w:hint="eastAsia" w:ascii="仿宋_GB2312" w:hAnsi="仿宋" w:eastAsia="仿宋_GB2312" w:cs="仿宋_GB2312"/>
                <w:color w:val="auto"/>
                <w:sz w:val="24"/>
                <w:highlight w:val="none"/>
                <w:lang w:val="en-US" w:eastAsia="zh-CN"/>
              </w:rPr>
              <w:t>管理体系</w:t>
            </w:r>
          </w:p>
          <w:p w14:paraId="70710C44">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color w:val="auto"/>
                <w:kern w:val="0"/>
                <w:sz w:val="24"/>
                <w:szCs w:val="24"/>
                <w:highlight w:val="none"/>
              </w:rPr>
            </w:pPr>
            <w:r>
              <w:rPr>
                <w:rFonts w:hint="eastAsia" w:ascii="仿宋_GB2312" w:hAnsi="仿宋" w:eastAsia="仿宋_GB2312" w:cs="仿宋_GB2312"/>
                <w:color w:val="auto"/>
                <w:sz w:val="24"/>
                <w:highlight w:val="none"/>
                <w:lang w:val="en-US" w:eastAsia="zh-CN"/>
              </w:rPr>
              <w:t>认证</w:t>
            </w:r>
          </w:p>
        </w:tc>
        <w:tc>
          <w:tcPr>
            <w:tcW w:w="6288" w:type="dxa"/>
            <w:tcBorders>
              <w:top w:val="single" w:color="auto" w:sz="4" w:space="0"/>
              <w:left w:val="single" w:color="auto" w:sz="4" w:space="0"/>
              <w:bottom w:val="single" w:color="auto" w:sz="4" w:space="0"/>
              <w:right w:val="single" w:color="auto" w:sz="4" w:space="0"/>
            </w:tcBorders>
            <w:vAlign w:val="center"/>
          </w:tcPr>
          <w:p w14:paraId="13CA286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_GB2312" w:cs="仿宋"/>
                <w:color w:val="auto"/>
                <w:sz w:val="24"/>
                <w:szCs w:val="24"/>
                <w:highlight w:val="none"/>
                <w:lang w:val="en-US" w:eastAsia="zh-CN"/>
              </w:rPr>
            </w:pPr>
            <w:r>
              <w:rPr>
                <w:rFonts w:hint="eastAsia" w:ascii="仿宋_GB2312" w:hAnsi="仿宋" w:eastAsia="仿宋_GB2312" w:cs="仿宋_GB2312"/>
                <w:color w:val="auto"/>
                <w:sz w:val="24"/>
                <w:highlight w:val="none"/>
                <w:lang w:val="en-US" w:eastAsia="zh-CN"/>
              </w:rPr>
              <w:t xml:space="preserve">根据投标人企业认证证书情况进行打分，提供相关证明并加盖投标人公章。(本项分值设置为3,2,1,0.5,0分) </w:t>
            </w:r>
          </w:p>
        </w:tc>
        <w:tc>
          <w:tcPr>
            <w:tcW w:w="940" w:type="dxa"/>
            <w:tcBorders>
              <w:top w:val="single" w:color="auto" w:sz="4" w:space="0"/>
              <w:left w:val="single" w:color="auto" w:sz="4" w:space="0"/>
              <w:bottom w:val="single" w:color="auto" w:sz="4" w:space="0"/>
              <w:right w:val="single" w:color="auto" w:sz="4" w:space="0"/>
            </w:tcBorders>
            <w:vAlign w:val="center"/>
          </w:tcPr>
          <w:p w14:paraId="68A49AE6">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r>
      <w:tr w14:paraId="5015365D">
        <w:tblPrEx>
          <w:tblCellMar>
            <w:top w:w="0" w:type="dxa"/>
            <w:left w:w="108" w:type="dxa"/>
            <w:bottom w:w="0" w:type="dxa"/>
            <w:right w:w="108" w:type="dxa"/>
          </w:tblCellMar>
        </w:tblPrEx>
        <w:trPr>
          <w:trHeight w:val="344" w:hRule="atLeast"/>
          <w:jc w:val="center"/>
        </w:trPr>
        <w:tc>
          <w:tcPr>
            <w:tcW w:w="835" w:type="dxa"/>
            <w:tcBorders>
              <w:top w:val="single" w:color="auto" w:sz="4" w:space="0"/>
              <w:left w:val="single" w:color="auto" w:sz="4" w:space="0"/>
              <w:bottom w:val="single" w:color="auto" w:sz="4" w:space="0"/>
              <w:right w:val="single" w:color="auto" w:sz="4" w:space="0"/>
            </w:tcBorders>
            <w:vAlign w:val="center"/>
          </w:tcPr>
          <w:p w14:paraId="62E6483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c>
          <w:tcPr>
            <w:tcW w:w="1656" w:type="dxa"/>
            <w:tcBorders>
              <w:top w:val="single" w:color="auto" w:sz="4" w:space="0"/>
              <w:left w:val="single" w:color="auto" w:sz="4" w:space="0"/>
              <w:bottom w:val="single" w:color="auto" w:sz="4" w:space="0"/>
              <w:right w:val="single" w:color="auto" w:sz="4" w:space="0"/>
            </w:tcBorders>
            <w:vAlign w:val="center"/>
          </w:tcPr>
          <w:p w14:paraId="04381DC4">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业绩案例</w:t>
            </w:r>
          </w:p>
        </w:tc>
        <w:tc>
          <w:tcPr>
            <w:tcW w:w="6288" w:type="dxa"/>
            <w:tcBorders>
              <w:top w:val="single" w:color="auto" w:sz="4" w:space="0"/>
              <w:left w:val="single" w:color="auto" w:sz="4" w:space="0"/>
              <w:bottom w:val="single" w:color="auto" w:sz="4" w:space="0"/>
              <w:right w:val="single" w:color="auto" w:sz="4" w:space="0"/>
            </w:tcBorders>
            <w:vAlign w:val="center"/>
          </w:tcPr>
          <w:p w14:paraId="6FAA0DFF">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投标人自202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年</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月1日以来（以合同签订时间为准）完成的同类案例，每有1个得1分，满分3分。</w:t>
            </w:r>
          </w:p>
          <w:p w14:paraId="4CD601D6">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注：1.每个案例提供合同和验收报告的复印件，并加盖投标人公章。</w:t>
            </w:r>
          </w:p>
          <w:p w14:paraId="1744478F">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2.投标产品为省级以上主管部门认定的首台套产品，自纳入《省推广应用指导目录》起三年内参加政府采购活动，视同已具备相应销售业绩，业绩分为满分。</w:t>
            </w:r>
          </w:p>
        </w:tc>
        <w:tc>
          <w:tcPr>
            <w:tcW w:w="940" w:type="dxa"/>
            <w:tcBorders>
              <w:top w:val="single" w:color="auto" w:sz="4" w:space="0"/>
              <w:left w:val="single" w:color="auto" w:sz="4" w:space="0"/>
              <w:bottom w:val="single" w:color="auto" w:sz="4" w:space="0"/>
              <w:right w:val="single" w:color="auto" w:sz="4" w:space="0"/>
            </w:tcBorders>
            <w:vAlign w:val="center"/>
          </w:tcPr>
          <w:p w14:paraId="2B99DF70">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r>
      <w:tr w14:paraId="4D8C6608">
        <w:tblPrEx>
          <w:tblCellMar>
            <w:top w:w="0" w:type="dxa"/>
            <w:left w:w="108" w:type="dxa"/>
            <w:bottom w:w="0" w:type="dxa"/>
            <w:right w:w="108" w:type="dxa"/>
          </w:tblCellMar>
        </w:tblPrEx>
        <w:trPr>
          <w:trHeight w:val="1134" w:hRule="atLeast"/>
          <w:jc w:val="center"/>
        </w:trPr>
        <w:tc>
          <w:tcPr>
            <w:tcW w:w="835" w:type="dxa"/>
            <w:tcBorders>
              <w:top w:val="single" w:color="auto" w:sz="4" w:space="0"/>
              <w:left w:val="single" w:color="auto" w:sz="4" w:space="0"/>
              <w:bottom w:val="single" w:color="auto" w:sz="4" w:space="0"/>
              <w:right w:val="single" w:color="auto" w:sz="4" w:space="0"/>
            </w:tcBorders>
            <w:vAlign w:val="center"/>
          </w:tcPr>
          <w:p w14:paraId="3AF5219C">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c>
          <w:tcPr>
            <w:tcW w:w="1656" w:type="dxa"/>
            <w:tcBorders>
              <w:top w:val="single" w:color="auto" w:sz="4" w:space="0"/>
              <w:left w:val="single" w:color="auto" w:sz="4" w:space="0"/>
              <w:bottom w:val="single" w:color="auto" w:sz="4" w:space="0"/>
              <w:right w:val="single" w:color="auto" w:sz="4" w:space="0"/>
            </w:tcBorders>
            <w:vAlign w:val="center"/>
          </w:tcPr>
          <w:p w14:paraId="74EF936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eastAsia="zh-CN"/>
              </w:rPr>
              <w:t>规章制度</w:t>
            </w:r>
          </w:p>
        </w:tc>
        <w:tc>
          <w:tcPr>
            <w:tcW w:w="6288" w:type="dxa"/>
            <w:tcBorders>
              <w:top w:val="single" w:color="auto" w:sz="4" w:space="0"/>
              <w:left w:val="single" w:color="auto" w:sz="4" w:space="0"/>
              <w:bottom w:val="single" w:color="auto" w:sz="4" w:space="0"/>
              <w:right w:val="single" w:color="auto" w:sz="4" w:space="0"/>
            </w:tcBorders>
            <w:vAlign w:val="center"/>
          </w:tcPr>
          <w:p w14:paraId="546C1090">
            <w:pPr>
              <w:keepNext w:val="0"/>
              <w:keepLines w:val="0"/>
              <w:kinsoku/>
              <w:wordWrap/>
              <w:overflowPunct/>
              <w:topLinePunct w:val="0"/>
              <w:bidi w:val="0"/>
              <w:snapToGrid w:val="0"/>
              <w:spacing w:line="300" w:lineRule="exact"/>
              <w:jc w:val="left"/>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根据投标人提供的规章制度进行打分，包括但不限于财务管理制度、档案管理制度、内部岗位责任制度、工作人员考核制度、工作人员考勤制度等。</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eastAsia="zh-CN"/>
              </w:rPr>
              <w:t>5,4,3,2,1,0.5,0分</w:t>
            </w:r>
            <w:r>
              <w:rPr>
                <w:rFonts w:hint="eastAsia" w:ascii="仿宋_GB2312" w:hAnsi="仿宋_GB2312" w:eastAsia="仿宋_GB2312" w:cs="仿宋_GB2312"/>
                <w:color w:val="auto"/>
                <w:sz w:val="24"/>
                <w:szCs w:val="24"/>
                <w:highlight w:val="none"/>
              </w:rPr>
              <w:t>)</w:t>
            </w:r>
          </w:p>
        </w:tc>
        <w:tc>
          <w:tcPr>
            <w:tcW w:w="940" w:type="dxa"/>
            <w:tcBorders>
              <w:top w:val="single" w:color="auto" w:sz="4" w:space="0"/>
              <w:left w:val="single" w:color="auto" w:sz="4" w:space="0"/>
              <w:bottom w:val="single" w:color="auto" w:sz="4" w:space="0"/>
              <w:right w:val="single" w:color="auto" w:sz="4" w:space="0"/>
            </w:tcBorders>
            <w:vAlign w:val="center"/>
          </w:tcPr>
          <w:p w14:paraId="28C99258">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14:paraId="7258A86E">
        <w:tblPrEx>
          <w:tblCellMar>
            <w:top w:w="0" w:type="dxa"/>
            <w:left w:w="108" w:type="dxa"/>
            <w:bottom w:w="0" w:type="dxa"/>
            <w:right w:w="108" w:type="dxa"/>
          </w:tblCellMar>
        </w:tblPrEx>
        <w:trPr>
          <w:trHeight w:val="1134" w:hRule="atLeast"/>
          <w:jc w:val="center"/>
        </w:trPr>
        <w:tc>
          <w:tcPr>
            <w:tcW w:w="835" w:type="dxa"/>
            <w:tcBorders>
              <w:top w:val="single" w:color="auto" w:sz="4" w:space="0"/>
              <w:left w:val="single" w:color="auto" w:sz="4" w:space="0"/>
              <w:bottom w:val="single" w:color="auto" w:sz="4" w:space="0"/>
              <w:right w:val="single" w:color="auto" w:sz="4" w:space="0"/>
            </w:tcBorders>
            <w:vAlign w:val="center"/>
          </w:tcPr>
          <w:p w14:paraId="69A0256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c>
          <w:tcPr>
            <w:tcW w:w="1656" w:type="dxa"/>
            <w:tcBorders>
              <w:top w:val="single" w:color="auto" w:sz="4" w:space="0"/>
              <w:left w:val="single" w:color="auto" w:sz="4" w:space="0"/>
              <w:bottom w:val="single" w:color="auto" w:sz="4" w:space="0"/>
              <w:right w:val="single" w:color="auto" w:sz="4" w:space="0"/>
            </w:tcBorders>
            <w:vAlign w:val="center"/>
          </w:tcPr>
          <w:p w14:paraId="35590E43">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CESI仿宋-GB2312" w:hAnsi="CESI仿宋-GB2312" w:eastAsia="CESI仿宋-GB2312" w:cs="CESI仿宋-GB2312"/>
                <w:b w:val="0"/>
                <w:bCs w:val="0"/>
                <w:snapToGrid w:val="0"/>
                <w:color w:val="auto"/>
                <w:sz w:val="24"/>
                <w:szCs w:val="24"/>
                <w:highlight w:val="none"/>
                <w:lang w:val="en-US" w:eastAsia="zh-CN"/>
              </w:rPr>
            </w:pPr>
            <w:r>
              <w:rPr>
                <w:rFonts w:hint="eastAsia" w:ascii="CESI仿宋-GB2312" w:hAnsi="CESI仿宋-GB2312" w:eastAsia="CESI仿宋-GB2312" w:cs="CESI仿宋-GB2312"/>
                <w:b w:val="0"/>
                <w:bCs w:val="0"/>
                <w:snapToGrid w:val="0"/>
                <w:color w:val="auto"/>
                <w:sz w:val="24"/>
                <w:szCs w:val="24"/>
                <w:highlight w:val="none"/>
                <w:lang w:val="en-US" w:eastAsia="zh-CN"/>
              </w:rPr>
              <w:t>项目负责人</w:t>
            </w:r>
          </w:p>
        </w:tc>
        <w:tc>
          <w:tcPr>
            <w:tcW w:w="6288" w:type="dxa"/>
            <w:tcBorders>
              <w:top w:val="single" w:color="auto" w:sz="4" w:space="0"/>
              <w:left w:val="single" w:color="auto" w:sz="4" w:space="0"/>
              <w:bottom w:val="single" w:color="auto" w:sz="4" w:space="0"/>
              <w:right w:val="single" w:color="auto" w:sz="4" w:space="0"/>
            </w:tcBorders>
            <w:vAlign w:val="center"/>
          </w:tcPr>
          <w:p w14:paraId="18A8EB65">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具有本科及以上学历的得1.5分；（2）具有人社部门颁发的机械类工程师职称的，得1.5分</w:t>
            </w:r>
          </w:p>
          <w:p w14:paraId="5A5C2E11">
            <w:pPr>
              <w:keepNext w:val="0"/>
              <w:keepLines w:val="0"/>
              <w:pageBreakBefore w:val="0"/>
              <w:widowControl/>
              <w:numPr>
                <w:ilvl w:val="0"/>
                <w:numId w:val="0"/>
              </w:numPr>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val="en-US" w:eastAsia="zh-CN"/>
              </w:rPr>
              <w:t>【投标文件中需提供以上相关人员本单位的社保证明材料及相关证书材料复印件并加盖投标人公章，不提供的不得分。】</w:t>
            </w:r>
          </w:p>
        </w:tc>
        <w:tc>
          <w:tcPr>
            <w:tcW w:w="940" w:type="dxa"/>
            <w:tcBorders>
              <w:top w:val="single" w:color="auto" w:sz="4" w:space="0"/>
              <w:left w:val="single" w:color="auto" w:sz="4" w:space="0"/>
              <w:bottom w:val="single" w:color="auto" w:sz="4" w:space="0"/>
              <w:right w:val="single" w:color="auto" w:sz="4" w:space="0"/>
            </w:tcBorders>
            <w:vAlign w:val="center"/>
          </w:tcPr>
          <w:p w14:paraId="1CC8D89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r>
      <w:tr w14:paraId="753D1521">
        <w:tblPrEx>
          <w:tblCellMar>
            <w:top w:w="0" w:type="dxa"/>
            <w:left w:w="108" w:type="dxa"/>
            <w:bottom w:w="0" w:type="dxa"/>
            <w:right w:w="108" w:type="dxa"/>
          </w:tblCellMar>
        </w:tblPrEx>
        <w:trPr>
          <w:trHeight w:val="428" w:hRule="atLeast"/>
          <w:jc w:val="center"/>
        </w:trPr>
        <w:tc>
          <w:tcPr>
            <w:tcW w:w="835" w:type="dxa"/>
            <w:tcBorders>
              <w:top w:val="single" w:color="auto" w:sz="4" w:space="0"/>
              <w:left w:val="single" w:color="auto" w:sz="4" w:space="0"/>
              <w:bottom w:val="single" w:color="auto" w:sz="4" w:space="0"/>
              <w:right w:val="single" w:color="auto" w:sz="4" w:space="0"/>
            </w:tcBorders>
            <w:vAlign w:val="center"/>
          </w:tcPr>
          <w:p w14:paraId="70E10CA0">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c>
          <w:tcPr>
            <w:tcW w:w="1656" w:type="dxa"/>
            <w:tcBorders>
              <w:top w:val="single" w:color="auto" w:sz="4" w:space="0"/>
              <w:left w:val="single" w:color="auto" w:sz="4" w:space="0"/>
              <w:bottom w:val="single" w:color="auto" w:sz="4" w:space="0"/>
              <w:right w:val="single" w:color="auto" w:sz="4" w:space="0"/>
            </w:tcBorders>
            <w:vAlign w:val="center"/>
          </w:tcPr>
          <w:p w14:paraId="127690C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color w:val="auto"/>
                <w:kern w:val="0"/>
                <w:sz w:val="24"/>
                <w:szCs w:val="24"/>
                <w:highlight w:val="none"/>
                <w:lang w:val="en-US" w:eastAsia="zh-CN"/>
              </w:rPr>
            </w:pPr>
            <w:r>
              <w:rPr>
                <w:rFonts w:hint="eastAsia" w:ascii="CESI仿宋-GB2312" w:hAnsi="CESI仿宋-GB2312" w:eastAsia="CESI仿宋-GB2312" w:cs="CESI仿宋-GB2312"/>
                <w:b w:val="0"/>
                <w:bCs w:val="0"/>
                <w:snapToGrid w:val="0"/>
                <w:color w:val="auto"/>
                <w:sz w:val="24"/>
                <w:szCs w:val="24"/>
                <w:highlight w:val="none"/>
                <w:lang w:val="en-US" w:eastAsia="zh-CN"/>
              </w:rPr>
              <w:t>其他团队人员</w:t>
            </w:r>
          </w:p>
        </w:tc>
        <w:tc>
          <w:tcPr>
            <w:tcW w:w="6288" w:type="dxa"/>
            <w:tcBorders>
              <w:top w:val="single" w:color="auto" w:sz="4" w:space="0"/>
              <w:left w:val="single" w:color="auto" w:sz="4" w:space="0"/>
              <w:bottom w:val="single" w:color="auto" w:sz="4" w:space="0"/>
              <w:right w:val="single" w:color="auto" w:sz="4" w:space="0"/>
            </w:tcBorders>
            <w:vAlign w:val="center"/>
          </w:tcPr>
          <w:p w14:paraId="52171F05">
            <w:pPr>
              <w:keepNext w:val="0"/>
              <w:keepLines w:val="0"/>
              <w:kinsoku/>
              <w:wordWrap/>
              <w:overflowPunct/>
              <w:topLinePunct w:val="0"/>
              <w:bidi w:val="0"/>
              <w:snapToGrid w:val="0"/>
              <w:spacing w:line="300" w:lineRule="exact"/>
              <w:jc w:val="left"/>
              <w:rPr>
                <w:rFonts w:hint="eastAsia" w:ascii="仿宋_GB2312" w:hAnsi="仿宋_GB2312" w:eastAsia="仿宋_GB2312" w:cs="仿宋_GB2312"/>
                <w:color w:val="auto"/>
                <w:sz w:val="24"/>
                <w:szCs w:val="24"/>
                <w:highlight w:val="none"/>
              </w:rPr>
            </w:pPr>
            <w:r>
              <w:rPr>
                <w:rFonts w:hint="eastAsia" w:ascii="仿宋" w:hAnsi="仿宋" w:eastAsia="仿宋" w:cs="仿宋"/>
                <w:color w:val="auto"/>
                <w:sz w:val="24"/>
                <w:szCs w:val="24"/>
                <w:highlight w:val="none"/>
                <w:lang w:eastAsia="zh-CN"/>
              </w:rPr>
              <w:t>根据投标人提供的</w:t>
            </w:r>
            <w:r>
              <w:rPr>
                <w:rFonts w:hint="eastAsia" w:ascii="仿宋" w:hAnsi="仿宋" w:eastAsia="仿宋" w:cs="仿宋"/>
                <w:color w:val="auto"/>
                <w:sz w:val="24"/>
                <w:szCs w:val="24"/>
                <w:highlight w:val="none"/>
                <w:lang w:val="en-US" w:eastAsia="zh-CN"/>
              </w:rPr>
              <w:t>其他团队人员（不包括项目负责人）情况</w:t>
            </w:r>
            <w:r>
              <w:rPr>
                <w:rFonts w:hint="eastAsia" w:ascii="仿宋" w:hAnsi="仿宋" w:eastAsia="仿宋" w:cs="仿宋"/>
                <w:color w:val="auto"/>
                <w:sz w:val="24"/>
                <w:szCs w:val="24"/>
                <w:highlight w:val="none"/>
                <w:lang w:eastAsia="zh-CN"/>
              </w:rPr>
              <w:t>进行打分，</w:t>
            </w:r>
            <w:r>
              <w:rPr>
                <w:rFonts w:hint="eastAsia" w:ascii="仿宋" w:hAnsi="仿宋" w:eastAsia="仿宋" w:cs="仿宋"/>
                <w:color w:val="auto"/>
                <w:sz w:val="24"/>
                <w:szCs w:val="24"/>
                <w:highlight w:val="none"/>
                <w:lang w:val="en-US" w:eastAsia="zh-CN"/>
              </w:rPr>
              <w:t>包括但不限于团队</w:t>
            </w:r>
            <w:r>
              <w:rPr>
                <w:rFonts w:hint="eastAsia" w:ascii="仿宋_GB2312" w:hAnsi="仿宋_GB2312" w:eastAsia="仿宋_GB2312" w:cs="仿宋_GB2312"/>
                <w:bCs/>
                <w:iCs/>
                <w:color w:val="auto"/>
                <w:sz w:val="24"/>
              </w:rPr>
              <w:t>人员数量、技术能力是否充足，配置是否合理</w:t>
            </w:r>
            <w:r>
              <w:rPr>
                <w:rFonts w:hint="eastAsia" w:ascii="仿宋_GB2312" w:hAnsi="仿宋_GB2312" w:eastAsia="仿宋_GB2312" w:cs="仿宋_GB2312"/>
                <w:bCs/>
                <w:iCs/>
                <w:color w:val="auto"/>
                <w:sz w:val="24"/>
                <w:lang w:eastAsia="zh-CN"/>
              </w:rPr>
              <w:t>、</w:t>
            </w:r>
            <w:r>
              <w:rPr>
                <w:rFonts w:hint="eastAsia" w:ascii="仿宋_GB2312" w:hAnsi="仿宋_GB2312" w:eastAsia="仿宋_GB2312" w:cs="仿宋_GB2312"/>
                <w:bCs/>
                <w:iCs/>
                <w:color w:val="auto"/>
                <w:sz w:val="24"/>
                <w:lang w:val="en-US" w:eastAsia="zh-CN"/>
              </w:rPr>
              <w:t>必要的证书是否齐全等</w:t>
            </w:r>
            <w:r>
              <w:rPr>
                <w:rFonts w:hint="eastAsia" w:ascii="仿宋_GB2312" w:hAnsi="仿宋_GB2312" w:eastAsia="仿宋_GB2312" w:cs="仿宋_GB2312"/>
                <w:color w:val="auto"/>
                <w:sz w:val="24"/>
                <w:szCs w:val="24"/>
                <w:highlight w:val="none"/>
              </w:rPr>
              <w:t>内容</w:t>
            </w:r>
            <w:r>
              <w:rPr>
                <w:rFonts w:hint="eastAsia" w:ascii="仿宋_GB2312" w:hAnsi="仿宋_GB2312" w:eastAsia="仿宋_GB2312" w:cs="仿宋_GB2312"/>
                <w:color w:val="auto"/>
                <w:sz w:val="24"/>
                <w:szCs w:val="24"/>
                <w:highlight w:val="none"/>
                <w:lang w:val="en-US" w:eastAsia="zh-CN"/>
              </w:rPr>
              <w:t>进行</w:t>
            </w:r>
            <w:r>
              <w:rPr>
                <w:rFonts w:hint="eastAsia" w:ascii="仿宋_GB2312" w:hAnsi="仿宋_GB2312" w:eastAsia="仿宋_GB2312" w:cs="仿宋_GB2312"/>
                <w:color w:val="auto"/>
                <w:sz w:val="24"/>
                <w:szCs w:val="24"/>
                <w:highlight w:val="none"/>
              </w:rPr>
              <w:t>打分。(本项分值设置为</w:t>
            </w:r>
            <w:r>
              <w:rPr>
                <w:rFonts w:hint="eastAsia" w:ascii="仿宋_GB2312" w:hAnsi="仿宋_GB2312" w:eastAsia="仿宋_GB2312" w:cs="仿宋_GB2312"/>
                <w:color w:val="auto"/>
                <w:sz w:val="24"/>
                <w:szCs w:val="24"/>
                <w:highlight w:val="none"/>
                <w:lang w:eastAsia="zh-CN"/>
              </w:rPr>
              <w:t>5,4,3,2,1,0.5,0分</w:t>
            </w:r>
            <w:r>
              <w:rPr>
                <w:rFonts w:hint="eastAsia" w:ascii="仿宋_GB2312" w:hAnsi="仿宋_GB2312" w:eastAsia="仿宋_GB2312" w:cs="仿宋_GB2312"/>
                <w:color w:val="auto"/>
                <w:sz w:val="24"/>
                <w:szCs w:val="24"/>
                <w:highlight w:val="none"/>
              </w:rPr>
              <w:t>)</w:t>
            </w:r>
          </w:p>
          <w:p w14:paraId="539417F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default"/>
                <w:color w:val="auto"/>
                <w:highlight w:val="none"/>
                <w:lang w:val="en-US" w:eastAsia="zh-CN"/>
              </w:rPr>
            </w:pPr>
            <w:r>
              <w:rPr>
                <w:rFonts w:hint="default" w:ascii="仿宋" w:hAnsi="仿宋" w:eastAsia="仿宋" w:cs="仿宋"/>
                <w:b/>
                <w:bCs/>
                <w:color w:val="auto"/>
                <w:kern w:val="2"/>
                <w:sz w:val="24"/>
                <w:szCs w:val="24"/>
                <w:highlight w:val="none"/>
                <w:lang w:val="en-US" w:eastAsia="zh-CN" w:bidi="ar-SA"/>
              </w:rPr>
              <w:t>【投标文件中需提供以上相关人员</w:t>
            </w:r>
            <w:r>
              <w:rPr>
                <w:rFonts w:hint="eastAsia" w:ascii="仿宋" w:hAnsi="仿宋" w:eastAsia="仿宋" w:cs="仿宋"/>
                <w:b/>
                <w:bCs/>
                <w:color w:val="auto"/>
                <w:kern w:val="2"/>
                <w:sz w:val="24"/>
                <w:szCs w:val="24"/>
                <w:highlight w:val="none"/>
                <w:lang w:val="en-US" w:eastAsia="zh-CN" w:bidi="ar-SA"/>
              </w:rPr>
              <w:t>证书和</w:t>
            </w:r>
            <w:r>
              <w:rPr>
                <w:rFonts w:hint="default" w:ascii="仿宋" w:hAnsi="仿宋" w:eastAsia="仿宋" w:cs="仿宋"/>
                <w:b/>
                <w:bCs/>
                <w:color w:val="auto"/>
                <w:kern w:val="2"/>
                <w:sz w:val="24"/>
                <w:szCs w:val="24"/>
                <w:highlight w:val="none"/>
                <w:lang w:val="en-US" w:eastAsia="zh-CN" w:bidi="ar-SA"/>
              </w:rPr>
              <w:t>本单位的社保证明材料及相关证书材料复印件并加盖投标人公章，不提供的不得分。】</w:t>
            </w:r>
            <w:r>
              <w:rPr>
                <w:rFonts w:hint="eastAsia" w:ascii="仿宋" w:hAnsi="仿宋" w:eastAsia="仿宋" w:cs="仿宋"/>
                <w:b/>
                <w:bCs/>
                <w:color w:val="auto"/>
                <w:kern w:val="2"/>
                <w:sz w:val="24"/>
                <w:szCs w:val="24"/>
                <w:highlight w:val="none"/>
                <w:lang w:val="en-US" w:eastAsia="zh-CN" w:bidi="ar-SA"/>
              </w:rPr>
              <w:t xml:space="preserve"> </w:t>
            </w:r>
          </w:p>
        </w:tc>
        <w:tc>
          <w:tcPr>
            <w:tcW w:w="940" w:type="dxa"/>
            <w:tcBorders>
              <w:top w:val="single" w:color="auto" w:sz="4" w:space="0"/>
              <w:left w:val="single" w:color="auto" w:sz="4" w:space="0"/>
              <w:bottom w:val="single" w:color="auto" w:sz="4" w:space="0"/>
              <w:right w:val="single" w:color="auto" w:sz="4" w:space="0"/>
            </w:tcBorders>
            <w:vAlign w:val="center"/>
          </w:tcPr>
          <w:p w14:paraId="581BEBE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14:paraId="2FCC31BD">
        <w:tblPrEx>
          <w:tblCellMar>
            <w:top w:w="0" w:type="dxa"/>
            <w:left w:w="108" w:type="dxa"/>
            <w:bottom w:w="0" w:type="dxa"/>
            <w:right w:w="108" w:type="dxa"/>
          </w:tblCellMar>
        </w:tblPrEx>
        <w:trPr>
          <w:trHeight w:val="1134" w:hRule="atLeast"/>
          <w:jc w:val="center"/>
        </w:trPr>
        <w:tc>
          <w:tcPr>
            <w:tcW w:w="835" w:type="dxa"/>
            <w:tcBorders>
              <w:top w:val="single" w:color="auto" w:sz="4" w:space="0"/>
              <w:left w:val="single" w:color="auto" w:sz="4" w:space="0"/>
              <w:bottom w:val="single" w:color="auto" w:sz="4" w:space="0"/>
              <w:right w:val="single" w:color="auto" w:sz="4" w:space="0"/>
            </w:tcBorders>
            <w:vAlign w:val="center"/>
          </w:tcPr>
          <w:p w14:paraId="7A404F8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w:t>
            </w:r>
          </w:p>
        </w:tc>
        <w:tc>
          <w:tcPr>
            <w:tcW w:w="1656" w:type="dxa"/>
            <w:tcBorders>
              <w:top w:val="single" w:color="auto" w:sz="4" w:space="0"/>
              <w:left w:val="single" w:color="auto" w:sz="4" w:space="0"/>
              <w:bottom w:val="single" w:color="auto" w:sz="4" w:space="0"/>
              <w:right w:val="single" w:color="auto" w:sz="4" w:space="0"/>
            </w:tcBorders>
            <w:vAlign w:val="center"/>
          </w:tcPr>
          <w:p w14:paraId="4277595F">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整体施工方案</w:t>
            </w:r>
          </w:p>
        </w:tc>
        <w:tc>
          <w:tcPr>
            <w:tcW w:w="6288" w:type="dxa"/>
            <w:tcBorders>
              <w:top w:val="single" w:color="auto" w:sz="4" w:space="0"/>
              <w:left w:val="single" w:color="auto" w:sz="4" w:space="0"/>
              <w:bottom w:val="single" w:color="auto" w:sz="4" w:space="0"/>
              <w:right w:val="single" w:color="auto" w:sz="4" w:space="0"/>
            </w:tcBorders>
            <w:vAlign w:val="center"/>
          </w:tcPr>
          <w:p w14:paraId="4DE2B3E7">
            <w:pPr>
              <w:keepNext w:val="0"/>
              <w:keepLines w:val="0"/>
              <w:kinsoku/>
              <w:wordWrap/>
              <w:overflowPunct/>
              <w:topLinePunct w:val="0"/>
              <w:bidi w:val="0"/>
              <w:snapToGrid w:val="0"/>
              <w:spacing w:line="300" w:lineRule="exact"/>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根据投标人提供的</w:t>
            </w:r>
            <w:r>
              <w:rPr>
                <w:rFonts w:hint="eastAsia" w:ascii="仿宋" w:hAnsi="仿宋" w:eastAsia="仿宋" w:cs="仿宋"/>
                <w:color w:val="auto"/>
                <w:sz w:val="24"/>
                <w:szCs w:val="24"/>
                <w:highlight w:val="none"/>
                <w:lang w:val="en-US" w:eastAsia="zh-CN"/>
              </w:rPr>
              <w:t>整体施工方案进行打分，包括但不限于施工方案、进度计划、施工布置图、安装调试等方面。</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eastAsia="zh-CN"/>
              </w:rPr>
              <w:t>5,4,3,2,1,0.5,0分</w:t>
            </w:r>
            <w:r>
              <w:rPr>
                <w:rFonts w:hint="eastAsia" w:ascii="仿宋_GB2312" w:hAnsi="仿宋_GB2312" w:eastAsia="仿宋_GB2312" w:cs="仿宋_GB2312"/>
                <w:color w:val="auto"/>
                <w:sz w:val="24"/>
                <w:szCs w:val="24"/>
                <w:highlight w:val="none"/>
              </w:rPr>
              <w:t>)</w:t>
            </w:r>
          </w:p>
        </w:tc>
        <w:tc>
          <w:tcPr>
            <w:tcW w:w="940" w:type="dxa"/>
            <w:tcBorders>
              <w:top w:val="single" w:color="auto" w:sz="4" w:space="0"/>
              <w:left w:val="single" w:color="auto" w:sz="4" w:space="0"/>
              <w:bottom w:val="single" w:color="auto" w:sz="4" w:space="0"/>
              <w:right w:val="single" w:color="auto" w:sz="4" w:space="0"/>
            </w:tcBorders>
            <w:vAlign w:val="center"/>
          </w:tcPr>
          <w:p w14:paraId="2CE0F6F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14:paraId="545EB298">
        <w:tblPrEx>
          <w:tblCellMar>
            <w:top w:w="0" w:type="dxa"/>
            <w:left w:w="108" w:type="dxa"/>
            <w:bottom w:w="0" w:type="dxa"/>
            <w:right w:w="108" w:type="dxa"/>
          </w:tblCellMar>
        </w:tblPrEx>
        <w:trPr>
          <w:trHeight w:val="512" w:hRule="atLeast"/>
          <w:jc w:val="center"/>
        </w:trPr>
        <w:tc>
          <w:tcPr>
            <w:tcW w:w="835" w:type="dxa"/>
            <w:tcBorders>
              <w:top w:val="single" w:color="auto" w:sz="4" w:space="0"/>
              <w:left w:val="single" w:color="auto" w:sz="4" w:space="0"/>
              <w:bottom w:val="single" w:color="auto" w:sz="4" w:space="0"/>
              <w:right w:val="single" w:color="auto" w:sz="4" w:space="0"/>
            </w:tcBorders>
            <w:vAlign w:val="center"/>
          </w:tcPr>
          <w:p w14:paraId="1FBC2385">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w:t>
            </w:r>
          </w:p>
        </w:tc>
        <w:tc>
          <w:tcPr>
            <w:tcW w:w="1656" w:type="dxa"/>
            <w:tcBorders>
              <w:top w:val="single" w:color="auto" w:sz="4" w:space="0"/>
              <w:left w:val="single" w:color="auto" w:sz="4" w:space="0"/>
              <w:bottom w:val="single" w:color="auto" w:sz="4" w:space="0"/>
              <w:right w:val="single" w:color="auto" w:sz="4" w:space="0"/>
            </w:tcBorders>
            <w:vAlign w:val="center"/>
          </w:tcPr>
          <w:p w14:paraId="493F9B41">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kern w:val="0"/>
                <w:sz w:val="24"/>
                <w:szCs w:val="24"/>
                <w:highlight w:val="none"/>
              </w:rPr>
            </w:pPr>
            <w:r>
              <w:rPr>
                <w:rFonts w:hint="default" w:ascii="仿宋_GB2312" w:hAnsi="仿宋" w:eastAsia="仿宋_GB2312" w:cs="仿宋_GB2312"/>
                <w:color w:val="auto"/>
                <w:sz w:val="24"/>
                <w:highlight w:val="none"/>
              </w:rPr>
              <w:t>售后服务方案</w:t>
            </w:r>
          </w:p>
        </w:tc>
        <w:tc>
          <w:tcPr>
            <w:tcW w:w="6288" w:type="dxa"/>
            <w:tcBorders>
              <w:top w:val="single" w:color="auto" w:sz="4" w:space="0"/>
              <w:left w:val="single" w:color="auto" w:sz="4" w:space="0"/>
              <w:bottom w:val="single" w:color="auto" w:sz="4" w:space="0"/>
              <w:right w:val="single" w:color="auto" w:sz="4" w:space="0"/>
            </w:tcBorders>
            <w:vAlign w:val="center"/>
          </w:tcPr>
          <w:p w14:paraId="76893D5E">
            <w:pPr>
              <w:keepNext w:val="0"/>
              <w:keepLines w:val="0"/>
              <w:kinsoku/>
              <w:wordWrap/>
              <w:overflowPunct/>
              <w:topLinePunct w:val="0"/>
              <w:bidi w:val="0"/>
              <w:snapToGrid w:val="0"/>
              <w:spacing w:line="300" w:lineRule="exact"/>
              <w:jc w:val="left"/>
              <w:rPr>
                <w:rFonts w:hint="default"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lang w:eastAsia="zh-CN"/>
              </w:rPr>
              <w:t>根据投标人提供的售后服务方案进行打分，包含但不仅限于</w:t>
            </w:r>
            <w:r>
              <w:rPr>
                <w:rFonts w:hint="eastAsia" w:ascii="仿宋" w:hAnsi="仿宋" w:eastAsia="仿宋" w:cs="仿宋"/>
                <w:color w:val="auto"/>
                <w:sz w:val="24"/>
                <w:szCs w:val="24"/>
                <w:highlight w:val="none"/>
                <w:lang w:val="en-US" w:eastAsia="zh-CN"/>
              </w:rPr>
              <w:t>售后服务团队配置、服务承诺、日常维护保养措施、质量保障措施、应急处理措施、响应时间</w:t>
            </w:r>
            <w:r>
              <w:rPr>
                <w:rFonts w:hint="eastAsia" w:ascii="仿宋" w:hAnsi="仿宋" w:eastAsia="仿宋" w:cs="仿宋"/>
                <w:color w:val="auto"/>
                <w:sz w:val="24"/>
                <w:szCs w:val="24"/>
                <w:highlight w:val="none"/>
                <w:lang w:eastAsia="zh-CN"/>
              </w:rPr>
              <w:t>等方面。</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eastAsia="zh-CN"/>
              </w:rPr>
              <w:t>5,4,3,2,1,0.5,0分</w:t>
            </w:r>
            <w:r>
              <w:rPr>
                <w:rFonts w:hint="eastAsia" w:ascii="仿宋_GB2312" w:hAnsi="仿宋_GB2312" w:eastAsia="仿宋_GB2312" w:cs="仿宋_GB2312"/>
                <w:color w:val="auto"/>
                <w:sz w:val="24"/>
                <w:szCs w:val="24"/>
                <w:highlight w:val="none"/>
              </w:rPr>
              <w:t>)</w:t>
            </w:r>
          </w:p>
        </w:tc>
        <w:tc>
          <w:tcPr>
            <w:tcW w:w="940" w:type="dxa"/>
            <w:tcBorders>
              <w:top w:val="single" w:color="auto" w:sz="4" w:space="0"/>
              <w:left w:val="single" w:color="auto" w:sz="4" w:space="0"/>
              <w:bottom w:val="single" w:color="auto" w:sz="4" w:space="0"/>
              <w:right w:val="single" w:color="auto" w:sz="4" w:space="0"/>
            </w:tcBorders>
            <w:vAlign w:val="center"/>
          </w:tcPr>
          <w:p w14:paraId="0A046A2F">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14:paraId="3ED54242">
        <w:tblPrEx>
          <w:tblCellMar>
            <w:top w:w="0" w:type="dxa"/>
            <w:left w:w="108" w:type="dxa"/>
            <w:bottom w:w="0" w:type="dxa"/>
            <w:right w:w="108" w:type="dxa"/>
          </w:tblCellMar>
        </w:tblPrEx>
        <w:trPr>
          <w:trHeight w:val="1134" w:hRule="atLeast"/>
          <w:jc w:val="center"/>
        </w:trPr>
        <w:tc>
          <w:tcPr>
            <w:tcW w:w="835" w:type="dxa"/>
            <w:tcBorders>
              <w:top w:val="single" w:color="auto" w:sz="4" w:space="0"/>
              <w:left w:val="single" w:color="auto" w:sz="4" w:space="0"/>
              <w:bottom w:val="single" w:color="auto" w:sz="4" w:space="0"/>
              <w:right w:val="single" w:color="auto" w:sz="4" w:space="0"/>
            </w:tcBorders>
            <w:vAlign w:val="center"/>
          </w:tcPr>
          <w:p w14:paraId="323F42A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9</w:t>
            </w:r>
          </w:p>
        </w:tc>
        <w:tc>
          <w:tcPr>
            <w:tcW w:w="1656" w:type="dxa"/>
            <w:tcBorders>
              <w:top w:val="single" w:color="auto" w:sz="4" w:space="0"/>
              <w:left w:val="single" w:color="auto" w:sz="4" w:space="0"/>
              <w:bottom w:val="single" w:color="auto" w:sz="4" w:space="0"/>
              <w:right w:val="single" w:color="auto" w:sz="4" w:space="0"/>
            </w:tcBorders>
            <w:vAlign w:val="center"/>
          </w:tcPr>
          <w:p w14:paraId="60A354C3">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kern w:val="0"/>
                <w:sz w:val="24"/>
                <w:szCs w:val="24"/>
                <w:highlight w:val="none"/>
              </w:rPr>
            </w:pPr>
            <w:r>
              <w:rPr>
                <w:rFonts w:hint="eastAsia" w:ascii="仿宋_GB2312" w:hAnsi="仿宋" w:eastAsia="仿宋_GB2312" w:cs="仿宋_GB2312"/>
                <w:color w:val="auto"/>
                <w:sz w:val="24"/>
                <w:highlight w:val="none"/>
              </w:rPr>
              <w:t>培训方案</w:t>
            </w:r>
          </w:p>
        </w:tc>
        <w:tc>
          <w:tcPr>
            <w:tcW w:w="6288" w:type="dxa"/>
            <w:tcBorders>
              <w:top w:val="single" w:color="auto" w:sz="4" w:space="0"/>
              <w:left w:val="single" w:color="auto" w:sz="4" w:space="0"/>
              <w:bottom w:val="single" w:color="auto" w:sz="4" w:space="0"/>
              <w:right w:val="single" w:color="auto" w:sz="4" w:space="0"/>
            </w:tcBorders>
            <w:vAlign w:val="center"/>
          </w:tcPr>
          <w:p w14:paraId="16E64AB6">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根据投标人提供针对本项目的培训方案进行打分，对采购单位现场实际操作，维修人员进行理论培训、日常维护保养、维修及调试培训，对故障的应急处理，安全措施等内容</w:t>
            </w:r>
            <w:r>
              <w:rPr>
                <w:rFonts w:hint="eastAsia" w:ascii="仿宋" w:hAnsi="仿宋" w:eastAsia="仿宋" w:cs="仿宋"/>
                <w:color w:val="auto"/>
                <w:sz w:val="24"/>
                <w:szCs w:val="24"/>
                <w:highlight w:val="none"/>
                <w:lang w:eastAsia="zh-CN"/>
              </w:rPr>
              <w:t>。</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eastAsia="zh-CN"/>
              </w:rPr>
              <w:t>5,4,3,2,1,0.5,0分</w:t>
            </w:r>
            <w:r>
              <w:rPr>
                <w:rFonts w:hint="eastAsia" w:ascii="仿宋_GB2312" w:hAnsi="仿宋_GB2312" w:eastAsia="仿宋_GB2312" w:cs="仿宋_GB2312"/>
                <w:color w:val="auto"/>
                <w:sz w:val="24"/>
                <w:szCs w:val="24"/>
                <w:highlight w:val="none"/>
              </w:rPr>
              <w:t>)</w:t>
            </w:r>
          </w:p>
        </w:tc>
        <w:tc>
          <w:tcPr>
            <w:tcW w:w="940" w:type="dxa"/>
            <w:tcBorders>
              <w:top w:val="single" w:color="auto" w:sz="4" w:space="0"/>
              <w:left w:val="single" w:color="auto" w:sz="4" w:space="0"/>
              <w:bottom w:val="single" w:color="auto" w:sz="4" w:space="0"/>
              <w:right w:val="single" w:color="auto" w:sz="4" w:space="0"/>
            </w:tcBorders>
            <w:vAlign w:val="center"/>
          </w:tcPr>
          <w:p w14:paraId="4CA17130">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14:paraId="03B1D9AA">
        <w:tblPrEx>
          <w:tblCellMar>
            <w:top w:w="0" w:type="dxa"/>
            <w:left w:w="108" w:type="dxa"/>
            <w:bottom w:w="0" w:type="dxa"/>
            <w:right w:w="108" w:type="dxa"/>
          </w:tblCellMar>
        </w:tblPrEx>
        <w:trPr>
          <w:trHeight w:val="1134" w:hRule="atLeast"/>
          <w:jc w:val="center"/>
        </w:trPr>
        <w:tc>
          <w:tcPr>
            <w:tcW w:w="835" w:type="dxa"/>
            <w:tcBorders>
              <w:top w:val="single" w:color="auto" w:sz="4" w:space="0"/>
              <w:left w:val="single" w:color="auto" w:sz="4" w:space="0"/>
              <w:bottom w:val="single" w:color="auto" w:sz="4" w:space="0"/>
              <w:right w:val="single" w:color="auto" w:sz="4" w:space="0"/>
            </w:tcBorders>
            <w:vAlign w:val="center"/>
          </w:tcPr>
          <w:p w14:paraId="0827496C">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c>
          <w:tcPr>
            <w:tcW w:w="1656" w:type="dxa"/>
            <w:tcBorders>
              <w:top w:val="single" w:color="auto" w:sz="4" w:space="0"/>
              <w:left w:val="single" w:color="auto" w:sz="4" w:space="0"/>
              <w:bottom w:val="single" w:color="auto" w:sz="4" w:space="0"/>
              <w:right w:val="single" w:color="auto" w:sz="4" w:space="0"/>
            </w:tcBorders>
            <w:vAlign w:val="center"/>
          </w:tcPr>
          <w:p w14:paraId="6CB19A26">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质保期</w:t>
            </w:r>
          </w:p>
        </w:tc>
        <w:tc>
          <w:tcPr>
            <w:tcW w:w="6288" w:type="dxa"/>
            <w:tcBorders>
              <w:top w:val="single" w:color="auto" w:sz="4" w:space="0"/>
              <w:left w:val="single" w:color="auto" w:sz="4" w:space="0"/>
              <w:bottom w:val="single" w:color="auto" w:sz="4" w:space="0"/>
              <w:right w:val="single" w:color="auto" w:sz="4" w:space="0"/>
            </w:tcBorders>
            <w:vAlign w:val="center"/>
          </w:tcPr>
          <w:p w14:paraId="2ACD3F3F">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在满足招标文件免费质保年限（2年）要求的基础上，每延长免费质保期半年得1分，最高得2分。出具质保承诺函（格式自拟），未提供不得分。</w:t>
            </w:r>
          </w:p>
        </w:tc>
        <w:tc>
          <w:tcPr>
            <w:tcW w:w="940" w:type="dxa"/>
            <w:tcBorders>
              <w:top w:val="single" w:color="auto" w:sz="4" w:space="0"/>
              <w:left w:val="single" w:color="auto" w:sz="4" w:space="0"/>
              <w:bottom w:val="single" w:color="auto" w:sz="4" w:space="0"/>
              <w:right w:val="single" w:color="auto" w:sz="4" w:space="0"/>
            </w:tcBorders>
            <w:vAlign w:val="center"/>
          </w:tcPr>
          <w:p w14:paraId="2660BA95">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r>
      <w:tr w14:paraId="71386929">
        <w:tblPrEx>
          <w:tblCellMar>
            <w:top w:w="0" w:type="dxa"/>
            <w:left w:w="108" w:type="dxa"/>
            <w:bottom w:w="0" w:type="dxa"/>
            <w:right w:w="108" w:type="dxa"/>
          </w:tblCellMar>
        </w:tblPrEx>
        <w:trPr>
          <w:trHeight w:val="1134" w:hRule="atLeast"/>
          <w:jc w:val="center"/>
        </w:trPr>
        <w:tc>
          <w:tcPr>
            <w:tcW w:w="835" w:type="dxa"/>
            <w:tcBorders>
              <w:top w:val="single" w:color="auto" w:sz="4" w:space="0"/>
              <w:left w:val="single" w:color="auto" w:sz="4" w:space="0"/>
              <w:bottom w:val="single" w:color="auto" w:sz="4" w:space="0"/>
              <w:right w:val="single" w:color="auto" w:sz="4" w:space="0"/>
            </w:tcBorders>
            <w:vAlign w:val="center"/>
          </w:tcPr>
          <w:p w14:paraId="004166A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11</w:t>
            </w:r>
          </w:p>
        </w:tc>
        <w:tc>
          <w:tcPr>
            <w:tcW w:w="1656" w:type="dxa"/>
            <w:tcBorders>
              <w:top w:val="single" w:color="auto" w:sz="4" w:space="0"/>
              <w:left w:val="single" w:color="auto" w:sz="4" w:space="0"/>
              <w:bottom w:val="single" w:color="auto" w:sz="4" w:space="0"/>
              <w:right w:val="single" w:color="auto" w:sz="4" w:space="0"/>
            </w:tcBorders>
            <w:vAlign w:val="center"/>
          </w:tcPr>
          <w:p w14:paraId="4CEF87FB">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合理化建议</w:t>
            </w:r>
          </w:p>
        </w:tc>
        <w:tc>
          <w:tcPr>
            <w:tcW w:w="6288" w:type="dxa"/>
            <w:tcBorders>
              <w:top w:val="single" w:color="auto" w:sz="4" w:space="0"/>
              <w:left w:val="single" w:color="auto" w:sz="4" w:space="0"/>
              <w:bottom w:val="single" w:color="auto" w:sz="4" w:space="0"/>
              <w:right w:val="single" w:color="auto" w:sz="4" w:space="0"/>
            </w:tcBorders>
            <w:vAlign w:val="center"/>
          </w:tcPr>
          <w:p w14:paraId="46609CB7">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根据投标人提供的合理化建议是否切合项目本身的需求。逐条列出，每条确有利于项目实施的优惠措施得2分，最高得4分</w:t>
            </w:r>
          </w:p>
        </w:tc>
        <w:tc>
          <w:tcPr>
            <w:tcW w:w="940" w:type="dxa"/>
            <w:tcBorders>
              <w:top w:val="single" w:color="auto" w:sz="4" w:space="0"/>
              <w:left w:val="single" w:color="auto" w:sz="4" w:space="0"/>
              <w:bottom w:val="single" w:color="auto" w:sz="4" w:space="0"/>
              <w:right w:val="single" w:color="auto" w:sz="4" w:space="0"/>
            </w:tcBorders>
            <w:vAlign w:val="center"/>
          </w:tcPr>
          <w:p w14:paraId="6E12931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r>
    </w:tbl>
    <w:p w14:paraId="756BB3BF">
      <w:pPr>
        <w:keepNext w:val="0"/>
        <w:keepLines w:val="0"/>
        <w:pageBreakBefore w:val="0"/>
        <w:kinsoku/>
        <w:wordWrap w:val="0"/>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3472332C">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30 </w:t>
      </w:r>
      <w:r>
        <w:rPr>
          <w:rFonts w:hint="eastAsia" w:ascii="仿宋" w:hAnsi="仿宋" w:eastAsia="仿宋" w:cs="仿宋"/>
          <w:b/>
          <w:bCs/>
          <w:iCs/>
          <w:color w:val="auto"/>
          <w:sz w:val="24"/>
          <w:highlight w:val="none"/>
        </w:rPr>
        <w:t>分）</w:t>
      </w:r>
    </w:p>
    <w:p w14:paraId="7807C66C">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46483864">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314C39E">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7F79B274">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30 </w:t>
      </w:r>
    </w:p>
    <w:bookmarkEnd w:id="41"/>
    <w:bookmarkEnd w:id="42"/>
    <w:p w14:paraId="7DAD4ADB">
      <w:pPr>
        <w:pageBreakBefore/>
        <w:widowControl/>
        <w:kinsoku/>
        <w:wordWrap w:val="0"/>
        <w:overflowPunct/>
        <w:topLinePunct w:val="0"/>
        <w:bidi w:val="0"/>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1328E7E2">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14:paraId="6DE2F8D2">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1E909E81">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0906B8F">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14:paraId="726D0FF8">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29B23DFB">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C56BE96">
      <w:pPr>
        <w:pStyle w:val="23"/>
        <w:kinsoku/>
        <w:wordWrap w:val="0"/>
        <w:overflowPunct/>
        <w:topLinePunct w:val="0"/>
        <w:bidi w:val="0"/>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645B5B2D">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10CE0AFB">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50568FCF">
      <w:pPr>
        <w:kinsoku/>
        <w:wordWrap w:val="0"/>
        <w:overflowPunct/>
        <w:topLinePunct w:val="0"/>
        <w:bidi w:val="0"/>
        <w:snapToGrid w:val="0"/>
        <w:spacing w:line="360" w:lineRule="auto"/>
        <w:rPr>
          <w:rFonts w:hint="eastAsia" w:ascii="仿宋" w:hAnsi="仿宋" w:eastAsia="仿宋" w:cs="仿宋"/>
          <w:color w:val="auto"/>
          <w:sz w:val="24"/>
          <w:highlight w:val="none"/>
        </w:rPr>
      </w:pPr>
    </w:p>
    <w:p w14:paraId="2B49C0CC">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p>
    <w:p w14:paraId="2B903176">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14:paraId="00EC7CA3">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6B660817">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绍兴市殡仪馆</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浙江华夏工程管理有限公司</w:t>
      </w:r>
      <w:r>
        <w:rPr>
          <w:rFonts w:hint="eastAsia" w:ascii="仿宋" w:hAnsi="仿宋" w:eastAsia="仿宋" w:cs="仿宋"/>
          <w:color w:val="auto"/>
          <w:sz w:val="24"/>
          <w:highlight w:val="none"/>
        </w:rPr>
        <w:t>：</w:t>
      </w:r>
    </w:p>
    <w:p w14:paraId="3161269A">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绍兴市殡仪馆火化设备（含后处理等配套设施）采购项目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CGSHZJ-2025-N001123</w:t>
      </w:r>
      <w:r>
        <w:rPr>
          <w:rFonts w:hint="eastAsia" w:ascii="仿宋" w:hAnsi="仿宋" w:eastAsia="仿宋" w:cs="仿宋"/>
          <w:color w:val="auto"/>
          <w:sz w:val="24"/>
          <w:highlight w:val="none"/>
        </w:rPr>
        <w:t>】政府采购活动，郑重承诺：</w:t>
      </w:r>
    </w:p>
    <w:p w14:paraId="71FAFDD0">
      <w:pPr>
        <w:kinsoku/>
        <w:wordWrap w:val="0"/>
        <w:overflowPunct/>
        <w:topLinePunct w:val="0"/>
        <w:bidi w:val="0"/>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3A8BB99E">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A764901">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6467C84F">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AC24464">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22EC9A4">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7C940F49">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4E44B8D8">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71153EB4">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0B36AEE4">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D689614">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205AE799">
      <w:pPr>
        <w:kinsoku/>
        <w:wordWrap w:val="0"/>
        <w:overflowPunct/>
        <w:topLinePunct w:val="0"/>
        <w:bidi w:val="0"/>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11D5F65F">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6E71A4B7">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51190720">
      <w:pPr>
        <w:pageBreakBefore/>
        <w:widowControl/>
        <w:kinsoku/>
        <w:wordWrap w:val="0"/>
        <w:overflowPunct/>
        <w:topLinePunct w:val="0"/>
        <w:bidi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59A19F41">
      <w:pPr>
        <w:widowControl/>
        <w:kinsoku/>
        <w:wordWrap w:val="0"/>
        <w:overflowPunct/>
        <w:topLinePunct w:val="0"/>
        <w:bidi w:val="0"/>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620C7313">
      <w:pPr>
        <w:pStyle w:val="81"/>
        <w:kinsoku/>
        <w:wordWrap w:val="0"/>
        <w:overflowPunct/>
        <w:topLinePunct w:val="0"/>
        <w:bidi w:val="0"/>
        <w:rPr>
          <w:rFonts w:hint="eastAsia"/>
          <w:color w:val="auto"/>
          <w:highlight w:val="none"/>
        </w:rPr>
      </w:pPr>
    </w:p>
    <w:p w14:paraId="55189111">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672953D9">
      <w:pPr>
        <w:widowControl/>
        <w:kinsoku/>
        <w:wordWrap w:val="0"/>
        <w:overflowPunct/>
        <w:topLinePunct w:val="0"/>
        <w:bidi w:val="0"/>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4B320245">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3E873A5B">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4ADD6858">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021F75AA">
      <w:pPr>
        <w:kinsoku/>
        <w:wordWrap w:val="0"/>
        <w:overflowPunct/>
        <w:topLinePunct w:val="0"/>
        <w:bidi w:val="0"/>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75219549">
      <w:pPr>
        <w:widowControl/>
        <w:kinsoku/>
        <w:wordWrap w:val="0"/>
        <w:overflowPunct/>
        <w:topLinePunct w:val="0"/>
        <w:bidi w:val="0"/>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7611D101">
      <w:pPr>
        <w:kinsoku/>
        <w:wordWrap w:val="0"/>
        <w:overflowPunct/>
        <w:topLinePunct w:val="0"/>
        <w:bidi w:val="0"/>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0BE1B8D6">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p>
    <w:p w14:paraId="13969912">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05ADCE6D">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FA33BFB">
      <w:pPr>
        <w:pageBreakBefore/>
        <w:kinsoku/>
        <w:wordWrap w:val="0"/>
        <w:overflowPunct/>
        <w:topLinePunct w:val="0"/>
        <w:bidi w:val="0"/>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688504F">
      <w:pPr>
        <w:kinsoku/>
        <w:wordWrap w:val="0"/>
        <w:overflowPunct/>
        <w:topLinePunct w:val="0"/>
        <w:bidi w:val="0"/>
        <w:spacing w:line="336" w:lineRule="auto"/>
        <w:jc w:val="center"/>
        <w:outlineLvl w:val="0"/>
        <w:rPr>
          <w:rFonts w:ascii="仿宋" w:hAnsi="仿宋" w:eastAsia="仿宋" w:cs="仿宋"/>
          <w:b/>
          <w:color w:val="auto"/>
          <w:kern w:val="0"/>
          <w:sz w:val="24"/>
          <w:highlight w:val="none"/>
        </w:rPr>
      </w:pPr>
    </w:p>
    <w:p w14:paraId="0B5DBA78">
      <w:pPr>
        <w:kinsoku/>
        <w:wordWrap w:val="0"/>
        <w:overflowPunct/>
        <w:topLinePunct w:val="0"/>
        <w:bidi w:val="0"/>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0D4E882">
      <w:pPr>
        <w:pStyle w:val="906"/>
        <w:numPr>
          <w:ilvl w:val="0"/>
          <w:numId w:val="6"/>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2F4130AC">
      <w:pPr>
        <w:pStyle w:val="906"/>
        <w:numPr>
          <w:ilvl w:val="0"/>
          <w:numId w:val="6"/>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w:t>
      </w:r>
      <w:r>
        <w:rPr>
          <w:rFonts w:hint="eastAsia" w:ascii="仿宋" w:eastAsia="仿宋" w:cs="仿宋"/>
          <w:color w:val="auto"/>
          <w:highlight w:val="none"/>
          <w:lang w:eastAsia="zh-CN"/>
        </w:rPr>
        <w:t>委托</w:t>
      </w:r>
      <w:r>
        <w:rPr>
          <w:rFonts w:hint="eastAsia" w:ascii="仿宋" w:eastAsia="仿宋" w:cs="仿宋"/>
          <w:color w:val="auto"/>
          <w:highlight w:val="none"/>
        </w:rPr>
        <w:t>书 …………………………………………………… （页码）</w:t>
      </w:r>
    </w:p>
    <w:p w14:paraId="03390448">
      <w:pPr>
        <w:pStyle w:val="906"/>
        <w:numPr>
          <w:ilvl w:val="0"/>
          <w:numId w:val="6"/>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259F87E2">
      <w:pPr>
        <w:pStyle w:val="906"/>
        <w:numPr>
          <w:ilvl w:val="0"/>
          <w:numId w:val="6"/>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授权代表社保证明…………………………………………………………… （页码）</w:t>
      </w:r>
    </w:p>
    <w:p w14:paraId="288F1EB8">
      <w:pPr>
        <w:pStyle w:val="906"/>
        <w:numPr>
          <w:ilvl w:val="0"/>
          <w:numId w:val="6"/>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14:paraId="662BBC5E">
      <w:pPr>
        <w:pStyle w:val="906"/>
        <w:numPr>
          <w:ilvl w:val="0"/>
          <w:numId w:val="6"/>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14:paraId="6E0576E3">
      <w:pPr>
        <w:pStyle w:val="906"/>
        <w:numPr>
          <w:ilvl w:val="0"/>
          <w:numId w:val="6"/>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41428907">
      <w:pPr>
        <w:kinsoku/>
        <w:wordWrap w:val="0"/>
        <w:overflowPunct/>
        <w:topLinePunct w:val="0"/>
        <w:bidi w:val="0"/>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1A306BB2">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0DDECC4">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5E68FBE6">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6889D0A9">
      <w:pPr>
        <w:kinsoku/>
        <w:wordWrap w:val="0"/>
        <w:overflowPunct/>
        <w:topLinePunct w:val="0"/>
        <w:bidi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w:t>
      </w:r>
      <w:r>
        <w:rPr>
          <w:rFonts w:hint="default" w:ascii="仿宋" w:hAnsi="仿宋" w:eastAsia="仿宋" w:cs="仿宋"/>
          <w:color w:val="auto"/>
          <w:sz w:val="24"/>
          <w:highlight w:val="none"/>
          <w:lang w:val="en-US"/>
        </w:rPr>
        <w:t xml:space="preserve">  </w:t>
      </w:r>
      <w:r>
        <w:rPr>
          <w:rFonts w:hint="eastAsia" w:ascii="仿宋" w:hAnsi="仿宋" w:eastAsia="仿宋" w:cs="仿宋"/>
          <w:color w:val="auto"/>
          <w:sz w:val="24"/>
          <w:highlight w:val="none"/>
        </w:rPr>
        <w:t>（页码）</w:t>
      </w:r>
    </w:p>
    <w:p w14:paraId="59D17F84">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0BF9C747">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7841B3FF">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5813B5F2">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3CE2662E">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6B3C5EF2">
      <w:pPr>
        <w:kinsoku/>
        <w:wordWrap w:val="0"/>
        <w:overflowPunct/>
        <w:topLinePunct w:val="0"/>
        <w:bidi w:val="0"/>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09E9D649">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14:paraId="289EF645">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14:paraId="231F622C">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14:paraId="5133AD21">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14:paraId="2F3DE359">
      <w:pPr>
        <w:pageBreakBefore/>
        <w:kinsoku/>
        <w:wordWrap w:val="0"/>
        <w:overflowPunct/>
        <w:topLinePunct w:val="0"/>
        <w:bidi w:val="0"/>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434E6394">
      <w:pPr>
        <w:pStyle w:val="397"/>
        <w:keepNext w:val="0"/>
        <w:keepLines w:val="0"/>
        <w:pageBreakBefore w:val="0"/>
        <w:kinsoku/>
        <w:wordWrap w:val="0"/>
        <w:overflowPunct/>
        <w:topLinePunct w:val="0"/>
        <w:autoSpaceDE/>
        <w:autoSpaceDN/>
        <w:bidi w:val="0"/>
        <w:spacing w:after="0" w:line="336" w:lineRule="auto"/>
        <w:ind w:firstLine="0" w:firstLineChars="0"/>
        <w:textAlignment w:val="auto"/>
        <w:rPr>
          <w:rFonts w:hint="default" w:ascii="仿宋" w:hAnsi="仿宋" w:eastAsia="仿宋_GB2312"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_GB2312" w:hAnsi="仿宋" w:eastAsia="仿宋_GB2312" w:cs="仿宋"/>
          <w:color w:val="auto"/>
          <w:szCs w:val="24"/>
          <w:highlight w:val="none"/>
          <w:u w:val="single"/>
          <w:lang w:eastAsia="zh-CN"/>
        </w:rPr>
        <w:t>绍兴市殡仪馆</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u w:val="single"/>
          <w:lang w:val="en-US" w:eastAsia="zh-CN"/>
        </w:rPr>
        <w:t>浙江华夏工程管理有限公司</w:t>
      </w:r>
    </w:p>
    <w:p w14:paraId="3EB89EE9">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399029B2">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09274CFA">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1432BF16">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6BFF8F7A">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4E5CC563">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66DDCEF7">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68519222">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91EC0FE">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6F7E5FC6">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2C9A676D">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1EE2FE07">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59F2ED0C">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3A81F0BA">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0C3EDB7D">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2A0EE597">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3FB3D848">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2BBF29CC">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74EEEBD7">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1BBB3A9F">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08DEC84A">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0E38894F">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p>
    <w:p w14:paraId="2C2FA1C7">
      <w:pPr>
        <w:kinsoku/>
        <w:wordWrap w:val="0"/>
        <w:overflowPunct/>
        <w:topLinePunct w:val="0"/>
        <w:bidi w:val="0"/>
        <w:snapToGrid w:val="0"/>
        <w:spacing w:line="360" w:lineRule="auto"/>
        <w:rPr>
          <w:rFonts w:hint="eastAsia" w:ascii="仿宋" w:hAnsi="仿宋" w:eastAsia="仿宋" w:cs="仿宋"/>
          <w:color w:val="auto"/>
          <w:sz w:val="24"/>
          <w:highlight w:val="none"/>
        </w:rPr>
      </w:pPr>
    </w:p>
    <w:p w14:paraId="020CD8A3">
      <w:pPr>
        <w:kinsoku/>
        <w:wordWrap w:val="0"/>
        <w:overflowPunct/>
        <w:topLinePunct w:val="0"/>
        <w:bidi w:val="0"/>
        <w:jc w:val="center"/>
        <w:rPr>
          <w:rFonts w:hint="eastAsia" w:ascii="仿宋" w:hAnsi="仿宋" w:eastAsia="仿宋" w:cs="仿宋"/>
          <w:b/>
          <w:color w:val="auto"/>
          <w:kern w:val="0"/>
          <w:sz w:val="32"/>
          <w:szCs w:val="32"/>
          <w:highlight w:val="none"/>
        </w:rPr>
      </w:pPr>
    </w:p>
    <w:p w14:paraId="629887BD">
      <w:pPr>
        <w:kinsoku/>
        <w:wordWrap w:val="0"/>
        <w:overflowPunct/>
        <w:topLinePunct w:val="0"/>
        <w:bidi w:val="0"/>
        <w:jc w:val="center"/>
        <w:rPr>
          <w:rFonts w:hint="eastAsia" w:ascii="仿宋" w:hAnsi="仿宋" w:eastAsia="仿宋" w:cs="仿宋"/>
          <w:b/>
          <w:color w:val="auto"/>
          <w:kern w:val="0"/>
          <w:sz w:val="32"/>
          <w:szCs w:val="32"/>
          <w:highlight w:val="none"/>
        </w:rPr>
      </w:pPr>
    </w:p>
    <w:p w14:paraId="648A709D">
      <w:pPr>
        <w:kinsoku/>
        <w:wordWrap w:val="0"/>
        <w:overflowPunct/>
        <w:topLinePunct w:val="0"/>
        <w:bidi w:val="0"/>
        <w:jc w:val="center"/>
        <w:rPr>
          <w:rFonts w:hint="eastAsia" w:ascii="仿宋" w:hAnsi="仿宋" w:eastAsia="仿宋" w:cs="仿宋"/>
          <w:b/>
          <w:color w:val="auto"/>
          <w:kern w:val="0"/>
          <w:sz w:val="32"/>
          <w:szCs w:val="32"/>
          <w:highlight w:val="none"/>
        </w:rPr>
      </w:pPr>
    </w:p>
    <w:p w14:paraId="17EB669D">
      <w:pPr>
        <w:kinsoku/>
        <w:wordWrap w:val="0"/>
        <w:overflowPunct/>
        <w:topLinePunct w:val="0"/>
        <w:bidi w:val="0"/>
        <w:jc w:val="center"/>
        <w:rPr>
          <w:rFonts w:hint="eastAsia" w:ascii="仿宋" w:hAnsi="仿宋" w:eastAsia="仿宋" w:cs="仿宋"/>
          <w:b/>
          <w:color w:val="auto"/>
          <w:kern w:val="0"/>
          <w:sz w:val="32"/>
          <w:szCs w:val="32"/>
          <w:highlight w:val="none"/>
        </w:rPr>
      </w:pPr>
    </w:p>
    <w:p w14:paraId="0CF236A1">
      <w:pPr>
        <w:kinsoku/>
        <w:wordWrap w:val="0"/>
        <w:overflowPunct/>
        <w:topLinePunct w:val="0"/>
        <w:bidi w:val="0"/>
        <w:jc w:val="center"/>
        <w:rPr>
          <w:rFonts w:hint="eastAsia" w:ascii="仿宋" w:hAnsi="仿宋" w:eastAsia="仿宋" w:cs="仿宋"/>
          <w:b/>
          <w:color w:val="auto"/>
          <w:kern w:val="0"/>
          <w:sz w:val="32"/>
          <w:szCs w:val="32"/>
          <w:highlight w:val="none"/>
        </w:rPr>
      </w:pPr>
    </w:p>
    <w:p w14:paraId="15184993">
      <w:pPr>
        <w:kinsoku/>
        <w:wordWrap w:val="0"/>
        <w:overflowPunct/>
        <w:topLinePunct w:val="0"/>
        <w:bidi w:val="0"/>
        <w:jc w:val="center"/>
        <w:rPr>
          <w:rFonts w:hint="eastAsia" w:ascii="仿宋" w:hAnsi="仿宋" w:eastAsia="仿宋" w:cs="仿宋"/>
          <w:b/>
          <w:color w:val="auto"/>
          <w:kern w:val="0"/>
          <w:sz w:val="32"/>
          <w:szCs w:val="32"/>
          <w:highlight w:val="none"/>
        </w:rPr>
      </w:pPr>
    </w:p>
    <w:p w14:paraId="2E745FA9">
      <w:pPr>
        <w:kinsoku/>
        <w:wordWrap w:val="0"/>
        <w:overflowPunct/>
        <w:topLinePunct w:val="0"/>
        <w:bidi w:val="0"/>
        <w:jc w:val="center"/>
        <w:rPr>
          <w:rFonts w:hint="eastAsia" w:ascii="仿宋" w:hAnsi="仿宋" w:eastAsia="仿宋" w:cs="仿宋"/>
          <w:b/>
          <w:color w:val="auto"/>
          <w:kern w:val="0"/>
          <w:sz w:val="32"/>
          <w:szCs w:val="32"/>
          <w:highlight w:val="none"/>
        </w:rPr>
      </w:pPr>
    </w:p>
    <w:p w14:paraId="762299CA">
      <w:pPr>
        <w:kinsoku/>
        <w:wordWrap w:val="0"/>
        <w:overflowPunct/>
        <w:topLinePunct w:val="0"/>
        <w:bidi w:val="0"/>
        <w:jc w:val="center"/>
        <w:rPr>
          <w:rFonts w:hint="eastAsia" w:ascii="仿宋" w:hAnsi="仿宋" w:eastAsia="仿宋" w:cs="仿宋"/>
          <w:b/>
          <w:color w:val="auto"/>
          <w:kern w:val="0"/>
          <w:sz w:val="32"/>
          <w:szCs w:val="32"/>
          <w:highlight w:val="none"/>
        </w:rPr>
      </w:pPr>
    </w:p>
    <w:p w14:paraId="3F127DB7">
      <w:pPr>
        <w:kinsoku/>
        <w:wordWrap w:val="0"/>
        <w:overflowPunct/>
        <w:topLinePunct w:val="0"/>
        <w:bidi w:val="0"/>
        <w:jc w:val="center"/>
        <w:rPr>
          <w:rFonts w:hint="eastAsia" w:ascii="仿宋" w:hAnsi="仿宋" w:eastAsia="仿宋" w:cs="仿宋"/>
          <w:b/>
          <w:color w:val="auto"/>
          <w:kern w:val="0"/>
          <w:sz w:val="32"/>
          <w:szCs w:val="32"/>
          <w:highlight w:val="none"/>
        </w:rPr>
      </w:pPr>
    </w:p>
    <w:p w14:paraId="2205FA04">
      <w:pPr>
        <w:kinsoku/>
        <w:wordWrap w:val="0"/>
        <w:overflowPunct/>
        <w:topLinePunct w:val="0"/>
        <w:bidi w:val="0"/>
        <w:jc w:val="center"/>
        <w:rPr>
          <w:rFonts w:hint="eastAsia" w:ascii="仿宋" w:hAnsi="仿宋" w:eastAsia="仿宋" w:cs="仿宋"/>
          <w:b/>
          <w:color w:val="auto"/>
          <w:kern w:val="0"/>
          <w:sz w:val="32"/>
          <w:szCs w:val="32"/>
          <w:highlight w:val="none"/>
        </w:rPr>
      </w:pPr>
    </w:p>
    <w:p w14:paraId="21C65031">
      <w:pPr>
        <w:kinsoku/>
        <w:wordWrap w:val="0"/>
        <w:overflowPunct/>
        <w:topLinePunct w:val="0"/>
        <w:bidi w:val="0"/>
        <w:jc w:val="center"/>
        <w:rPr>
          <w:rFonts w:hint="eastAsia" w:ascii="仿宋" w:hAnsi="仿宋" w:eastAsia="仿宋" w:cs="仿宋"/>
          <w:b/>
          <w:color w:val="auto"/>
          <w:kern w:val="0"/>
          <w:sz w:val="32"/>
          <w:szCs w:val="32"/>
          <w:highlight w:val="none"/>
        </w:rPr>
      </w:pPr>
    </w:p>
    <w:p w14:paraId="5EEDB68C">
      <w:pPr>
        <w:kinsoku/>
        <w:wordWrap w:val="0"/>
        <w:overflowPunct/>
        <w:topLinePunct w:val="0"/>
        <w:bidi w:val="0"/>
        <w:jc w:val="center"/>
        <w:rPr>
          <w:rFonts w:hint="eastAsia" w:ascii="仿宋" w:hAnsi="仿宋" w:eastAsia="仿宋" w:cs="仿宋"/>
          <w:b/>
          <w:color w:val="auto"/>
          <w:kern w:val="0"/>
          <w:sz w:val="32"/>
          <w:szCs w:val="32"/>
          <w:highlight w:val="none"/>
        </w:rPr>
      </w:pPr>
    </w:p>
    <w:p w14:paraId="77D169E4">
      <w:pPr>
        <w:kinsoku/>
        <w:wordWrap w:val="0"/>
        <w:overflowPunct/>
        <w:topLinePunct w:val="0"/>
        <w:bidi w:val="0"/>
        <w:jc w:val="center"/>
        <w:rPr>
          <w:rFonts w:hint="eastAsia" w:ascii="仿宋" w:hAnsi="仿宋" w:eastAsia="仿宋" w:cs="仿宋"/>
          <w:b/>
          <w:color w:val="auto"/>
          <w:kern w:val="0"/>
          <w:sz w:val="32"/>
          <w:szCs w:val="32"/>
          <w:highlight w:val="none"/>
        </w:rPr>
      </w:pPr>
    </w:p>
    <w:p w14:paraId="64529A97">
      <w:pPr>
        <w:kinsoku/>
        <w:wordWrap w:val="0"/>
        <w:overflowPunct/>
        <w:topLinePunct w:val="0"/>
        <w:bidi w:val="0"/>
        <w:jc w:val="center"/>
        <w:rPr>
          <w:rFonts w:hint="eastAsia" w:ascii="仿宋" w:hAnsi="仿宋" w:eastAsia="仿宋" w:cs="仿宋"/>
          <w:b/>
          <w:color w:val="auto"/>
          <w:kern w:val="0"/>
          <w:sz w:val="32"/>
          <w:szCs w:val="32"/>
          <w:highlight w:val="none"/>
        </w:rPr>
      </w:pPr>
    </w:p>
    <w:p w14:paraId="70C17322">
      <w:pPr>
        <w:kinsoku/>
        <w:wordWrap w:val="0"/>
        <w:overflowPunct/>
        <w:topLinePunct w:val="0"/>
        <w:bidi w:val="0"/>
        <w:jc w:val="center"/>
        <w:rPr>
          <w:rFonts w:hint="eastAsia" w:ascii="仿宋" w:hAnsi="仿宋" w:eastAsia="仿宋" w:cs="仿宋"/>
          <w:b/>
          <w:color w:val="auto"/>
          <w:kern w:val="0"/>
          <w:sz w:val="32"/>
          <w:szCs w:val="32"/>
          <w:highlight w:val="none"/>
        </w:rPr>
      </w:pPr>
    </w:p>
    <w:p w14:paraId="71210C87">
      <w:pPr>
        <w:kinsoku/>
        <w:wordWrap w:val="0"/>
        <w:overflowPunct/>
        <w:topLinePunct w:val="0"/>
        <w:bidi w:val="0"/>
        <w:jc w:val="center"/>
        <w:rPr>
          <w:rFonts w:hint="eastAsia" w:ascii="仿宋" w:hAnsi="仿宋" w:eastAsia="仿宋" w:cs="仿宋"/>
          <w:b/>
          <w:color w:val="auto"/>
          <w:kern w:val="0"/>
          <w:sz w:val="32"/>
          <w:szCs w:val="32"/>
          <w:highlight w:val="none"/>
        </w:rPr>
      </w:pPr>
    </w:p>
    <w:p w14:paraId="74717922">
      <w:pPr>
        <w:kinsoku/>
        <w:wordWrap w:val="0"/>
        <w:overflowPunct/>
        <w:topLinePunct w:val="0"/>
        <w:bidi w:val="0"/>
        <w:jc w:val="center"/>
        <w:rPr>
          <w:rFonts w:hint="eastAsia" w:ascii="仿宋" w:hAnsi="仿宋" w:eastAsia="仿宋" w:cs="仿宋"/>
          <w:b/>
          <w:color w:val="auto"/>
          <w:kern w:val="0"/>
          <w:sz w:val="32"/>
          <w:szCs w:val="32"/>
          <w:highlight w:val="none"/>
        </w:rPr>
      </w:pPr>
    </w:p>
    <w:p w14:paraId="74734379">
      <w:pPr>
        <w:kinsoku/>
        <w:wordWrap w:val="0"/>
        <w:overflowPunct/>
        <w:topLinePunct w:val="0"/>
        <w:bidi w:val="0"/>
        <w:jc w:val="center"/>
        <w:rPr>
          <w:rFonts w:hint="eastAsia" w:ascii="仿宋" w:hAnsi="仿宋" w:eastAsia="仿宋" w:cs="仿宋"/>
          <w:b/>
          <w:color w:val="auto"/>
          <w:kern w:val="0"/>
          <w:sz w:val="32"/>
          <w:szCs w:val="32"/>
          <w:highlight w:val="none"/>
        </w:rPr>
      </w:pPr>
    </w:p>
    <w:p w14:paraId="7EFBC307">
      <w:pPr>
        <w:kinsoku/>
        <w:wordWrap w:val="0"/>
        <w:overflowPunct/>
        <w:topLinePunct w:val="0"/>
        <w:bidi w:val="0"/>
        <w:jc w:val="center"/>
        <w:rPr>
          <w:rFonts w:hint="eastAsia" w:ascii="仿宋" w:hAnsi="仿宋" w:eastAsia="仿宋" w:cs="仿宋"/>
          <w:b/>
          <w:color w:val="auto"/>
          <w:kern w:val="0"/>
          <w:sz w:val="32"/>
          <w:szCs w:val="32"/>
          <w:highlight w:val="none"/>
        </w:rPr>
      </w:pPr>
    </w:p>
    <w:p w14:paraId="1D0FB312">
      <w:pPr>
        <w:pageBreakBefore/>
        <w:widowControl/>
        <w:kinsoku/>
        <w:wordWrap w:val="0"/>
        <w:overflowPunct/>
        <w:topLinePunct w:val="0"/>
        <w:bidi w:val="0"/>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44E81AD7">
      <w:pPr>
        <w:kinsoku/>
        <w:wordWrap w:val="0"/>
        <w:overflowPunct/>
        <w:topLinePunct w:val="0"/>
        <w:bidi w:val="0"/>
        <w:jc w:val="center"/>
        <w:rPr>
          <w:rFonts w:hint="eastAsia" w:ascii="仿宋" w:hAnsi="仿宋" w:eastAsia="仿宋" w:cs="仿宋"/>
          <w:b/>
          <w:color w:val="auto"/>
          <w:sz w:val="24"/>
          <w:highlight w:val="none"/>
        </w:rPr>
      </w:pPr>
    </w:p>
    <w:p w14:paraId="2A3F4671">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绍兴市殡仪馆、浙江华夏工程管理有限公司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绍兴市殡仪馆火化设备（含后处理等配套设施）采购项目（招标编号:CGSHZJ-2025-N001123）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BD49D5D">
      <w:pPr>
        <w:kinsoku/>
        <w:wordWrap w:val="0"/>
        <w:overflowPunct/>
        <w:topLinePunct w:val="0"/>
        <w:bidi w:val="0"/>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A3ECD29">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B01FEDA">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14:paraId="1EF05940">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9984AB9">
      <w:pPr>
        <w:kinsoku/>
        <w:wordWrap w:val="0"/>
        <w:overflowPunct/>
        <w:topLinePunct w:val="0"/>
        <w:bidi w:val="0"/>
        <w:spacing w:line="360" w:lineRule="exact"/>
        <w:rPr>
          <w:rFonts w:hint="eastAsia" w:ascii="仿宋" w:hAnsi="仿宋" w:eastAsia="仿宋" w:cs="仿宋"/>
          <w:color w:val="auto"/>
          <w:sz w:val="24"/>
          <w:highlight w:val="none"/>
        </w:rPr>
      </w:pPr>
    </w:p>
    <w:p w14:paraId="73489F42">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36DD0E4">
      <w:pPr>
        <w:kinsoku/>
        <w:wordWrap w:val="0"/>
        <w:overflowPunct/>
        <w:topLinePunct w:val="0"/>
        <w:bidi w:val="0"/>
        <w:spacing w:line="360" w:lineRule="exact"/>
        <w:rPr>
          <w:rFonts w:hint="eastAsia" w:ascii="仿宋" w:hAnsi="仿宋" w:eastAsia="仿宋" w:cs="仿宋"/>
          <w:color w:val="auto"/>
          <w:sz w:val="24"/>
          <w:highlight w:val="none"/>
        </w:rPr>
      </w:pPr>
    </w:p>
    <w:p w14:paraId="5345CF02">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53EBE6E">
      <w:pPr>
        <w:kinsoku/>
        <w:wordWrap w:val="0"/>
        <w:overflowPunct/>
        <w:topLinePunct w:val="0"/>
        <w:bidi w:val="0"/>
        <w:spacing w:line="360" w:lineRule="exact"/>
        <w:rPr>
          <w:rFonts w:hint="eastAsia" w:ascii="仿宋" w:hAnsi="仿宋" w:eastAsia="仿宋" w:cs="仿宋"/>
          <w:color w:val="auto"/>
          <w:sz w:val="24"/>
          <w:highlight w:val="none"/>
        </w:rPr>
      </w:pPr>
    </w:p>
    <w:p w14:paraId="56C844D2">
      <w:pPr>
        <w:kinsoku/>
        <w:wordWrap w:val="0"/>
        <w:overflowPunct/>
        <w:topLinePunct w:val="0"/>
        <w:bidi w:val="0"/>
        <w:spacing w:line="360" w:lineRule="exact"/>
        <w:rPr>
          <w:rFonts w:hint="eastAsia" w:ascii="仿宋" w:hAnsi="仿宋" w:eastAsia="仿宋" w:cs="仿宋"/>
          <w:color w:val="auto"/>
          <w:sz w:val="24"/>
          <w:highlight w:val="none"/>
        </w:rPr>
      </w:pPr>
    </w:p>
    <w:p w14:paraId="0535A17C">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1B86CC69">
      <w:pPr>
        <w:kinsoku/>
        <w:wordWrap w:val="0"/>
        <w:overflowPunct/>
        <w:topLinePunct w:val="0"/>
        <w:bidi w:val="0"/>
        <w:spacing w:line="360" w:lineRule="exact"/>
        <w:rPr>
          <w:rFonts w:hint="eastAsia" w:ascii="仿宋" w:hAnsi="仿宋" w:eastAsia="仿宋" w:cs="仿宋"/>
          <w:color w:val="auto"/>
          <w:sz w:val="24"/>
          <w:highlight w:val="none"/>
        </w:rPr>
      </w:pPr>
    </w:p>
    <w:p w14:paraId="0CC68DC7">
      <w:pPr>
        <w:kinsoku/>
        <w:wordWrap w:val="0"/>
        <w:overflowPunct/>
        <w:topLinePunct w:val="0"/>
        <w:bidi w:val="0"/>
        <w:spacing w:line="360" w:lineRule="exact"/>
        <w:rPr>
          <w:rFonts w:hint="eastAsia" w:ascii="仿宋" w:hAnsi="仿宋" w:eastAsia="仿宋" w:cs="仿宋"/>
          <w:color w:val="auto"/>
          <w:sz w:val="24"/>
          <w:highlight w:val="none"/>
        </w:rPr>
      </w:pPr>
    </w:p>
    <w:p w14:paraId="531E6A98">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7A3593A7">
      <w:pPr>
        <w:kinsoku/>
        <w:wordWrap w:val="0"/>
        <w:overflowPunct/>
        <w:topLinePunct w:val="0"/>
        <w:bidi w:val="0"/>
        <w:spacing w:line="360" w:lineRule="exact"/>
        <w:rPr>
          <w:rFonts w:hint="eastAsia" w:ascii="仿宋" w:hAnsi="仿宋" w:eastAsia="仿宋" w:cs="仿宋"/>
          <w:color w:val="auto"/>
          <w:sz w:val="24"/>
          <w:highlight w:val="none"/>
        </w:rPr>
      </w:pPr>
    </w:p>
    <w:p w14:paraId="03C4B885">
      <w:pPr>
        <w:kinsoku/>
        <w:wordWrap w:val="0"/>
        <w:overflowPunct/>
        <w:topLinePunct w:val="0"/>
        <w:bidi w:val="0"/>
        <w:spacing w:line="360" w:lineRule="exact"/>
        <w:rPr>
          <w:rFonts w:hint="eastAsia" w:ascii="仿宋" w:hAnsi="仿宋" w:eastAsia="仿宋" w:cs="仿宋"/>
          <w:color w:val="auto"/>
          <w:sz w:val="24"/>
          <w:highlight w:val="none"/>
        </w:rPr>
      </w:pPr>
    </w:p>
    <w:p w14:paraId="6F22E426">
      <w:pPr>
        <w:kinsoku/>
        <w:wordWrap w:val="0"/>
        <w:overflowPunct/>
        <w:topLinePunct w:val="0"/>
        <w:bidi w:val="0"/>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CCFF448">
      <w:pPr>
        <w:kinsoku/>
        <w:wordWrap w:val="0"/>
        <w:overflowPunct/>
        <w:topLinePunct w:val="0"/>
        <w:bidi w:val="0"/>
        <w:ind w:firstLine="4920" w:firstLineChars="2050"/>
        <w:jc w:val="left"/>
        <w:rPr>
          <w:rFonts w:hint="eastAsia" w:ascii="仿宋" w:hAnsi="仿宋" w:eastAsia="仿宋" w:cs="仿宋"/>
          <w:color w:val="auto"/>
          <w:sz w:val="24"/>
          <w:highlight w:val="none"/>
        </w:rPr>
      </w:pPr>
    </w:p>
    <w:p w14:paraId="59DFD5A2">
      <w:pPr>
        <w:kinsoku/>
        <w:wordWrap w:val="0"/>
        <w:overflowPunct/>
        <w:topLinePunct w:val="0"/>
        <w:bidi w:val="0"/>
        <w:spacing w:line="800" w:lineRule="exact"/>
        <w:rPr>
          <w:rFonts w:hint="eastAsia" w:ascii="仿宋" w:hAnsi="仿宋" w:eastAsia="仿宋" w:cs="仿宋"/>
          <w:b/>
          <w:color w:val="auto"/>
          <w:sz w:val="24"/>
          <w:highlight w:val="none"/>
        </w:rPr>
      </w:pPr>
    </w:p>
    <w:p w14:paraId="38C78C25">
      <w:pPr>
        <w:pageBreakBefore/>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EAD8AF0">
      <w:pPr>
        <w:kinsoku/>
        <w:wordWrap w:val="0"/>
        <w:overflowPunct/>
        <w:topLinePunct w:val="0"/>
        <w:bidi w:val="0"/>
        <w:jc w:val="center"/>
        <w:rPr>
          <w:rFonts w:hint="eastAsia" w:ascii="仿宋" w:hAnsi="仿宋" w:eastAsia="仿宋" w:cs="仿宋"/>
          <w:b/>
          <w:color w:val="auto"/>
          <w:sz w:val="24"/>
          <w:highlight w:val="none"/>
        </w:rPr>
      </w:pPr>
    </w:p>
    <w:p w14:paraId="3A7434A6">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366D2616">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绍兴市殡仪馆、浙江华夏工程管理有限公司 </w:t>
      </w:r>
      <w:r>
        <w:rPr>
          <w:rFonts w:hint="eastAsia" w:ascii="仿宋" w:hAnsi="仿宋" w:eastAsia="仿宋" w:cs="仿宋"/>
          <w:color w:val="auto"/>
          <w:sz w:val="24"/>
          <w:highlight w:val="none"/>
          <w:u w:val="none"/>
          <w:lang w:val="en-US" w:eastAsia="zh-CN"/>
        </w:rPr>
        <w:t>组织的</w:t>
      </w:r>
      <w:r>
        <w:rPr>
          <w:rFonts w:hint="eastAsia" w:ascii="仿宋" w:hAnsi="仿宋" w:eastAsia="仿宋" w:cs="仿宋"/>
          <w:color w:val="auto"/>
          <w:sz w:val="24"/>
          <w:highlight w:val="none"/>
          <w:u w:val="single"/>
          <w:lang w:val="en-US" w:eastAsia="zh-CN"/>
        </w:rPr>
        <w:t xml:space="preserve"> 绍兴市殡仪馆火化设备（含后处理等配套设施）采购项目</w:t>
      </w:r>
      <w:r>
        <w:rPr>
          <w:rFonts w:hint="eastAsia" w:ascii="仿宋" w:hAnsi="仿宋" w:eastAsia="仿宋" w:cs="仿宋"/>
          <w:color w:val="auto"/>
          <w:sz w:val="24"/>
          <w:highlight w:val="none"/>
          <w:u w:val="single"/>
          <w:lang w:val="en-US" w:eastAsia="zh-CN"/>
        </w:rPr>
        <w:t>（招标编号:CGSHZJ-2025-N001123）</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464BEA5">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5A02201">
      <w:pPr>
        <w:keepNext w:val="0"/>
        <w:keepLines w:val="0"/>
        <w:pageBreakBefore w:val="0"/>
        <w:widowControl w:val="0"/>
        <w:kinsoku/>
        <w:wordWrap w:val="0"/>
        <w:overflowPunct/>
        <w:topLinePunct w:val="0"/>
        <w:autoSpaceDE/>
        <w:autoSpaceDN/>
        <w:bidi w:val="0"/>
        <w:adjustRightInd w:val="0"/>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7446432">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14:paraId="623D32F3">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3218A7A">
      <w:pPr>
        <w:kinsoku/>
        <w:wordWrap w:val="0"/>
        <w:overflowPunct/>
        <w:topLinePunct w:val="0"/>
        <w:bidi w:val="0"/>
        <w:spacing w:line="360" w:lineRule="exact"/>
        <w:rPr>
          <w:rFonts w:hint="eastAsia" w:ascii="仿宋" w:hAnsi="仿宋" w:eastAsia="仿宋" w:cs="仿宋"/>
          <w:color w:val="auto"/>
          <w:sz w:val="24"/>
          <w:highlight w:val="none"/>
        </w:rPr>
      </w:pPr>
    </w:p>
    <w:p w14:paraId="5BD4E961">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45C38EB">
      <w:pPr>
        <w:kinsoku/>
        <w:wordWrap w:val="0"/>
        <w:overflowPunct/>
        <w:topLinePunct w:val="0"/>
        <w:bidi w:val="0"/>
        <w:spacing w:line="360" w:lineRule="exact"/>
        <w:rPr>
          <w:rFonts w:hint="eastAsia" w:ascii="仿宋" w:hAnsi="仿宋" w:eastAsia="仿宋" w:cs="仿宋"/>
          <w:color w:val="auto"/>
          <w:sz w:val="24"/>
          <w:highlight w:val="none"/>
        </w:rPr>
      </w:pPr>
    </w:p>
    <w:p w14:paraId="642D10C7">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5B7C62C">
      <w:pPr>
        <w:kinsoku/>
        <w:wordWrap w:val="0"/>
        <w:overflowPunct/>
        <w:topLinePunct w:val="0"/>
        <w:bidi w:val="0"/>
        <w:spacing w:line="360" w:lineRule="exact"/>
        <w:rPr>
          <w:rFonts w:hint="eastAsia" w:ascii="仿宋" w:hAnsi="仿宋" w:eastAsia="仿宋" w:cs="仿宋"/>
          <w:color w:val="auto"/>
          <w:sz w:val="24"/>
          <w:highlight w:val="none"/>
        </w:rPr>
      </w:pPr>
    </w:p>
    <w:p w14:paraId="672A9DAB">
      <w:pPr>
        <w:kinsoku/>
        <w:wordWrap w:val="0"/>
        <w:overflowPunct/>
        <w:topLinePunct w:val="0"/>
        <w:bidi w:val="0"/>
        <w:spacing w:line="360" w:lineRule="exact"/>
        <w:rPr>
          <w:rFonts w:hint="eastAsia" w:ascii="仿宋" w:hAnsi="仿宋" w:eastAsia="仿宋" w:cs="仿宋"/>
          <w:color w:val="auto"/>
          <w:sz w:val="24"/>
          <w:highlight w:val="none"/>
        </w:rPr>
      </w:pPr>
    </w:p>
    <w:p w14:paraId="40BC67E8">
      <w:pPr>
        <w:kinsoku/>
        <w:wordWrap w:val="0"/>
        <w:overflowPunct/>
        <w:topLinePunct w:val="0"/>
        <w:bidi w:val="0"/>
        <w:jc w:val="center"/>
        <w:rPr>
          <w:rFonts w:hint="eastAsia" w:ascii="仿宋" w:hAnsi="仿宋" w:eastAsia="仿宋" w:cs="仿宋"/>
          <w:b/>
          <w:color w:val="auto"/>
          <w:kern w:val="0"/>
          <w:sz w:val="32"/>
          <w:szCs w:val="32"/>
          <w:highlight w:val="none"/>
        </w:rPr>
      </w:pPr>
    </w:p>
    <w:p w14:paraId="449C9C5D">
      <w:pPr>
        <w:kinsoku/>
        <w:wordWrap w:val="0"/>
        <w:overflowPunct/>
        <w:topLinePunct w:val="0"/>
        <w:bidi w:val="0"/>
        <w:rPr>
          <w:rFonts w:hint="eastAsia" w:ascii="仿宋" w:hAnsi="仿宋" w:eastAsia="仿宋" w:cs="仿宋"/>
          <w:color w:val="auto"/>
          <w:highlight w:val="none"/>
        </w:rPr>
      </w:pPr>
    </w:p>
    <w:p w14:paraId="71AEAFBA">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D517623">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94F12FC">
      <w:pPr>
        <w:kinsoku/>
        <w:wordWrap w:val="0"/>
        <w:overflowPunct/>
        <w:topLinePunct w:val="0"/>
        <w:bidi w:val="0"/>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9DA7B3A">
      <w:pPr>
        <w:kinsoku/>
        <w:wordWrap w:val="0"/>
        <w:overflowPunct/>
        <w:topLinePunct w:val="0"/>
        <w:bidi w:val="0"/>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412C2A7">
      <w:pPr>
        <w:kinsoku/>
        <w:wordWrap w:val="0"/>
        <w:overflowPunct/>
        <w:topLinePunct w:val="0"/>
        <w:autoSpaceDE w:val="0"/>
        <w:autoSpaceDN w:val="0"/>
        <w:bidi w:val="0"/>
        <w:spacing w:line="360" w:lineRule="auto"/>
        <w:jc w:val="center"/>
        <w:rPr>
          <w:rFonts w:hint="eastAsia" w:ascii="仿宋" w:hAnsi="仿宋" w:eastAsia="仿宋" w:cs="仿宋"/>
          <w:b/>
          <w:color w:val="auto"/>
          <w:kern w:val="0"/>
          <w:sz w:val="32"/>
          <w:szCs w:val="32"/>
          <w:highlight w:val="none"/>
          <w:lang w:val="zh-CN"/>
        </w:rPr>
      </w:pPr>
    </w:p>
    <w:p w14:paraId="4B704906">
      <w:pPr>
        <w:pageBreakBefore w:val="0"/>
        <w:kinsoku/>
        <w:wordWrap w:val="0"/>
        <w:overflowPunct/>
        <w:topLinePunct w:val="0"/>
        <w:bidi w:val="0"/>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lang w:val="en-US" w:eastAsia="zh-CN"/>
        </w:rPr>
        <w:t>三、</w:t>
      </w:r>
      <w:r>
        <w:rPr>
          <w:rFonts w:hint="eastAsia" w:ascii="仿宋_GB2312" w:hAnsi="宋体" w:eastAsia="仿宋_GB2312"/>
          <w:b/>
          <w:color w:val="auto"/>
          <w:sz w:val="30"/>
          <w:szCs w:val="30"/>
          <w:highlight w:val="none"/>
        </w:rPr>
        <w:t>授权代表社保证明（复印件）</w:t>
      </w:r>
    </w:p>
    <w:p w14:paraId="5B9AECD2">
      <w:pPr>
        <w:kinsoku/>
        <w:wordWrap w:val="0"/>
        <w:overflowPunct/>
        <w:topLinePunct w:val="0"/>
        <w:bidi w:val="0"/>
        <w:spacing w:line="800" w:lineRule="exact"/>
        <w:ind w:firstLine="480" w:firstLineChars="200"/>
        <w:rPr>
          <w:rFonts w:hint="eastAsia"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715B56E">
      <w:pPr>
        <w:keepNext w:val="0"/>
        <w:keepLines w:val="0"/>
        <w:pageBreakBefore w:val="0"/>
        <w:widowControl w:val="0"/>
        <w:kinsoku/>
        <w:wordWrap w:val="0"/>
        <w:overflowPunct/>
        <w:topLinePunct w:val="0"/>
        <w:autoSpaceDE/>
        <w:autoSpaceDN/>
        <w:bidi w:val="0"/>
        <w:adjustRightInd w:val="0"/>
        <w:snapToGrid/>
        <w:spacing w:line="800" w:lineRule="exact"/>
        <w:jc w:val="both"/>
        <w:textAlignment w:val="auto"/>
        <w:rPr>
          <w:rFonts w:hint="eastAsia" w:ascii="仿宋" w:hAnsi="仿宋" w:eastAsia="仿宋" w:cs="仿宋"/>
          <w:b/>
          <w:color w:val="auto"/>
          <w:sz w:val="30"/>
          <w:szCs w:val="30"/>
          <w:highlight w:val="none"/>
          <w:lang w:val="en-US" w:eastAsia="zh-CN"/>
        </w:rPr>
      </w:pPr>
    </w:p>
    <w:p w14:paraId="72615055">
      <w:pPr>
        <w:pStyle w:val="5"/>
        <w:kinsoku/>
        <w:wordWrap w:val="0"/>
        <w:overflowPunct/>
        <w:topLinePunct w:val="0"/>
        <w:bidi w:val="0"/>
        <w:rPr>
          <w:rFonts w:hint="eastAsia"/>
          <w:color w:val="auto"/>
          <w:highlight w:val="none"/>
          <w:lang w:val="en-US" w:eastAsia="zh-CN"/>
        </w:rPr>
      </w:pPr>
    </w:p>
    <w:p w14:paraId="49FF8DAF">
      <w:pPr>
        <w:keepNext w:val="0"/>
        <w:keepLines w:val="0"/>
        <w:pageBreakBefore w:val="0"/>
        <w:widowControl w:val="0"/>
        <w:kinsoku/>
        <w:wordWrap w:val="0"/>
        <w:overflowPunct/>
        <w:topLinePunct w:val="0"/>
        <w:autoSpaceDE/>
        <w:autoSpaceDN/>
        <w:bidi w:val="0"/>
        <w:adjustRightInd w:val="0"/>
        <w:snapToGrid/>
        <w:spacing w:line="800" w:lineRule="exact"/>
        <w:jc w:val="center"/>
        <w:textAlignment w:val="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0AFE5BBD">
      <w:pPr>
        <w:kinsoku/>
        <w:wordWrap w:val="0"/>
        <w:overflowPunct/>
        <w:topLinePunct w:val="0"/>
        <w:bidi w:val="0"/>
        <w:spacing w:line="800" w:lineRule="exact"/>
        <w:rPr>
          <w:rFonts w:hint="eastAsia" w:ascii="仿宋" w:hAnsi="仿宋" w:eastAsia="仿宋" w:cs="仿宋"/>
          <w:b/>
          <w:color w:val="auto"/>
          <w:sz w:val="24"/>
          <w:highlight w:val="none"/>
        </w:rPr>
      </w:pPr>
    </w:p>
    <w:p w14:paraId="6C08A187">
      <w:pPr>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731A619D">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71810DC">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39C687F">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DC72010">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4474A97B">
      <w:pPr>
        <w:kinsoku/>
        <w:wordWrap w:val="0"/>
        <w:overflowPunct/>
        <w:topLinePunct w:val="0"/>
        <w:bidi w:val="0"/>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0FEFB302">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5B054F9E">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58F28226">
      <w:pPr>
        <w:kinsoku/>
        <w:wordWrap w:val="0"/>
        <w:overflowPunct/>
        <w:topLinePunct w:val="0"/>
        <w:bidi w:val="0"/>
        <w:spacing w:line="440" w:lineRule="exact"/>
        <w:rPr>
          <w:rFonts w:hint="eastAsia" w:ascii="仿宋" w:hAnsi="仿宋" w:eastAsia="仿宋" w:cs="仿宋"/>
          <w:color w:val="auto"/>
          <w:sz w:val="24"/>
          <w:highlight w:val="none"/>
        </w:rPr>
      </w:pPr>
    </w:p>
    <w:p w14:paraId="66590465">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0C6D4CBF">
      <w:pPr>
        <w:kinsoku/>
        <w:wordWrap w:val="0"/>
        <w:overflowPunct/>
        <w:topLinePunct w:val="0"/>
        <w:bidi w:val="0"/>
        <w:spacing w:line="440" w:lineRule="exact"/>
        <w:ind w:right="480"/>
        <w:rPr>
          <w:rFonts w:hint="eastAsia" w:ascii="仿宋" w:hAnsi="仿宋" w:eastAsia="仿宋" w:cs="仿宋"/>
          <w:color w:val="auto"/>
          <w:sz w:val="24"/>
          <w:highlight w:val="none"/>
        </w:rPr>
      </w:pPr>
    </w:p>
    <w:p w14:paraId="34DA31BF">
      <w:pPr>
        <w:kinsoku/>
        <w:wordWrap w:val="0"/>
        <w:overflowPunct/>
        <w:topLinePunct w:val="0"/>
        <w:bidi w:val="0"/>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50D3773">
      <w:pPr>
        <w:kinsoku/>
        <w:wordWrap w:val="0"/>
        <w:overflowPunct/>
        <w:topLinePunct w:val="0"/>
        <w:bidi w:val="0"/>
        <w:jc w:val="center"/>
        <w:rPr>
          <w:rFonts w:hint="eastAsia" w:ascii="仿宋" w:hAnsi="仿宋" w:eastAsia="仿宋" w:cs="仿宋"/>
          <w:b/>
          <w:color w:val="auto"/>
          <w:kern w:val="0"/>
          <w:sz w:val="32"/>
          <w:szCs w:val="32"/>
          <w:highlight w:val="none"/>
          <w:lang w:val="en-US" w:eastAsia="zh-CN"/>
        </w:rPr>
      </w:pPr>
    </w:p>
    <w:p w14:paraId="447F8F37">
      <w:pPr>
        <w:kinsoku/>
        <w:wordWrap w:val="0"/>
        <w:overflowPunct/>
        <w:topLinePunct w:val="0"/>
        <w:bidi w:val="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19BD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72A052C">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7934C61B">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47A0A64A">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784CEBEB">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02E5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B06D2F">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54000F2A">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14:paraId="34ACF41D">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14:paraId="4DB83228">
            <w:pPr>
              <w:kinsoku/>
              <w:wordWrap w:val="0"/>
              <w:overflowPunct/>
              <w:topLinePunct w:val="0"/>
              <w:bidi w:val="0"/>
              <w:jc w:val="center"/>
              <w:rPr>
                <w:rFonts w:hint="eastAsia" w:ascii="仿宋" w:hAnsi="仿宋" w:eastAsia="仿宋" w:cs="仿宋"/>
                <w:b/>
                <w:color w:val="auto"/>
                <w:kern w:val="0"/>
                <w:sz w:val="32"/>
                <w:szCs w:val="32"/>
                <w:highlight w:val="none"/>
              </w:rPr>
            </w:pPr>
          </w:p>
        </w:tc>
      </w:tr>
      <w:tr w14:paraId="0ED17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4ACB618">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29C8CDE8">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14:paraId="0FCD9492">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14:paraId="360B32A3">
            <w:pPr>
              <w:kinsoku/>
              <w:wordWrap w:val="0"/>
              <w:overflowPunct/>
              <w:topLinePunct w:val="0"/>
              <w:bidi w:val="0"/>
              <w:jc w:val="center"/>
              <w:rPr>
                <w:rFonts w:hint="eastAsia" w:ascii="仿宋" w:hAnsi="仿宋" w:eastAsia="仿宋" w:cs="仿宋"/>
                <w:b/>
                <w:color w:val="auto"/>
                <w:kern w:val="0"/>
                <w:sz w:val="32"/>
                <w:szCs w:val="32"/>
                <w:highlight w:val="none"/>
              </w:rPr>
            </w:pPr>
          </w:p>
        </w:tc>
      </w:tr>
      <w:tr w14:paraId="7A197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9E9D6AD">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6285B0AD">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14:paraId="388CEEB9">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14:paraId="14F25BAC">
            <w:pPr>
              <w:kinsoku/>
              <w:wordWrap w:val="0"/>
              <w:overflowPunct/>
              <w:topLinePunct w:val="0"/>
              <w:bidi w:val="0"/>
              <w:jc w:val="center"/>
              <w:rPr>
                <w:rFonts w:hint="eastAsia" w:ascii="仿宋" w:hAnsi="仿宋" w:eastAsia="仿宋" w:cs="仿宋"/>
                <w:b/>
                <w:color w:val="auto"/>
                <w:kern w:val="0"/>
                <w:sz w:val="32"/>
                <w:szCs w:val="32"/>
                <w:highlight w:val="none"/>
              </w:rPr>
            </w:pPr>
          </w:p>
        </w:tc>
      </w:tr>
    </w:tbl>
    <w:p w14:paraId="47A7AD37">
      <w:pPr>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12B9162B">
      <w:pPr>
        <w:kinsoku/>
        <w:wordWrap w:val="0"/>
        <w:overflowPunct/>
        <w:topLinePunct w:val="0"/>
        <w:bidi w:val="0"/>
        <w:jc w:val="center"/>
        <w:rPr>
          <w:rFonts w:hint="eastAsia" w:ascii="仿宋" w:hAnsi="仿宋" w:eastAsia="仿宋" w:cs="仿宋"/>
          <w:b/>
          <w:color w:val="auto"/>
          <w:kern w:val="0"/>
          <w:sz w:val="32"/>
          <w:szCs w:val="32"/>
          <w:highlight w:val="none"/>
        </w:rPr>
      </w:pPr>
    </w:p>
    <w:p w14:paraId="41680C63">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764E756">
      <w:pPr>
        <w:kinsoku/>
        <w:wordWrap w:val="0"/>
        <w:overflowPunct/>
        <w:topLinePunct w:val="0"/>
        <w:bidi w:val="0"/>
        <w:ind w:firstLine="1911" w:firstLineChars="595"/>
        <w:rPr>
          <w:rFonts w:hint="eastAsia" w:ascii="仿宋" w:hAnsi="仿宋" w:eastAsia="仿宋" w:cs="仿宋"/>
          <w:b/>
          <w:bCs/>
          <w:color w:val="auto"/>
          <w:sz w:val="32"/>
          <w:szCs w:val="32"/>
          <w:highlight w:val="none"/>
        </w:rPr>
      </w:pPr>
    </w:p>
    <w:p w14:paraId="70AE001E">
      <w:pPr>
        <w:pageBreakBefore/>
        <w:widowControl/>
        <w:tabs>
          <w:tab w:val="left" w:pos="1538"/>
          <w:tab w:val="center" w:pos="4541"/>
        </w:tabs>
        <w:kinsoku/>
        <w:wordWrap w:val="0"/>
        <w:overflowPunct/>
        <w:topLinePunct w:val="0"/>
        <w:bidi w:val="0"/>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13EB44D">
      <w:pPr>
        <w:kinsoku/>
        <w:wordWrap w:val="0"/>
        <w:overflowPunct/>
        <w:topLinePunct w:val="0"/>
        <w:bidi w:val="0"/>
        <w:snapToGrid w:val="0"/>
        <w:spacing w:line="360" w:lineRule="auto"/>
        <w:rPr>
          <w:rFonts w:hint="eastAsia" w:ascii="仿宋" w:hAnsi="仿宋" w:eastAsia="仿宋" w:cs="仿宋"/>
          <w:color w:val="auto"/>
          <w:sz w:val="24"/>
          <w:highlight w:val="none"/>
        </w:rPr>
      </w:pPr>
    </w:p>
    <w:p w14:paraId="3E6D12A1">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绍兴市殡仪馆</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浙江华夏工程管理有限公司</w:t>
      </w:r>
      <w:r>
        <w:rPr>
          <w:rFonts w:hint="eastAsia" w:ascii="仿宋" w:hAnsi="仿宋" w:eastAsia="仿宋" w:cs="仿宋"/>
          <w:color w:val="auto"/>
          <w:kern w:val="0"/>
          <w:sz w:val="24"/>
          <w:highlight w:val="none"/>
          <w:lang w:val="zh-CN"/>
        </w:rPr>
        <w:t>：</w:t>
      </w:r>
    </w:p>
    <w:p w14:paraId="634F8AE7">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05BDA08">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55A0FF10">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931964E">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7E93B6A7">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73C41AAE">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E8DE884">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7761E76">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035099B">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295EB423">
      <w:pPr>
        <w:kinsoku/>
        <w:wordWrap w:val="0"/>
        <w:overflowPunct/>
        <w:topLinePunct w:val="0"/>
        <w:autoSpaceDE w:val="0"/>
        <w:autoSpaceDN w:val="0"/>
        <w:bidi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637A086">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14:paraId="61C6F8A3">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14:paraId="5EFB8DD8">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14:paraId="7F55776A">
      <w:pPr>
        <w:kinsoku/>
        <w:wordWrap w:val="0"/>
        <w:overflowPunct/>
        <w:topLinePunct w:val="0"/>
        <w:autoSpaceDE w:val="0"/>
        <w:autoSpaceDN w:val="0"/>
        <w:bidi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2649D4C">
      <w:pPr>
        <w:kinsoku/>
        <w:wordWrap w:val="0"/>
        <w:overflowPunct/>
        <w:topLinePunct w:val="0"/>
        <w:bidi w:val="0"/>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17FD7689">
      <w:pPr>
        <w:kinsoku/>
        <w:wordWrap w:val="0"/>
        <w:overflowPunct/>
        <w:topLinePunct w:val="0"/>
        <w:bidi w:val="0"/>
        <w:spacing w:line="360" w:lineRule="auto"/>
        <w:jc w:val="center"/>
        <w:rPr>
          <w:rFonts w:hint="eastAsia" w:ascii="仿宋" w:hAnsi="仿宋" w:eastAsia="仿宋" w:cs="仿宋"/>
          <w:b/>
          <w:bCs/>
          <w:color w:val="auto"/>
          <w:sz w:val="24"/>
          <w:highlight w:val="none"/>
        </w:rPr>
      </w:pPr>
    </w:p>
    <w:p w14:paraId="6BFC0582">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AB9EAD5">
      <w:pPr>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0A5BBE9D">
      <w:pPr>
        <w:kinsoku/>
        <w:wordWrap w:val="0"/>
        <w:overflowPunct/>
        <w:topLinePunct w:val="0"/>
        <w:autoSpaceDE w:val="0"/>
        <w:autoSpaceDN w:val="0"/>
        <w:bidi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51E622F">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098564E">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3B57088">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2A471E3A">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C55C391">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5B7C68D">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623C13BA">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522FFF20">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06FC5BB">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31F5E97">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D159742">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7C4943B8">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5F25217">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4E15331">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60A4CA6">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F086FA1">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61B5D30">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6995B36">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97FEBF9">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14:paraId="5E9DE0E2">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B9DDF4C">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C35F05C">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D59821A">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DC8E69A">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31D93A8">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84D59C4">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A2F320F">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14:paraId="62B4FCF3">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CA8992A">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CD6784A">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A26730E">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38256BE">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5A307CB">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8264D85">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D358E56">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14:paraId="741F6A68">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2F7B0097">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p>
    <w:p w14:paraId="61805E2D">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p w14:paraId="4B9E67C7">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B1A1AC3">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50A289B">
      <w:pPr>
        <w:pStyle w:val="649"/>
        <w:kinsoku/>
        <w:wordWrap w:val="0"/>
        <w:overflowPunct/>
        <w:topLinePunct w:val="0"/>
        <w:bidi w:val="0"/>
        <w:ind w:firstLine="0"/>
        <w:jc w:val="both"/>
        <w:rPr>
          <w:rFonts w:hAnsi="仿宋_GB2312" w:cs="仿宋_GB2312"/>
          <w:color w:val="auto"/>
          <w:highlight w:val="none"/>
        </w:rPr>
      </w:pPr>
    </w:p>
    <w:p w14:paraId="7DB5E371">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701A3AF6">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E82E4A3">
      <w:pPr>
        <w:kinsoku/>
        <w:wordWrap w:val="0"/>
        <w:overflowPunct/>
        <w:topLinePunct w:val="0"/>
        <w:bidi w:val="0"/>
        <w:spacing w:line="360" w:lineRule="auto"/>
        <w:jc w:val="center"/>
        <w:rPr>
          <w:rFonts w:ascii="仿宋_GB2312" w:hAnsi="仿宋_GB2312" w:eastAsia="仿宋_GB2312" w:cs="仿宋_GB2312"/>
          <w:color w:val="auto"/>
          <w:sz w:val="24"/>
          <w:highlight w:val="none"/>
        </w:rPr>
      </w:pPr>
    </w:p>
    <w:p w14:paraId="2CFEA401">
      <w:pPr>
        <w:kinsoku/>
        <w:wordWrap w:val="0"/>
        <w:overflowPunct/>
        <w:topLinePunct w:val="0"/>
        <w:bidi w:val="0"/>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AEF3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4788BDD">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1012271B">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6631F3AA">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0F18DAB5">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5680216A">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697B1E5">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43FA7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B34048E">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16DF76A0">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5AED34D">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E11AB6B">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14:paraId="434820FB">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14:paraId="164EEF7D">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14:paraId="55A71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289B73">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32454745">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1A90CDA">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74FBE4E">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14:paraId="42DE415C">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14:paraId="13E87233">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14:paraId="45DB3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4E2709D">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549B1458">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91628DE">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D6658AE">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14:paraId="4ABAE40F">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14:paraId="152BA255">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14:paraId="3774A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7BC2A65">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128F8E5E">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38CA72E">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69CC91A">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14:paraId="7C008747">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14:paraId="203B8AAC">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14:paraId="1225A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5C7F8E5">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067D8E86">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F0D8C80">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C861B34">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14:paraId="7D763E95">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14:paraId="04BAD08E">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bl>
    <w:p w14:paraId="675AFD55">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643015D7">
      <w:pPr>
        <w:kinsoku/>
        <w:wordWrap w:val="0"/>
        <w:overflowPunct/>
        <w:topLinePunct w:val="0"/>
        <w:autoSpaceDE w:val="0"/>
        <w:autoSpaceDN w:val="0"/>
        <w:bidi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63E117DB">
      <w:pPr>
        <w:kinsoku/>
        <w:wordWrap w:val="0"/>
        <w:overflowPunct/>
        <w:topLinePunct w:val="0"/>
        <w:autoSpaceDE w:val="0"/>
        <w:autoSpaceDN w:val="0"/>
        <w:bidi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1F4B09D0">
      <w:pPr>
        <w:kinsoku/>
        <w:wordWrap w:val="0"/>
        <w:overflowPunct/>
        <w:topLinePunct w:val="0"/>
        <w:autoSpaceDE w:val="0"/>
        <w:autoSpaceDN w:val="0"/>
        <w:bidi w:val="0"/>
        <w:spacing w:line="360" w:lineRule="auto"/>
        <w:ind w:firstLine="4560" w:firstLineChars="1900"/>
        <w:rPr>
          <w:rFonts w:ascii="仿宋_GB2312" w:hAnsi="仿宋_GB2312" w:eastAsia="仿宋_GB2312" w:cs="仿宋_GB2312"/>
          <w:color w:val="auto"/>
          <w:kern w:val="0"/>
          <w:sz w:val="24"/>
          <w:highlight w:val="none"/>
        </w:rPr>
      </w:pPr>
    </w:p>
    <w:p w14:paraId="638DDF30">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EB73BC0">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E35592B">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28AEC30D">
      <w:pPr>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44D882DF">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en-US" w:eastAsia="zh-CN"/>
        </w:rPr>
      </w:pPr>
    </w:p>
    <w:p w14:paraId="1B32322A">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en-US" w:eastAsia="zh-CN"/>
        </w:rPr>
      </w:pPr>
    </w:p>
    <w:p w14:paraId="65B9C01E">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3645DD7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5B49D4A">
      <w:pPr>
        <w:tabs>
          <w:tab w:val="left" w:pos="2790"/>
          <w:tab w:val="left" w:pos="4230"/>
        </w:tabs>
        <w:kinsoku/>
        <w:wordWrap w:val="0"/>
        <w:overflowPunct/>
        <w:topLinePunct w:val="0"/>
        <w:autoSpaceDE w:val="0"/>
        <w:autoSpaceDN w:val="0"/>
        <w:bidi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F728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328D4DD">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14A71E59">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639C5DE2">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7AE5070F">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1FF73B47">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1FE323DF">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744697BA">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44D0176A">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4D521D1A">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29A56C42">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6F0EAA2A">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67DE0ECA">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55429716">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7918B21B">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2F3523CB">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65ECBE41">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7C2A76DD">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43DF592E">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6BAD1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CB8AA05">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2ECC8DE5">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6F641C47">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338646D2">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64C41038">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5E1201A3">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4F445053">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74444785">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78AFF47D">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76E6E2C3">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30BD53F3">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41AF1444">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601D0D9E">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24210572">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758215C4">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767F54B1">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78ACFF1E">
            <w:pPr>
              <w:kinsoku/>
              <w:wordWrap w:val="0"/>
              <w:overflowPunct/>
              <w:topLinePunct w:val="0"/>
              <w:bidi w:val="0"/>
              <w:spacing w:line="360" w:lineRule="auto"/>
              <w:rPr>
                <w:rFonts w:ascii="仿宋_GB2312" w:hAnsi="仿宋_GB2312" w:eastAsia="仿宋_GB2312" w:cs="仿宋_GB2312"/>
                <w:color w:val="auto"/>
                <w:sz w:val="24"/>
                <w:highlight w:val="none"/>
              </w:rPr>
            </w:pPr>
          </w:p>
        </w:tc>
      </w:tr>
      <w:tr w14:paraId="626DA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2F655EF">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51FCB8B5">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48456C0F">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27728293">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6A134481">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35B998A1">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16884FA0">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2A5A8CF5">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0EF42678">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0A7FE39C">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1B9A6975">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79E7986B">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3A2F3784">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60E278BC">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66C5F284">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73DFAC20">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4F262C94">
            <w:pPr>
              <w:kinsoku/>
              <w:wordWrap w:val="0"/>
              <w:overflowPunct/>
              <w:topLinePunct w:val="0"/>
              <w:bidi w:val="0"/>
              <w:spacing w:line="360" w:lineRule="auto"/>
              <w:rPr>
                <w:rFonts w:ascii="仿宋_GB2312" w:hAnsi="仿宋_GB2312" w:eastAsia="仿宋_GB2312" w:cs="仿宋_GB2312"/>
                <w:color w:val="auto"/>
                <w:sz w:val="24"/>
                <w:highlight w:val="none"/>
              </w:rPr>
            </w:pPr>
          </w:p>
        </w:tc>
      </w:tr>
      <w:tr w14:paraId="0E435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C629797">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610FEEBB">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340362EB">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52CCBAE7">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2FE7B393">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4D0136BA">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352C7A1F">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165A75B9">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69D9DCE8">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049C6B22">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6CC87CD4">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05B193D6">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60E247EE">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7E5142C7">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60D66B82">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170D4656">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26C91BF5">
            <w:pPr>
              <w:kinsoku/>
              <w:wordWrap w:val="0"/>
              <w:overflowPunct/>
              <w:topLinePunct w:val="0"/>
              <w:bidi w:val="0"/>
              <w:spacing w:line="360" w:lineRule="auto"/>
              <w:rPr>
                <w:rFonts w:ascii="仿宋_GB2312" w:hAnsi="仿宋_GB2312" w:eastAsia="仿宋_GB2312" w:cs="仿宋_GB2312"/>
                <w:color w:val="auto"/>
                <w:sz w:val="24"/>
                <w:highlight w:val="none"/>
              </w:rPr>
            </w:pPr>
          </w:p>
        </w:tc>
      </w:tr>
    </w:tbl>
    <w:p w14:paraId="4250C601">
      <w:pPr>
        <w:kinsoku/>
        <w:wordWrap w:val="0"/>
        <w:overflowPunct/>
        <w:topLinePunct w:val="0"/>
        <w:autoSpaceDE w:val="0"/>
        <w:autoSpaceDN w:val="0"/>
        <w:bidi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20C1836D">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89314A1">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28E7F30">
      <w:pPr>
        <w:kinsoku/>
        <w:wordWrap w:val="0"/>
        <w:overflowPunct/>
        <w:topLinePunct w:val="0"/>
        <w:bidi w:val="0"/>
        <w:spacing w:line="360" w:lineRule="auto"/>
        <w:rPr>
          <w:rFonts w:ascii="仿宋_GB2312" w:hAnsi="仿宋_GB2312" w:eastAsia="仿宋_GB2312" w:cs="仿宋_GB2312"/>
          <w:color w:val="auto"/>
          <w:kern w:val="0"/>
          <w:sz w:val="24"/>
          <w:highlight w:val="none"/>
        </w:rPr>
      </w:pPr>
    </w:p>
    <w:p w14:paraId="17FBB678">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508FFFBD">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5A8BC06">
      <w:pPr>
        <w:pStyle w:val="81"/>
        <w:kinsoku/>
        <w:wordWrap w:val="0"/>
        <w:overflowPunct/>
        <w:topLinePunct w:val="0"/>
        <w:bidi w:val="0"/>
        <w:rPr>
          <w:color w:val="auto"/>
          <w:highlight w:val="none"/>
        </w:rPr>
      </w:pPr>
    </w:p>
    <w:p w14:paraId="449215F1">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2D3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EC662C9">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3C61F366">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6CB96A5">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4D3BBEE6">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11956785">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3BB14B00">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6BE50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F27D14C">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14:paraId="495AB494">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14:paraId="34E0A457">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14:paraId="522B7457">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14:paraId="594F53A0">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14:paraId="465E156C">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3C0C2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DCB646B">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14:paraId="76E92C84">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14:paraId="4F771A97">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14:paraId="64CE47E9">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14:paraId="5D6AD8D1">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14:paraId="38250395">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3ABB3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E6FD4C4">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14:paraId="57F59D8B">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14:paraId="182B0FCC">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14:paraId="46723E8E">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14:paraId="2FD54969">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14:paraId="4EEC281D">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bl>
    <w:p w14:paraId="27C166CF">
      <w:pPr>
        <w:kinsoku/>
        <w:wordWrap w:val="0"/>
        <w:overflowPunct/>
        <w:topLinePunct w:val="0"/>
        <w:autoSpaceDE w:val="0"/>
        <w:autoSpaceDN w:val="0"/>
        <w:bidi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189EE8B5">
      <w:pPr>
        <w:kinsoku/>
        <w:wordWrap w:val="0"/>
        <w:overflowPunct/>
        <w:topLinePunct w:val="0"/>
        <w:autoSpaceDE w:val="0"/>
        <w:autoSpaceDN w:val="0"/>
        <w:bidi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8350639">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4904177">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D317131">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80987F3">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386D4A0">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537DA0A">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991EE41">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9B489F3">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8A8924D">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2578387">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20B7357">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431DF71">
            <w:pPr>
              <w:kinsoku/>
              <w:wordWrap w:val="0"/>
              <w:overflowPunct/>
              <w:topLinePunct w:val="0"/>
              <w:autoSpaceDE w:val="0"/>
              <w:autoSpaceDN w:val="0"/>
              <w:bidi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6781098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F39EC93">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0E6AD49">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0D395DDC">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C875EA7">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C6C067C">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56F2F5">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D8DA0F1">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5FBE995">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D73A126">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DD38BD3">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952EF88">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r w14:paraId="17264D4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2188E9B">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5B401AB">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6939A6A">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FE8D196">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3165016">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AD52489">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E8FCA15">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14A22D3">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E4A55DA">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75BA5A">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EB5688F">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r w14:paraId="450E509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C2D7AAF">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F3D131F">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1F67C9E">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B1ACA59">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B464CED">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8BA21F">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7DDD6E6">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659967D">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0EE98DD">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4D91AA6">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37C42C7">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bl>
    <w:p w14:paraId="792CF116">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14:paraId="20C0BF98">
      <w:pPr>
        <w:kinsoku/>
        <w:wordWrap w:val="0"/>
        <w:overflowPunct/>
        <w:topLinePunct w:val="0"/>
        <w:bidi w:val="0"/>
        <w:spacing w:line="336" w:lineRule="auto"/>
        <w:ind w:firstLine="3600" w:firstLineChars="1500"/>
        <w:jc w:val="right"/>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E89F9FC">
      <w:pPr>
        <w:kinsoku/>
        <w:wordWrap w:val="0"/>
        <w:overflowPunct/>
        <w:topLinePunct w:val="0"/>
        <w:bidi w:val="0"/>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1D8014E">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lang w:eastAsia="zh-CN"/>
        </w:rPr>
      </w:pPr>
    </w:p>
    <w:p w14:paraId="4D577377">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lang w:eastAsia="zh-CN"/>
        </w:rPr>
      </w:pPr>
    </w:p>
    <w:p w14:paraId="35E0F7CF">
      <w:pPr>
        <w:kinsoku/>
        <w:wordWrap w:val="0"/>
        <w:overflowPunct/>
        <w:topLinePunct w:val="0"/>
        <w:bidi w:val="0"/>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76ADB389">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43304C1D">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p>
    <w:p w14:paraId="555A5BB4">
      <w:pPr>
        <w:pStyle w:val="81"/>
        <w:kinsoku/>
        <w:wordWrap w:val="0"/>
        <w:overflowPunct/>
        <w:topLinePunct w:val="0"/>
        <w:bidi w:val="0"/>
        <w:rPr>
          <w:rFonts w:hint="eastAsia"/>
          <w:color w:val="auto"/>
          <w:highlight w:val="none"/>
        </w:rPr>
      </w:pPr>
    </w:p>
    <w:p w14:paraId="77D41C79">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69EC70A">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3C4ECA">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6802BA17">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4FBF2F4">
      <w:pPr>
        <w:keepNext/>
        <w:kinsoku/>
        <w:wordWrap w:val="0"/>
        <w:overflowPunct/>
        <w:topLinePunct w:val="0"/>
        <w:autoSpaceDE w:val="0"/>
        <w:autoSpaceDN w:val="0"/>
        <w:bidi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E83115B">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2A387FA">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52191D1">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83F7545">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28ACA13">
            <w:pPr>
              <w:keepNext w:val="0"/>
              <w:keepLines w:val="0"/>
              <w:pageBreakBefore w:val="0"/>
              <w:widowControl w:val="0"/>
              <w:kinsoku/>
              <w:wordWrap w:val="0"/>
              <w:overflowPunct/>
              <w:topLinePunct w:val="0"/>
              <w:autoSpaceDE w:val="0"/>
              <w:autoSpaceDN w:val="0"/>
              <w:bidi w:val="0"/>
              <w:adjustRightInd w:val="0"/>
              <w:snapToGrid/>
              <w:spacing w:line="240" w:lineRule="auto"/>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2"/>
                <w:szCs w:val="22"/>
                <w:highlight w:val="none"/>
              </w:rPr>
              <w:t>截止投标时间近3年业绩及承担的主要工作情况，曾担任项目经理的项目应列明细</w:t>
            </w:r>
          </w:p>
        </w:tc>
      </w:tr>
      <w:tr w14:paraId="30B2921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A6377C">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31F439F">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47233ED">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92A967D">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1CCB202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016639D">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3322E34">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257C42D">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C116DC">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6F6D31A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E4CC89C">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116FA1B">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BAE8A6F">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7BCDDC">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1987536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41D3DFF">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B5A0EB3">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48ADC8B">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0110E80">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362925AD">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A1A48A9">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3DF4559">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9181C0C">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CDDC66D">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7927AEA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C19CAB0">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A29437F">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F37833D">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F12E4D7">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5828C505">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71C62C4">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7A566D6">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EDE2A4D">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818D187">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7025CBB3">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36FD901">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2BCE942">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FCA013A">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1C990F">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708327E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31EE86F">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E551F2E">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A9EEFFA">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858D7C">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bl>
    <w:p w14:paraId="5B521D0E">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A84EF33">
      <w:pPr>
        <w:pStyle w:val="81"/>
        <w:kinsoku/>
        <w:wordWrap w:val="0"/>
        <w:overflowPunct/>
        <w:topLinePunct w:val="0"/>
        <w:bidi w:val="0"/>
        <w:rPr>
          <w:color w:val="auto"/>
          <w:highlight w:val="none"/>
        </w:rPr>
      </w:pPr>
    </w:p>
    <w:p w14:paraId="458AACEC">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95BE3CA">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3A1E142">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E8FC613">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18287EB">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AD00A71">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3DA5505">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0BD9D044">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2358FEE">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3A79BBAA">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274376F">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1059CAA8">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5B809B4">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887E2E6">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11261C4">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512C331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329D8B5">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5F89823">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41683AF">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3F30408">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09BB6C4">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A9AEF6">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064C40">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32F4C7A">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E649F90">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990A095">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14:paraId="52EE7D5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EEEECB7">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F658C3E">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46D8470">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E1DB765">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38FFFEF">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4D82E5">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4CD6C09">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7194323">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D49FC06">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C262E3A">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14:paraId="5378A73C">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0CA0E1BB">
      <w:pPr>
        <w:pStyle w:val="81"/>
        <w:kinsoku/>
        <w:wordWrap w:val="0"/>
        <w:overflowPunct/>
        <w:topLinePunct w:val="0"/>
        <w:bidi w:val="0"/>
        <w:rPr>
          <w:color w:val="auto"/>
          <w:highlight w:val="none"/>
        </w:rPr>
      </w:pPr>
    </w:p>
    <w:p w14:paraId="53BBF966">
      <w:pPr>
        <w:kinsoku/>
        <w:wordWrap w:val="0"/>
        <w:overflowPunct/>
        <w:topLinePunct w:val="0"/>
        <w:bidi w:val="0"/>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7913AA4A">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14:paraId="6FA45CCD">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664C53E1">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19047C0">
      <w:pPr>
        <w:kinsoku/>
        <w:wordWrap w:val="0"/>
        <w:overflowPunct/>
        <w:topLinePunct w:val="0"/>
        <w:bidi w:val="0"/>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5DE6FC80">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AB46CE1">
      <w:pPr>
        <w:kinsoku/>
        <w:wordWrap w:val="0"/>
        <w:overflowPunct/>
        <w:topLinePunct w:val="0"/>
        <w:bidi w:val="0"/>
        <w:spacing w:line="360" w:lineRule="auto"/>
        <w:rPr>
          <w:rFonts w:ascii="仿宋_GB2312" w:hAnsi="仿宋_GB2312" w:eastAsia="仿宋_GB2312" w:cs="仿宋_GB2312"/>
          <w:color w:val="auto"/>
          <w:sz w:val="18"/>
          <w:szCs w:val="18"/>
          <w:highlight w:val="none"/>
        </w:rPr>
      </w:pPr>
    </w:p>
    <w:p w14:paraId="244798F7">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B7EE3E9">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A519A4E">
      <w:pPr>
        <w:kinsoku/>
        <w:wordWrap w:val="0"/>
        <w:overflowPunct/>
        <w:topLinePunct w:val="0"/>
        <w:bidi w:val="0"/>
        <w:spacing w:line="360" w:lineRule="auto"/>
        <w:rPr>
          <w:rFonts w:ascii="仿宋_GB2312" w:hAnsi="仿宋_GB2312" w:eastAsia="仿宋_GB2312" w:cs="仿宋_GB2312"/>
          <w:b/>
          <w:bCs/>
          <w:color w:val="auto"/>
          <w:sz w:val="18"/>
          <w:szCs w:val="18"/>
          <w:highlight w:val="none"/>
        </w:rPr>
      </w:pPr>
    </w:p>
    <w:p w14:paraId="66D53370">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14:paraId="494AA005">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14:paraId="202EF795">
      <w:pPr>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p>
    <w:p w14:paraId="37E4D92F">
      <w:pPr>
        <w:pStyle w:val="5"/>
        <w:kinsoku/>
        <w:wordWrap w:val="0"/>
        <w:overflowPunct/>
        <w:topLinePunct w:val="0"/>
        <w:bidi w:val="0"/>
        <w:rPr>
          <w:rFonts w:ascii="仿宋_GB2312" w:hAnsi="仿宋_GB2312" w:eastAsia="仿宋_GB2312" w:cs="仿宋_GB2312"/>
          <w:b/>
          <w:bCs/>
          <w:color w:val="auto"/>
          <w:sz w:val="32"/>
          <w:szCs w:val="32"/>
          <w:highlight w:val="none"/>
        </w:rPr>
      </w:pPr>
    </w:p>
    <w:p w14:paraId="00B7ABAA">
      <w:pPr>
        <w:kinsoku/>
        <w:wordWrap w:val="0"/>
        <w:overflowPunct/>
        <w:topLinePunct w:val="0"/>
        <w:bidi w:val="0"/>
        <w:rPr>
          <w:rFonts w:ascii="仿宋_GB2312" w:hAnsi="仿宋_GB2312" w:eastAsia="仿宋_GB2312" w:cs="仿宋_GB2312"/>
          <w:b/>
          <w:bCs/>
          <w:color w:val="auto"/>
          <w:sz w:val="32"/>
          <w:szCs w:val="32"/>
          <w:highlight w:val="none"/>
        </w:rPr>
      </w:pPr>
    </w:p>
    <w:p w14:paraId="0588B842">
      <w:pPr>
        <w:pStyle w:val="5"/>
        <w:kinsoku/>
        <w:wordWrap w:val="0"/>
        <w:overflowPunct/>
        <w:topLinePunct w:val="0"/>
        <w:bidi w:val="0"/>
        <w:rPr>
          <w:color w:val="auto"/>
          <w:highlight w:val="none"/>
        </w:rPr>
      </w:pPr>
    </w:p>
    <w:p w14:paraId="47ADEEA0">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70877E37">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88618A8">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14:paraId="37489085">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14:paraId="7200969A">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14:paraId="4C48B910">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14:paraId="3680E88D">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EA057E3">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6477EB3">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14:paraId="4B03E62C">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14:paraId="7DC5E00E">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14:paraId="7AA69EA2">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14:paraId="1637C31B">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14:paraId="61270F0C">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342D66D7">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83277EF">
      <w:pPr>
        <w:keepNext/>
        <w:kinsoku/>
        <w:wordWrap w:val="0"/>
        <w:overflowPunct/>
        <w:topLinePunct w:val="0"/>
        <w:autoSpaceDE w:val="0"/>
        <w:autoSpaceDN w:val="0"/>
        <w:bidi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B4B531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6AA450D">
            <w:pPr>
              <w:tabs>
                <w:tab w:val="center" w:pos="169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EEBEF6B">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DA79FBC">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16BDB0C">
            <w:pPr>
              <w:tabs>
                <w:tab w:val="center" w:pos="1028"/>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481C437">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29C8497E">
            <w:pPr>
              <w:tabs>
                <w:tab w:val="center" w:pos="52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2DA099B">
            <w:pPr>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DFB640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3F0019B">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55A1CDD3">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7AA2ECB1">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20EE386D">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3F4DCB13">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16C46774">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7525C61C">
            <w:pPr>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14:paraId="3D9EC5A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D281D9B">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6DF879B">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ECFFF34">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27C6769">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28632BCB">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CD3A637">
            <w:pPr>
              <w:tabs>
                <w:tab w:val="left" w:pos="7"/>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17EF2A5F">
            <w:pPr>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14:paraId="048E96E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668A94E3">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33410607">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17D44670">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1E0E962C">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37FC52B2">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6E8990C5">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40F9AEF8">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4265DE6">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14:paraId="01550075">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A69D93F">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31DA11">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45175CD3">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452E006">
      <w:pPr>
        <w:kinsoku/>
        <w:wordWrap w:val="0"/>
        <w:overflowPunct/>
        <w:topLinePunct w:val="0"/>
        <w:bidi w:val="0"/>
        <w:spacing w:line="360" w:lineRule="auto"/>
        <w:jc w:val="center"/>
        <w:rPr>
          <w:rFonts w:ascii="仿宋_GB2312" w:hAnsi="仿宋_GB2312" w:eastAsia="仿宋_GB2312" w:cs="仿宋_GB2312"/>
          <w:color w:val="auto"/>
          <w:sz w:val="24"/>
          <w:highlight w:val="none"/>
        </w:rPr>
      </w:pPr>
    </w:p>
    <w:p w14:paraId="2C6D5C2F">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259076B">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0FD995F">
      <w:pPr>
        <w:kinsoku/>
        <w:wordWrap w:val="0"/>
        <w:overflowPunct/>
        <w:topLinePunct w:val="0"/>
        <w:bidi w:val="0"/>
        <w:spacing w:line="360" w:lineRule="auto"/>
        <w:jc w:val="center"/>
        <w:rPr>
          <w:rFonts w:ascii="仿宋_GB2312" w:hAnsi="仿宋_GB2312" w:eastAsia="仿宋_GB2312" w:cs="仿宋_GB2312"/>
          <w:b/>
          <w:bCs/>
          <w:color w:val="auto"/>
          <w:sz w:val="30"/>
          <w:szCs w:val="30"/>
          <w:highlight w:val="none"/>
        </w:rPr>
      </w:pPr>
    </w:p>
    <w:p w14:paraId="6AE7A231">
      <w:pPr>
        <w:kinsoku/>
        <w:wordWrap w:val="0"/>
        <w:overflowPunct/>
        <w:topLinePunct w:val="0"/>
        <w:bidi w:val="0"/>
        <w:spacing w:line="360" w:lineRule="auto"/>
        <w:jc w:val="center"/>
        <w:rPr>
          <w:rFonts w:ascii="仿宋_GB2312" w:hAnsi="仿宋_GB2312" w:eastAsia="仿宋_GB2312" w:cs="仿宋_GB2312"/>
          <w:b/>
          <w:bCs/>
          <w:color w:val="auto"/>
          <w:sz w:val="30"/>
          <w:szCs w:val="30"/>
          <w:highlight w:val="none"/>
        </w:rPr>
      </w:pPr>
    </w:p>
    <w:p w14:paraId="538BD3D7">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p>
    <w:p w14:paraId="3F333833">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p>
    <w:p w14:paraId="13396926">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4E06CFA1">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0C932BF">
      <w:pPr>
        <w:kinsoku/>
        <w:wordWrap w:val="0"/>
        <w:overflowPunct/>
        <w:topLinePunct w:val="0"/>
        <w:bidi w:val="0"/>
        <w:spacing w:line="360" w:lineRule="auto"/>
        <w:rPr>
          <w:rFonts w:ascii="仿宋_GB2312" w:hAnsi="仿宋_GB2312" w:eastAsia="仿宋_GB2312" w:cs="仿宋_GB2312"/>
          <w:color w:val="auto"/>
          <w:sz w:val="24"/>
          <w:highlight w:val="none"/>
        </w:rPr>
      </w:pPr>
    </w:p>
    <w:p w14:paraId="7C475D24">
      <w:pPr>
        <w:pStyle w:val="81"/>
        <w:kinsoku/>
        <w:wordWrap w:val="0"/>
        <w:overflowPunct/>
        <w:topLinePunct w:val="0"/>
        <w:bidi w:val="0"/>
        <w:rPr>
          <w:color w:val="auto"/>
          <w:highlight w:val="none"/>
        </w:rPr>
      </w:pPr>
    </w:p>
    <w:p w14:paraId="7D10765C">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94D1AE7">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0E53C8A">
      <w:pPr>
        <w:pStyle w:val="82"/>
        <w:kinsoku/>
        <w:wordWrap w:val="0"/>
        <w:overflowPunct/>
        <w:topLinePunct w:val="0"/>
        <w:bidi w:val="0"/>
        <w:rPr>
          <w:rFonts w:hint="eastAsia"/>
          <w:color w:val="auto"/>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pgNumType w:fmt="decimal"/>
          <w:cols w:space="720" w:num="1"/>
          <w:titlePg/>
          <w:docGrid w:linePitch="312" w:charSpace="0"/>
        </w:sectPr>
      </w:pPr>
    </w:p>
    <w:p w14:paraId="136B5FD0">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7148EE44">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E8763A8">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14:paraId="44DBCC3A">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17736A97">
      <w:pPr>
        <w:kinsoku/>
        <w:wordWrap w:val="0"/>
        <w:overflowPunct/>
        <w:topLinePunct w:val="0"/>
        <w:bidi w:val="0"/>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14:paraId="4F0599CF">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14:paraId="6F15B9F7">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7817F386">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08816527">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7D1AEF4C">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0AA4E632">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3F44B9FE">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63E6DB71">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44FA451E">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30221373">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067FDD1F">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38B4C51F">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4F663FE6">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5D28F301">
      <w:pPr>
        <w:kinsoku/>
        <w:wordWrap w:val="0"/>
        <w:overflowPunct/>
        <w:topLinePunct w:val="0"/>
        <w:bidi w:val="0"/>
        <w:snapToGrid w:val="0"/>
        <w:spacing w:line="360" w:lineRule="auto"/>
        <w:ind w:right="480"/>
        <w:jc w:val="both"/>
        <w:rPr>
          <w:rFonts w:hint="eastAsia" w:ascii="仿宋" w:hAnsi="仿宋" w:eastAsia="仿宋" w:cs="仿宋"/>
          <w:b/>
          <w:color w:val="auto"/>
          <w:kern w:val="0"/>
          <w:sz w:val="32"/>
          <w:szCs w:val="32"/>
          <w:highlight w:val="none"/>
        </w:rPr>
      </w:pPr>
    </w:p>
    <w:p w14:paraId="5A0A7DE7">
      <w:pPr>
        <w:pStyle w:val="693"/>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footerReference r:id="rId19" w:type="first"/>
          <w:headerReference r:id="rId17" w:type="default"/>
          <w:footerReference r:id="rId18" w:type="default"/>
          <w:pgSz w:w="11906" w:h="16838"/>
          <w:pgMar w:top="1814" w:right="1474" w:bottom="1814" w:left="1474" w:header="851" w:footer="992" w:gutter="0"/>
          <w:pgNumType w:fmt="decimal"/>
          <w:cols w:space="720" w:num="1"/>
          <w:titlePg/>
          <w:docGrid w:linePitch="312" w:charSpace="0"/>
        </w:sectPr>
      </w:pPr>
    </w:p>
    <w:p w14:paraId="687C6B0E">
      <w:pPr>
        <w:pStyle w:val="693"/>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3E6382A7">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绍兴市殡仪馆</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浙江华夏工程管理有限公司</w:t>
      </w:r>
      <w:r>
        <w:rPr>
          <w:rFonts w:hint="eastAsia" w:ascii="仿宋" w:hAnsi="仿宋" w:eastAsia="仿宋" w:cs="仿宋"/>
          <w:color w:val="auto"/>
          <w:kern w:val="0"/>
          <w:sz w:val="24"/>
          <w:highlight w:val="none"/>
          <w:lang w:val="zh-CN"/>
        </w:rPr>
        <w:t>：</w:t>
      </w:r>
    </w:p>
    <w:p w14:paraId="7B88DBFA">
      <w:pPr>
        <w:kinsoku/>
        <w:wordWrap w:val="0"/>
        <w:overflowPunct/>
        <w:topLinePunct w:val="0"/>
        <w:bidi w:val="0"/>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绍兴市殡仪馆火化设备（含后处理等配套设施）采购项目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CGSHZJ-2025-N001123</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6CB62122">
      <w:pPr>
        <w:kinsoku/>
        <w:wordWrap w:val="0"/>
        <w:overflowPunct/>
        <w:topLinePunct w:val="0"/>
        <w:bidi w:val="0"/>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7C8D4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9E2F04D">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44975F86">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3D91C70C">
            <w:pPr>
              <w:kinsoku/>
              <w:wordWrap w:val="0"/>
              <w:overflowPunct/>
              <w:topLinePunct w:val="0"/>
              <w:bidi w:val="0"/>
              <w:spacing w:line="360" w:lineRule="auto"/>
              <w:jc w:val="center"/>
              <w:rPr>
                <w:rFonts w:hint="eastAsia" w:ascii="仿宋" w:hAnsi="仿宋" w:eastAsia="仿宋" w:cs="仿宋"/>
                <w:b/>
                <w:color w:val="auto"/>
                <w:sz w:val="24"/>
                <w:highlight w:val="none"/>
              </w:rPr>
            </w:pPr>
          </w:p>
          <w:p w14:paraId="7224D4A8">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3118" w:type="dxa"/>
            <w:vAlign w:val="center"/>
          </w:tcPr>
          <w:p w14:paraId="74FA748F">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70ED1D6A">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23818019">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5343D712">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1CE19ED3">
            <w:pPr>
              <w:kinsoku/>
              <w:wordWrap w:val="0"/>
              <w:overflowPunct/>
              <w:topLinePunct w:val="0"/>
              <w:bidi w:val="0"/>
              <w:spacing w:line="360" w:lineRule="auto"/>
              <w:jc w:val="center"/>
              <w:rPr>
                <w:rFonts w:hint="eastAsia" w:ascii="仿宋" w:hAnsi="仿宋" w:eastAsia="仿宋" w:cs="仿宋"/>
                <w:b/>
                <w:color w:val="auto"/>
                <w:sz w:val="24"/>
                <w:highlight w:val="none"/>
              </w:rPr>
            </w:pPr>
          </w:p>
          <w:p w14:paraId="032FADF4">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40F0763C">
            <w:pPr>
              <w:kinsoku/>
              <w:wordWrap w:val="0"/>
              <w:overflowPunct/>
              <w:topLinePunct w:val="0"/>
              <w:bidi w:val="0"/>
              <w:spacing w:line="360" w:lineRule="auto"/>
              <w:jc w:val="center"/>
              <w:rPr>
                <w:rFonts w:hint="eastAsia" w:ascii="仿宋" w:hAnsi="仿宋" w:eastAsia="仿宋" w:cs="仿宋"/>
                <w:b/>
                <w:color w:val="auto"/>
                <w:sz w:val="24"/>
                <w:highlight w:val="none"/>
              </w:rPr>
            </w:pPr>
          </w:p>
        </w:tc>
      </w:tr>
      <w:tr w14:paraId="45C90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148897C">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5A2B6580">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1372E240">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14:paraId="27B72FF2">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14:paraId="29D1F5DF">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14:paraId="5759D97E">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14:paraId="4C1A086F">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14:paraId="4DE127A4">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07A07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98C922A">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56E40689">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1E2902D8">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14:paraId="655393B5">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14:paraId="310CDA74">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14:paraId="5713E089">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14:paraId="4E9F44FB">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14:paraId="6878E2E6">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6591D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1845567">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270AB7CD">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843" w:type="dxa"/>
            <w:vAlign w:val="center"/>
          </w:tcPr>
          <w:p w14:paraId="0481694E">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14:paraId="0512F84B">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14:paraId="23F7BF83">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14:paraId="43E1D0A8">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14:paraId="6C44F0B2">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14:paraId="43EF80C4">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2B542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E9AAD7F">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417" w:type="dxa"/>
            <w:vAlign w:val="center"/>
          </w:tcPr>
          <w:p w14:paraId="2081C1B3">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843" w:type="dxa"/>
            <w:vAlign w:val="center"/>
          </w:tcPr>
          <w:p w14:paraId="0FFE9AAE">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14:paraId="487F18EF">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14:paraId="36CA6E89">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14:paraId="4D1E5048">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14:paraId="70840DBB">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14:paraId="6AC182DA">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113E5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3531FB99">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13DCB3FB">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7EFCF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3F5C36A3">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407EBC21">
            <w:pPr>
              <w:kinsoku/>
              <w:wordWrap w:val="0"/>
              <w:overflowPunct/>
              <w:topLinePunct w:val="0"/>
              <w:bidi w:val="0"/>
              <w:spacing w:line="360" w:lineRule="auto"/>
              <w:jc w:val="center"/>
              <w:rPr>
                <w:rFonts w:hint="eastAsia" w:ascii="仿宋" w:hAnsi="仿宋" w:eastAsia="仿宋" w:cs="仿宋"/>
                <w:color w:val="auto"/>
                <w:sz w:val="24"/>
                <w:highlight w:val="none"/>
              </w:rPr>
            </w:pPr>
          </w:p>
        </w:tc>
      </w:tr>
    </w:tbl>
    <w:p w14:paraId="63FC5427">
      <w:pPr>
        <w:kinsoku/>
        <w:wordWrap w:val="0"/>
        <w:overflowPunct/>
        <w:topLinePunct w:val="0"/>
        <w:bidi w:val="0"/>
        <w:snapToGrid w:val="0"/>
        <w:spacing w:line="360" w:lineRule="auto"/>
        <w:ind w:left="480" w:firstLine="9120" w:firstLineChars="38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4B546084">
      <w:pPr>
        <w:pStyle w:val="81"/>
        <w:kinsoku/>
        <w:wordWrap w:val="0"/>
        <w:overflowPunct/>
        <w:topLinePunct w:val="0"/>
        <w:bidi w:val="0"/>
        <w:ind w:firstLine="9600" w:firstLineChars="4000"/>
        <w:rPr>
          <w:rFonts w:hint="eastAsia"/>
          <w:color w:val="auto"/>
          <w:highlight w:val="none"/>
          <w:lang w:val="zh-CN"/>
        </w:rPr>
      </w:pPr>
      <w:r>
        <w:rPr>
          <w:rFonts w:hint="eastAsia" w:ascii="仿宋" w:hAnsi="仿宋" w:eastAsia="仿宋" w:cs="仿宋"/>
          <w:color w:val="auto"/>
          <w:sz w:val="24"/>
          <w:highlight w:val="none"/>
        </w:rPr>
        <w:t>日期：  年   月   日</w:t>
      </w:r>
    </w:p>
    <w:p w14:paraId="77C720E7">
      <w:pPr>
        <w:kinsoku/>
        <w:wordWrap w:val="0"/>
        <w:overflowPunct/>
        <w:topLinePunct w:val="0"/>
        <w:bidi w:val="0"/>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12AD415E">
      <w:pPr>
        <w:kinsoku/>
        <w:wordWrap w:val="0"/>
        <w:overflowPunct/>
        <w:topLinePunct w:val="0"/>
        <w:bidi w:val="0"/>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6197A498">
      <w:pPr>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1D4F4CF7">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14:paraId="03E0D4DF">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A051F61">
      <w:pPr>
        <w:kinsoku/>
        <w:wordWrap w:val="0"/>
        <w:overflowPunct/>
        <w:topLinePunct w:val="0"/>
        <w:bidi w:val="0"/>
        <w:spacing w:line="360" w:lineRule="auto"/>
        <w:ind w:firstLine="482" w:firstLineChars="200"/>
        <w:rPr>
          <w:rFonts w:hint="eastAsia" w:ascii="仿宋" w:hAnsi="仿宋" w:eastAsia="仿宋" w:cs="仿宋"/>
          <w:b/>
          <w:color w:val="auto"/>
          <w:kern w:val="0"/>
          <w:sz w:val="24"/>
          <w:highlight w:val="none"/>
        </w:rPr>
      </w:pPr>
    </w:p>
    <w:p w14:paraId="168ED917">
      <w:pPr>
        <w:pStyle w:val="693"/>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p>
    <w:p w14:paraId="201AF566">
      <w:pPr>
        <w:pStyle w:val="693"/>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pgNumType w:fmt="decimal"/>
          <w:cols w:space="720" w:num="1"/>
          <w:titlePg/>
          <w:docGrid w:linePitch="312" w:charSpace="0"/>
        </w:sectPr>
      </w:pPr>
    </w:p>
    <w:p w14:paraId="5C72B916">
      <w:pPr>
        <w:pStyle w:val="693"/>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47" w:name="_Hlk101259491"/>
      <w:r>
        <w:rPr>
          <w:rFonts w:hint="eastAsia" w:ascii="仿宋" w:hAnsi="仿宋" w:eastAsia="仿宋" w:cs="仿宋"/>
          <w:color w:val="auto"/>
          <w:sz w:val="32"/>
          <w:szCs w:val="32"/>
          <w:highlight w:val="none"/>
        </w:rPr>
        <w:t>（如有）</w:t>
      </w:r>
      <w:bookmarkEnd w:id="47"/>
    </w:p>
    <w:p w14:paraId="543A4EFE">
      <w:pPr>
        <w:widowControl/>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C05C43E">
      <w:pPr>
        <w:pStyle w:val="81"/>
        <w:kinsoku/>
        <w:wordWrap w:val="0"/>
        <w:overflowPunct/>
        <w:topLinePunct w:val="0"/>
        <w:bidi w:val="0"/>
        <w:rPr>
          <w:rFonts w:hint="eastAsia" w:ascii="仿宋" w:hAnsi="仿宋" w:eastAsia="仿宋" w:cs="仿宋"/>
          <w:b/>
          <w:color w:val="auto"/>
          <w:sz w:val="24"/>
          <w:highlight w:val="none"/>
        </w:rPr>
      </w:pPr>
    </w:p>
    <w:p w14:paraId="383D0DC7">
      <w:pPr>
        <w:pStyle w:val="82"/>
        <w:kinsoku/>
        <w:wordWrap w:val="0"/>
        <w:overflowPunct/>
        <w:topLinePunct w:val="0"/>
        <w:bidi w:val="0"/>
        <w:rPr>
          <w:rFonts w:hint="eastAsia" w:ascii="仿宋" w:hAnsi="仿宋" w:eastAsia="仿宋" w:cs="仿宋"/>
          <w:b/>
          <w:color w:val="auto"/>
          <w:sz w:val="24"/>
          <w:highlight w:val="none"/>
        </w:rPr>
      </w:pPr>
    </w:p>
    <w:p w14:paraId="43EB8FC5">
      <w:pPr>
        <w:kinsoku/>
        <w:wordWrap w:val="0"/>
        <w:overflowPunct/>
        <w:topLinePunct w:val="0"/>
        <w:bidi w:val="0"/>
        <w:rPr>
          <w:rFonts w:hint="eastAsia" w:ascii="仿宋" w:hAnsi="仿宋" w:eastAsia="仿宋" w:cs="仿宋"/>
          <w:b/>
          <w:color w:val="auto"/>
          <w:sz w:val="24"/>
          <w:highlight w:val="none"/>
        </w:rPr>
      </w:pPr>
    </w:p>
    <w:p w14:paraId="2A0D97AC">
      <w:pPr>
        <w:pStyle w:val="81"/>
        <w:kinsoku/>
        <w:wordWrap w:val="0"/>
        <w:overflowPunct/>
        <w:topLinePunct w:val="0"/>
        <w:bidi w:val="0"/>
        <w:rPr>
          <w:rFonts w:hint="eastAsia" w:ascii="仿宋" w:hAnsi="仿宋" w:eastAsia="仿宋" w:cs="仿宋"/>
          <w:b/>
          <w:color w:val="auto"/>
          <w:sz w:val="24"/>
          <w:highlight w:val="none"/>
        </w:rPr>
      </w:pPr>
    </w:p>
    <w:p w14:paraId="5F9AC6D0">
      <w:pPr>
        <w:pStyle w:val="82"/>
        <w:kinsoku/>
        <w:wordWrap w:val="0"/>
        <w:overflowPunct/>
        <w:topLinePunct w:val="0"/>
        <w:bidi w:val="0"/>
        <w:rPr>
          <w:rFonts w:hint="eastAsia"/>
          <w:color w:val="auto"/>
          <w:highlight w:val="none"/>
        </w:rPr>
      </w:pPr>
    </w:p>
    <w:p w14:paraId="1372FA1E">
      <w:pPr>
        <w:pStyle w:val="82"/>
        <w:kinsoku/>
        <w:wordWrap w:val="0"/>
        <w:overflowPunct/>
        <w:topLinePunct w:val="0"/>
        <w:bidi w:val="0"/>
        <w:rPr>
          <w:rFonts w:hint="eastAsia"/>
          <w:color w:val="auto"/>
          <w:highlight w:val="none"/>
        </w:rPr>
      </w:pPr>
    </w:p>
    <w:p w14:paraId="15D0B5D1">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三、残疾人福利性单位声明函（如有）</w:t>
      </w:r>
    </w:p>
    <w:p w14:paraId="47FA9F64">
      <w:pPr>
        <w:widowControl/>
        <w:kinsoku/>
        <w:wordWrap w:val="0"/>
        <w:overflowPunct/>
        <w:topLinePunct w:val="0"/>
        <w:autoSpaceDE w:val="0"/>
        <w:autoSpaceDN w:val="0"/>
        <w:bidi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379EFD5D">
      <w:pPr>
        <w:pStyle w:val="81"/>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14:paraId="27C210DF">
      <w:pPr>
        <w:pStyle w:val="82"/>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14:paraId="627E80AB">
      <w:pPr>
        <w:pStyle w:val="693"/>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b w:val="0"/>
          <w:color w:val="auto"/>
          <w:sz w:val="32"/>
          <w:szCs w:val="32"/>
          <w:highlight w:val="none"/>
        </w:rPr>
      </w:pPr>
    </w:p>
    <w:p w14:paraId="2AA9B899">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14:paraId="1FC4645B">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14:paraId="07F6F3AB">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14:paraId="7DE141C5">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14:paraId="7F8B7BE9">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14:paraId="20AE741C">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14:paraId="2C9B7E54">
      <w:pPr>
        <w:pStyle w:val="4"/>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48" w:name="_Toc465665161"/>
      <w:r>
        <w:rPr>
          <w:rFonts w:hint="eastAsia" w:ascii="仿宋" w:hAnsi="仿宋" w:eastAsia="仿宋" w:cs="仿宋"/>
          <w:color w:val="auto"/>
          <w:highlight w:val="none"/>
        </w:rPr>
        <w:t>附件</w:t>
      </w:r>
      <w:bookmarkEnd w:id="48"/>
    </w:p>
    <w:p w14:paraId="2D2EE478">
      <w:pPr>
        <w:kinsoku/>
        <w:wordWrap w:val="0"/>
        <w:overflowPunct/>
        <w:topLinePunct w:val="0"/>
        <w:bidi w:val="0"/>
        <w:spacing w:line="360" w:lineRule="auto"/>
        <w:rPr>
          <w:rFonts w:hint="eastAsia" w:ascii="仿宋" w:hAnsi="仿宋" w:eastAsia="仿宋" w:cs="仿宋"/>
          <w:b/>
          <w:color w:val="auto"/>
          <w:sz w:val="24"/>
          <w:highlight w:val="none"/>
        </w:rPr>
      </w:pPr>
    </w:p>
    <w:p w14:paraId="698D9249">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41AD32C1">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43099598">
      <w:pPr>
        <w:kinsoku/>
        <w:wordWrap w:val="0"/>
        <w:overflowPunct/>
        <w:topLinePunct w:val="0"/>
        <w:bidi w:val="0"/>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2550E0AF">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3490D6FB">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A679DDC">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DB09379">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B2D0B9B">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CCE565E">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F335912">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3A7B8D36">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7C73855F">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66BBDF7">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71C9B61">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0A97D238">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0F061A01">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3AD2AE86">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852B57C">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4FDAAF6C">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488191D">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BD84B75">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704037C3">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F01B055">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7A0C02A">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4D5D3E1">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A4A6664">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195BBA80">
      <w:pPr>
        <w:kinsoku/>
        <w:wordWrap w:val="0"/>
        <w:overflowPunct/>
        <w:topLinePunct w:val="0"/>
        <w:bidi w:val="0"/>
        <w:spacing w:line="360" w:lineRule="auto"/>
        <w:jc w:val="center"/>
        <w:rPr>
          <w:rFonts w:hint="eastAsia" w:ascii="仿宋" w:hAnsi="仿宋" w:eastAsia="仿宋" w:cs="仿宋"/>
          <w:b/>
          <w:bCs/>
          <w:color w:val="auto"/>
          <w:sz w:val="24"/>
          <w:highlight w:val="none"/>
        </w:rPr>
      </w:pPr>
    </w:p>
    <w:p w14:paraId="6D2C4E33">
      <w:pPr>
        <w:kinsoku/>
        <w:wordWrap w:val="0"/>
        <w:overflowPunct/>
        <w:topLinePunct w:val="0"/>
        <w:bidi w:val="0"/>
        <w:spacing w:line="360" w:lineRule="auto"/>
        <w:rPr>
          <w:rFonts w:hint="eastAsia" w:ascii="仿宋" w:hAnsi="仿宋" w:eastAsia="仿宋" w:cs="仿宋"/>
          <w:b/>
          <w:color w:val="auto"/>
          <w:sz w:val="24"/>
          <w:highlight w:val="none"/>
        </w:rPr>
      </w:pPr>
    </w:p>
    <w:p w14:paraId="30C2C02C">
      <w:pPr>
        <w:kinsoku/>
        <w:wordWrap w:val="0"/>
        <w:overflowPunct/>
        <w:topLinePunct w:val="0"/>
        <w:bidi w:val="0"/>
        <w:spacing w:line="360" w:lineRule="auto"/>
        <w:rPr>
          <w:rFonts w:hint="eastAsia" w:ascii="仿宋" w:hAnsi="仿宋" w:eastAsia="仿宋" w:cs="仿宋"/>
          <w:b/>
          <w:color w:val="auto"/>
          <w:sz w:val="24"/>
          <w:highlight w:val="none"/>
        </w:rPr>
      </w:pPr>
    </w:p>
    <w:p w14:paraId="74A937F3">
      <w:pPr>
        <w:kinsoku/>
        <w:wordWrap w:val="0"/>
        <w:overflowPunct/>
        <w:topLinePunct w:val="0"/>
        <w:bidi w:val="0"/>
        <w:spacing w:line="360" w:lineRule="auto"/>
        <w:rPr>
          <w:rFonts w:hint="eastAsia" w:ascii="仿宋" w:hAnsi="仿宋" w:eastAsia="仿宋" w:cs="仿宋"/>
          <w:b/>
          <w:color w:val="auto"/>
          <w:sz w:val="24"/>
          <w:highlight w:val="none"/>
        </w:rPr>
      </w:pPr>
    </w:p>
    <w:p w14:paraId="41D94CB1">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00421BE">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30B4B10">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0A4CCA0">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CC06F0F">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39A8700C">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45D708D">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2D67E9F2">
      <w:pPr>
        <w:widowControl/>
        <w:kinsoku/>
        <w:wordWrap w:val="0"/>
        <w:overflowPunct/>
        <w:topLinePunct w:val="0"/>
        <w:bidi w:val="0"/>
        <w:spacing w:line="360" w:lineRule="auto"/>
        <w:ind w:firstLine="600" w:firstLineChars="200"/>
        <w:jc w:val="left"/>
        <w:rPr>
          <w:rFonts w:hint="eastAsia" w:ascii="仿宋" w:hAnsi="仿宋" w:eastAsia="仿宋" w:cs="仿宋"/>
          <w:color w:val="auto"/>
          <w:sz w:val="30"/>
          <w:szCs w:val="30"/>
          <w:highlight w:val="none"/>
        </w:rPr>
      </w:pPr>
    </w:p>
    <w:p w14:paraId="4F079CF7">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41F78DA8">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1F253C48">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0B1B43F4">
      <w:pPr>
        <w:kinsoku/>
        <w:wordWrap w:val="0"/>
        <w:overflowPunct/>
        <w:topLinePunct w:val="0"/>
        <w:bidi w:val="0"/>
        <w:spacing w:line="360" w:lineRule="auto"/>
        <w:jc w:val="center"/>
        <w:rPr>
          <w:rFonts w:hint="eastAsia" w:ascii="仿宋" w:hAnsi="仿宋" w:eastAsia="仿宋" w:cs="仿宋"/>
          <w:b/>
          <w:color w:val="auto"/>
          <w:sz w:val="24"/>
          <w:highlight w:val="none"/>
        </w:rPr>
      </w:pPr>
    </w:p>
    <w:p w14:paraId="514F0491">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6D5FD2FA">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0F2567C6">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45C600E4">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19C614C">
      <w:pPr>
        <w:tabs>
          <w:tab w:val="left" w:pos="6510"/>
        </w:tabs>
        <w:kinsoku/>
        <w:wordWrap w:val="0"/>
        <w:overflowPunct/>
        <w:topLinePunct w:val="0"/>
        <w:bidi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02FC317">
      <w:pPr>
        <w:tabs>
          <w:tab w:val="left" w:pos="6510"/>
        </w:tabs>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21802C8">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0B17157">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0DAAE14C">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6AA387B">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50123F9">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3A0934C">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B97280B">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3D9BB91">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909A9D3">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635D4C0">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DA82817">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BAF5C32">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4A1E8382">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B3E1D6E">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3D2BBB5">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7A1EB13C">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8423754">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FD6B36E">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78E4CFAE">
      <w:pPr>
        <w:kinsoku/>
        <w:wordWrap w:val="0"/>
        <w:overflowPunct/>
        <w:topLinePunct w:val="0"/>
        <w:bidi w:val="0"/>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2CC04DE9">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11C4A31">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26ECC1D8">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06EE0253">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300B6317">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AA1455C">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B173D76">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273CC52">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922B4D4">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412EB9BA">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3F24A99">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5D6D4DBD">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CC22E6A">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32F18A32">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DBD6F99">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AD40AA8">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0364F42">
      <w:pPr>
        <w:widowControl/>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485E555">
      <w:pPr>
        <w:widowControl/>
        <w:kinsoku/>
        <w:wordWrap w:val="0"/>
        <w:overflowPunct/>
        <w:topLinePunct w:val="0"/>
        <w:bidi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BE3F42C">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628AD23D">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4538AE20">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3DE37C58">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66B5EFC6">
      <w:pPr>
        <w:widowControl/>
        <w:kinsoku/>
        <w:wordWrap w:val="0"/>
        <w:overflowPunct/>
        <w:topLinePunct w:val="0"/>
        <w:bidi w:val="0"/>
        <w:spacing w:line="360" w:lineRule="auto"/>
        <w:ind w:firstLine="480" w:firstLineChars="200"/>
        <w:jc w:val="left"/>
        <w:rPr>
          <w:rFonts w:hint="eastAsia" w:ascii="仿宋" w:hAnsi="仿宋" w:eastAsia="仿宋" w:cs="仿宋"/>
          <w:b/>
          <w:color w:val="auto"/>
          <w:spacing w:val="6"/>
          <w:sz w:val="32"/>
          <w:szCs w:val="32"/>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0BE5DE5C">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3C3CA14B">
      <w:pPr>
        <w:kinsoku/>
        <w:wordWrap w:val="0"/>
        <w:overflowPunct/>
        <w:topLinePunct w:val="0"/>
        <w:bidi w:val="0"/>
        <w:spacing w:line="360" w:lineRule="auto"/>
        <w:rPr>
          <w:rFonts w:hint="eastAsia" w:ascii="仿宋" w:hAnsi="仿宋" w:eastAsia="仿宋" w:cs="仿宋"/>
          <w:color w:val="auto"/>
          <w:sz w:val="24"/>
          <w:highlight w:val="none"/>
          <w:u w:val="single"/>
        </w:rPr>
      </w:pPr>
    </w:p>
    <w:p w14:paraId="74F2C729">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绍兴市殡仪馆</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浙江华夏工程管理有限公司</w:t>
      </w:r>
      <w:r>
        <w:rPr>
          <w:rFonts w:hint="eastAsia" w:ascii="仿宋" w:hAnsi="仿宋" w:eastAsia="仿宋" w:cs="仿宋"/>
          <w:color w:val="auto"/>
          <w:sz w:val="24"/>
          <w:highlight w:val="none"/>
          <w:u w:val="single"/>
        </w:rPr>
        <w:t>：</w:t>
      </w:r>
    </w:p>
    <w:p w14:paraId="1B84A95C">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绍兴市殡仪馆火化设备（含后处理等配套设施）采购项目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CGSHZJ-2025-N001123</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2F83063E">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76BC578E">
      <w:pPr>
        <w:kinsoku/>
        <w:wordWrap w:val="0"/>
        <w:overflowPunct/>
        <w:topLinePunct w:val="0"/>
        <w:bidi w:val="0"/>
        <w:spacing w:line="360" w:lineRule="auto"/>
        <w:ind w:firstLine="494"/>
        <w:rPr>
          <w:rFonts w:hint="eastAsia" w:ascii="仿宋" w:hAnsi="仿宋" w:eastAsia="仿宋" w:cs="仿宋"/>
          <w:color w:val="auto"/>
          <w:sz w:val="24"/>
          <w:highlight w:val="none"/>
        </w:rPr>
      </w:pPr>
    </w:p>
    <w:p w14:paraId="19462A0F">
      <w:pPr>
        <w:kinsoku/>
        <w:wordWrap w:val="0"/>
        <w:overflowPunct/>
        <w:topLinePunct w:val="0"/>
        <w:bidi w:val="0"/>
        <w:spacing w:line="360" w:lineRule="auto"/>
        <w:ind w:firstLine="494"/>
        <w:rPr>
          <w:rFonts w:hint="eastAsia" w:ascii="仿宋" w:hAnsi="仿宋" w:eastAsia="仿宋" w:cs="仿宋"/>
          <w:color w:val="auto"/>
          <w:sz w:val="24"/>
          <w:highlight w:val="none"/>
        </w:rPr>
      </w:pPr>
    </w:p>
    <w:p w14:paraId="6100DD36">
      <w:pPr>
        <w:kinsoku/>
        <w:wordWrap w:val="0"/>
        <w:overflowPunct/>
        <w:topLinePunct w:val="0"/>
        <w:bidi w:val="0"/>
        <w:spacing w:line="360" w:lineRule="auto"/>
        <w:ind w:firstLine="494"/>
        <w:rPr>
          <w:rFonts w:hint="eastAsia" w:ascii="仿宋" w:hAnsi="仿宋" w:eastAsia="仿宋" w:cs="仿宋"/>
          <w:color w:val="auto"/>
          <w:sz w:val="24"/>
          <w:highlight w:val="none"/>
        </w:rPr>
      </w:pPr>
    </w:p>
    <w:p w14:paraId="7A2BC98A">
      <w:pPr>
        <w:kinsoku/>
        <w:wordWrap w:val="0"/>
        <w:overflowPunct/>
        <w:topLinePunct w:val="0"/>
        <w:bidi w:val="0"/>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6923705F">
      <w:pPr>
        <w:kinsoku/>
        <w:wordWrap w:val="0"/>
        <w:overflowPunct/>
        <w:topLinePunct w:val="0"/>
        <w:bidi w:val="0"/>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1A7B3F9">
      <w:pPr>
        <w:pStyle w:val="81"/>
        <w:kinsoku/>
        <w:wordWrap w:val="0"/>
        <w:overflowPunct/>
        <w:topLinePunct w:val="0"/>
        <w:bidi w:val="0"/>
        <w:rPr>
          <w:rFonts w:hint="eastAsia"/>
          <w:color w:val="auto"/>
          <w:highlight w:val="none"/>
        </w:rPr>
      </w:pPr>
    </w:p>
    <w:p w14:paraId="6A62B741">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3A9F10C9">
      <w:pPr>
        <w:kinsoku/>
        <w:wordWrap w:val="0"/>
        <w:overflowPunct/>
        <w:topLinePunct w:val="0"/>
        <w:bidi w:val="0"/>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67973600">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5FC456A">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1179371">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DA7A27C">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508A057">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D94E557">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094E7EE">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D5D5AA5">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14E6ABC">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FAEAB9C">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EA3FFF6">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C20D4DF">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A6E20D6">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60189DE">
      <w:pPr>
        <w:keepNext w:val="0"/>
        <w:keepLines w:val="0"/>
        <w:pageBreakBefore/>
        <w:widowControl w:val="0"/>
        <w:kinsoku/>
        <w:wordWrap w:val="0"/>
        <w:overflowPunct/>
        <w:topLinePunct w:val="0"/>
        <w:autoSpaceDE/>
        <w:autoSpaceDN/>
        <w:bidi w:val="0"/>
        <w:adjustRightInd w:val="0"/>
        <w:snapToGrid w:val="0"/>
        <w:spacing w:line="360" w:lineRule="auto"/>
        <w:jc w:val="center"/>
        <w:textAlignment w:val="auto"/>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14:paraId="48DBDF1F">
      <w:pPr>
        <w:widowControl/>
        <w:kinsoku/>
        <w:wordWrap w:val="0"/>
        <w:overflowPunct/>
        <w:topLinePunct w:val="0"/>
        <w:bidi w:val="0"/>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21A94AA5">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绍兴市殡仪馆火化设备（含后处理等配套设施）采购项目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CGSHZJ-2025-N001123</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14:paraId="56097847">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BA9BAE1">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54AB3D2B">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C958910">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bookmarkStart w:id="49"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A6B749F">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7C1BE38">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49"/>
    <w:p w14:paraId="2A0318C4">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4D00AC9E">
      <w:pPr>
        <w:kinsoku/>
        <w:wordWrap w:val="0"/>
        <w:overflowPunct/>
        <w:topLinePunct w:val="0"/>
        <w:bidi w:val="0"/>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4085B1D">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2677C9FC">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CFD802D">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6C0F6AB1">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69A64A0">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10E51C3">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332488D0">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8218093">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178CF99">
      <w:pPr>
        <w:kinsoku/>
        <w:wordWrap w:val="0"/>
        <w:overflowPunct/>
        <w:topLinePunct w:val="0"/>
        <w:bidi w:val="0"/>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404EF0EB">
      <w:pPr>
        <w:kinsoku/>
        <w:wordWrap w:val="0"/>
        <w:overflowPunct/>
        <w:topLinePunct w:val="0"/>
        <w:bidi w:val="0"/>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5DB68CAC">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791F083">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DEBFC88">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26AB5AF">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1CEB14C">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291ACC9">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D097569">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D781E77">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9C39861">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0185AED">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A366610">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80D90C1">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631E4C3">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79A1CE2">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B862F79">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9BA6E32">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1010C0C">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7C76C23">
      <w:pPr>
        <w:kinsoku/>
        <w:wordWrap w:val="0"/>
        <w:overflowPunct/>
        <w:topLinePunct w:val="0"/>
        <w:bidi w:val="0"/>
        <w:snapToGrid w:val="0"/>
        <w:spacing w:line="360" w:lineRule="auto"/>
        <w:jc w:val="center"/>
        <w:outlineLvl w:val="0"/>
        <w:rPr>
          <w:rFonts w:hint="eastAsia" w:ascii="仿宋" w:hAnsi="仿宋" w:eastAsia="仿宋" w:cs="仿宋"/>
          <w:b/>
          <w:color w:val="auto"/>
          <w:kern w:val="0"/>
          <w:sz w:val="32"/>
          <w:szCs w:val="32"/>
          <w:highlight w:val="none"/>
        </w:rPr>
      </w:pPr>
    </w:p>
    <w:p w14:paraId="31E7852C">
      <w:pPr>
        <w:kinsoku/>
        <w:wordWrap w:val="0"/>
        <w:overflowPunct/>
        <w:topLinePunct w:val="0"/>
        <w:bidi w:val="0"/>
        <w:snapToGrid w:val="0"/>
        <w:spacing w:line="360" w:lineRule="auto"/>
        <w:jc w:val="center"/>
        <w:outlineLvl w:val="0"/>
        <w:rPr>
          <w:rFonts w:hint="eastAsia" w:ascii="仿宋" w:hAnsi="仿宋" w:eastAsia="仿宋" w:cs="仿宋"/>
          <w:b/>
          <w:color w:val="auto"/>
          <w:kern w:val="0"/>
          <w:sz w:val="32"/>
          <w:szCs w:val="32"/>
          <w:highlight w:val="none"/>
        </w:rPr>
      </w:pPr>
    </w:p>
    <w:p w14:paraId="3F03761E">
      <w:pPr>
        <w:kinsoku/>
        <w:wordWrap w:val="0"/>
        <w:overflowPunct/>
        <w:topLinePunct w:val="0"/>
        <w:bidi w:val="0"/>
        <w:snapToGrid w:val="0"/>
        <w:spacing w:line="360" w:lineRule="auto"/>
        <w:jc w:val="center"/>
        <w:outlineLvl w:val="0"/>
        <w:rPr>
          <w:rFonts w:hint="eastAsia" w:ascii="仿宋" w:hAnsi="仿宋" w:eastAsia="仿宋" w:cs="仿宋"/>
          <w:b/>
          <w:color w:val="auto"/>
          <w:kern w:val="0"/>
          <w:sz w:val="32"/>
          <w:szCs w:val="32"/>
          <w:highlight w:val="none"/>
        </w:rPr>
      </w:pPr>
    </w:p>
    <w:p w14:paraId="69C97B87">
      <w:pPr>
        <w:keepNext w:val="0"/>
        <w:keepLines w:val="0"/>
        <w:pageBreakBefore/>
        <w:widowControl w:val="0"/>
        <w:kinsoku/>
        <w:wordWrap w:val="0"/>
        <w:overflowPunct/>
        <w:topLinePunct w:val="0"/>
        <w:autoSpaceDE/>
        <w:autoSpaceDN/>
        <w:bidi w:val="0"/>
        <w:adjustRightInd w:val="0"/>
        <w:snapToGrid w:val="0"/>
        <w:spacing w:line="360" w:lineRule="auto"/>
        <w:jc w:val="center"/>
        <w:textAlignment w:val="auto"/>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14:paraId="063520DC">
      <w:pPr>
        <w:widowControl/>
        <w:kinsoku/>
        <w:wordWrap w:val="0"/>
        <w:overflowPunct/>
        <w:topLinePunct w:val="0"/>
        <w:bidi w:val="0"/>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0B77FB76">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绍兴市殡仪馆火化设备（含后处理等配套设施）采购项目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CGSHZJ-2025-N001123</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535F0B0">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114D45A9">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0C78CA9B">
      <w:pPr>
        <w:pStyle w:val="5"/>
        <w:kinsoku/>
        <w:wordWrap w:val="0"/>
        <w:overflowPunct/>
        <w:topLinePunct w:val="0"/>
        <w:bidi w:val="0"/>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74C14ADE">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09A4E26A">
      <w:pPr>
        <w:kinsoku/>
        <w:wordWrap w:val="0"/>
        <w:overflowPunct/>
        <w:topLinePunct w:val="0"/>
        <w:bidi w:val="0"/>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4F71B202">
      <w:pPr>
        <w:kinsoku/>
        <w:wordWrap w:val="0"/>
        <w:overflowPunct/>
        <w:topLinePunct w:val="0"/>
        <w:bidi w:val="0"/>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50"/>
    </w:p>
    <w:p w14:paraId="3E16D55B">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0B1E87D4">
      <w:pPr>
        <w:kinsoku/>
        <w:wordWrap w:val="0"/>
        <w:overflowPunct/>
        <w:topLinePunct w:val="0"/>
        <w:bidi w:val="0"/>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502F9C6">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579901BE">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en-US" w:eastAsia="zh-CN"/>
        </w:rPr>
      </w:pP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p>
    <w:p w14:paraId="39225866">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6C6F20EC">
      <w:pPr>
        <w:kinsoku/>
        <w:wordWrap w:val="0"/>
        <w:overflowPunct/>
        <w:topLinePunct w:val="0"/>
        <w:bidi w:val="0"/>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D5B5095">
      <w:pPr>
        <w:kinsoku/>
        <w:wordWrap w:val="0"/>
        <w:overflowPunct/>
        <w:topLinePunct w:val="0"/>
        <w:bidi w:val="0"/>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1D50E9FE">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0257019">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3A1DB431">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p>
    <w:p w14:paraId="4B7C782B">
      <w:pPr>
        <w:kinsoku/>
        <w:wordWrap w:val="0"/>
        <w:overflowPunct/>
        <w:topLinePunct w:val="0"/>
        <w:bidi w:val="0"/>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6E6FDEA6">
      <w:pPr>
        <w:kinsoku/>
        <w:wordWrap w:val="0"/>
        <w:overflowPunct/>
        <w:topLinePunct w:val="0"/>
        <w:bidi w:val="0"/>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748C5FBD">
      <w:pPr>
        <w:kinsoku/>
        <w:wordWrap w:val="0"/>
        <w:overflowPunct/>
        <w:topLinePunct w:val="0"/>
        <w:bidi w:val="0"/>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0ED5832">
      <w:pPr>
        <w:kinsoku/>
        <w:wordWrap w:val="0"/>
        <w:overflowPunct/>
        <w:topLinePunct w:val="0"/>
        <w:bidi w:val="0"/>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C007B9A">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4CC3845">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25D0DB4">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1BE351B">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39B5124">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12E4928">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CDAF72D">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74EE3C7">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8D6245C">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765BA0E">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8911ED1">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D489712">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A26EB89">
      <w:pPr>
        <w:pStyle w:val="81"/>
        <w:kinsoku/>
        <w:wordWrap w:val="0"/>
        <w:overflowPunct/>
        <w:topLinePunct w:val="0"/>
        <w:bidi w:val="0"/>
        <w:rPr>
          <w:rFonts w:hint="eastAsia" w:ascii="仿宋" w:hAnsi="仿宋" w:eastAsia="仿宋" w:cs="仿宋"/>
          <w:b/>
          <w:color w:val="auto"/>
          <w:spacing w:val="6"/>
          <w:sz w:val="32"/>
          <w:szCs w:val="32"/>
          <w:highlight w:val="none"/>
        </w:rPr>
      </w:pPr>
    </w:p>
    <w:p w14:paraId="00EB623A">
      <w:pPr>
        <w:pStyle w:val="82"/>
        <w:kinsoku/>
        <w:wordWrap w:val="0"/>
        <w:overflowPunct/>
        <w:topLinePunct w:val="0"/>
        <w:bidi w:val="0"/>
        <w:rPr>
          <w:rFonts w:hint="eastAsia" w:ascii="仿宋" w:hAnsi="仿宋" w:eastAsia="仿宋" w:cs="仿宋"/>
          <w:b/>
          <w:color w:val="auto"/>
          <w:spacing w:val="6"/>
          <w:sz w:val="32"/>
          <w:szCs w:val="32"/>
          <w:highlight w:val="none"/>
        </w:rPr>
      </w:pPr>
    </w:p>
    <w:p w14:paraId="302A4470">
      <w:pPr>
        <w:kinsoku/>
        <w:wordWrap w:val="0"/>
        <w:overflowPunct/>
        <w:topLinePunct w:val="0"/>
        <w:bidi w:val="0"/>
        <w:rPr>
          <w:rFonts w:hint="eastAsia" w:ascii="仿宋" w:hAnsi="仿宋" w:eastAsia="仿宋" w:cs="仿宋"/>
          <w:b/>
          <w:color w:val="auto"/>
          <w:spacing w:val="6"/>
          <w:sz w:val="32"/>
          <w:szCs w:val="32"/>
          <w:highlight w:val="none"/>
        </w:rPr>
      </w:pPr>
    </w:p>
    <w:p w14:paraId="0A46D193">
      <w:pPr>
        <w:pStyle w:val="81"/>
        <w:kinsoku/>
        <w:wordWrap w:val="0"/>
        <w:overflowPunct/>
        <w:topLinePunct w:val="0"/>
        <w:bidi w:val="0"/>
        <w:rPr>
          <w:rFonts w:hint="eastAsia" w:ascii="仿宋" w:hAnsi="仿宋" w:eastAsia="仿宋" w:cs="仿宋"/>
          <w:b/>
          <w:color w:val="auto"/>
          <w:spacing w:val="6"/>
          <w:sz w:val="32"/>
          <w:szCs w:val="32"/>
          <w:highlight w:val="none"/>
        </w:rPr>
      </w:pPr>
    </w:p>
    <w:p w14:paraId="1D1EC30C">
      <w:pPr>
        <w:pStyle w:val="82"/>
        <w:kinsoku/>
        <w:wordWrap w:val="0"/>
        <w:overflowPunct/>
        <w:topLinePunct w:val="0"/>
        <w:bidi w:val="0"/>
        <w:rPr>
          <w:rFonts w:hint="eastAsia"/>
          <w:color w:val="auto"/>
          <w:highlight w:val="none"/>
        </w:rPr>
      </w:pPr>
    </w:p>
    <w:p w14:paraId="5C8505C7">
      <w:pPr>
        <w:kinsoku/>
        <w:wordWrap w:val="0"/>
        <w:overflowPunct/>
        <w:topLinePunct w:val="0"/>
        <w:bidi w:val="0"/>
        <w:spacing w:line="360" w:lineRule="auto"/>
        <w:jc w:val="both"/>
        <w:rPr>
          <w:rFonts w:hint="eastAsia" w:ascii="仿宋" w:hAnsi="仿宋" w:eastAsia="仿宋" w:cs="仿宋"/>
          <w:b/>
          <w:color w:val="auto"/>
          <w:spacing w:val="6"/>
          <w:sz w:val="32"/>
          <w:szCs w:val="32"/>
          <w:highlight w:val="none"/>
        </w:rPr>
      </w:pPr>
      <w:bookmarkStart w:id="51" w:name="OLE_LINK13"/>
      <w:bookmarkStart w:id="52" w:name="OLE_LINK14"/>
    </w:p>
    <w:p w14:paraId="49DF4399">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14:paraId="1D3029AE">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14:paraId="619E85CA">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14:paraId="14145EB9">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14:paraId="37175707">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14:paraId="37462079">
      <w:pPr>
        <w:kinsoku/>
        <w:wordWrap w:val="0"/>
        <w:overflowPunct/>
        <w:topLinePunct w:val="0"/>
        <w:bidi w:val="0"/>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14:paraId="7C2FA33C">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51"/>
    <w:bookmarkEnd w:id="52"/>
    <w:p w14:paraId="51085E54">
      <w:pPr>
        <w:kinsoku/>
        <w:wordWrap w:val="0"/>
        <w:overflowPunct/>
        <w:topLinePunct w:val="0"/>
        <w:bidi w:val="0"/>
        <w:spacing w:line="360" w:lineRule="auto"/>
        <w:rPr>
          <w:rFonts w:hint="eastAsia" w:ascii="仿宋" w:hAnsi="仿宋" w:eastAsia="仿宋" w:cs="仿宋"/>
          <w:b/>
          <w:color w:val="auto"/>
          <w:spacing w:val="6"/>
          <w:sz w:val="30"/>
          <w:szCs w:val="30"/>
          <w:highlight w:val="none"/>
        </w:rPr>
      </w:pPr>
    </w:p>
    <w:p w14:paraId="0DBC5C93">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lang w:eastAsia="zh-CN"/>
        </w:rPr>
        <w:t>绍兴市殡仪馆</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绍兴市殡仪馆火化设备（含后处理等配套设施）采购项目</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6A74C57">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3367AD2">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14:paraId="0DD7C9C7">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14:paraId="27E86512">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2A346375">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38019E97">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513B362">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D1C72D4">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B7E6C4A">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F8FEB39">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4C716F1">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CFB14C2">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0DC70CD">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DFCF8E7">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C4859F9">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2BA09F4">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248D0F0">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D4F2F47">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393904C">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9A78B78">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14:paraId="2DCFAEC9">
      <w:pPr>
        <w:kinsoku/>
        <w:wordWrap w:val="0"/>
        <w:overflowPunct/>
        <w:topLinePunct w:val="0"/>
        <w:bidi w:val="0"/>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668E2868">
      <w:pPr>
        <w:kinsoku/>
        <w:wordWrap w:val="0"/>
        <w:overflowPunct/>
        <w:topLinePunct w:val="0"/>
        <w:bidi w:val="0"/>
        <w:spacing w:line="360" w:lineRule="auto"/>
        <w:jc w:val="center"/>
        <w:rPr>
          <w:rFonts w:hint="eastAsia" w:ascii="仿宋" w:hAnsi="仿宋" w:eastAsia="仿宋" w:cs="仿宋"/>
          <w:color w:val="auto"/>
          <w:sz w:val="24"/>
          <w:highlight w:val="none"/>
          <w:u w:val="single"/>
        </w:rPr>
      </w:pPr>
    </w:p>
    <w:p w14:paraId="62FAA7FA">
      <w:pPr>
        <w:kinsoku/>
        <w:wordWrap w:val="0"/>
        <w:overflowPunct/>
        <w:topLinePunct w:val="0"/>
        <w:bidi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2AE4CD27">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绍兴市殡仪馆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lang w:eastAsia="zh-CN"/>
        </w:rPr>
        <w:t>绍兴市殡仪馆火化设备（含后处理等配套设施）采购项目</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47B765AE">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08D213F">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312108B0">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2AEC137">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3CA75EDF">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000A88AF">
      <w:pPr>
        <w:kinsoku/>
        <w:wordWrap w:val="0"/>
        <w:overflowPunct/>
        <w:topLinePunct w:val="0"/>
        <w:bidi w:val="0"/>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4B9ED5CB">
      <w:pPr>
        <w:kinsoku/>
        <w:wordWrap w:val="0"/>
        <w:overflowPunct/>
        <w:topLinePunct w:val="0"/>
        <w:bidi w:val="0"/>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27A6E51">
      <w:pPr>
        <w:kinsoku/>
        <w:wordWrap w:val="0"/>
        <w:overflowPunct/>
        <w:topLinePunct w:val="0"/>
        <w:bidi w:val="0"/>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62A1AD8E">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58E682E5">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89839A4">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8D931EE">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14:paraId="6F170733">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14:paraId="1BC1BB90">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14:paraId="6C4CF4FE">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14:paraId="4F41736D">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14:paraId="377F8FA6">
      <w:pPr>
        <w:kinsoku/>
        <w:wordWrap w:val="0"/>
        <w:overflowPunct/>
        <w:topLinePunct w:val="0"/>
        <w:bidi w:val="0"/>
        <w:spacing w:line="360" w:lineRule="auto"/>
        <w:jc w:val="center"/>
        <w:rPr>
          <w:rFonts w:ascii="宋体" w:hAnsi="宋体" w:cs="宋体"/>
          <w:b/>
          <w:color w:val="auto"/>
          <w:sz w:val="32"/>
          <w:szCs w:val="32"/>
          <w:highlight w:val="none"/>
        </w:rPr>
      </w:pPr>
    </w:p>
    <w:p w14:paraId="1B060FFD">
      <w:pPr>
        <w:kinsoku/>
        <w:wordWrap w:val="0"/>
        <w:overflowPunct/>
        <w:topLinePunct w:val="0"/>
        <w:bidi w:val="0"/>
        <w:spacing w:line="360" w:lineRule="auto"/>
        <w:jc w:val="center"/>
        <w:rPr>
          <w:rFonts w:ascii="宋体" w:hAnsi="宋体" w:cs="宋体"/>
          <w:b/>
          <w:color w:val="auto"/>
          <w:sz w:val="32"/>
          <w:szCs w:val="32"/>
          <w:highlight w:val="none"/>
        </w:rPr>
      </w:pPr>
    </w:p>
    <w:p w14:paraId="11375AE7">
      <w:pPr>
        <w:kinsoku/>
        <w:wordWrap w:val="0"/>
        <w:overflowPunct/>
        <w:topLinePunct w:val="0"/>
        <w:bidi w:val="0"/>
        <w:spacing w:line="360" w:lineRule="auto"/>
        <w:jc w:val="center"/>
        <w:rPr>
          <w:rFonts w:ascii="宋体" w:hAnsi="宋体" w:cs="宋体"/>
          <w:b/>
          <w:color w:val="auto"/>
          <w:sz w:val="32"/>
          <w:szCs w:val="32"/>
          <w:highlight w:val="none"/>
        </w:rPr>
      </w:pPr>
    </w:p>
    <w:p w14:paraId="2FA88D31">
      <w:pPr>
        <w:kinsoku/>
        <w:wordWrap w:val="0"/>
        <w:overflowPunct/>
        <w:topLinePunct w:val="0"/>
        <w:bidi w:val="0"/>
        <w:spacing w:line="360" w:lineRule="auto"/>
        <w:jc w:val="center"/>
        <w:rPr>
          <w:rFonts w:ascii="宋体" w:hAnsi="宋体" w:cs="宋体"/>
          <w:b/>
          <w:color w:val="auto"/>
          <w:sz w:val="32"/>
          <w:szCs w:val="32"/>
          <w:highlight w:val="none"/>
        </w:rPr>
      </w:pPr>
    </w:p>
    <w:p w14:paraId="612ED050">
      <w:pPr>
        <w:kinsoku/>
        <w:wordWrap w:val="0"/>
        <w:overflowPunct/>
        <w:topLinePunct w:val="0"/>
        <w:bidi w:val="0"/>
        <w:spacing w:line="360" w:lineRule="auto"/>
        <w:jc w:val="center"/>
        <w:rPr>
          <w:rFonts w:ascii="宋体" w:hAnsi="宋体" w:cs="宋体"/>
          <w:b/>
          <w:color w:val="auto"/>
          <w:sz w:val="32"/>
          <w:szCs w:val="32"/>
          <w:highlight w:val="none"/>
        </w:rPr>
      </w:pPr>
    </w:p>
    <w:p w14:paraId="0B75EEA9">
      <w:pPr>
        <w:kinsoku/>
        <w:wordWrap w:val="0"/>
        <w:overflowPunct/>
        <w:topLinePunct w:val="0"/>
        <w:bidi w:val="0"/>
        <w:spacing w:line="360" w:lineRule="auto"/>
        <w:jc w:val="center"/>
        <w:rPr>
          <w:rFonts w:ascii="宋体" w:hAnsi="宋体" w:cs="宋体"/>
          <w:b/>
          <w:color w:val="auto"/>
          <w:sz w:val="32"/>
          <w:szCs w:val="32"/>
          <w:highlight w:val="none"/>
        </w:rPr>
      </w:pPr>
    </w:p>
    <w:p w14:paraId="05189391">
      <w:pPr>
        <w:pageBreakBefore/>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118A2159">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6518625">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8E9D1E0">
      <w:pPr>
        <w:widowControl/>
        <w:kinsoku/>
        <w:wordWrap w:val="0"/>
        <w:overflowPunct/>
        <w:topLinePunct w:val="0"/>
        <w:bidi w:val="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388742C0">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593B84E8">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6749BABA">
      <w:pPr>
        <w:pStyle w:val="23"/>
        <w:kinsoku/>
        <w:wordWrap w:val="0"/>
        <w:overflowPunct/>
        <w:topLinePunct w:val="0"/>
        <w:bidi w:val="0"/>
        <w:rPr>
          <w:rFonts w:hint="eastAsia"/>
          <w:color w:val="auto"/>
          <w:highlight w:val="none"/>
          <w:lang w:val="en-US" w:eastAsia="zh-CN"/>
        </w:rPr>
      </w:pPr>
    </w:p>
    <w:p w14:paraId="75AB201F">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25FF29A4">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450C7B5">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25DB234">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5D3B2A8">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09C0580">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3CEB0049">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6DBE7335">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4231A05E">
      <w:pPr>
        <w:widowControl/>
        <w:kinsoku/>
        <w:wordWrap w:val="0"/>
        <w:overflowPunct/>
        <w:topLinePunct w:val="0"/>
        <w:bidi w:val="0"/>
        <w:jc w:val="left"/>
        <w:rPr>
          <w:rFonts w:hint="eastAsia" w:ascii="仿宋" w:hAnsi="仿宋" w:eastAsia="仿宋" w:cs="仿宋"/>
          <w:color w:val="auto"/>
          <w:kern w:val="0"/>
          <w:sz w:val="24"/>
          <w:highlight w:val="none"/>
        </w:rPr>
      </w:pPr>
    </w:p>
    <w:p w14:paraId="2FADCC88">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8360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F8B7DB4">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61B41A9">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2C4249F0">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04F1DDC7">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687B3B14">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595123CC">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520DC7DA">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48595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82F78F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34E3F51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0ABB68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E7E8FD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61B189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7F21F3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89941B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BE65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653A2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D5053F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74263F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C33975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43E42B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8A177C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433973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484F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3C4DE1">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11C240A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A7C53A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8B8F89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A8B0C0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328A144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6D617FA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4C53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52963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5061495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99C146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4978E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936E5E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055D2D7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0E06CD8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13F4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6A862F">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631DB66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11599E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799C8A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691850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C188E5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44BC60E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79B8F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E1F63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3CC6EE9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69A0E2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6E4A1A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417FC7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029C31A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4DDC4AE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04659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70DC2E">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21C3981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B7044C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DC05D9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F848A5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BE96F5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281242A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52B53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E532D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64D6E98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94BB7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876C54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BE88FC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6E25D76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C9B4FF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18F0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1F2E48">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4CA402F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DF786A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075592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A6C7ED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73B68A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7C90907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245B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E8B00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1B87366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D5ED08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497080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5C3BE7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6B57F6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5B9813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25B7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D30640">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0CFF166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089943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D4184D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C0CEAB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2502ACD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1F8ACDA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B2BC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321F5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38E80B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CC6294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6AD4FB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D04EA7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114E124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07F93D0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0A34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354482">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65FE05D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250D1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DD5B02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C469D3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2EB78DB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D88397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9BC2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379A9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4FDB216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68E753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8237B3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C90404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93E9BC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51FA52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9415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BD6233">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7635540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2BD873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CA8C2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4098FA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3AEDD22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3BBAAB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F23C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60510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5D98FA3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61ED59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8362A9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37D377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AD1F89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40B3E8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04B5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A46307">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4B80AAE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665E04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2E4F7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03C4E3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7FBDE1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EB01B9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7948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CDD12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71D54C8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05965A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758F6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EF56C2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CD469D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4A6CB6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E7BD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25C272">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78F253C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EDF66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90BD92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DC695F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ABF095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4FA1B8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AE30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AFEBC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418EC33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2168F9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CDD41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3EDE283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7AE6561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A9B7DA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F1A9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E40FDC">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68B1030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6FD548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1F4FF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39B5CF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1B1EC92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F1F25E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C0B5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5A5C6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673AE0B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5EBB69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42A4F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210889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4B4B43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43D25F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4414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58BD1C">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59B41A3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988587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FF1458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88CFC3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00FC7FB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A75C40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29E6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5FAEB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49D5EB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BA179E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4586CA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7E12741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59686CD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D894EA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EDB1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9EC23D">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2EAB646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A4C0BF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8505F7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DFAFD0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0B7F76D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22D7298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57A04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EAB8A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5D13A8E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C99529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F9441C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D5746F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4C4CF3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6C691D2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078D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5F82F8">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1331BFF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05BDD9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36A854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74B968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3F7EEFE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4CA5D1F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31F5B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D0B6E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3AA30EF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56403D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10C4AE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C9CC0A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1F6D6A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AFD2F5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E4D6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2D0EFC">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762D643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4E3468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B157C1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7082216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740BF08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6F27CAA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111E9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C06EDA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012C199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F4571B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7FA5B2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35B028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5B0046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84518E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2FC48FFE">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2295855C">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08B97C87">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30EB7B9">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3A5824C0">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11CB40EE">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01F644F">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226D7DA3">
      <w:pPr>
        <w:widowControl/>
        <w:kinsoku/>
        <w:wordWrap w:val="0"/>
        <w:overflowPunct/>
        <w:topLinePunct w:val="0"/>
        <w:bidi w:val="0"/>
        <w:jc w:val="left"/>
        <w:rPr>
          <w:rFonts w:hint="eastAsia" w:ascii="仿宋" w:hAnsi="仿宋" w:eastAsia="仿宋" w:cs="仿宋"/>
          <w:color w:val="auto"/>
          <w:kern w:val="0"/>
          <w:sz w:val="24"/>
          <w:highlight w:val="none"/>
        </w:rPr>
      </w:pPr>
    </w:p>
    <w:p w14:paraId="3C255809">
      <w:pPr>
        <w:widowControl/>
        <w:kinsoku/>
        <w:wordWrap w:val="0"/>
        <w:overflowPunct/>
        <w:topLinePunct w:val="0"/>
        <w:bidi w:val="0"/>
        <w:jc w:val="left"/>
        <w:rPr>
          <w:rFonts w:hint="eastAsia" w:ascii="仿宋" w:hAnsi="仿宋" w:eastAsia="仿宋" w:cs="仿宋"/>
          <w:color w:val="auto"/>
          <w:kern w:val="0"/>
          <w:sz w:val="24"/>
          <w:highlight w:val="none"/>
        </w:rPr>
      </w:pPr>
    </w:p>
    <w:p w14:paraId="49FAA760">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AB11877">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3A7A715F">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78BE9B5">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36757B6">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A726D13">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9EABB6E">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14:paraId="0197E790">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585B204A">
      <w:pPr>
        <w:widowControl/>
        <w:kinsoku/>
        <w:wordWrap w:val="0"/>
        <w:overflowPunct/>
        <w:topLinePunct w:val="0"/>
        <w:bidi w:val="0"/>
        <w:jc w:val="left"/>
        <w:rPr>
          <w:rFonts w:hint="eastAsia" w:ascii="仿宋" w:hAnsi="仿宋" w:eastAsia="仿宋" w:cs="仿宋"/>
          <w:color w:val="auto"/>
          <w:kern w:val="0"/>
          <w:sz w:val="18"/>
          <w:szCs w:val="18"/>
          <w:highlight w:val="none"/>
        </w:rPr>
      </w:pPr>
    </w:p>
    <w:p w14:paraId="41690067">
      <w:pPr>
        <w:widowControl/>
        <w:kinsoku/>
        <w:wordWrap w:val="0"/>
        <w:overflowPunct/>
        <w:topLinePunct w:val="0"/>
        <w:bidi w:val="0"/>
        <w:jc w:val="left"/>
        <w:rPr>
          <w:rFonts w:hint="eastAsia" w:ascii="仿宋" w:hAnsi="仿宋" w:eastAsia="仿宋" w:cs="仿宋"/>
          <w:color w:val="auto"/>
          <w:kern w:val="0"/>
          <w:sz w:val="18"/>
          <w:szCs w:val="18"/>
          <w:highlight w:val="none"/>
        </w:rPr>
      </w:pPr>
    </w:p>
    <w:p w14:paraId="63DAA689">
      <w:pPr>
        <w:widowControl/>
        <w:kinsoku/>
        <w:wordWrap w:val="0"/>
        <w:overflowPunct/>
        <w:topLinePunct w:val="0"/>
        <w:bidi w:val="0"/>
        <w:jc w:val="left"/>
        <w:rPr>
          <w:rFonts w:hint="eastAsia" w:ascii="仿宋" w:hAnsi="仿宋" w:eastAsia="仿宋" w:cs="仿宋"/>
          <w:color w:val="auto"/>
          <w:kern w:val="0"/>
          <w:sz w:val="18"/>
          <w:szCs w:val="18"/>
          <w:highlight w:val="none"/>
        </w:rPr>
      </w:pPr>
    </w:p>
    <w:p w14:paraId="406D05EB">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2AE707F8">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6194F444">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3B4B5398">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5400FAA">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798BED0C">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14C6B464">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p>
    <w:p w14:paraId="4B60F764">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B5D33FE">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1BFB5A90">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14:paraId="295B97C1">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B51B524">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5669951C">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10961A08">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177967A1">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22A22419">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D376F11">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9BD750C">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35E85EAB">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0325F48">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1EB37BD">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DAE8885">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30DABF5">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14:paraId="02206255">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14:paraId="70750DF7">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14:paraId="688723AA">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14:paraId="2463820A">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十一、本规定自发布之日起实施。</w:t>
      </w:r>
    </w:p>
    <w:p w14:paraId="47EDF1C4">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061ACC20">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2CD8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7967ABA">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048B5EB">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01F98D79">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1C00C101">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1D9E0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4D0245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58163D4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500B664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22B841A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3301E0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DE522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D4FF33">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6C9F35CB">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6F5C9FBE">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6DC08B3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26751C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92F6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669C90">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62F46505">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4C61133A">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48C5529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A05F8E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22F0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2E0A3A">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14:paraId="03BA9E2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5CBCE0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498BA1A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577C17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C241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9086A0">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397FFF05">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6DF7C3C6">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119F613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D83C6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B4F3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E411B4">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490FEBA0">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723BC742">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127698C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D6EA45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2169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6E3B5D">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1AA0922B">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restart"/>
            <w:vAlign w:val="center"/>
          </w:tcPr>
          <w:p w14:paraId="0501845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172AA8B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E3048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0AE3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ACBBE3">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4EC493CB">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26383F98">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00B47B8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A94F50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16AC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178BAB">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4B7416E5">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6D06ECF5">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00CCE39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D5789E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7EF3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DCCEA8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4091894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58DF6DD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7E9393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A31E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3B2C8E8">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5C7CE6D4">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2666547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92F3B2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E52A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79431C6">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429DD9E3">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67F13AC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715918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F4E8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504608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339ADEF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E0DFBC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BC3BE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569C2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4BC35A5">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759668F6">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3F4E981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BEA605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C0D2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6AB2A4B">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22FB55A6">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63DF35F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F49149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C7EE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D01069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B2E82A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37BCFE7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FB2ADA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B59272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7CFD3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74B11B">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2820BD08">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45EF5C3E">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7879F90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2C1615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F4AA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6703BE">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5CE7144D">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3421B730">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28DFCC8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989A72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78F0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4FEEA6">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14:paraId="37523E0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5F282E2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8851F6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80FAB9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A64A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0B1881">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6C44C62B">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5ED80C67">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1BFA915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73D6A7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39E5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1C6739">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43231FBE">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70EA5C5D">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7EBF1AD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208348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00EE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A59555">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14:paraId="7B92C19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B82B16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5B62D18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76457B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385F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58CCAB">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5F768510">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5EDC87A7">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656542D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EA3B45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3A5A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56E8E1">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1AFCBABE">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704D3375">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5F5A349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92B781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61B1D92F">
      <w:pPr>
        <w:kinsoku/>
        <w:wordWrap w:val="0"/>
        <w:overflowPunct/>
        <w:topLinePunct w:val="0"/>
        <w:bidi w:val="0"/>
        <w:rPr>
          <w:rFonts w:hint="eastAsia" w:ascii="仿宋" w:hAnsi="仿宋" w:eastAsia="仿宋" w:cs="仿宋"/>
          <w:color w:val="auto"/>
          <w:sz w:val="24"/>
          <w:highlight w:val="none"/>
        </w:rPr>
      </w:pPr>
    </w:p>
    <w:p w14:paraId="28F0370C">
      <w:pPr>
        <w:kinsoku/>
        <w:wordWrap w:val="0"/>
        <w:overflowPunct/>
        <w:topLinePunct w:val="0"/>
        <w:bidi w:val="0"/>
        <w:ind w:firstLine="420" w:firstLineChars="200"/>
        <w:rPr>
          <w:rFonts w:hint="eastAsia" w:ascii="仿宋" w:hAnsi="仿宋" w:eastAsia="仿宋" w:cs="仿宋"/>
          <w:color w:val="auto"/>
          <w:highlight w:val="none"/>
        </w:rPr>
      </w:pPr>
    </w:p>
    <w:p w14:paraId="576A7291">
      <w:pPr>
        <w:kinsoku/>
        <w:wordWrap w:val="0"/>
        <w:overflowPunct/>
        <w:topLinePunct w:val="0"/>
        <w:bidi w:val="0"/>
        <w:spacing w:line="360" w:lineRule="auto"/>
        <w:ind w:right="420"/>
        <w:rPr>
          <w:rFonts w:hint="eastAsia" w:ascii="仿宋" w:hAnsi="仿宋" w:eastAsia="仿宋" w:cs="仿宋"/>
          <w:color w:val="auto"/>
          <w:highlight w:val="none"/>
        </w:rPr>
      </w:pPr>
    </w:p>
    <w:p w14:paraId="38A2F23E">
      <w:pPr>
        <w:kinsoku/>
        <w:wordWrap w:val="0"/>
        <w:overflowPunct/>
        <w:topLinePunct w:val="0"/>
        <w:bidi w:val="0"/>
        <w:spacing w:line="360" w:lineRule="auto"/>
        <w:rPr>
          <w:rFonts w:ascii="宋体" w:hAnsi="宋体" w:cs="宋体"/>
          <w:bCs/>
          <w:color w:val="auto"/>
          <w:sz w:val="24"/>
          <w:highlight w:val="none"/>
        </w:rPr>
      </w:pPr>
    </w:p>
    <w:p w14:paraId="32A90B53">
      <w:pPr>
        <w:kinsoku/>
        <w:wordWrap w:val="0"/>
        <w:overflowPunct/>
        <w:topLinePunct w:val="0"/>
        <w:bidi w:val="0"/>
        <w:spacing w:line="360" w:lineRule="auto"/>
        <w:jc w:val="center"/>
        <w:rPr>
          <w:rFonts w:ascii="宋体" w:hAnsi="宋体" w:cs="宋体"/>
          <w:b/>
          <w:color w:val="auto"/>
          <w:sz w:val="32"/>
          <w:szCs w:val="32"/>
          <w:highlight w:val="none"/>
        </w:rPr>
      </w:pPr>
    </w:p>
    <w:p w14:paraId="134FDCB1">
      <w:pPr>
        <w:kinsoku/>
        <w:wordWrap w:val="0"/>
        <w:overflowPunct/>
        <w:topLinePunct w:val="0"/>
        <w:bidi w:val="0"/>
        <w:spacing w:line="360" w:lineRule="auto"/>
        <w:rPr>
          <w:rFonts w:ascii="宋体" w:hAnsi="宋体" w:cs="宋体"/>
          <w:bCs/>
          <w:color w:val="auto"/>
          <w:sz w:val="24"/>
          <w:highlight w:val="none"/>
        </w:rPr>
      </w:pPr>
    </w:p>
    <w:sectPr>
      <w:footerReference r:id="rId22" w:type="first"/>
      <w:footerReference r:id="rId20" w:type="default"/>
      <w:footerReference r:id="rId21"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F"/>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MS Gothic">
    <w:panose1 w:val="020B0609070205080204"/>
    <w:charset w:val="80"/>
    <w:family w:val="auto"/>
    <w:pitch w:val="default"/>
    <w:sig w:usb0="E00002FF" w:usb1="6AC7FDFB" w:usb2="08000012" w:usb3="00000000" w:csb0="4002009F" w:csb1="DFD70000"/>
  </w:font>
  <w:font w:name="CESI仿宋-GB2312">
    <w:altName w:val="仿宋"/>
    <w:panose1 w:val="02000500000000000000"/>
    <w:charset w:val="86"/>
    <w:family w:val="auto"/>
    <w:pitch w:val="default"/>
    <w:sig w:usb0="00000000" w:usb1="00000000" w:usb2="00000010"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E206C">
    <w:pPr>
      <w:pStyle w:val="4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5F4DA0">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C5F4DA0">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5D7E3">
    <w:pPr>
      <w:rPr>
        <w:rFonts w:ascii="仿宋_GB2312" w:eastAsia="仿宋_GB2312"/>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12C8B3">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0212C8B3">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B7168">
    <w:pPr>
      <w:rPr>
        <w:rFonts w:ascii="仿宋_GB2312" w:eastAsia="仿宋_GB2312"/>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8A786D">
                          <w:pPr>
                            <w:pStyle w:val="40"/>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6B8A786D">
                    <w:pPr>
                      <w:pStyle w:val="40"/>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480B8">
    <w:pPr>
      <w:rPr>
        <w:rFonts w:ascii="仿宋_GB2312" w:eastAsia="仿宋_GB2312"/>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14796E">
                          <w:pPr>
                            <w:pStyle w:val="40"/>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1614796E">
                    <w:pPr>
                      <w:pStyle w:val="40"/>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0B9DC">
    <w:pPr>
      <w:pStyle w:val="40"/>
      <w:rPr>
        <w:rFonts w:ascii="仿宋_GB2312" w:eastAsia="仿宋_GB2312"/>
        <w:szCs w:val="24"/>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A0D9A3">
                          <w:pPr>
                            <w:pStyle w:val="40"/>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47A0D9A3">
                    <w:pPr>
                      <w:pStyle w:val="40"/>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C5459">
    <w:pPr>
      <w:pStyle w:val="40"/>
      <w:framePr w:wrap="around" w:vAnchor="text" w:hAnchor="margin" w:xAlign="right" w:y="1"/>
      <w:rPr>
        <w:rStyle w:val="72"/>
      </w:rPr>
    </w:pPr>
    <w:r>
      <w:fldChar w:fldCharType="begin"/>
    </w:r>
    <w:r>
      <w:rPr>
        <w:rStyle w:val="72"/>
      </w:rPr>
      <w:instrText xml:space="preserve">PAGE  </w:instrText>
    </w:r>
    <w:r>
      <w:fldChar w:fldCharType="end"/>
    </w:r>
  </w:p>
  <w:p w14:paraId="674AE180">
    <w:pPr>
      <w:pStyle w:val="40"/>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DAC26">
    <w:pPr>
      <w:pStyle w:val="40"/>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6EABDD">
                          <w:pPr>
                            <w:pStyle w:val="40"/>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156EABDD">
                    <w:pPr>
                      <w:pStyle w:val="40"/>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9CFB1">
    <w:pPr>
      <w:pStyle w:val="40"/>
      <w:framePr w:wrap="around" w:vAnchor="text" w:hAnchor="margin" w:xAlign="right" w:y="1"/>
      <w:rPr>
        <w:rStyle w:val="72"/>
      </w:rPr>
    </w:pPr>
    <w:r>
      <w:fldChar w:fldCharType="begin"/>
    </w:r>
    <w:r>
      <w:rPr>
        <w:rStyle w:val="72"/>
      </w:rPr>
      <w:instrText xml:space="preserve">PAGE  </w:instrText>
    </w:r>
    <w:r>
      <w:fldChar w:fldCharType="end"/>
    </w:r>
  </w:p>
  <w:p w14:paraId="210C3868">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55B40">
    <w:pPr>
      <w:pStyle w:val="40"/>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1544FC">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A1544FC">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52E3F">
    <w:pPr>
      <w:pStyle w:val="40"/>
      <w:framePr w:wrap="around" w:vAnchor="text" w:hAnchor="margin" w:xAlign="right" w:y="1"/>
      <w:rPr>
        <w:rStyle w:val="72"/>
      </w:rPr>
    </w:pPr>
    <w:r>
      <w:fldChar w:fldCharType="begin"/>
    </w:r>
    <w:r>
      <w:rPr>
        <w:rStyle w:val="72"/>
      </w:rPr>
      <w:instrText xml:space="preserve">PAGE  </w:instrText>
    </w:r>
    <w:r>
      <w:fldChar w:fldCharType="end"/>
    </w:r>
  </w:p>
  <w:p w14:paraId="2017BA9D">
    <w:pPr>
      <w:pStyle w:val="40"/>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C0795">
    <w:pPr>
      <w:pStyle w:val="40"/>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D21CD">
    <w:pPr>
      <w:pStyle w:val="40"/>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F0A4AE">
                          <w:pPr>
                            <w:pStyle w:val="4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2AF0A4AE">
                    <w:pPr>
                      <w:pStyle w:val="4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FAAD7">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F1BB9">
    <w:pPr>
      <w:widowControl w:val="0"/>
      <w:snapToGrid w:val="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7A42C2">
                          <w:pPr>
                            <w:pStyle w:val="40"/>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E7A42C2">
                    <w:pPr>
                      <w:pStyle w:val="40"/>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6ECA2">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619676">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3A619676">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20DA1">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76ACE">
    <w:pPr>
      <w:pStyle w:val="41"/>
      <w:jc w:val="both"/>
      <w:rPr>
        <w:rFonts w:ascii="仿宋_GB2312" w:eastAsia="仿宋_GB2312"/>
        <w:b w:val="0"/>
        <w:i/>
        <w:sz w:val="18"/>
        <w:u w:val="single"/>
        <w:lang w:val="en-US"/>
      </w:rPr>
    </w:pPr>
    <w:r>
      <w:rPr>
        <w:rFonts w:hint="eastAsia" w:ascii="仿宋" w:hAnsi="仿宋" w:eastAsia="仿宋" w:cs="仿宋"/>
        <w:sz w:val="20"/>
        <w:szCs w:val="20"/>
        <w:lang w:val="en-US" w:eastAsia="zh-CN"/>
      </w:rPr>
      <w:t xml:space="preserve">浙江华夏工程管理有限公司              </w:t>
    </w:r>
    <w:r>
      <w:rPr>
        <w:rFonts w:hint="eastAsia" w:ascii="仿宋" w:hAnsi="仿宋" w:eastAsia="仿宋" w:cs="仿宋"/>
        <w:sz w:val="20"/>
        <w:szCs w:val="20"/>
      </w:rPr>
      <w:t xml:space="preserve">   </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招标编号:CGSHZJ-2025-N001123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DC525">
    <w:pPr>
      <w:pStyle w:val="41"/>
      <w:jc w:val="center"/>
      <w:rPr>
        <w:rFonts w:ascii="仿宋_GB2312" w:eastAsia="仿宋_GB2312"/>
        <w:b w:val="0"/>
        <w:i/>
        <w:sz w:val="18"/>
        <w:u w:val="single"/>
        <w:lang w:val="en-US"/>
      </w:rPr>
    </w:pPr>
    <w:r>
      <w:rPr>
        <w:rFonts w:hint="eastAsia" w:eastAsia="仿宋"/>
        <w:lang w:val="en-US" w:eastAsia="zh-CN"/>
      </w:rPr>
      <w:t>浙江华夏工程管理有限公司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highlight w:val="none"/>
      </w:rPr>
      <w:t xml:space="preserve"> 文件编号: </w:t>
    </w:r>
    <w:r>
      <w:rPr>
        <w:rFonts w:hint="eastAsia" w:ascii="仿宋" w:hAnsi="仿宋" w:eastAsia="仿宋" w:cs="仿宋"/>
        <w:highlight w:val="none"/>
        <w:lang w:val="en-US" w:eastAsia="zh-CN"/>
      </w:rPr>
      <w:t xml:space="preserve"> CGSHZJ-2025-N001123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EF4DD">
    <w:pPr>
      <w:pStyle w:val="41"/>
      <w:jc w:val="center"/>
    </w:pPr>
    <w:r>
      <w:rPr>
        <w:rFonts w:hint="eastAsia" w:eastAsia="仿宋"/>
        <w:lang w:val="en-US" w:eastAsia="zh-CN"/>
      </w:rPr>
      <w:t>浙江华夏工程管理有限公司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highlight w:val="none"/>
      </w:rPr>
      <w:t xml:space="preserve"> 文件编号: </w:t>
    </w:r>
    <w:r>
      <w:rPr>
        <w:rFonts w:hint="eastAsia" w:ascii="仿宋" w:hAnsi="仿宋" w:eastAsia="仿宋" w:cs="仿宋"/>
        <w:highlight w:val="none"/>
        <w:lang w:val="en-US" w:eastAsia="zh-CN"/>
      </w:rPr>
      <w:t xml:space="preserve"> CGSHZJ-2025-N001123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CA5A4">
    <w:pPr>
      <w:pStyle w:val="41"/>
      <w:jc w:val="center"/>
    </w:pPr>
    <w:r>
      <w:rPr>
        <w:rFonts w:hint="eastAsia" w:ascii="仿宋" w:hAnsi="仿宋" w:eastAsia="仿宋" w:cs="仿宋"/>
        <w:sz w:val="20"/>
        <w:szCs w:val="20"/>
        <w:lang w:val="en-US" w:eastAsia="zh-CN"/>
      </w:rPr>
      <w:t xml:space="preserve">浙江华夏工程管理有限公司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招标编号:CGSHZJ-2025-N001123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D22A4B2A"/>
    <w:multiLevelType w:val="singleLevel"/>
    <w:tmpl w:val="D22A4B2A"/>
    <w:lvl w:ilvl="0" w:tentative="0">
      <w:start w:val="3"/>
      <w:numFmt w:val="decimal"/>
      <w:lvlText w:val="%1."/>
      <w:lvlJc w:val="left"/>
      <w:pPr>
        <w:tabs>
          <w:tab w:val="left" w:pos="312"/>
        </w:tabs>
      </w:pPr>
    </w:lvl>
  </w:abstractNum>
  <w:abstractNum w:abstractNumId="2">
    <w:nsid w:val="F46FD020"/>
    <w:multiLevelType w:val="singleLevel"/>
    <w:tmpl w:val="F46FD020"/>
    <w:lvl w:ilvl="0" w:tentative="0">
      <w:start w:val="2"/>
      <w:numFmt w:val="chineseCounting"/>
      <w:suff w:val="space"/>
      <w:lvlText w:val="第%1节"/>
      <w:lvlJc w:val="left"/>
      <w:rPr>
        <w:rFonts w:hint="eastAsia"/>
      </w:rPr>
    </w:lvl>
  </w:abstractNum>
  <w:abstractNum w:abstractNumId="3">
    <w:nsid w:val="00000000"/>
    <w:multiLevelType w:val="singleLevel"/>
    <w:tmpl w:val="00000000"/>
    <w:lvl w:ilvl="0" w:tentative="0">
      <w:start w:val="1"/>
      <w:numFmt w:val="decimal"/>
      <w:suff w:val="nothing"/>
      <w:lvlText w:val="（%1）"/>
      <w:lvlJc w:val="left"/>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681B4519"/>
    <w:multiLevelType w:val="singleLevel"/>
    <w:tmpl w:val="681B4519"/>
    <w:lvl w:ilvl="0" w:tentative="0">
      <w:start w:val="1"/>
      <w:numFmt w:val="decimal"/>
      <w:suff w:val="nothing"/>
      <w:lvlText w:val="%1、"/>
      <w:lvlJc w:val="left"/>
    </w:lvl>
  </w:abstractNum>
  <w:abstractNum w:abstractNumId="6">
    <w:nsid w:val="78FA9A07"/>
    <w:multiLevelType w:val="singleLevel"/>
    <w:tmpl w:val="78FA9A07"/>
    <w:lvl w:ilvl="0" w:tentative="0">
      <w:start w:val="1"/>
      <w:numFmt w:val="decimal"/>
      <w:lvlText w:val="%1."/>
      <w:lvlJc w:val="left"/>
      <w:pPr>
        <w:tabs>
          <w:tab w:val="left" w:pos="312"/>
        </w:tabs>
      </w:pPr>
    </w:lvl>
  </w:abstractNum>
  <w:num w:numId="1">
    <w:abstractNumId w:val="1"/>
  </w:num>
  <w:num w:numId="2">
    <w:abstractNumId w:val="5"/>
  </w:num>
  <w:num w:numId="3">
    <w:abstractNumId w:val="6"/>
  </w:num>
  <w:num w:numId="4">
    <w:abstractNumId w:val="0"/>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3YjRlOTRiYmY4M2MzODUwMzNlZDgyMmE0YjUwZWMifQ=="/>
  </w:docVars>
  <w:rsids>
    <w:rsidRoot w:val="00000000"/>
    <w:rsid w:val="00B068B2"/>
    <w:rsid w:val="01022923"/>
    <w:rsid w:val="02E55505"/>
    <w:rsid w:val="033E089E"/>
    <w:rsid w:val="04A61CE9"/>
    <w:rsid w:val="06D74677"/>
    <w:rsid w:val="082A3A50"/>
    <w:rsid w:val="0983157E"/>
    <w:rsid w:val="0D5F5D11"/>
    <w:rsid w:val="0EEA0D1F"/>
    <w:rsid w:val="0F292E06"/>
    <w:rsid w:val="0FA0239A"/>
    <w:rsid w:val="126857B5"/>
    <w:rsid w:val="14127BE9"/>
    <w:rsid w:val="169E17AF"/>
    <w:rsid w:val="1AD15522"/>
    <w:rsid w:val="1AF0D45A"/>
    <w:rsid w:val="1D431EDA"/>
    <w:rsid w:val="1FBF3881"/>
    <w:rsid w:val="1FCBC4A9"/>
    <w:rsid w:val="1FDF64A5"/>
    <w:rsid w:val="212E33F2"/>
    <w:rsid w:val="21DB06FD"/>
    <w:rsid w:val="23384B81"/>
    <w:rsid w:val="234D2BA0"/>
    <w:rsid w:val="25D82266"/>
    <w:rsid w:val="26866A58"/>
    <w:rsid w:val="27003DB6"/>
    <w:rsid w:val="274D6AFC"/>
    <w:rsid w:val="2CDA6E57"/>
    <w:rsid w:val="2DFF36E4"/>
    <w:rsid w:val="2F886838"/>
    <w:rsid w:val="302663EC"/>
    <w:rsid w:val="30D40613"/>
    <w:rsid w:val="325979E4"/>
    <w:rsid w:val="341F6CD1"/>
    <w:rsid w:val="369571B1"/>
    <w:rsid w:val="370E5D48"/>
    <w:rsid w:val="37D80F43"/>
    <w:rsid w:val="38647781"/>
    <w:rsid w:val="39B01401"/>
    <w:rsid w:val="39E73C0E"/>
    <w:rsid w:val="3DF3849B"/>
    <w:rsid w:val="3E51324C"/>
    <w:rsid w:val="3ECE639A"/>
    <w:rsid w:val="3F326AC0"/>
    <w:rsid w:val="3F6D7804"/>
    <w:rsid w:val="3FEFF7E8"/>
    <w:rsid w:val="3FF7BB55"/>
    <w:rsid w:val="3FFCE84F"/>
    <w:rsid w:val="3FFE25DA"/>
    <w:rsid w:val="3FFF5138"/>
    <w:rsid w:val="419071B1"/>
    <w:rsid w:val="43A17464"/>
    <w:rsid w:val="45FF8421"/>
    <w:rsid w:val="46E62229"/>
    <w:rsid w:val="46E70398"/>
    <w:rsid w:val="46F13EC7"/>
    <w:rsid w:val="47FC1F89"/>
    <w:rsid w:val="481D60EA"/>
    <w:rsid w:val="48594BC3"/>
    <w:rsid w:val="4D7D204A"/>
    <w:rsid w:val="4DE4148C"/>
    <w:rsid w:val="4F20277D"/>
    <w:rsid w:val="4F2A6FD5"/>
    <w:rsid w:val="4F3FEEA3"/>
    <w:rsid w:val="4FAE554B"/>
    <w:rsid w:val="4FEEF1CF"/>
    <w:rsid w:val="50C301CB"/>
    <w:rsid w:val="526E48F5"/>
    <w:rsid w:val="52E46A9D"/>
    <w:rsid w:val="53AA4AB5"/>
    <w:rsid w:val="545B4FDA"/>
    <w:rsid w:val="55E34E9E"/>
    <w:rsid w:val="566FF3A5"/>
    <w:rsid w:val="57DAE6E1"/>
    <w:rsid w:val="5A558E99"/>
    <w:rsid w:val="5BDF3378"/>
    <w:rsid w:val="5CFEE2CC"/>
    <w:rsid w:val="5D7F1DB6"/>
    <w:rsid w:val="5F665FB3"/>
    <w:rsid w:val="602C2E66"/>
    <w:rsid w:val="631829EF"/>
    <w:rsid w:val="642152E2"/>
    <w:rsid w:val="65077AE2"/>
    <w:rsid w:val="65B47029"/>
    <w:rsid w:val="66CC1693"/>
    <w:rsid w:val="67FC8C85"/>
    <w:rsid w:val="68173F21"/>
    <w:rsid w:val="6869752F"/>
    <w:rsid w:val="69B5403F"/>
    <w:rsid w:val="6AEF1016"/>
    <w:rsid w:val="6B64145F"/>
    <w:rsid w:val="6BBFC6AF"/>
    <w:rsid w:val="6BEFF7E4"/>
    <w:rsid w:val="6DCA5EB8"/>
    <w:rsid w:val="729E74BD"/>
    <w:rsid w:val="73982586"/>
    <w:rsid w:val="73FE7E23"/>
    <w:rsid w:val="752A7948"/>
    <w:rsid w:val="75776CC4"/>
    <w:rsid w:val="76FBAFF1"/>
    <w:rsid w:val="776E0A3D"/>
    <w:rsid w:val="77C33BE9"/>
    <w:rsid w:val="77FE5760"/>
    <w:rsid w:val="77FF1645"/>
    <w:rsid w:val="79C8350D"/>
    <w:rsid w:val="7ACA0FCF"/>
    <w:rsid w:val="7B34AC69"/>
    <w:rsid w:val="7BFDEE39"/>
    <w:rsid w:val="7BFF9D14"/>
    <w:rsid w:val="7D77A84C"/>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3"/>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3"/>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qFormat/>
    <w:uiPriority w:val="1"/>
  </w:style>
  <w:style w:type="table" w:default="1" w:styleId="62">
    <w:name w:val="Normal Table"/>
    <w:autoRedefine/>
    <w:qFormat/>
    <w:uiPriority w:val="99"/>
    <w:tblPr>
      <w:tblCellMar>
        <w:top w:w="0" w:type="dxa"/>
        <w:left w:w="108" w:type="dxa"/>
        <w:bottom w:w="0" w:type="dxa"/>
        <w:right w:w="108" w:type="dxa"/>
      </w:tblCellMar>
    </w:tblPr>
  </w:style>
  <w:style w:type="paragraph" w:styleId="3">
    <w:name w:val="Normal Indent"/>
    <w:basedOn w:val="1"/>
    <w:next w:val="1"/>
    <w:link w:val="194"/>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3"/>
    <w:autoRedefine/>
    <w:qFormat/>
    <w:uiPriority w:val="0"/>
    <w:pPr>
      <w:shd w:val="clear" w:color="auto" w:fill="000080"/>
    </w:pPr>
  </w:style>
  <w:style w:type="paragraph" w:styleId="19">
    <w:name w:val="annotation text"/>
    <w:basedOn w:val="1"/>
    <w:link w:val="344"/>
    <w:autoRedefine/>
    <w:qFormat/>
    <w:uiPriority w:val="99"/>
    <w:pPr>
      <w:jc w:val="left"/>
    </w:pPr>
  </w:style>
  <w:style w:type="paragraph" w:styleId="20">
    <w:name w:val="Salutation"/>
    <w:basedOn w:val="1"/>
    <w:next w:val="1"/>
    <w:link w:val="298"/>
    <w:autoRedefine/>
    <w:qFormat/>
    <w:uiPriority w:val="0"/>
    <w:rPr>
      <w:rFonts w:ascii="仿宋_GB2312" w:eastAsia="仿宋_GB2312"/>
      <w:sz w:val="28"/>
      <w:szCs w:val="20"/>
    </w:rPr>
  </w:style>
  <w:style w:type="paragraph" w:styleId="21">
    <w:name w:val="Body Text 3"/>
    <w:basedOn w:val="1"/>
    <w:link w:val="330"/>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24"/>
    <w:link w:val="430"/>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autoRedefine/>
    <w:qFormat/>
    <w:uiPriority w:val="0"/>
    <w:pPr>
      <w:ind w:firstLine="420"/>
    </w:pPr>
    <w:rPr>
      <w:rFonts w:hAnsi="Calibri" w:cs="Times New Roman"/>
      <w:snapToGrid/>
      <w:szCs w:val="20"/>
    </w:rPr>
  </w:style>
  <w:style w:type="paragraph" w:styleId="25">
    <w:name w:val="Body Text Indent"/>
    <w:basedOn w:val="1"/>
    <w:link w:val="265"/>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2"/>
    <w:autoRedefine/>
    <w:qFormat/>
    <w:uiPriority w:val="0"/>
    <w:pPr>
      <w:ind w:left="100" w:leftChars="2500"/>
    </w:pPr>
    <w:rPr>
      <w:rFonts w:ascii="宋体"/>
      <w:sz w:val="24"/>
      <w:szCs w:val="21"/>
      <w:lang w:val="zh-CN"/>
    </w:rPr>
  </w:style>
  <w:style w:type="paragraph" w:styleId="37">
    <w:name w:val="Body Text Indent 2"/>
    <w:basedOn w:val="1"/>
    <w:link w:val="308"/>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2"/>
    <w:autoRedefine/>
    <w:qFormat/>
    <w:uiPriority w:val="0"/>
    <w:rPr>
      <w:lang w:val="zh-CN"/>
    </w:rPr>
  </w:style>
  <w:style w:type="paragraph" w:styleId="39">
    <w:name w:val="Balloon Text"/>
    <w:basedOn w:val="1"/>
    <w:link w:val="189"/>
    <w:autoRedefine/>
    <w:qFormat/>
    <w:uiPriority w:val="0"/>
    <w:rPr>
      <w:sz w:val="18"/>
      <w:szCs w:val="18"/>
    </w:rPr>
  </w:style>
  <w:style w:type="paragraph" w:styleId="40">
    <w:name w:val="footer"/>
    <w:basedOn w:val="1"/>
    <w:link w:val="383"/>
    <w:autoRedefine/>
    <w:qFormat/>
    <w:uiPriority w:val="99"/>
    <w:pPr>
      <w:tabs>
        <w:tab w:val="center" w:pos="4153"/>
        <w:tab w:val="right" w:pos="8306"/>
      </w:tabs>
      <w:snapToGrid w:val="0"/>
      <w:jc w:val="left"/>
    </w:pPr>
    <w:rPr>
      <w:sz w:val="18"/>
      <w:szCs w:val="18"/>
    </w:rPr>
  </w:style>
  <w:style w:type="paragraph" w:styleId="41">
    <w:name w:val="header"/>
    <w:basedOn w:val="1"/>
    <w:link w:val="392"/>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4"/>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3"/>
    <w:link w:val="310"/>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5"/>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2"/>
    <w:autoRedefine/>
    <w:qFormat/>
    <w:uiPriority w:val="0"/>
    <w:pPr>
      <w:spacing w:after="120" w:line="480" w:lineRule="auto"/>
    </w:pPr>
  </w:style>
  <w:style w:type="paragraph" w:styleId="57">
    <w:name w:val="HTML Preformatted"/>
    <w:basedOn w:val="1"/>
    <w:link w:val="30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autoRedefine/>
    <w:qFormat/>
    <w:uiPriority w:val="0"/>
    <w:rPr>
      <w:b/>
      <w:bCs/>
    </w:rPr>
  </w:style>
  <w:style w:type="paragraph" w:styleId="61">
    <w:name w:val="Body Text First Indent 2"/>
    <w:basedOn w:val="25"/>
    <w:link w:val="122"/>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Normal Indent1"/>
    <w:basedOn w:val="1"/>
    <w:qFormat/>
    <w:uiPriority w:val="0"/>
    <w:pPr>
      <w:ind w:firstLine="420" w:firstLineChars="200"/>
    </w:pPr>
  </w:style>
  <w:style w:type="paragraph" w:customStyle="1" w:styleId="80">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autoRedefine/>
    <w:qFormat/>
    <w:uiPriority w:val="0"/>
    <w:rPr>
      <w:rFonts w:ascii="Futura Bk" w:hAnsi="Futura Bk"/>
      <w:kern w:val="2"/>
      <w:sz w:val="18"/>
      <w:szCs w:val="21"/>
      <w:lang w:val="en-US" w:eastAsia="zh-CN" w:bidi="ar-SA"/>
    </w:rPr>
  </w:style>
  <w:style w:type="paragraph" w:customStyle="1" w:styleId="84">
    <w:name w:val="表格非标题文字"/>
    <w:link w:val="83"/>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autoRedefine/>
    <w:qFormat/>
    <w:uiPriority w:val="0"/>
    <w:rPr>
      <w:rFonts w:ascii="宋体" w:hAnsi="宋体"/>
      <w:sz w:val="24"/>
    </w:rPr>
  </w:style>
  <w:style w:type="paragraph" w:customStyle="1" w:styleId="86">
    <w:name w:val="*正文"/>
    <w:basedOn w:val="1"/>
    <w:link w:val="85"/>
    <w:autoRedefine/>
    <w:qFormat/>
    <w:uiPriority w:val="0"/>
    <w:pPr>
      <w:snapToGrid w:val="0"/>
      <w:spacing w:line="360" w:lineRule="auto"/>
      <w:ind w:firstLine="482"/>
      <w:jc w:val="left"/>
    </w:pPr>
    <w:rPr>
      <w:rFonts w:ascii="宋体" w:hAnsi="宋体"/>
      <w:kern w:val="0"/>
      <w:sz w:val="24"/>
      <w:szCs w:val="20"/>
    </w:rPr>
  </w:style>
  <w:style w:type="character" w:customStyle="1" w:styleId="87">
    <w:name w:val="Char Char71"/>
    <w:autoRedefine/>
    <w:qFormat/>
    <w:uiPriority w:val="0"/>
    <w:rPr>
      <w:rFonts w:eastAsia="宋体"/>
      <w:kern w:val="2"/>
      <w:sz w:val="21"/>
      <w:szCs w:val="24"/>
      <w:lang w:val="en-US" w:eastAsia="zh-CN" w:bidi="ar-SA"/>
    </w:rPr>
  </w:style>
  <w:style w:type="character" w:customStyle="1" w:styleId="88">
    <w:name w:val="Char Char6"/>
    <w:autoRedefine/>
    <w:qFormat/>
    <w:uiPriority w:val="0"/>
    <w:rPr>
      <w:rFonts w:eastAsia="宋体"/>
      <w:kern w:val="2"/>
      <w:sz w:val="21"/>
      <w:szCs w:val="24"/>
      <w:lang w:val="en-US" w:eastAsia="zh-CN" w:bidi="ar-SA"/>
    </w:rPr>
  </w:style>
  <w:style w:type="character" w:customStyle="1" w:styleId="89">
    <w:name w:val="正文缩进 Char"/>
    <w:autoRedefine/>
    <w:qFormat/>
    <w:uiPriority w:val="0"/>
    <w:rPr>
      <w:rFonts w:eastAsia="宋体"/>
      <w:kern w:val="2"/>
      <w:sz w:val="21"/>
      <w:lang w:val="en-US" w:eastAsia="zh-CN"/>
    </w:rPr>
  </w:style>
  <w:style w:type="character" w:customStyle="1" w:styleId="90">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1">
    <w:name w:val="Char Char28"/>
    <w:autoRedefine/>
    <w:qFormat/>
    <w:uiPriority w:val="6"/>
    <w:rPr>
      <w:rFonts w:ascii="仿宋_GB2312" w:hAnsi="仿宋_GB2312" w:eastAsia="仿宋_GB2312"/>
      <w:kern w:val="1"/>
      <w:sz w:val="28"/>
    </w:rPr>
  </w:style>
  <w:style w:type="character" w:customStyle="1" w:styleId="9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autoRedefine/>
    <w:qFormat/>
    <w:uiPriority w:val="0"/>
    <w:rPr>
      <w:sz w:val="24"/>
      <w:szCs w:val="24"/>
    </w:rPr>
  </w:style>
  <w:style w:type="paragraph" w:customStyle="1" w:styleId="95">
    <w:name w:val="U_正文"/>
    <w:basedOn w:val="1"/>
    <w:link w:val="94"/>
    <w:autoRedefine/>
    <w:qFormat/>
    <w:uiPriority w:val="0"/>
    <w:pPr>
      <w:adjustRightInd/>
      <w:spacing w:beforeLines="20" w:afterLines="20" w:line="300" w:lineRule="auto"/>
      <w:ind w:firstLine="200" w:firstLineChars="200"/>
    </w:pPr>
    <w:rPr>
      <w:kern w:val="0"/>
      <w:sz w:val="24"/>
    </w:rPr>
  </w:style>
  <w:style w:type="character" w:customStyle="1" w:styleId="96">
    <w:name w:val="HTML 地址 Char1"/>
    <w:autoRedefine/>
    <w:qFormat/>
    <w:uiPriority w:val="0"/>
    <w:rPr>
      <w:rFonts w:ascii="Times New Roman" w:hAnsi="Times New Roman" w:eastAsia="宋体" w:cs="Times New Roman"/>
      <w:i/>
      <w:iCs/>
      <w:szCs w:val="24"/>
    </w:rPr>
  </w:style>
  <w:style w:type="character" w:customStyle="1" w:styleId="97">
    <w:name w:val="批注主题 Char1"/>
    <w:link w:val="60"/>
    <w:autoRedefine/>
    <w:qFormat/>
    <w:uiPriority w:val="0"/>
    <w:rPr>
      <w:b/>
      <w:bCs/>
      <w:kern w:val="2"/>
      <w:sz w:val="21"/>
      <w:szCs w:val="24"/>
    </w:rPr>
  </w:style>
  <w:style w:type="character" w:customStyle="1" w:styleId="98">
    <w:name w:val="Char Char51"/>
    <w:autoRedefine/>
    <w:qFormat/>
    <w:uiPriority w:val="0"/>
    <w:rPr>
      <w:rFonts w:ascii="宋体" w:hAnsi="Courier New" w:eastAsia="宋体"/>
      <w:kern w:val="2"/>
      <w:sz w:val="21"/>
      <w:lang w:val="en-US" w:eastAsia="zh-CN"/>
    </w:rPr>
  </w:style>
  <w:style w:type="character" w:customStyle="1" w:styleId="99">
    <w:name w:val="表正文 Char"/>
    <w:autoRedefine/>
    <w:qFormat/>
    <w:uiPriority w:val="0"/>
    <w:rPr>
      <w:rFonts w:ascii="宋体" w:eastAsia="宋体"/>
      <w:snapToGrid w:val="0"/>
      <w:color w:val="000000"/>
      <w:kern w:val="28"/>
      <w:sz w:val="28"/>
      <w:lang w:val="en-US" w:eastAsia="zh-CN" w:bidi="ar-SA"/>
    </w:rPr>
  </w:style>
  <w:style w:type="character" w:customStyle="1" w:styleId="100">
    <w:name w:val="Char Char34"/>
    <w:autoRedefine/>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autoRedefine/>
    <w:qFormat/>
    <w:uiPriority w:val="0"/>
    <w:rPr>
      <w:rFonts w:ascii="宋体" w:hAnsi="宋体" w:eastAsia="宋体"/>
      <w:kern w:val="2"/>
      <w:sz w:val="24"/>
      <w:lang w:bidi="ar-SA"/>
    </w:rPr>
  </w:style>
  <w:style w:type="paragraph" w:customStyle="1" w:styleId="103">
    <w:name w:val="哈哈正文"/>
    <w:basedOn w:val="1"/>
    <w:link w:val="102"/>
    <w:autoRedefine/>
    <w:qFormat/>
    <w:uiPriority w:val="0"/>
    <w:pPr>
      <w:adjustRightInd/>
      <w:spacing w:line="360" w:lineRule="auto"/>
      <w:ind w:firstLine="200" w:firstLineChars="200"/>
    </w:pPr>
    <w:rPr>
      <w:rFonts w:ascii="宋体" w:hAnsi="宋体"/>
      <w:sz w:val="24"/>
      <w:szCs w:val="20"/>
    </w:rPr>
  </w:style>
  <w:style w:type="character" w:customStyle="1" w:styleId="104">
    <w:name w:val="未处理的提及1"/>
    <w:autoRedefine/>
    <w:qFormat/>
    <w:uiPriority w:val="0"/>
    <w:rPr>
      <w:color w:val="808080"/>
      <w:shd w:val="clear" w:color="auto" w:fill="E6E6E6"/>
    </w:rPr>
  </w:style>
  <w:style w:type="character" w:customStyle="1" w:styleId="105">
    <w:name w:val="txt"/>
    <w:autoRedefine/>
    <w:qFormat/>
    <w:uiPriority w:val="0"/>
    <w:rPr>
      <w:rFonts w:ascii="仿宋_GB2312" w:eastAsia="微软雅黑"/>
      <w:b/>
      <w:kern w:val="2"/>
      <w:sz w:val="32"/>
      <w:szCs w:val="32"/>
      <w:lang w:val="en-US" w:eastAsia="zh-CN" w:bidi="ar-SA"/>
    </w:rPr>
  </w:style>
  <w:style w:type="character" w:customStyle="1" w:styleId="106">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7">
    <w:name w:val="Char Char32"/>
    <w:autoRedefine/>
    <w:qFormat/>
    <w:uiPriority w:val="6"/>
    <w:rPr>
      <w:b/>
      <w:kern w:val="1"/>
      <w:sz w:val="24"/>
      <w:szCs w:val="24"/>
    </w:rPr>
  </w:style>
  <w:style w:type="character" w:customStyle="1" w:styleId="108">
    <w:name w:val="PI Char1"/>
    <w:autoRedefine/>
    <w:qFormat/>
    <w:uiPriority w:val="0"/>
    <w:rPr>
      <w:rFonts w:ascii="宋体" w:hAnsi="宋体"/>
      <w:kern w:val="2"/>
      <w:sz w:val="24"/>
      <w:szCs w:val="24"/>
    </w:rPr>
  </w:style>
  <w:style w:type="character" w:customStyle="1" w:styleId="109">
    <w:name w:val="tw4winTerm"/>
    <w:autoRedefine/>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autoRedefine/>
    <w:qFormat/>
    <w:uiPriority w:val="0"/>
    <w:rPr>
      <w:rFonts w:ascii="宋体" w:hAnsi="Courier New"/>
      <w:kern w:val="2"/>
      <w:sz w:val="21"/>
    </w:rPr>
  </w:style>
  <w:style w:type="character" w:customStyle="1" w:styleId="112">
    <w:name w:val="Char Char101"/>
    <w:autoRedefine/>
    <w:qFormat/>
    <w:uiPriority w:val="6"/>
    <w:rPr>
      <w:rFonts w:ascii="宋体" w:hAnsi="宋体"/>
      <w:kern w:val="2"/>
      <w:sz w:val="21"/>
      <w:szCs w:val="24"/>
      <w:lang w:val="en-US" w:eastAsia="zh-CN"/>
    </w:rPr>
  </w:style>
  <w:style w:type="character" w:customStyle="1" w:styleId="113">
    <w:name w:val="标题 4 Char"/>
    <w:autoRedefine/>
    <w:qFormat/>
    <w:uiPriority w:val="0"/>
    <w:rPr>
      <w:rFonts w:ascii="Arial" w:hAnsi="Arial" w:eastAsia="黑体"/>
      <w:b/>
      <w:kern w:val="2"/>
      <w:sz w:val="28"/>
    </w:rPr>
  </w:style>
  <w:style w:type="character" w:customStyle="1" w:styleId="114">
    <w:name w:val="链接"/>
    <w:autoRedefine/>
    <w:qFormat/>
    <w:uiPriority w:val="0"/>
    <w:rPr>
      <w:color w:val="0000FF"/>
      <w:sz w:val="21"/>
      <w:szCs w:val="21"/>
      <w:u w:val="single"/>
    </w:rPr>
  </w:style>
  <w:style w:type="character" w:customStyle="1" w:styleId="115">
    <w:name w:val="h4 Char"/>
    <w:autoRedefine/>
    <w:qFormat/>
    <w:uiPriority w:val="0"/>
    <w:rPr>
      <w:rFonts w:ascii="Arial" w:hAnsi="Arial" w:eastAsia="黑体"/>
      <w:b/>
      <w:bCs/>
      <w:kern w:val="2"/>
      <w:sz w:val="28"/>
      <w:szCs w:val="28"/>
      <w:lang w:val="zh-CN" w:eastAsia="zh-CN" w:bidi="ar-SA"/>
    </w:rPr>
  </w:style>
  <w:style w:type="character" w:customStyle="1" w:styleId="116">
    <w:name w:val="5正文 Char"/>
    <w:link w:val="117"/>
    <w:autoRedefine/>
    <w:qFormat/>
    <w:uiPriority w:val="0"/>
    <w:rPr>
      <w:rFonts w:ascii="仿宋_GB2312" w:hAnsi="微软雅黑" w:eastAsia="仿宋_GB2312"/>
      <w:sz w:val="28"/>
      <w:szCs w:val="21"/>
    </w:rPr>
  </w:style>
  <w:style w:type="paragraph" w:customStyle="1" w:styleId="117">
    <w:name w:val="5正文"/>
    <w:basedOn w:val="1"/>
    <w:link w:val="116"/>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autoRedefine/>
    <w:qFormat/>
    <w:uiPriority w:val="9"/>
    <w:rPr>
      <w:b/>
      <w:bCs/>
      <w:kern w:val="2"/>
      <w:sz w:val="32"/>
      <w:szCs w:val="32"/>
    </w:rPr>
  </w:style>
  <w:style w:type="character" w:customStyle="1" w:styleId="119">
    <w:name w:val="样式6 Char"/>
    <w:autoRedefine/>
    <w:qFormat/>
    <w:uiPriority w:val="0"/>
    <w:rPr>
      <w:rFonts w:ascii="仿宋_GB2312" w:hAnsi="宋体" w:eastAsia="仿宋_GB2312"/>
      <w:b/>
      <w:bCs/>
      <w:kern w:val="2"/>
      <w:sz w:val="24"/>
      <w:szCs w:val="24"/>
      <w:lang w:val="en-US" w:eastAsia="zh-CN" w:bidi="ar-SA"/>
    </w:rPr>
  </w:style>
  <w:style w:type="character" w:customStyle="1" w:styleId="120">
    <w:name w:val="Char Char14"/>
    <w:autoRedefine/>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1"/>
    <w:autoRedefine/>
    <w:qFormat/>
    <w:uiPriority w:val="0"/>
    <w:rPr>
      <w:rFonts w:ascii="宋体" w:hAnsi="宋体"/>
      <w:kern w:val="2"/>
      <w:sz w:val="21"/>
      <w:szCs w:val="24"/>
    </w:rPr>
  </w:style>
  <w:style w:type="character" w:customStyle="1" w:styleId="123">
    <w:name w:val="font11"/>
    <w:autoRedefine/>
    <w:qFormat/>
    <w:uiPriority w:val="0"/>
    <w:rPr>
      <w:rFonts w:hint="default" w:ascii="Times New Roman" w:hAnsi="Times New Roman" w:cs="Times New Roman"/>
      <w:color w:val="000000"/>
      <w:sz w:val="22"/>
      <w:szCs w:val="22"/>
      <w:u w:val="none"/>
    </w:rPr>
  </w:style>
  <w:style w:type="character" w:customStyle="1" w:styleId="124">
    <w:name w:val="表正文 Char1"/>
    <w:autoRedefine/>
    <w:qFormat/>
    <w:uiPriority w:val="0"/>
    <w:rPr>
      <w:rFonts w:ascii="宋体" w:eastAsia="宋体"/>
      <w:snapToGrid w:val="0"/>
      <w:color w:val="000000"/>
      <w:kern w:val="28"/>
      <w:sz w:val="28"/>
    </w:rPr>
  </w:style>
  <w:style w:type="character" w:customStyle="1" w:styleId="125">
    <w:name w:val="blue1"/>
    <w:basedOn w:val="69"/>
    <w:autoRedefine/>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autoRedefine/>
    <w:qFormat/>
    <w:uiPriority w:val="0"/>
    <w:rPr>
      <w:rFonts w:eastAsia="宋体"/>
      <w:b/>
      <w:bCs/>
      <w:kern w:val="44"/>
      <w:sz w:val="44"/>
      <w:szCs w:val="44"/>
      <w:lang w:val="en-US" w:eastAsia="zh-CN" w:bidi="ar-SA"/>
    </w:rPr>
  </w:style>
  <w:style w:type="character" w:customStyle="1" w:styleId="128">
    <w:name w:val="样式5 Char"/>
    <w:autoRedefine/>
    <w:qFormat/>
    <w:uiPriority w:val="0"/>
    <w:rPr>
      <w:rFonts w:ascii="仿宋_GB2312" w:hAnsi="仿宋" w:eastAsia="仿宋_GB2312"/>
      <w:kern w:val="2"/>
      <w:sz w:val="24"/>
      <w:szCs w:val="24"/>
    </w:rPr>
  </w:style>
  <w:style w:type="character" w:customStyle="1" w:styleId="129">
    <w:name w:val="样式4 Char"/>
    <w:autoRedefine/>
    <w:qFormat/>
    <w:uiPriority w:val="0"/>
    <w:rPr>
      <w:rFonts w:ascii="仿宋_GB2312" w:hAnsi="仿宋" w:eastAsia="仿宋_GB2312"/>
      <w:b/>
      <w:kern w:val="2"/>
      <w:sz w:val="32"/>
      <w:szCs w:val="32"/>
      <w:lang w:bidi="ar-SA"/>
    </w:rPr>
  </w:style>
  <w:style w:type="character" w:customStyle="1" w:styleId="130">
    <w:name w:val="插图说明 Char"/>
    <w:autoRedefine/>
    <w:qFormat/>
    <w:uiPriority w:val="0"/>
    <w:rPr>
      <w:rFonts w:eastAsia="黑体"/>
      <w:sz w:val="24"/>
      <w:lang w:val="en-US" w:eastAsia="zh-CN"/>
    </w:rPr>
  </w:style>
  <w:style w:type="character" w:customStyle="1" w:styleId="131">
    <w:name w:val="正文2 Char Char"/>
    <w:link w:val="132"/>
    <w:autoRedefine/>
    <w:qFormat/>
    <w:uiPriority w:val="0"/>
    <w:rPr>
      <w:rFonts w:eastAsia="宋体"/>
      <w:kern w:val="2"/>
      <w:sz w:val="24"/>
      <w:lang w:val="en-US" w:eastAsia="zh-CN" w:bidi="ar-SA"/>
    </w:rPr>
  </w:style>
  <w:style w:type="paragraph" w:customStyle="1" w:styleId="132">
    <w:name w:val="正文2"/>
    <w:basedOn w:val="1"/>
    <w:link w:val="131"/>
    <w:autoRedefine/>
    <w:qFormat/>
    <w:uiPriority w:val="0"/>
    <w:pPr>
      <w:spacing w:before="156" w:line="360" w:lineRule="auto"/>
      <w:ind w:firstLine="510" w:firstLineChars="200"/>
    </w:pPr>
    <w:rPr>
      <w:sz w:val="24"/>
      <w:szCs w:val="20"/>
    </w:rPr>
  </w:style>
  <w:style w:type="character" w:customStyle="1" w:styleId="133">
    <w:name w:val="Char Char24"/>
    <w:autoRedefine/>
    <w:qFormat/>
    <w:uiPriority w:val="6"/>
    <w:rPr>
      <w:kern w:val="1"/>
      <w:sz w:val="21"/>
    </w:rPr>
  </w:style>
  <w:style w:type="character" w:customStyle="1" w:styleId="134">
    <w:name w:val="副标题 Char"/>
    <w:link w:val="47"/>
    <w:autoRedefine/>
    <w:qFormat/>
    <w:uiPriority w:val="0"/>
    <w:rPr>
      <w:rFonts w:ascii="Arial" w:hAnsi="Arial" w:eastAsia="隶书"/>
      <w:b/>
      <w:bCs/>
      <w:kern w:val="28"/>
      <w:sz w:val="44"/>
      <w:szCs w:val="32"/>
      <w:lang w:val="en-US" w:eastAsia="zh-CN" w:bidi="ar-SA"/>
    </w:rPr>
  </w:style>
  <w:style w:type="character" w:customStyle="1" w:styleId="135">
    <w:name w:val="普通文字 Char1 Char"/>
    <w:autoRedefine/>
    <w:qFormat/>
    <w:uiPriority w:val="0"/>
    <w:rPr>
      <w:rFonts w:ascii="宋体" w:hAnsi="Courier New" w:eastAsia="宋体"/>
      <w:kern w:val="2"/>
      <w:sz w:val="21"/>
      <w:szCs w:val="24"/>
      <w:lang w:val="en-US" w:eastAsia="zh-CN" w:bidi="ar-SA"/>
    </w:rPr>
  </w:style>
  <w:style w:type="character" w:customStyle="1" w:styleId="136">
    <w:name w:val="h3 Char1"/>
    <w:autoRedefine/>
    <w:qFormat/>
    <w:uiPriority w:val="0"/>
    <w:rPr>
      <w:rFonts w:eastAsia="宋体"/>
      <w:b/>
      <w:bCs/>
      <w:kern w:val="2"/>
      <w:sz w:val="32"/>
      <w:szCs w:val="32"/>
      <w:lang w:bidi="ar-SA"/>
    </w:rPr>
  </w:style>
  <w:style w:type="character" w:customStyle="1" w:styleId="137">
    <w:name w:val="标题 Char1"/>
    <w:autoRedefine/>
    <w:qFormat/>
    <w:uiPriority w:val="0"/>
    <w:rPr>
      <w:rFonts w:ascii="Cambria" w:hAnsi="Cambria" w:eastAsia="宋体" w:cs="Times New Roman"/>
      <w:b/>
      <w:bCs/>
      <w:sz w:val="32"/>
      <w:szCs w:val="32"/>
      <w:lang w:bidi="ar-SA"/>
    </w:rPr>
  </w:style>
  <w:style w:type="character" w:customStyle="1" w:styleId="138">
    <w:name w:val="gf正文1 Char"/>
    <w:autoRedefine/>
    <w:qFormat/>
    <w:uiPriority w:val="0"/>
    <w:rPr>
      <w:rFonts w:ascii="宋体" w:hAnsi="宋体" w:eastAsia="宋体" w:cs="宋体"/>
      <w:kern w:val="2"/>
      <w:sz w:val="24"/>
      <w:szCs w:val="24"/>
      <w:lang w:val="en-US" w:eastAsia="zh-CN" w:bidi="ar-SA"/>
    </w:rPr>
  </w:style>
  <w:style w:type="character" w:customStyle="1" w:styleId="139">
    <w:name w:val="正文文本缩进 Char1"/>
    <w:autoRedefine/>
    <w:qFormat/>
    <w:uiPriority w:val="0"/>
    <w:rPr>
      <w:rFonts w:ascii="Calibri" w:hAnsi="Calibri"/>
      <w:sz w:val="28"/>
    </w:rPr>
  </w:style>
  <w:style w:type="character" w:customStyle="1" w:styleId="140">
    <w:name w:val="No Spacing Char"/>
    <w:link w:val="141"/>
    <w:autoRedefine/>
    <w:qFormat/>
    <w:uiPriority w:val="1"/>
    <w:rPr>
      <w:sz w:val="22"/>
      <w:szCs w:val="22"/>
      <w:lang w:val="en-US" w:eastAsia="zh-CN" w:bidi="ar-SA"/>
    </w:rPr>
  </w:style>
  <w:style w:type="paragraph" w:customStyle="1" w:styleId="141">
    <w:name w:val="无间隔1"/>
    <w:link w:val="140"/>
    <w:autoRedefine/>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autoRedefine/>
    <w:qFormat/>
    <w:uiPriority w:val="0"/>
    <w:rPr>
      <w:rFonts w:ascii="仿宋_GB2312" w:eastAsia="微软雅黑"/>
      <w:b/>
      <w:spacing w:val="300"/>
      <w:kern w:val="2"/>
      <w:sz w:val="18"/>
      <w:szCs w:val="18"/>
      <w:lang w:val="en-US" w:eastAsia="zh-CN" w:bidi="ar-SA"/>
    </w:rPr>
  </w:style>
  <w:style w:type="character" w:customStyle="1" w:styleId="144">
    <w:name w:val="Char Char7"/>
    <w:autoRedefine/>
    <w:qFormat/>
    <w:uiPriority w:val="0"/>
    <w:rPr>
      <w:rFonts w:eastAsia="宋体"/>
      <w:kern w:val="2"/>
      <w:sz w:val="21"/>
      <w:szCs w:val="24"/>
      <w:lang w:val="en-US" w:eastAsia="zh-CN" w:bidi="ar-SA"/>
    </w:rPr>
  </w:style>
  <w:style w:type="character" w:customStyle="1" w:styleId="145">
    <w:name w:val="表名 Char"/>
    <w:autoRedefine/>
    <w:qFormat/>
    <w:uiPriority w:val="0"/>
    <w:rPr>
      <w:rFonts w:eastAsia="宋体"/>
      <w:b/>
      <w:bCs/>
      <w:kern w:val="2"/>
      <w:sz w:val="24"/>
      <w:szCs w:val="24"/>
      <w:lang w:val="en-US" w:eastAsia="zh-CN" w:bidi="ar-SA"/>
    </w:rPr>
  </w:style>
  <w:style w:type="character" w:customStyle="1" w:styleId="146">
    <w:name w:val="Document Map Char"/>
    <w:autoRedefine/>
    <w:qFormat/>
    <w:uiPriority w:val="0"/>
    <w:rPr>
      <w:rFonts w:eastAsia="宋体"/>
      <w:kern w:val="2"/>
      <w:sz w:val="21"/>
      <w:szCs w:val="24"/>
      <w:lang w:val="en-US" w:eastAsia="zh-CN" w:bidi="ar-SA"/>
    </w:rPr>
  </w:style>
  <w:style w:type="character" w:customStyle="1" w:styleId="147">
    <w:name w:val="font41"/>
    <w:autoRedefine/>
    <w:qFormat/>
    <w:uiPriority w:val="0"/>
    <w:rPr>
      <w:rFonts w:hint="eastAsia" w:ascii="仿宋_GB2312" w:eastAsia="仿宋_GB2312" w:cs="仿宋_GB2312"/>
      <w:color w:val="000000"/>
      <w:sz w:val="22"/>
      <w:szCs w:val="22"/>
      <w:u w:val="none"/>
    </w:rPr>
  </w:style>
  <w:style w:type="character" w:customStyle="1" w:styleId="148">
    <w:name w:val="标题 6 Char"/>
    <w:link w:val="8"/>
    <w:autoRedefine/>
    <w:qFormat/>
    <w:uiPriority w:val="0"/>
    <w:rPr>
      <w:rFonts w:ascii="Arial" w:hAnsi="Arial" w:eastAsia="黑体"/>
      <w:b/>
      <w:bCs/>
      <w:kern w:val="2"/>
      <w:sz w:val="24"/>
      <w:szCs w:val="24"/>
    </w:rPr>
  </w:style>
  <w:style w:type="character" w:customStyle="1" w:styleId="149">
    <w:name w:val="纯文本 Char_0"/>
    <w:link w:val="150"/>
    <w:autoRedefine/>
    <w:qFormat/>
    <w:uiPriority w:val="0"/>
    <w:rPr>
      <w:rFonts w:ascii="宋体" w:hAnsi="Courier New"/>
      <w:kern w:val="2"/>
      <w:sz w:val="21"/>
      <w:szCs w:val="21"/>
      <w:lang w:val="en-US" w:eastAsia="zh-CN"/>
    </w:rPr>
  </w:style>
  <w:style w:type="paragraph" w:customStyle="1" w:styleId="150">
    <w:name w:val="纯文本_0_0"/>
    <w:basedOn w:val="151"/>
    <w:link w:val="149"/>
    <w:autoRedefine/>
    <w:qFormat/>
    <w:uiPriority w:val="0"/>
    <w:rPr>
      <w:rFonts w:ascii="宋体" w:hAnsi="Courier New"/>
      <w:szCs w:val="21"/>
    </w:rPr>
  </w:style>
  <w:style w:type="paragraph" w:customStyle="1" w:styleId="15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autoRedefine/>
    <w:qFormat/>
    <w:uiPriority w:val="0"/>
    <w:rPr>
      <w:rFonts w:eastAsia="宋体"/>
      <w:kern w:val="2"/>
      <w:sz w:val="18"/>
      <w:szCs w:val="18"/>
      <w:lang w:val="en-US" w:eastAsia="zh-CN" w:bidi="ar-SA"/>
    </w:rPr>
  </w:style>
  <w:style w:type="character" w:customStyle="1" w:styleId="153">
    <w:name w:val="正文 项目2 Char"/>
    <w:basedOn w:val="154"/>
    <w:autoRedefine/>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autoRedefine/>
    <w:qFormat/>
    <w:uiPriority w:val="0"/>
    <w:rPr>
      <w:rFonts w:eastAsia="宋体"/>
      <w:kern w:val="2"/>
      <w:sz w:val="18"/>
      <w:szCs w:val="18"/>
      <w:lang w:val="en-US" w:eastAsia="zh-CN" w:bidi="ar-SA"/>
    </w:rPr>
  </w:style>
  <w:style w:type="character" w:customStyle="1" w:styleId="156">
    <w:name w:val="Char Char27"/>
    <w:autoRedefine/>
    <w:qFormat/>
    <w:uiPriority w:val="6"/>
    <w:rPr>
      <w:rFonts w:ascii="宋体" w:hAnsi="宋体" w:eastAsia="宋体"/>
      <w:color w:val="000000"/>
      <w:kern w:val="1"/>
      <w:sz w:val="28"/>
      <w:lang w:val="en-US" w:eastAsia="zh-CN" w:bidi="ar-SA"/>
    </w:rPr>
  </w:style>
  <w:style w:type="character" w:customStyle="1" w:styleId="157">
    <w:name w:val="px14"/>
    <w:autoRedefine/>
    <w:qFormat/>
    <w:uiPriority w:val="0"/>
    <w:rPr>
      <w:rFonts w:ascii="仿宋_GB2312" w:eastAsia="微软雅黑" w:cs="Times New Roman"/>
      <w:b/>
      <w:kern w:val="2"/>
      <w:sz w:val="32"/>
      <w:szCs w:val="32"/>
      <w:lang w:val="en-US" w:eastAsia="zh-CN" w:bidi="ar-SA"/>
    </w:rPr>
  </w:style>
  <w:style w:type="character" w:customStyle="1" w:styleId="158">
    <w:name w:val="HTML 预设格式 Char1"/>
    <w:autoRedefine/>
    <w:qFormat/>
    <w:uiPriority w:val="0"/>
    <w:rPr>
      <w:rFonts w:ascii="Courier New" w:hAnsi="Courier New" w:eastAsia="宋体" w:cs="Courier New"/>
      <w:sz w:val="20"/>
      <w:szCs w:val="20"/>
    </w:rPr>
  </w:style>
  <w:style w:type="character" w:customStyle="1" w:styleId="159">
    <w:name w:val="普通文字 Char1"/>
    <w:autoRedefine/>
    <w:qFormat/>
    <w:uiPriority w:val="0"/>
    <w:rPr>
      <w:rFonts w:ascii="宋体" w:hAnsi="Courier New" w:eastAsia="宋体"/>
      <w:kern w:val="2"/>
      <w:sz w:val="21"/>
      <w:lang w:val="en-US" w:eastAsia="zh-CN"/>
    </w:rPr>
  </w:style>
  <w:style w:type="character" w:customStyle="1" w:styleId="160">
    <w:name w:val="hei16b1"/>
    <w:autoRedefine/>
    <w:qFormat/>
    <w:uiPriority w:val="0"/>
    <w:rPr>
      <w:rFonts w:hint="default" w:ascii="Arial" w:hAnsi="Arial" w:cs="Arial"/>
      <w:b/>
      <w:bCs/>
      <w:color w:val="000000"/>
      <w:sz w:val="24"/>
      <w:szCs w:val="24"/>
    </w:rPr>
  </w:style>
  <w:style w:type="character" w:customStyle="1" w:styleId="161">
    <w:name w:val="正文（绿盟科技） Char"/>
    <w:link w:val="162"/>
    <w:autoRedefine/>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autoRedefine/>
    <w:qFormat/>
    <w:uiPriority w:val="6"/>
    <w:rPr>
      <w:rFonts w:ascii="宋体" w:hAnsi="宋体"/>
      <w:i/>
      <w:sz w:val="24"/>
      <w:szCs w:val="24"/>
    </w:rPr>
  </w:style>
  <w:style w:type="character" w:customStyle="1" w:styleId="164">
    <w:name w:val="页脚 Char"/>
    <w:autoRedefine/>
    <w:qFormat/>
    <w:uiPriority w:val="0"/>
    <w:rPr>
      <w:rFonts w:eastAsia="仿宋_GB2312"/>
      <w:kern w:val="2"/>
      <w:sz w:val="18"/>
      <w:lang w:val="en-US" w:eastAsia="zh-CN"/>
    </w:rPr>
  </w:style>
  <w:style w:type="character" w:customStyle="1" w:styleId="165">
    <w:name w:val="批注主题 Char"/>
    <w:autoRedefine/>
    <w:qFormat/>
    <w:uiPriority w:val="0"/>
    <w:rPr>
      <w:rFonts w:eastAsia="宋体"/>
      <w:b/>
      <w:bCs/>
      <w:kern w:val="2"/>
      <w:sz w:val="21"/>
      <w:szCs w:val="24"/>
      <w:lang w:val="en-US" w:eastAsia="zh-CN" w:bidi="ar-SA"/>
    </w:rPr>
  </w:style>
  <w:style w:type="character" w:customStyle="1" w:styleId="166">
    <w:name w:val="Comment Text Char"/>
    <w:autoRedefine/>
    <w:qFormat/>
    <w:uiPriority w:val="0"/>
    <w:rPr>
      <w:rFonts w:ascii="宋体" w:hAnsi="宋体" w:eastAsia="宋体"/>
      <w:kern w:val="2"/>
      <w:sz w:val="24"/>
      <w:lang w:val="en-US" w:eastAsia="zh-CN" w:bidi="ar-SA"/>
    </w:rPr>
  </w:style>
  <w:style w:type="character" w:customStyle="1" w:styleId="167">
    <w:name w:val="标题 2 字符"/>
    <w:autoRedefine/>
    <w:qFormat/>
    <w:uiPriority w:val="1"/>
    <w:rPr>
      <w:rFonts w:ascii="仿宋_GB2312" w:hAnsi="Times New Roman" w:eastAsia="仿宋_GB2312" w:cs="Times New Roman"/>
      <w:b/>
      <w:kern w:val="2"/>
      <w:sz w:val="24"/>
      <w:lang w:val="zh-CN"/>
    </w:rPr>
  </w:style>
  <w:style w:type="character" w:customStyle="1" w:styleId="168">
    <w:name w:val="Char Char72"/>
    <w:autoRedefine/>
    <w:qFormat/>
    <w:uiPriority w:val="0"/>
    <w:rPr>
      <w:rFonts w:eastAsia="宋体"/>
      <w:kern w:val="2"/>
      <w:sz w:val="21"/>
      <w:szCs w:val="24"/>
      <w:lang w:val="en-US" w:eastAsia="zh-CN" w:bidi="ar-SA"/>
    </w:rPr>
  </w:style>
  <w:style w:type="character" w:customStyle="1" w:styleId="169">
    <w:name w:val="正文文本缩进 Char2"/>
    <w:autoRedefine/>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autoRedefine/>
    <w:qFormat/>
    <w:uiPriority w:val="0"/>
    <w:rPr>
      <w:sz w:val="32"/>
    </w:rPr>
  </w:style>
  <w:style w:type="paragraph" w:customStyle="1" w:styleId="172">
    <w:name w:val="表格名称"/>
    <w:basedOn w:val="5"/>
    <w:link w:val="171"/>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autoRedefine/>
    <w:qFormat/>
    <w:uiPriority w:val="0"/>
    <w:rPr>
      <w:rFonts w:eastAsia="宋体"/>
      <w:b/>
      <w:sz w:val="24"/>
      <w:lang w:val="en-GB" w:eastAsia="zh-CN" w:bidi="ar-SA"/>
    </w:rPr>
  </w:style>
  <w:style w:type="character" w:customStyle="1" w:styleId="174">
    <w:name w:val="c7 style3"/>
    <w:autoRedefine/>
    <w:qFormat/>
    <w:uiPriority w:val="0"/>
  </w:style>
  <w:style w:type="character" w:customStyle="1" w:styleId="175">
    <w:name w:val="正文文本 3 Char1"/>
    <w:autoRedefine/>
    <w:qFormat/>
    <w:uiPriority w:val="99"/>
    <w:rPr>
      <w:rFonts w:ascii="Times New Roman" w:hAnsi="Times New Roman" w:eastAsia="宋体" w:cs="Times New Roman"/>
      <w:sz w:val="16"/>
      <w:szCs w:val="16"/>
    </w:rPr>
  </w:style>
  <w:style w:type="character" w:customStyle="1" w:styleId="176">
    <w:name w:val="tw4winInternal"/>
    <w:autoRedefine/>
    <w:qFormat/>
    <w:uiPriority w:val="0"/>
    <w:rPr>
      <w:rFonts w:ascii="Courier New" w:hAnsi="Courier New" w:cs="Courier New"/>
      <w:color w:val="FF0000"/>
      <w:lang w:val="en-US" w:eastAsia="zh-CN"/>
    </w:rPr>
  </w:style>
  <w:style w:type="character" w:customStyle="1" w:styleId="177">
    <w:name w:val="Char Char10"/>
    <w:autoRedefine/>
    <w:qFormat/>
    <w:uiPriority w:val="0"/>
    <w:rPr>
      <w:rFonts w:ascii="宋体" w:hAnsi="宋体"/>
      <w:kern w:val="2"/>
      <w:sz w:val="21"/>
      <w:szCs w:val="24"/>
      <w:lang w:val="en-US" w:eastAsia="zh-CN"/>
    </w:rPr>
  </w:style>
  <w:style w:type="character" w:customStyle="1" w:styleId="178">
    <w:name w:val="shadow11"/>
    <w:autoRedefine/>
    <w:qFormat/>
    <w:uiPriority w:val="0"/>
    <w:rPr>
      <w:color w:val="000000"/>
      <w:sz w:val="21"/>
    </w:rPr>
  </w:style>
  <w:style w:type="character" w:customStyle="1" w:styleId="179">
    <w:name w:val="正文非缩进 Char3"/>
    <w:autoRedefine/>
    <w:qFormat/>
    <w:uiPriority w:val="0"/>
    <w:rPr>
      <w:rFonts w:ascii="宋体" w:eastAsia="宋体"/>
      <w:snapToGrid w:val="0"/>
      <w:color w:val="000000"/>
      <w:kern w:val="28"/>
      <w:sz w:val="28"/>
      <w:lang w:val="en-US" w:eastAsia="zh-CN" w:bidi="ar-SA"/>
    </w:rPr>
  </w:style>
  <w:style w:type="character" w:customStyle="1" w:styleId="180">
    <w:name w:val="Char Char"/>
    <w:autoRedefine/>
    <w:qFormat/>
    <w:uiPriority w:val="0"/>
    <w:rPr>
      <w:rFonts w:ascii="宋体" w:hAnsi="Courier New" w:eastAsia="宋体"/>
      <w:kern w:val="2"/>
      <w:sz w:val="21"/>
      <w:lang w:val="en-US" w:eastAsia="zh-CN" w:bidi="ar-SA"/>
    </w:rPr>
  </w:style>
  <w:style w:type="character" w:customStyle="1" w:styleId="181">
    <w:name w:val="签名 Char1"/>
    <w:autoRedefine/>
    <w:qFormat/>
    <w:uiPriority w:val="0"/>
    <w:rPr>
      <w:rFonts w:ascii="Times New Roman" w:hAnsi="Times New Roman" w:eastAsia="宋体" w:cs="Times New Roman"/>
      <w:szCs w:val="24"/>
    </w:rPr>
  </w:style>
  <w:style w:type="character" w:customStyle="1" w:styleId="182">
    <w:name w:val="日期 Char"/>
    <w:link w:val="36"/>
    <w:autoRedefine/>
    <w:qFormat/>
    <w:uiPriority w:val="0"/>
    <w:rPr>
      <w:rFonts w:ascii="宋体"/>
      <w:kern w:val="2"/>
      <w:sz w:val="24"/>
      <w:szCs w:val="21"/>
      <w:lang w:val="zh-CN"/>
    </w:rPr>
  </w:style>
  <w:style w:type="character" w:customStyle="1" w:styleId="183">
    <w:name w:val="标题 9 Char"/>
    <w:link w:val="11"/>
    <w:autoRedefine/>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autoRedefine/>
    <w:qFormat/>
    <w:uiPriority w:val="6"/>
    <w:rPr>
      <w:rFonts w:ascii="宋体" w:hAnsi="宋体"/>
      <w:kern w:val="1"/>
      <w:sz w:val="24"/>
      <w:szCs w:val="24"/>
    </w:rPr>
  </w:style>
  <w:style w:type="character" w:customStyle="1" w:styleId="187">
    <w:name w:val="pt141"/>
    <w:autoRedefine/>
    <w:qFormat/>
    <w:uiPriority w:val="0"/>
    <w:rPr>
      <w:color w:val="330066"/>
      <w:sz w:val="22"/>
      <w:szCs w:val="22"/>
    </w:rPr>
  </w:style>
  <w:style w:type="character" w:customStyle="1" w:styleId="188">
    <w:name w:val="正文文本缩进 2 Char1"/>
    <w:autoRedefine/>
    <w:qFormat/>
    <w:uiPriority w:val="99"/>
    <w:rPr>
      <w:rFonts w:ascii="Times New Roman" w:hAnsi="Times New Roman" w:eastAsia="宋体" w:cs="Times New Roman"/>
      <w:szCs w:val="24"/>
    </w:rPr>
  </w:style>
  <w:style w:type="character" w:customStyle="1" w:styleId="189">
    <w:name w:val="批注框文本 Char"/>
    <w:link w:val="39"/>
    <w:autoRedefine/>
    <w:qFormat/>
    <w:uiPriority w:val="0"/>
    <w:rPr>
      <w:kern w:val="2"/>
      <w:sz w:val="18"/>
      <w:szCs w:val="18"/>
    </w:rPr>
  </w:style>
  <w:style w:type="character" w:customStyle="1" w:styleId="190">
    <w:name w:val="Char Char611"/>
    <w:autoRedefine/>
    <w:qFormat/>
    <w:uiPriority w:val="0"/>
    <w:rPr>
      <w:rFonts w:eastAsia="宋体"/>
      <w:kern w:val="2"/>
      <w:sz w:val="21"/>
      <w:szCs w:val="24"/>
      <w:lang w:val="en-US" w:eastAsia="zh-CN" w:bidi="ar-SA"/>
    </w:rPr>
  </w:style>
  <w:style w:type="character" w:customStyle="1" w:styleId="191">
    <w:name w:val="highlight1"/>
    <w:autoRedefine/>
    <w:qFormat/>
    <w:uiPriority w:val="0"/>
    <w:rPr>
      <w:rFonts w:ascii="仿宋_GB2312" w:eastAsia="微软雅黑"/>
      <w:b/>
      <w:kern w:val="2"/>
      <w:sz w:val="23"/>
      <w:szCs w:val="23"/>
      <w:lang w:val="en-US" w:eastAsia="zh-CN" w:bidi="ar-SA"/>
    </w:rPr>
  </w:style>
  <w:style w:type="character" w:customStyle="1" w:styleId="192">
    <w:name w:val="my正文 Char"/>
    <w:link w:val="193"/>
    <w:autoRedefine/>
    <w:qFormat/>
    <w:uiPriority w:val="0"/>
    <w:rPr>
      <w:rFonts w:ascii="Tahoma" w:hAnsi="Tahoma"/>
      <w:sz w:val="24"/>
      <w:szCs w:val="24"/>
    </w:rPr>
  </w:style>
  <w:style w:type="paragraph" w:customStyle="1" w:styleId="193">
    <w:name w:val="my正文"/>
    <w:basedOn w:val="1"/>
    <w:link w:val="192"/>
    <w:autoRedefine/>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3"/>
    <w:autoRedefine/>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autoRedefine/>
    <w:qFormat/>
    <w:uiPriority w:val="0"/>
    <w:rPr>
      <w:color w:val="0000FF"/>
      <w:sz w:val="21"/>
    </w:rPr>
  </w:style>
  <w:style w:type="character" w:customStyle="1" w:styleId="196">
    <w:name w:val="页眉 Char"/>
    <w:autoRedefine/>
    <w:qFormat/>
    <w:uiPriority w:val="0"/>
    <w:rPr>
      <w:rFonts w:eastAsia="仿宋_GB2312"/>
      <w:kern w:val="2"/>
      <w:sz w:val="18"/>
      <w:lang w:val="en-US" w:eastAsia="zh-CN"/>
    </w:rPr>
  </w:style>
  <w:style w:type="character" w:customStyle="1" w:styleId="197">
    <w:name w:val="FA正文 Char Char"/>
    <w:autoRedefine/>
    <w:qFormat/>
    <w:uiPriority w:val="0"/>
    <w:rPr>
      <w:rFonts w:hAnsi="宋体"/>
      <w:kern w:val="2"/>
      <w:sz w:val="24"/>
      <w:lang w:bidi="ar-SA"/>
    </w:rPr>
  </w:style>
  <w:style w:type="character" w:customStyle="1" w:styleId="198">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autoRedefine/>
    <w:qFormat/>
    <w:uiPriority w:val="0"/>
    <w:rPr>
      <w:rFonts w:ascii="宋体" w:hAnsi="宋体"/>
      <w:b/>
      <w:bCs/>
      <w:snapToGrid/>
      <w:sz w:val="28"/>
    </w:rPr>
  </w:style>
  <w:style w:type="paragraph" w:customStyle="1" w:styleId="200">
    <w:name w:val="3级"/>
    <w:basedOn w:val="201"/>
    <w:link w:val="199"/>
    <w:autoRedefine/>
    <w:qFormat/>
    <w:uiPriority w:val="0"/>
    <w:pPr>
      <w:ind w:left="0" w:right="466" w:firstLine="288"/>
    </w:pPr>
    <w:rPr>
      <w:rFonts w:hAnsi="宋体"/>
      <w:snapToGrid/>
    </w:rPr>
  </w:style>
  <w:style w:type="paragraph" w:customStyle="1" w:styleId="201">
    <w:name w:val="样式 标题 3h33rd level3BOD 0H3l3CTHeading 3 - oldLevel 3 He..."/>
    <w:basedOn w:val="2"/>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autoRedefine/>
    <w:qFormat/>
    <w:uiPriority w:val="0"/>
    <w:rPr>
      <w:rFonts w:ascii="仿宋_GB2312" w:eastAsia="微软雅黑"/>
      <w:b/>
      <w:kern w:val="2"/>
      <w:sz w:val="32"/>
      <w:szCs w:val="32"/>
      <w:lang w:val="en-US" w:eastAsia="zh-CN" w:bidi="ar-SA"/>
    </w:rPr>
  </w:style>
  <w:style w:type="character" w:customStyle="1" w:styleId="203">
    <w:name w:val="文档结构图 Char1"/>
    <w:link w:val="18"/>
    <w:autoRedefine/>
    <w:qFormat/>
    <w:uiPriority w:val="0"/>
    <w:rPr>
      <w:kern w:val="2"/>
      <w:sz w:val="21"/>
      <w:szCs w:val="24"/>
      <w:shd w:val="clear" w:color="auto" w:fill="000080"/>
    </w:rPr>
  </w:style>
  <w:style w:type="character" w:customStyle="1" w:styleId="204">
    <w:name w:val="H6 Char"/>
    <w:autoRedefine/>
    <w:qFormat/>
    <w:uiPriority w:val="0"/>
    <w:rPr>
      <w:rFonts w:ascii="Arial" w:hAnsi="Arial" w:eastAsia="黑体"/>
      <w:b/>
      <w:bCs/>
      <w:kern w:val="2"/>
      <w:sz w:val="24"/>
      <w:szCs w:val="24"/>
    </w:rPr>
  </w:style>
  <w:style w:type="character" w:customStyle="1" w:styleId="205">
    <w:name w:val="Char Char91"/>
    <w:autoRedefine/>
    <w:qFormat/>
    <w:uiPriority w:val="0"/>
    <w:rPr>
      <w:rFonts w:eastAsia="宋体"/>
      <w:kern w:val="2"/>
      <w:sz w:val="18"/>
      <w:szCs w:val="18"/>
      <w:lang w:val="en-US" w:eastAsia="zh-CN" w:bidi="ar-SA"/>
    </w:rPr>
  </w:style>
  <w:style w:type="character" w:customStyle="1" w:styleId="206">
    <w:name w:val="副标题 Char1"/>
    <w:autoRedefine/>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autoRedefine/>
    <w:qFormat/>
    <w:uiPriority w:val="0"/>
    <w:rPr>
      <w:rFonts w:eastAsia="宋体"/>
      <w:b/>
      <w:bCs/>
      <w:kern w:val="2"/>
      <w:sz w:val="21"/>
      <w:szCs w:val="24"/>
      <w:lang w:val="en-US" w:eastAsia="zh-CN" w:bidi="ar-SA"/>
    </w:rPr>
  </w:style>
  <w:style w:type="character" w:customStyle="1" w:styleId="210">
    <w:name w:val="标题 2 Char"/>
    <w:autoRedefine/>
    <w:qFormat/>
    <w:uiPriority w:val="0"/>
    <w:rPr>
      <w:rFonts w:ascii="Arial" w:hAnsi="Arial" w:eastAsia="黑体"/>
      <w:b/>
      <w:kern w:val="2"/>
      <w:sz w:val="32"/>
      <w:lang w:val="en-US" w:eastAsia="zh-CN"/>
    </w:rPr>
  </w:style>
  <w:style w:type="character" w:customStyle="1" w:styleId="211">
    <w:name w:val="maywed421"/>
    <w:autoRedefine/>
    <w:qFormat/>
    <w:uiPriority w:val="0"/>
    <w:rPr>
      <w:color w:val="366FB6"/>
      <w:u w:val="none"/>
    </w:rPr>
  </w:style>
  <w:style w:type="character" w:customStyle="1" w:styleId="212">
    <w:name w:val="正文文本缩进 Char"/>
    <w:autoRedefine/>
    <w:qFormat/>
    <w:uiPriority w:val="0"/>
    <w:rPr>
      <w:rFonts w:ascii="宋体" w:hAnsi="宋体"/>
      <w:kern w:val="2"/>
      <w:sz w:val="24"/>
      <w:szCs w:val="24"/>
    </w:rPr>
  </w:style>
  <w:style w:type="character" w:customStyle="1" w:styleId="213">
    <w:name w:val="Char Char102"/>
    <w:autoRedefine/>
    <w:qFormat/>
    <w:uiPriority w:val="0"/>
    <w:rPr>
      <w:rFonts w:ascii="宋体" w:hAnsi="宋体"/>
      <w:kern w:val="2"/>
      <w:sz w:val="21"/>
      <w:szCs w:val="24"/>
      <w:lang w:val="en-US" w:eastAsia="zh-CN"/>
    </w:rPr>
  </w:style>
  <w:style w:type="character" w:customStyle="1" w:styleId="214">
    <w:name w:val="页眉 Char1"/>
    <w:autoRedefine/>
    <w:qFormat/>
    <w:uiPriority w:val="0"/>
    <w:rPr>
      <w:rFonts w:eastAsia="宋体"/>
      <w:kern w:val="2"/>
      <w:sz w:val="18"/>
      <w:szCs w:val="18"/>
      <w:lang w:val="en-US" w:eastAsia="zh-CN" w:bidi="ar-SA"/>
    </w:rPr>
  </w:style>
  <w:style w:type="character" w:customStyle="1" w:styleId="215">
    <w:name w:val="md"/>
    <w:basedOn w:val="69"/>
    <w:autoRedefine/>
    <w:qFormat/>
    <w:uiPriority w:val="0"/>
    <w:rPr>
      <w:rFonts w:ascii="Arial" w:hAnsi="Arial" w:eastAsia="黑体" w:cs="Arial"/>
      <w:snapToGrid w:val="0"/>
      <w:kern w:val="0"/>
      <w:szCs w:val="21"/>
    </w:rPr>
  </w:style>
  <w:style w:type="character" w:customStyle="1" w:styleId="216">
    <w:name w:val="big1"/>
    <w:autoRedefine/>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autoRedefine/>
    <w:qFormat/>
    <w:uiPriority w:val="6"/>
    <w:rPr>
      <w:rFonts w:eastAsia="宋体"/>
      <w:b/>
      <w:sz w:val="24"/>
      <w:lang w:val="en-GB" w:eastAsia="zh-CN"/>
    </w:rPr>
  </w:style>
  <w:style w:type="character" w:customStyle="1" w:styleId="219">
    <w:name w:val="样式3 Char"/>
    <w:basedOn w:val="170"/>
    <w:autoRedefine/>
    <w:qFormat/>
    <w:uiPriority w:val="0"/>
    <w:rPr>
      <w:rFonts w:ascii="仿宋_GB2312" w:hAnsi="仿宋" w:eastAsia="仿宋_GB2312" w:cs="仿宋_GB2312"/>
      <w:sz w:val="32"/>
      <w:szCs w:val="30"/>
      <w:lang w:val="zh-CN"/>
    </w:rPr>
  </w:style>
  <w:style w:type="character" w:customStyle="1" w:styleId="220">
    <w:name w:val="HTML 地址 Char"/>
    <w:link w:val="30"/>
    <w:autoRedefine/>
    <w:qFormat/>
    <w:uiPriority w:val="0"/>
    <w:rPr>
      <w:rFonts w:ascii="宋体" w:hAnsi="宋体"/>
      <w:i/>
      <w:iCs/>
      <w:sz w:val="24"/>
      <w:szCs w:val="24"/>
    </w:rPr>
  </w:style>
  <w:style w:type="character" w:customStyle="1" w:styleId="221">
    <w:name w:val="正文首行缩进 2 Char1"/>
    <w:autoRedefine/>
    <w:qFormat/>
    <w:uiPriority w:val="0"/>
    <w:rPr>
      <w:rFonts w:ascii="Times New Roman" w:hAnsi="Times New Roman" w:eastAsia="宋体" w:cs="Times New Roman"/>
      <w:kern w:val="2"/>
      <w:sz w:val="24"/>
      <w:szCs w:val="24"/>
    </w:rPr>
  </w:style>
  <w:style w:type="character" w:customStyle="1" w:styleId="222">
    <w:name w:val="副标题 Char2"/>
    <w:autoRedefine/>
    <w:qFormat/>
    <w:uiPriority w:val="0"/>
    <w:rPr>
      <w:rFonts w:ascii="Cambria" w:hAnsi="Cambria" w:eastAsia="宋体" w:cs="Times New Roman"/>
      <w:b/>
      <w:bCs/>
      <w:snapToGrid w:val="0"/>
      <w:kern w:val="28"/>
      <w:sz w:val="32"/>
      <w:szCs w:val="32"/>
    </w:rPr>
  </w:style>
  <w:style w:type="character" w:customStyle="1" w:styleId="223">
    <w:name w:val="标题4-dyf Char"/>
    <w:link w:val="224"/>
    <w:autoRedefine/>
    <w:qFormat/>
    <w:uiPriority w:val="0"/>
    <w:rPr>
      <w:rFonts w:ascii="Cambria" w:hAnsi="Cambria"/>
      <w:b/>
      <w:bCs/>
      <w:color w:val="000000"/>
      <w:kern w:val="2"/>
      <w:sz w:val="21"/>
      <w:szCs w:val="21"/>
    </w:rPr>
  </w:style>
  <w:style w:type="paragraph" w:customStyle="1" w:styleId="224">
    <w:name w:val="标题4-dyf"/>
    <w:basedOn w:val="6"/>
    <w:link w:val="223"/>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autoRedefine/>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autoRedefine/>
    <w:qFormat/>
    <w:uiPriority w:val="0"/>
    <w:rPr>
      <w:rFonts w:eastAsia="宋体"/>
      <w:kern w:val="2"/>
      <w:sz w:val="18"/>
      <w:szCs w:val="18"/>
      <w:lang w:val="en-US" w:eastAsia="zh-CN" w:bidi="ar-SA"/>
    </w:rPr>
  </w:style>
  <w:style w:type="character" w:customStyle="1" w:styleId="229">
    <w:name w:val="Char Char12"/>
    <w:autoRedefine/>
    <w:qFormat/>
    <w:uiPriority w:val="0"/>
    <w:rPr>
      <w:rFonts w:ascii="仿宋_GB2312" w:eastAsia="仿宋_GB2312"/>
      <w:b/>
      <w:bCs/>
      <w:kern w:val="2"/>
      <w:sz w:val="24"/>
      <w:szCs w:val="24"/>
      <w:lang w:val="zh-CN" w:eastAsia="zh-CN" w:bidi="ar-SA"/>
    </w:rPr>
  </w:style>
  <w:style w:type="character" w:customStyle="1" w:styleId="230">
    <w:name w:val="题注 Char"/>
    <w:link w:val="16"/>
    <w:autoRedefine/>
    <w:qFormat/>
    <w:uiPriority w:val="0"/>
    <w:rPr>
      <w:b/>
      <w:kern w:val="2"/>
      <w:sz w:val="28"/>
    </w:rPr>
  </w:style>
  <w:style w:type="character" w:customStyle="1" w:styleId="231">
    <w:name w:val="普通文字 Char3"/>
    <w:autoRedefine/>
    <w:qFormat/>
    <w:uiPriority w:val="0"/>
    <w:rPr>
      <w:rFonts w:ascii="宋体" w:hAnsi="Courier New" w:eastAsia="宋体"/>
      <w:kern w:val="2"/>
      <w:sz w:val="21"/>
      <w:lang w:val="en-US" w:eastAsia="zh-CN" w:bidi="ar-SA"/>
    </w:rPr>
  </w:style>
  <w:style w:type="character" w:customStyle="1" w:styleId="232">
    <w:name w:val="公文正文 Char"/>
    <w:autoRedefine/>
    <w:qFormat/>
    <w:uiPriority w:val="0"/>
    <w:rPr>
      <w:rFonts w:ascii="仿宋_GB2312" w:eastAsia="仿宋_GB2312"/>
      <w:kern w:val="2"/>
      <w:sz w:val="24"/>
      <w:szCs w:val="24"/>
      <w:lang w:val="en-US" w:eastAsia="zh-CN" w:bidi="ar-SA"/>
    </w:rPr>
  </w:style>
  <w:style w:type="character" w:customStyle="1" w:styleId="233">
    <w:name w:val="正文首行缩进 Char Char Char Char Char"/>
    <w:autoRedefine/>
    <w:qFormat/>
    <w:uiPriority w:val="0"/>
    <w:rPr>
      <w:rFonts w:ascii="宋体"/>
      <w:kern w:val="2"/>
      <w:sz w:val="24"/>
      <w:lang w:val="zh-CN"/>
    </w:rPr>
  </w:style>
  <w:style w:type="character" w:customStyle="1" w:styleId="234">
    <w:name w:val="PI Char"/>
    <w:autoRedefine/>
    <w:qFormat/>
    <w:uiPriority w:val="0"/>
    <w:rPr>
      <w:rFonts w:ascii="宋体" w:hAnsi="宋体" w:eastAsia="宋体"/>
      <w:kern w:val="2"/>
      <w:sz w:val="24"/>
      <w:szCs w:val="24"/>
      <w:lang w:val="en-US" w:eastAsia="zh-CN" w:bidi="ar-SA"/>
    </w:rPr>
  </w:style>
  <w:style w:type="character" w:customStyle="1" w:styleId="235">
    <w:name w:val="Default Char"/>
    <w:link w:val="81"/>
    <w:autoRedefine/>
    <w:qFormat/>
    <w:uiPriority w:val="0"/>
    <w:rPr>
      <w:rFonts w:ascii="仿宋_GB2312" w:eastAsia="仿宋_GB2312" w:cs="仿宋_GB2312"/>
      <w:color w:val="000000"/>
      <w:sz w:val="24"/>
      <w:szCs w:val="24"/>
      <w:lang w:val="en-US" w:eastAsia="zh-CN" w:bidi="ar-SA"/>
    </w:rPr>
  </w:style>
  <w:style w:type="character" w:customStyle="1" w:styleId="236">
    <w:name w:val="style91"/>
    <w:autoRedefine/>
    <w:qFormat/>
    <w:uiPriority w:val="0"/>
    <w:rPr>
      <w:color w:val="333333"/>
    </w:rPr>
  </w:style>
  <w:style w:type="character" w:customStyle="1" w:styleId="237">
    <w:name w:val="列出段落 Char2"/>
    <w:autoRedefine/>
    <w:qFormat/>
    <w:uiPriority w:val="34"/>
    <w:rPr>
      <w:rFonts w:ascii="Calibri" w:hAnsi="Calibri"/>
      <w:kern w:val="2"/>
      <w:sz w:val="28"/>
    </w:rPr>
  </w:style>
  <w:style w:type="character" w:customStyle="1" w:styleId="238">
    <w:name w:val="mdeck"/>
    <w:autoRedefine/>
    <w:qFormat/>
    <w:uiPriority w:val="0"/>
    <w:rPr>
      <w:rFonts w:ascii="仿宋_GB2312" w:eastAsia="微软雅黑"/>
      <w:b/>
      <w:kern w:val="2"/>
      <w:sz w:val="32"/>
      <w:szCs w:val="32"/>
      <w:lang w:val="en-US" w:eastAsia="zh-CN" w:bidi="ar-SA"/>
    </w:rPr>
  </w:style>
  <w:style w:type="character" w:customStyle="1" w:styleId="239">
    <w:name w:val="unnamed11"/>
    <w:autoRedefine/>
    <w:qFormat/>
    <w:uiPriority w:val="0"/>
    <w:rPr>
      <w:sz w:val="20"/>
      <w:szCs w:val="20"/>
    </w:rPr>
  </w:style>
  <w:style w:type="character" w:customStyle="1" w:styleId="240">
    <w:name w:val="正文文本 Char2"/>
    <w:autoRedefine/>
    <w:qFormat/>
    <w:uiPriority w:val="99"/>
    <w:rPr>
      <w:rFonts w:ascii="Times New Roman" w:hAnsi="Times New Roman" w:eastAsia="宋体" w:cs="Times New Roman"/>
      <w:snapToGrid w:val="0"/>
      <w:kern w:val="0"/>
      <w:szCs w:val="24"/>
    </w:rPr>
  </w:style>
  <w:style w:type="character" w:customStyle="1" w:styleId="241">
    <w:name w:val="标书正文格式 Char"/>
    <w:autoRedefine/>
    <w:qFormat/>
    <w:uiPriority w:val="0"/>
    <w:rPr>
      <w:rFonts w:eastAsia="楷体_GB2312"/>
      <w:kern w:val="2"/>
      <w:sz w:val="24"/>
      <w:szCs w:val="24"/>
      <w:lang w:bidi="ar-SA"/>
    </w:rPr>
  </w:style>
  <w:style w:type="character" w:customStyle="1" w:styleId="242">
    <w:name w:val="Char Char11"/>
    <w:autoRedefine/>
    <w:qFormat/>
    <w:uiPriority w:val="0"/>
    <w:rPr>
      <w:rFonts w:ascii="宋体" w:hAnsi="宋体" w:eastAsia="宋体"/>
      <w:b/>
      <w:kern w:val="2"/>
      <w:sz w:val="24"/>
      <w:szCs w:val="24"/>
      <w:lang w:val="en-US" w:eastAsia="zh-CN" w:bidi="ar-SA"/>
    </w:rPr>
  </w:style>
  <w:style w:type="character" w:customStyle="1" w:styleId="243">
    <w:name w:val="ca-131"/>
    <w:autoRedefine/>
    <w:qFormat/>
    <w:uiPriority w:val="0"/>
    <w:rPr>
      <w:rFonts w:hint="eastAsia" w:ascii="仿宋_GB2312" w:eastAsia="仿宋_GB2312"/>
      <w:b/>
      <w:bCs/>
      <w:color w:val="000000"/>
      <w:spacing w:val="-20"/>
      <w:sz w:val="24"/>
      <w:szCs w:val="24"/>
    </w:rPr>
  </w:style>
  <w:style w:type="character" w:customStyle="1" w:styleId="244">
    <w:name w:val="tw4winMark"/>
    <w:autoRedefine/>
    <w:qFormat/>
    <w:uiPriority w:val="0"/>
    <w:rPr>
      <w:rFonts w:ascii="Courier New" w:hAnsi="Courier New" w:cs="Courier New"/>
      <w:vanish/>
      <w:color w:val="800080"/>
      <w:sz w:val="24"/>
      <w:szCs w:val="24"/>
      <w:vertAlign w:val="subscript"/>
    </w:rPr>
  </w:style>
  <w:style w:type="character" w:customStyle="1" w:styleId="245">
    <w:name w:val="正文样式 Char"/>
    <w:link w:val="246"/>
    <w:autoRedefine/>
    <w:qFormat/>
    <w:uiPriority w:val="0"/>
    <w:rPr>
      <w:rFonts w:ascii="Calibri" w:hAnsi="Calibri"/>
      <w:sz w:val="24"/>
      <w:szCs w:val="24"/>
    </w:rPr>
  </w:style>
  <w:style w:type="paragraph" w:customStyle="1" w:styleId="246">
    <w:name w:val="正文样式"/>
    <w:basedOn w:val="1"/>
    <w:link w:val="245"/>
    <w:autoRedefine/>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autoRedefine/>
    <w:qFormat/>
    <w:uiPriority w:val="0"/>
    <w:rPr>
      <w:b/>
      <w:bCs/>
      <w:kern w:val="2"/>
      <w:sz w:val="28"/>
      <w:szCs w:val="28"/>
    </w:rPr>
  </w:style>
  <w:style w:type="character" w:customStyle="1" w:styleId="249">
    <w:name w:val="Char Char3"/>
    <w:autoRedefine/>
    <w:qFormat/>
    <w:uiPriority w:val="0"/>
    <w:rPr>
      <w:rFonts w:eastAsia="宋体"/>
      <w:kern w:val="2"/>
      <w:sz w:val="21"/>
      <w:szCs w:val="24"/>
      <w:lang w:val="en-US" w:eastAsia="zh-CN" w:bidi="ar-SA"/>
    </w:rPr>
  </w:style>
  <w:style w:type="character" w:customStyle="1" w:styleId="250">
    <w:name w:val="正文 编号 Char"/>
    <w:autoRedefine/>
    <w:qFormat/>
    <w:uiPriority w:val="0"/>
    <w:rPr>
      <w:rFonts w:ascii="仿宋_GB2312" w:hAnsi="仿宋_GB2312" w:eastAsia="仿宋_GB2312"/>
      <w:kern w:val="2"/>
      <w:sz w:val="24"/>
      <w:lang w:bidi="ar-SA"/>
    </w:rPr>
  </w:style>
  <w:style w:type="character" w:customStyle="1" w:styleId="251">
    <w:name w:val="question-title2"/>
    <w:autoRedefine/>
    <w:qFormat/>
    <w:uiPriority w:val="6"/>
    <w:rPr>
      <w:rFonts w:ascii="Arial" w:hAnsi="Arial" w:eastAsia="黑体" w:cs="Arial"/>
      <w:snapToGrid w:val="0"/>
      <w:kern w:val="0"/>
      <w:szCs w:val="21"/>
    </w:rPr>
  </w:style>
  <w:style w:type="character" w:customStyle="1" w:styleId="252">
    <w:name w:val="gf正文1 Char Char"/>
    <w:link w:val="253"/>
    <w:autoRedefine/>
    <w:qFormat/>
    <w:uiPriority w:val="0"/>
    <w:rPr>
      <w:rFonts w:ascii="宋体" w:hAnsi="宋体" w:cs="宋体"/>
      <w:kern w:val="2"/>
      <w:sz w:val="24"/>
      <w:szCs w:val="24"/>
    </w:rPr>
  </w:style>
  <w:style w:type="paragraph" w:customStyle="1" w:styleId="253">
    <w:name w:val="gf正文1"/>
    <w:basedOn w:val="1"/>
    <w:link w:val="252"/>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autoRedefine/>
    <w:qFormat/>
    <w:uiPriority w:val="6"/>
    <w:rPr>
      <w:rFonts w:ascii="宋体" w:hAnsi="宋体"/>
      <w:kern w:val="1"/>
      <w:sz w:val="21"/>
    </w:rPr>
  </w:style>
  <w:style w:type="character" w:customStyle="1" w:styleId="255">
    <w:name w:val="正文缩进 Char3"/>
    <w:autoRedefine/>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9">
    <w:name w:val="Char Char8"/>
    <w:autoRedefine/>
    <w:qFormat/>
    <w:uiPriority w:val="0"/>
    <w:rPr>
      <w:rFonts w:eastAsia="宋体"/>
      <w:b/>
      <w:sz w:val="24"/>
      <w:lang w:val="en-GB" w:eastAsia="zh-CN"/>
    </w:rPr>
  </w:style>
  <w:style w:type="character" w:customStyle="1" w:styleId="260">
    <w:name w:val="Normal Indent Char Char"/>
    <w:autoRedefine/>
    <w:qFormat/>
    <w:uiPriority w:val="0"/>
    <w:rPr>
      <w:rFonts w:eastAsia="宋体"/>
      <w:kern w:val="2"/>
      <w:sz w:val="21"/>
      <w:lang w:val="en-US" w:eastAsia="zh-CN" w:bidi="ar-SA"/>
    </w:rPr>
  </w:style>
  <w:style w:type="character" w:customStyle="1" w:styleId="261">
    <w:name w:val="列表段落 字符"/>
    <w:autoRedefine/>
    <w:qFormat/>
    <w:uiPriority w:val="99"/>
  </w:style>
  <w:style w:type="character" w:customStyle="1" w:styleId="262">
    <w:name w:val="Ò³Ã¼ Char Char1"/>
    <w:autoRedefine/>
    <w:qFormat/>
    <w:uiPriority w:val="0"/>
    <w:rPr>
      <w:rFonts w:eastAsia="宋体"/>
      <w:kern w:val="2"/>
      <w:sz w:val="18"/>
      <w:szCs w:val="18"/>
      <w:lang w:val="en-US" w:eastAsia="zh-CN" w:bidi="ar-SA"/>
    </w:rPr>
  </w:style>
  <w:style w:type="character" w:customStyle="1" w:styleId="263">
    <w:name w:val="方案正文 Char"/>
    <w:autoRedefine/>
    <w:qFormat/>
    <w:uiPriority w:val="0"/>
    <w:rPr>
      <w:rFonts w:ascii="仿宋_GB2312" w:eastAsia="仿宋_GB2312"/>
      <w:b/>
      <w:color w:val="000000"/>
      <w:kern w:val="2"/>
      <w:sz w:val="24"/>
      <w:lang w:val="en-US" w:eastAsia="zh-CN" w:bidi="ar-SA"/>
    </w:rPr>
  </w:style>
  <w:style w:type="character" w:customStyle="1" w:styleId="264">
    <w:name w:val="Char Char30"/>
    <w:autoRedefine/>
    <w:qFormat/>
    <w:uiPriority w:val="6"/>
    <w:rPr>
      <w:rFonts w:ascii="Arial" w:hAnsi="Arial" w:eastAsia="黑体"/>
      <w:kern w:val="1"/>
      <w:sz w:val="21"/>
      <w:szCs w:val="21"/>
    </w:rPr>
  </w:style>
  <w:style w:type="character" w:customStyle="1" w:styleId="265">
    <w:name w:val="正文文本缩进 Char3"/>
    <w:link w:val="25"/>
    <w:autoRedefine/>
    <w:qFormat/>
    <w:uiPriority w:val="0"/>
    <w:rPr>
      <w:rFonts w:ascii="宋体" w:hAnsi="宋体"/>
      <w:kern w:val="2"/>
      <w:sz w:val="24"/>
      <w:szCs w:val="24"/>
    </w:rPr>
  </w:style>
  <w:style w:type="character" w:customStyle="1" w:styleId="266">
    <w:name w:val="font01"/>
    <w:autoRedefine/>
    <w:qFormat/>
    <w:uiPriority w:val="0"/>
    <w:rPr>
      <w:rFonts w:hint="eastAsia" w:ascii="微软雅黑" w:hAnsi="微软雅黑" w:eastAsia="微软雅黑" w:cs="微软雅黑"/>
      <w:color w:val="000000"/>
      <w:sz w:val="20"/>
      <w:szCs w:val="20"/>
      <w:u w:val="none"/>
    </w:rPr>
  </w:style>
  <w:style w:type="character" w:customStyle="1" w:styleId="267">
    <w:name w:val="Char Char20"/>
    <w:autoRedefine/>
    <w:qFormat/>
    <w:uiPriority w:val="6"/>
    <w:rPr>
      <w:kern w:val="1"/>
      <w:sz w:val="24"/>
    </w:rPr>
  </w:style>
  <w:style w:type="character" w:customStyle="1" w:styleId="268">
    <w:name w:val="tw4winExternal"/>
    <w:autoRedefine/>
    <w:qFormat/>
    <w:uiPriority w:val="0"/>
    <w:rPr>
      <w:rFonts w:ascii="Courier New" w:hAnsi="Courier New" w:cs="Courier New"/>
      <w:color w:val="808080"/>
      <w:lang w:val="en-US" w:eastAsia="zh-CN"/>
    </w:rPr>
  </w:style>
  <w:style w:type="character" w:customStyle="1" w:styleId="269">
    <w:name w:val="标题 4 Char1"/>
    <w:autoRedefine/>
    <w:qFormat/>
    <w:uiPriority w:val="9"/>
    <w:rPr>
      <w:rFonts w:ascii="Cambria" w:hAnsi="Cambria" w:eastAsia="宋体" w:cs="Times New Roman"/>
      <w:b/>
      <w:bCs/>
      <w:kern w:val="2"/>
      <w:sz w:val="28"/>
      <w:szCs w:val="28"/>
    </w:rPr>
  </w:style>
  <w:style w:type="character" w:customStyle="1" w:styleId="270">
    <w:name w:val="批注文字 Char2"/>
    <w:autoRedefine/>
    <w:qFormat/>
    <w:uiPriority w:val="99"/>
    <w:rPr>
      <w:rFonts w:ascii="Times New Roman" w:hAnsi="Times New Roman" w:eastAsia="宋体" w:cs="Times New Roman"/>
      <w:snapToGrid w:val="0"/>
      <w:kern w:val="0"/>
      <w:szCs w:val="24"/>
    </w:rPr>
  </w:style>
  <w:style w:type="character" w:customStyle="1" w:styleId="271">
    <w:name w:val="正文文本 2 Char"/>
    <w:autoRedefine/>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autoRedefine/>
    <w:qFormat/>
    <w:uiPriority w:val="0"/>
    <w:rPr>
      <w:rFonts w:hint="default" w:ascii="Tahoma" w:hAnsi="Tahoma" w:cs="Tahoma"/>
      <w:sz w:val="18"/>
      <w:szCs w:val="18"/>
    </w:rPr>
  </w:style>
  <w:style w:type="character" w:customStyle="1" w:styleId="274">
    <w:name w:val="Char Char23"/>
    <w:autoRedefine/>
    <w:qFormat/>
    <w:uiPriority w:val="6"/>
    <w:rPr>
      <w:color w:val="0000FF"/>
      <w:sz w:val="21"/>
    </w:rPr>
  </w:style>
  <w:style w:type="character" w:customStyle="1" w:styleId="275">
    <w:name w:val="批注框文本 字符"/>
    <w:autoRedefine/>
    <w:qFormat/>
    <w:uiPriority w:val="0"/>
    <w:rPr>
      <w:rFonts w:ascii="Arial" w:hAnsi="Arial" w:eastAsia="黑体" w:cs="Arial"/>
      <w:snapToGrid w:val="0"/>
      <w:kern w:val="0"/>
      <w:sz w:val="18"/>
      <w:szCs w:val="18"/>
    </w:rPr>
  </w:style>
  <w:style w:type="character" w:customStyle="1" w:styleId="276">
    <w:name w:val="纯文本 Char2"/>
    <w:autoRedefine/>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autoRedefine/>
    <w:qFormat/>
    <w:uiPriority w:val="0"/>
    <w:rPr>
      <w:rFonts w:eastAsia="宋体"/>
      <w:b/>
      <w:sz w:val="24"/>
      <w:lang w:val="en-GB" w:eastAsia="zh-CN" w:bidi="ar-SA"/>
    </w:rPr>
  </w:style>
  <w:style w:type="character" w:customStyle="1" w:styleId="279">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0">
    <w:name w:val="此正文 Char"/>
    <w:link w:val="281"/>
    <w:autoRedefine/>
    <w:qFormat/>
    <w:uiPriority w:val="0"/>
    <w:rPr>
      <w:kern w:val="2"/>
      <w:sz w:val="24"/>
      <w:szCs w:val="24"/>
    </w:rPr>
  </w:style>
  <w:style w:type="paragraph" w:customStyle="1" w:styleId="281">
    <w:name w:val="此正文"/>
    <w:basedOn w:val="1"/>
    <w:link w:val="280"/>
    <w:autoRedefine/>
    <w:qFormat/>
    <w:uiPriority w:val="0"/>
    <w:pPr>
      <w:adjustRightInd/>
      <w:spacing w:line="360" w:lineRule="auto"/>
      <w:ind w:firstLine="200" w:firstLineChars="200"/>
    </w:pPr>
    <w:rPr>
      <w:sz w:val="24"/>
    </w:rPr>
  </w:style>
  <w:style w:type="character" w:customStyle="1" w:styleId="282">
    <w:name w:val="Char Char2"/>
    <w:autoRedefine/>
    <w:qFormat/>
    <w:uiPriority w:val="0"/>
    <w:rPr>
      <w:rFonts w:eastAsia="宋体"/>
      <w:b/>
      <w:bCs/>
      <w:kern w:val="2"/>
      <w:sz w:val="21"/>
      <w:szCs w:val="24"/>
      <w:lang w:val="en-US" w:eastAsia="zh-CN" w:bidi="ar-SA"/>
    </w:rPr>
  </w:style>
  <w:style w:type="character" w:customStyle="1" w:styleId="283">
    <w:name w:val="标题 1 Char"/>
    <w:link w:val="4"/>
    <w:autoRedefine/>
    <w:qFormat/>
    <w:uiPriority w:val="9"/>
    <w:rPr>
      <w:b/>
      <w:bCs/>
      <w:kern w:val="44"/>
      <w:sz w:val="44"/>
      <w:szCs w:val="44"/>
    </w:rPr>
  </w:style>
  <w:style w:type="character" w:customStyle="1" w:styleId="284">
    <w:name w:val="Footer-Even Char1"/>
    <w:autoRedefine/>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autoRedefine/>
    <w:qFormat/>
    <w:uiPriority w:val="10"/>
    <w:rPr>
      <w:b/>
      <w:sz w:val="24"/>
      <w:lang w:val="en-GB"/>
    </w:rPr>
  </w:style>
  <w:style w:type="character" w:customStyle="1" w:styleId="287">
    <w:name w:val="font81"/>
    <w:autoRedefine/>
    <w:qFormat/>
    <w:uiPriority w:val="0"/>
    <w:rPr>
      <w:rFonts w:ascii="微软雅黑" w:hAnsi="微软雅黑" w:eastAsia="微软雅黑" w:cs="微软雅黑"/>
      <w:color w:val="000000"/>
      <w:sz w:val="20"/>
      <w:szCs w:val="20"/>
      <w:u w:val="none"/>
    </w:rPr>
  </w:style>
  <w:style w:type="character" w:customStyle="1" w:styleId="288">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9">
    <w:name w:val="t21"/>
    <w:autoRedefine/>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autoRedefine/>
    <w:qFormat/>
    <w:uiPriority w:val="0"/>
    <w:rPr>
      <w:rFonts w:ascii="宋体" w:hAnsi="宋体" w:eastAsia="宋体"/>
      <w:lang w:bidi="ar-SA"/>
    </w:rPr>
  </w:style>
  <w:style w:type="character" w:customStyle="1" w:styleId="292">
    <w:name w:val="正文文本 字符1"/>
    <w:autoRedefine/>
    <w:qFormat/>
    <w:uiPriority w:val="0"/>
    <w:rPr>
      <w:rFonts w:ascii="Calibri" w:hAnsi="Calibri" w:eastAsia="黑体" w:cs="Arial"/>
      <w:snapToGrid w:val="0"/>
      <w:kern w:val="2"/>
      <w:sz w:val="28"/>
      <w:szCs w:val="21"/>
    </w:rPr>
  </w:style>
  <w:style w:type="character" w:customStyle="1" w:styleId="293">
    <w:name w:val="标题 5 Char"/>
    <w:link w:val="7"/>
    <w:autoRedefine/>
    <w:qFormat/>
    <w:uiPriority w:val="9"/>
    <w:rPr>
      <w:b/>
      <w:bCs/>
      <w:kern w:val="2"/>
      <w:sz w:val="28"/>
      <w:szCs w:val="28"/>
    </w:rPr>
  </w:style>
  <w:style w:type="character" w:customStyle="1" w:styleId="294">
    <w:name w:val="标题 6 Char1"/>
    <w:autoRedefine/>
    <w:qFormat/>
    <w:uiPriority w:val="0"/>
    <w:rPr>
      <w:rFonts w:ascii="Arial" w:hAnsi="Arial" w:eastAsia="黑体" w:cs="Times New Roman"/>
      <w:b/>
      <w:sz w:val="24"/>
      <w:szCs w:val="20"/>
      <w:lang w:bidi="ar-SA"/>
    </w:rPr>
  </w:style>
  <w:style w:type="character" w:customStyle="1" w:styleId="295">
    <w:name w:val="带编号样式 Char"/>
    <w:autoRedefine/>
    <w:qFormat/>
    <w:uiPriority w:val="0"/>
    <w:rPr>
      <w:rFonts w:ascii="仿宋_GB2312" w:eastAsia="仿宋_GB2312"/>
      <w:color w:val="000000"/>
      <w:sz w:val="24"/>
      <w:lang w:bidi="ar-SA"/>
    </w:rPr>
  </w:style>
  <w:style w:type="character" w:customStyle="1" w:styleId="296">
    <w:name w:val="unnamed31"/>
    <w:autoRedefine/>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autoRedefine/>
    <w:qFormat/>
    <w:uiPriority w:val="0"/>
    <w:rPr>
      <w:rFonts w:ascii="宋体" w:eastAsia="宋体"/>
      <w:kern w:val="2"/>
      <w:sz w:val="24"/>
      <w:szCs w:val="24"/>
      <w:lang w:val="zh-CN" w:bidi="ar-SA"/>
    </w:rPr>
  </w:style>
  <w:style w:type="character" w:customStyle="1" w:styleId="298">
    <w:name w:val="称呼 Char"/>
    <w:link w:val="20"/>
    <w:autoRedefine/>
    <w:qFormat/>
    <w:uiPriority w:val="0"/>
    <w:rPr>
      <w:rFonts w:ascii="仿宋_GB2312" w:eastAsia="仿宋_GB2312"/>
      <w:kern w:val="2"/>
      <w:sz w:val="28"/>
    </w:rPr>
  </w:style>
  <w:style w:type="character" w:customStyle="1" w:styleId="299">
    <w:name w:val="文本正文 Char Char"/>
    <w:autoRedefine/>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autoRedefine/>
    <w:qFormat/>
    <w:uiPriority w:val="0"/>
    <w:rPr>
      <w:rFonts w:ascii="黑体" w:hAnsi="Courier New" w:eastAsia="黑体"/>
    </w:rPr>
  </w:style>
  <w:style w:type="character" w:customStyle="1" w:styleId="302">
    <w:name w:val="正文文本 2 Char1"/>
    <w:link w:val="56"/>
    <w:autoRedefine/>
    <w:qFormat/>
    <w:uiPriority w:val="0"/>
    <w:rPr>
      <w:kern w:val="2"/>
      <w:sz w:val="21"/>
      <w:szCs w:val="24"/>
    </w:rPr>
  </w:style>
  <w:style w:type="character" w:customStyle="1" w:styleId="303">
    <w:name w:val="样式 样式 标题 4h4H4Fab-4T5Ref Heading 1rh1Heading sqlsect 1.2.3.... +... Char"/>
    <w:link w:val="304"/>
    <w:autoRedefine/>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autoRedefine/>
    <w:qFormat/>
    <w:uiPriority w:val="0"/>
    <w:pPr>
      <w:tabs>
        <w:tab w:val="left" w:pos="2356"/>
      </w:tabs>
    </w:pPr>
  </w:style>
  <w:style w:type="paragraph" w:customStyle="1" w:styleId="305">
    <w:name w:val="样式 标题 4h4H4Fab-4T5Ref Heading 1rh1Heading sqlsect 1.2.3...."/>
    <w:basedOn w:val="6"/>
    <w:link w:val="413"/>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autoRedefine/>
    <w:qFormat/>
    <w:uiPriority w:val="0"/>
    <w:rPr>
      <w:rFonts w:ascii="宋体" w:eastAsia="宋体"/>
      <w:snapToGrid w:val="0"/>
      <w:color w:val="000000"/>
      <w:kern w:val="28"/>
      <w:sz w:val="28"/>
      <w:lang w:val="en-US" w:eastAsia="zh-CN" w:bidi="ar-SA"/>
    </w:rPr>
  </w:style>
  <w:style w:type="character" w:customStyle="1" w:styleId="307">
    <w:name w:val="标题 7 Char"/>
    <w:link w:val="9"/>
    <w:autoRedefine/>
    <w:qFormat/>
    <w:uiPriority w:val="0"/>
    <w:rPr>
      <w:b/>
      <w:bCs/>
      <w:kern w:val="2"/>
      <w:sz w:val="24"/>
      <w:szCs w:val="24"/>
    </w:rPr>
  </w:style>
  <w:style w:type="character" w:customStyle="1" w:styleId="308">
    <w:name w:val="正文文本缩进 2 Char"/>
    <w:link w:val="37"/>
    <w:autoRedefine/>
    <w:qFormat/>
    <w:uiPriority w:val="0"/>
    <w:rPr>
      <w:rFonts w:ascii="宋体"/>
      <w:sz w:val="28"/>
    </w:rPr>
  </w:style>
  <w:style w:type="character" w:customStyle="1" w:styleId="309">
    <w:name w:val="Char Char5"/>
    <w:autoRedefine/>
    <w:qFormat/>
    <w:uiPriority w:val="0"/>
    <w:rPr>
      <w:rFonts w:ascii="宋体" w:hAnsi="Courier New" w:eastAsia="宋体"/>
      <w:kern w:val="2"/>
      <w:sz w:val="21"/>
      <w:lang w:val="en-US" w:eastAsia="zh-CN"/>
    </w:rPr>
  </w:style>
  <w:style w:type="character" w:customStyle="1" w:styleId="310">
    <w:name w:val="脚注文本 Char"/>
    <w:link w:val="50"/>
    <w:autoRedefine/>
    <w:qFormat/>
    <w:uiPriority w:val="0"/>
    <w:rPr>
      <w:color w:val="0000FF"/>
      <w:sz w:val="21"/>
    </w:rPr>
  </w:style>
  <w:style w:type="character" w:customStyle="1" w:styleId="311">
    <w:name w:val="称呼 Char1"/>
    <w:autoRedefine/>
    <w:qFormat/>
    <w:uiPriority w:val="0"/>
    <w:rPr>
      <w:rFonts w:ascii="Times New Roman" w:hAnsi="Times New Roman" w:eastAsia="宋体" w:cs="Times New Roman"/>
      <w:szCs w:val="24"/>
    </w:rPr>
  </w:style>
  <w:style w:type="character" w:customStyle="1" w:styleId="312">
    <w:name w:val="正文1 Char"/>
    <w:autoRedefine/>
    <w:qFormat/>
    <w:uiPriority w:val="0"/>
    <w:rPr>
      <w:rFonts w:ascii="宋体" w:eastAsia="宋体"/>
      <w:snapToGrid w:val="0"/>
      <w:color w:val="000000"/>
      <w:kern w:val="28"/>
      <w:sz w:val="28"/>
      <w:lang w:val="en-US" w:eastAsia="zh-CN" w:bidi="ar-SA"/>
    </w:rPr>
  </w:style>
  <w:style w:type="character" w:customStyle="1" w:styleId="313">
    <w:name w:val="正文缩进 Char1"/>
    <w:autoRedefine/>
    <w:qFormat/>
    <w:uiPriority w:val="0"/>
    <w:rPr>
      <w:rFonts w:ascii="宋体" w:eastAsia="宋体"/>
      <w:snapToGrid w:val="0"/>
      <w:color w:val="000000"/>
      <w:kern w:val="28"/>
      <w:sz w:val="28"/>
      <w:lang w:val="en-US" w:eastAsia="zh-CN" w:bidi="ar-SA"/>
    </w:rPr>
  </w:style>
  <w:style w:type="character" w:customStyle="1" w:styleId="314">
    <w:name w:val="font21"/>
    <w:autoRedefine/>
    <w:qFormat/>
    <w:uiPriority w:val="0"/>
    <w:rPr>
      <w:rFonts w:hint="eastAsia" w:ascii="宋体" w:hAnsi="宋体" w:eastAsia="宋体"/>
      <w:kern w:val="2"/>
      <w:sz w:val="28"/>
      <w:szCs w:val="28"/>
      <w:lang w:val="en-US" w:eastAsia="zh-CN" w:bidi="ar-SA"/>
    </w:rPr>
  </w:style>
  <w:style w:type="character" w:customStyle="1" w:styleId="315">
    <w:name w:val="Char Char26"/>
    <w:autoRedefine/>
    <w:qFormat/>
    <w:uiPriority w:val="6"/>
    <w:rPr>
      <w:kern w:val="1"/>
      <w:sz w:val="21"/>
      <w:szCs w:val="24"/>
    </w:rPr>
  </w:style>
  <w:style w:type="character" w:customStyle="1" w:styleId="316">
    <w:name w:val="Item List Char"/>
    <w:link w:val="317"/>
    <w:autoRedefine/>
    <w:qFormat/>
    <w:uiPriority w:val="0"/>
    <w:rPr>
      <w:rFonts w:ascii="Arial"/>
      <w:bCs/>
      <w:sz w:val="21"/>
      <w:szCs w:val="21"/>
      <w:lang w:val="en-US" w:eastAsia="zh-CN" w:bidi="ar-SA"/>
    </w:rPr>
  </w:style>
  <w:style w:type="paragraph" w:customStyle="1" w:styleId="317">
    <w:name w:val="Item List"/>
    <w:link w:val="316"/>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autoRedefine/>
    <w:qFormat/>
    <w:uiPriority w:val="0"/>
    <w:rPr>
      <w:rFonts w:ascii="宋体" w:hAnsi="Courier New"/>
    </w:rPr>
  </w:style>
  <w:style w:type="paragraph" w:customStyle="1" w:styleId="320">
    <w:name w:val="纯文本1"/>
    <w:basedOn w:val="1"/>
    <w:link w:val="319"/>
    <w:autoRedefine/>
    <w:qFormat/>
    <w:uiPriority w:val="0"/>
    <w:pPr>
      <w:adjustRightInd/>
    </w:pPr>
    <w:rPr>
      <w:rFonts w:ascii="宋体" w:hAnsi="Courier New"/>
      <w:kern w:val="0"/>
      <w:sz w:val="20"/>
      <w:szCs w:val="20"/>
    </w:rPr>
  </w:style>
  <w:style w:type="character" w:customStyle="1" w:styleId="321">
    <w:name w:val="正文首行缩进 Char"/>
    <w:link w:val="24"/>
    <w:autoRedefine/>
    <w:qFormat/>
    <w:uiPriority w:val="0"/>
    <w:rPr>
      <w:rFonts w:ascii="宋体"/>
      <w:kern w:val="2"/>
      <w:sz w:val="24"/>
      <w:lang w:val="zh-CN"/>
    </w:rPr>
  </w:style>
  <w:style w:type="character" w:customStyle="1" w:styleId="322">
    <w:name w:val="h3 Char"/>
    <w:autoRedefine/>
    <w:qFormat/>
    <w:uiPriority w:val="0"/>
    <w:rPr>
      <w:rFonts w:eastAsia="宋体"/>
      <w:b/>
      <w:kern w:val="2"/>
      <w:sz w:val="32"/>
      <w:lang w:val="en-US" w:eastAsia="zh-CN" w:bidi="ar-SA"/>
    </w:rPr>
  </w:style>
  <w:style w:type="character" w:customStyle="1" w:styleId="323">
    <w:name w:val="dandyren_title1"/>
    <w:autoRedefine/>
    <w:qFormat/>
    <w:uiPriority w:val="0"/>
    <w:rPr>
      <w:b/>
      <w:bCs/>
      <w:color w:val="FF6633"/>
      <w:sz w:val="18"/>
      <w:szCs w:val="18"/>
    </w:rPr>
  </w:style>
  <w:style w:type="character" w:customStyle="1" w:styleId="324">
    <w:name w:val="Char Char31"/>
    <w:autoRedefine/>
    <w:qFormat/>
    <w:uiPriority w:val="6"/>
    <w:rPr>
      <w:rFonts w:ascii="Arial" w:hAnsi="Arial" w:eastAsia="黑体"/>
      <w:kern w:val="1"/>
      <w:sz w:val="24"/>
      <w:szCs w:val="24"/>
    </w:rPr>
  </w:style>
  <w:style w:type="character" w:customStyle="1" w:styleId="325">
    <w:name w:val="h Char1"/>
    <w:autoRedefine/>
    <w:qFormat/>
    <w:uiPriority w:val="0"/>
    <w:rPr>
      <w:sz w:val="18"/>
      <w:szCs w:val="18"/>
    </w:rPr>
  </w:style>
  <w:style w:type="character" w:customStyle="1" w:styleId="326">
    <w:name w:val="solutionfonts"/>
    <w:autoRedefine/>
    <w:qFormat/>
    <w:uiPriority w:val="0"/>
  </w:style>
  <w:style w:type="character" w:customStyle="1" w:styleId="327">
    <w:name w:val="标题 4 Char2"/>
    <w:link w:val="6"/>
    <w:autoRedefine/>
    <w:qFormat/>
    <w:uiPriority w:val="9"/>
    <w:rPr>
      <w:rFonts w:ascii="Arial" w:hAnsi="Arial" w:eastAsia="黑体"/>
      <w:b/>
      <w:bCs/>
      <w:kern w:val="2"/>
      <w:sz w:val="28"/>
      <w:szCs w:val="28"/>
      <w:lang w:val="zh-CN"/>
    </w:rPr>
  </w:style>
  <w:style w:type="character" w:customStyle="1" w:styleId="328">
    <w:name w:val="首行缩进 Char"/>
    <w:autoRedefine/>
    <w:qFormat/>
    <w:uiPriority w:val="0"/>
    <w:rPr>
      <w:rFonts w:ascii="宋体" w:eastAsia="宋体"/>
      <w:kern w:val="2"/>
      <w:sz w:val="24"/>
      <w:lang w:val="en-US" w:eastAsia="zh-CN" w:bidi="ar-SA"/>
    </w:rPr>
  </w:style>
  <w:style w:type="character" w:customStyle="1" w:styleId="329">
    <w:name w:val="Char Char52"/>
    <w:autoRedefine/>
    <w:qFormat/>
    <w:uiPriority w:val="0"/>
    <w:rPr>
      <w:rFonts w:ascii="宋体" w:hAnsi="Courier New" w:eastAsia="宋体"/>
      <w:kern w:val="2"/>
      <w:sz w:val="21"/>
      <w:lang w:val="en-US" w:eastAsia="zh-CN"/>
    </w:rPr>
  </w:style>
  <w:style w:type="character" w:customStyle="1" w:styleId="330">
    <w:name w:val="正文文本 3 Char"/>
    <w:link w:val="21"/>
    <w:autoRedefine/>
    <w:qFormat/>
    <w:uiPriority w:val="0"/>
    <w:rPr>
      <w:kern w:val="2"/>
      <w:sz w:val="21"/>
    </w:rPr>
  </w:style>
  <w:style w:type="character" w:customStyle="1" w:styleId="331">
    <w:name w:val="font31"/>
    <w:autoRedefine/>
    <w:qFormat/>
    <w:uiPriority w:val="0"/>
    <w:rPr>
      <w:rFonts w:hint="eastAsia" w:ascii="仿宋" w:hAnsi="仿宋" w:eastAsia="仿宋" w:cs="仿宋"/>
      <w:color w:val="000000"/>
      <w:sz w:val="20"/>
      <w:szCs w:val="20"/>
      <w:u w:val="none"/>
    </w:rPr>
  </w:style>
  <w:style w:type="character" w:customStyle="1" w:styleId="332">
    <w:name w:val="正文说明 Char"/>
    <w:link w:val="333"/>
    <w:autoRedefine/>
    <w:qFormat/>
    <w:uiPriority w:val="0"/>
    <w:rPr>
      <w:sz w:val="24"/>
      <w:szCs w:val="24"/>
    </w:rPr>
  </w:style>
  <w:style w:type="paragraph" w:customStyle="1" w:styleId="333">
    <w:name w:val="正文说明"/>
    <w:basedOn w:val="1"/>
    <w:link w:val="332"/>
    <w:autoRedefine/>
    <w:qFormat/>
    <w:uiPriority w:val="0"/>
    <w:pPr>
      <w:adjustRightInd/>
      <w:spacing w:line="360" w:lineRule="auto"/>
    </w:pPr>
    <w:rPr>
      <w:kern w:val="0"/>
      <w:sz w:val="24"/>
    </w:rPr>
  </w:style>
  <w:style w:type="character" w:customStyle="1" w:styleId="334">
    <w:name w:val="脚注文本 Char1"/>
    <w:autoRedefine/>
    <w:qFormat/>
    <w:uiPriority w:val="0"/>
    <w:rPr>
      <w:rFonts w:ascii="Times New Roman" w:hAnsi="Times New Roman" w:eastAsia="宋体" w:cs="Times New Roman"/>
      <w:sz w:val="18"/>
      <w:szCs w:val="18"/>
    </w:rPr>
  </w:style>
  <w:style w:type="character" w:customStyle="1" w:styleId="335">
    <w:name w:val="Char Char1211"/>
    <w:autoRedefine/>
    <w:qFormat/>
    <w:uiPriority w:val="0"/>
    <w:rPr>
      <w:rFonts w:ascii="仿宋_GB2312" w:eastAsia="仿宋_GB2312"/>
      <w:b/>
      <w:bCs/>
      <w:kern w:val="2"/>
      <w:sz w:val="24"/>
      <w:szCs w:val="24"/>
      <w:lang w:val="zh-CN" w:eastAsia="zh-CN" w:bidi="ar-SA"/>
    </w:rPr>
  </w:style>
  <w:style w:type="character" w:customStyle="1" w:styleId="336">
    <w:name w:val="标题 Char"/>
    <w:autoRedefine/>
    <w:qFormat/>
    <w:uiPriority w:val="0"/>
    <w:rPr>
      <w:rFonts w:eastAsia="宋体"/>
      <w:b/>
      <w:sz w:val="24"/>
      <w:lang w:val="en-GB" w:eastAsia="zh-CN" w:bidi="ar-SA"/>
    </w:rPr>
  </w:style>
  <w:style w:type="character" w:customStyle="1" w:styleId="337">
    <w:name w:val="Char Char35"/>
    <w:autoRedefine/>
    <w:qFormat/>
    <w:uiPriority w:val="6"/>
    <w:rPr>
      <w:rFonts w:ascii="Arial" w:hAnsi="Arial" w:eastAsia="黑体"/>
      <w:b/>
      <w:kern w:val="1"/>
      <w:sz w:val="28"/>
      <w:szCs w:val="28"/>
      <w:lang w:val="zh-CN"/>
    </w:rPr>
  </w:style>
  <w:style w:type="character" w:customStyle="1" w:styleId="338">
    <w:name w:val="纯文本 Char Char Char"/>
    <w:autoRedefine/>
    <w:qFormat/>
    <w:uiPriority w:val="0"/>
    <w:rPr>
      <w:rFonts w:ascii="宋体" w:hAnsi="Courier New" w:eastAsia="宋体"/>
      <w:kern w:val="2"/>
      <w:sz w:val="21"/>
      <w:lang w:val="en-US" w:eastAsia="zh-CN" w:bidi="ar-SA"/>
    </w:rPr>
  </w:style>
  <w:style w:type="character" w:customStyle="1" w:styleId="339">
    <w:name w:val="Table Text Char"/>
    <w:link w:val="340"/>
    <w:autoRedefine/>
    <w:qFormat/>
    <w:uiPriority w:val="0"/>
    <w:rPr>
      <w:sz w:val="24"/>
      <w:szCs w:val="24"/>
    </w:rPr>
  </w:style>
  <w:style w:type="paragraph" w:customStyle="1" w:styleId="340">
    <w:name w:val="Table Text"/>
    <w:basedOn w:val="1"/>
    <w:link w:val="339"/>
    <w:autoRedefine/>
    <w:qFormat/>
    <w:uiPriority w:val="0"/>
    <w:pPr>
      <w:widowControl/>
      <w:spacing w:before="60" w:after="60"/>
      <w:jc w:val="left"/>
    </w:pPr>
    <w:rPr>
      <w:kern w:val="0"/>
      <w:sz w:val="24"/>
    </w:rPr>
  </w:style>
  <w:style w:type="character" w:customStyle="1" w:styleId="341">
    <w:name w:val="正文1 Char1"/>
    <w:autoRedefine/>
    <w:qFormat/>
    <w:uiPriority w:val="0"/>
    <w:rPr>
      <w:rFonts w:ascii="仿宋_GB2312" w:hAnsi="Courier New" w:eastAsia="仿宋_GB2312"/>
      <w:kern w:val="28"/>
      <w:sz w:val="24"/>
      <w:szCs w:val="24"/>
      <w:lang w:val="en-US" w:eastAsia="zh-CN"/>
    </w:rPr>
  </w:style>
  <w:style w:type="character" w:customStyle="1" w:styleId="342">
    <w:name w:val="页脚 Char1"/>
    <w:autoRedefine/>
    <w:qFormat/>
    <w:uiPriority w:val="0"/>
    <w:rPr>
      <w:rFonts w:eastAsia="宋体"/>
      <w:kern w:val="2"/>
      <w:sz w:val="18"/>
      <w:szCs w:val="18"/>
      <w:lang w:val="en-US" w:eastAsia="zh-CN" w:bidi="ar-SA"/>
    </w:rPr>
  </w:style>
  <w:style w:type="character" w:customStyle="1" w:styleId="343">
    <w:name w:val="Bold"/>
    <w:autoRedefine/>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autoRedefine/>
    <w:qFormat/>
    <w:uiPriority w:val="0"/>
    <w:rPr>
      <w:color w:val="333333"/>
    </w:rPr>
  </w:style>
  <w:style w:type="character" w:customStyle="1" w:styleId="347">
    <w:name w:val="Char Char17"/>
    <w:autoRedefine/>
    <w:qFormat/>
    <w:uiPriority w:val="6"/>
    <w:rPr>
      <w:rFonts w:eastAsia="仿宋_GB2312"/>
      <w:sz w:val="24"/>
    </w:rPr>
  </w:style>
  <w:style w:type="character" w:customStyle="1" w:styleId="348">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9">
    <w:name w:val="Char Char37"/>
    <w:autoRedefine/>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autoRedefine/>
    <w:qFormat/>
    <w:uiPriority w:val="99"/>
    <w:rPr>
      <w:rFonts w:ascii="Times New Roman" w:hAnsi="Times New Roman" w:eastAsia="宋体" w:cs="Times New Roman"/>
      <w:sz w:val="16"/>
      <w:szCs w:val="16"/>
    </w:rPr>
  </w:style>
  <w:style w:type="character" w:customStyle="1" w:styleId="352">
    <w:name w:val="公文正文 Char Char"/>
    <w:link w:val="353"/>
    <w:autoRedefine/>
    <w:qFormat/>
    <w:uiPriority w:val="0"/>
    <w:rPr>
      <w:rFonts w:ascii="仿宋_GB2312" w:eastAsia="仿宋_GB2312"/>
      <w:kern w:val="2"/>
      <w:sz w:val="24"/>
      <w:szCs w:val="24"/>
    </w:rPr>
  </w:style>
  <w:style w:type="paragraph" w:customStyle="1" w:styleId="353">
    <w:name w:val="公文正文"/>
    <w:basedOn w:val="1"/>
    <w:link w:val="352"/>
    <w:autoRedefine/>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9"/>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3"/>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2">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3"/>
    <w:autoRedefine/>
    <w:qFormat/>
    <w:uiPriority w:val="99"/>
    <w:rPr>
      <w:szCs w:val="22"/>
    </w:rPr>
  </w:style>
  <w:style w:type="paragraph" w:customStyle="1" w:styleId="484">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autoRedefine/>
    <w:qFormat/>
    <w:uiPriority w:val="6"/>
    <w:rPr>
      <w:rFonts w:ascii="Tahoma" w:hAnsi="Tahoma" w:cs="仿宋_GB2312"/>
      <w:sz w:val="24"/>
      <w:szCs w:val="20"/>
    </w:rPr>
  </w:style>
  <w:style w:type="paragraph" w:customStyle="1" w:styleId="486">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5"/>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autoRedefine/>
    <w:qFormat/>
    <w:uiPriority w:val="0"/>
    <w:rPr>
      <w:rFonts w:ascii="仿宋_GB2312" w:eastAsia="仿宋_GB2312"/>
      <w:b/>
      <w:sz w:val="32"/>
      <w:szCs w:val="32"/>
    </w:rPr>
  </w:style>
  <w:style w:type="paragraph" w:customStyle="1" w:styleId="492">
    <w:name w:val="TOC 标题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autoRedefine/>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autoRedefine/>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autoRedefine/>
    <w:qFormat/>
    <w:uiPriority w:val="6"/>
    <w:rPr>
      <w:rFonts w:ascii="仿宋_GB2312" w:eastAsia="仿宋_GB2312"/>
      <w:b/>
      <w:sz w:val="32"/>
      <w:szCs w:val="32"/>
    </w:rPr>
  </w:style>
  <w:style w:type="paragraph" w:customStyle="1" w:styleId="504">
    <w:name w:val="默认段落样式"/>
    <w:basedOn w:val="132"/>
    <w:autoRedefine/>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6">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autoRedefine/>
    <w:qFormat/>
    <w:uiPriority w:val="0"/>
    <w:pPr>
      <w:tabs>
        <w:tab w:val="left" w:pos="1680"/>
      </w:tabs>
      <w:adjustRightInd/>
      <w:ind w:left="1680" w:hanging="420"/>
    </w:pPr>
  </w:style>
  <w:style w:type="paragraph" w:customStyle="1" w:styleId="508">
    <w:name w:val="标准小四"/>
    <w:basedOn w:val="1"/>
    <w:autoRedefine/>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5"/>
    <w:autoRedefine/>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autoRedefine/>
    <w:qFormat/>
    <w:uiPriority w:val="0"/>
    <w:pPr>
      <w:adjustRightInd/>
      <w:snapToGrid w:val="0"/>
      <w:spacing w:line="300" w:lineRule="auto"/>
    </w:pPr>
    <w:rPr>
      <w:rFonts w:eastAsia="仿宋"/>
      <w:szCs w:val="21"/>
    </w:rPr>
  </w:style>
  <w:style w:type="paragraph" w:customStyle="1" w:styleId="51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autoRedefine/>
    <w:qFormat/>
    <w:uiPriority w:val="6"/>
    <w:pPr>
      <w:adjustRightInd/>
    </w:pPr>
    <w:rPr>
      <w:rFonts w:ascii="Tahoma" w:hAnsi="Tahoma"/>
      <w:sz w:val="24"/>
      <w:szCs w:val="20"/>
    </w:rPr>
  </w:style>
  <w:style w:type="paragraph" w:customStyle="1" w:styleId="513">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4">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3"/>
    <w:autoRedefine/>
    <w:qFormat/>
    <w:uiPriority w:val="0"/>
    <w:pPr>
      <w:adjustRightInd/>
      <w:ind w:firstLine="200" w:firstLineChars="200"/>
    </w:pPr>
    <w:rPr>
      <w:rFonts w:ascii="Arial" w:hAnsi="Arial"/>
      <w:spacing w:val="-5"/>
      <w:kern w:val="0"/>
      <w:sz w:val="24"/>
      <w:szCs w:val="20"/>
    </w:rPr>
  </w:style>
  <w:style w:type="paragraph" w:customStyle="1" w:styleId="516">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autoRedefine/>
    <w:qFormat/>
    <w:uiPriority w:val="0"/>
    <w:pPr>
      <w:adjustRightInd/>
      <w:ind w:firstLine="420" w:firstLineChars="200"/>
    </w:pPr>
    <w:rPr>
      <w:rFonts w:eastAsia="仿宋_GB2312"/>
      <w:sz w:val="28"/>
    </w:rPr>
  </w:style>
  <w:style w:type="paragraph" w:customStyle="1" w:styleId="522">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autoRedefine/>
    <w:qFormat/>
    <w:uiPriority w:val="0"/>
    <w:pPr>
      <w:adjustRightInd/>
      <w:ind w:firstLine="200" w:firstLineChars="200"/>
      <w:jc w:val="right"/>
    </w:pPr>
  </w:style>
  <w:style w:type="paragraph" w:customStyle="1" w:styleId="525">
    <w:name w:val="Char Char11 Char Char Char Char Char Char Char Char Char"/>
    <w:basedOn w:val="1"/>
    <w:autoRedefine/>
    <w:qFormat/>
    <w:uiPriority w:val="0"/>
    <w:pPr>
      <w:spacing w:line="360" w:lineRule="auto"/>
    </w:pPr>
    <w:rPr>
      <w:szCs w:val="20"/>
    </w:rPr>
  </w:style>
  <w:style w:type="paragraph" w:customStyle="1" w:styleId="526">
    <w:name w:val="正文1.25"/>
    <w:basedOn w:val="1"/>
    <w:autoRedefine/>
    <w:qFormat/>
    <w:uiPriority w:val="0"/>
    <w:pPr>
      <w:adjustRightInd/>
      <w:spacing w:line="300" w:lineRule="auto"/>
      <w:ind w:firstLine="480" w:firstLineChars="200"/>
    </w:pPr>
    <w:rPr>
      <w:sz w:val="24"/>
      <w:szCs w:val="20"/>
    </w:rPr>
  </w:style>
  <w:style w:type="paragraph" w:customStyle="1" w:styleId="527">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autoRedefine/>
    <w:qFormat/>
    <w:uiPriority w:val="6"/>
    <w:rPr>
      <w:rFonts w:ascii="仿宋_GB2312" w:eastAsia="仿宋_GB2312"/>
      <w:b/>
      <w:sz w:val="32"/>
      <w:szCs w:val="20"/>
    </w:rPr>
  </w:style>
  <w:style w:type="paragraph" w:customStyle="1" w:styleId="531">
    <w:name w:val="列出段落2"/>
    <w:basedOn w:val="1"/>
    <w:autoRedefine/>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autoRedefine/>
    <w:qFormat/>
    <w:uiPriority w:val="0"/>
    <w:rPr>
      <w:rFonts w:eastAsia="仿宋_GB2312"/>
      <w:sz w:val="28"/>
      <w:szCs w:val="20"/>
    </w:rPr>
  </w:style>
  <w:style w:type="paragraph" w:customStyle="1" w:styleId="533">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autoRedefine/>
    <w:qFormat/>
    <w:uiPriority w:val="0"/>
    <w:pPr>
      <w:adjustRightInd/>
      <w:ind w:firstLine="420" w:firstLineChars="200"/>
    </w:pPr>
    <w:rPr>
      <w:rFonts w:ascii="Calibri" w:hAnsi="Calibri"/>
      <w:szCs w:val="22"/>
    </w:rPr>
  </w:style>
  <w:style w:type="paragraph" w:customStyle="1" w:styleId="536">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autoRedefine/>
    <w:qFormat/>
    <w:uiPriority w:val="0"/>
    <w:pPr>
      <w:spacing w:after="68"/>
    </w:pPr>
    <w:rPr>
      <w:rFonts w:ascii="FHLHE E+ Futura Bk" w:eastAsia="FHLHE E+ Futura Bk" w:cs="Times New Roman"/>
      <w:color w:val="auto"/>
    </w:rPr>
  </w:style>
  <w:style w:type="paragraph" w:customStyle="1" w:styleId="546">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autoRedefine/>
    <w:qFormat/>
    <w:uiPriority w:val="0"/>
    <w:rPr>
      <w:rFonts w:ascii="宋体" w:eastAsia="宋体" w:cs="Times New Roman"/>
      <w:color w:val="auto"/>
    </w:rPr>
  </w:style>
  <w:style w:type="paragraph" w:customStyle="1" w:styleId="550">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autoRedefine/>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autoRedefine/>
    <w:qFormat/>
    <w:uiPriority w:val="0"/>
    <w:rPr>
      <w:rFonts w:ascii="仿宋_GB2312" w:eastAsia="仿宋_GB2312"/>
      <w:b/>
      <w:sz w:val="32"/>
      <w:szCs w:val="32"/>
    </w:rPr>
  </w:style>
  <w:style w:type="paragraph" w:customStyle="1" w:styleId="556">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autoRedefine/>
    <w:qFormat/>
    <w:uiPriority w:val="0"/>
    <w:rPr>
      <w:szCs w:val="20"/>
    </w:rPr>
  </w:style>
  <w:style w:type="paragraph" w:customStyle="1" w:styleId="559">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0">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3"/>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autoRedefine/>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autoRedefine/>
    <w:qFormat/>
    <w:uiPriority w:val="0"/>
    <w:rPr>
      <w:rFonts w:ascii="Tahoma" w:hAnsi="Tahoma"/>
      <w:sz w:val="24"/>
      <w:szCs w:val="20"/>
    </w:rPr>
  </w:style>
  <w:style w:type="paragraph" w:customStyle="1" w:styleId="584">
    <w:name w:val="标题五"/>
    <w:basedOn w:val="1"/>
    <w:autoRedefine/>
    <w:qFormat/>
    <w:uiPriority w:val="0"/>
    <w:pPr>
      <w:adjustRightInd/>
      <w:spacing w:before="156" w:beforeLines="50" w:line="360" w:lineRule="auto"/>
    </w:pPr>
    <w:rPr>
      <w:b/>
      <w:sz w:val="24"/>
    </w:rPr>
  </w:style>
  <w:style w:type="paragraph" w:customStyle="1" w:styleId="585">
    <w:name w:val="Char Char1101"/>
    <w:basedOn w:val="1"/>
    <w:autoRedefine/>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autoRedefine/>
    <w:qFormat/>
    <w:uiPriority w:val="0"/>
    <w:pPr>
      <w:adjustRightInd/>
      <w:spacing w:line="360" w:lineRule="auto"/>
      <w:ind w:firstLine="200" w:firstLineChars="200"/>
    </w:pPr>
    <w:rPr>
      <w:szCs w:val="20"/>
    </w:rPr>
  </w:style>
  <w:style w:type="paragraph" w:customStyle="1" w:styleId="588">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autoRedefine/>
    <w:qFormat/>
    <w:uiPriority w:val="0"/>
    <w:rPr>
      <w:rFonts w:ascii="仿宋_GB2312" w:eastAsia="仿宋_GB2312"/>
      <w:b/>
      <w:sz w:val="32"/>
      <w:szCs w:val="32"/>
    </w:rPr>
  </w:style>
  <w:style w:type="paragraph" w:customStyle="1" w:styleId="590">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autoRedefine/>
    <w:qFormat/>
    <w:uiPriority w:val="0"/>
    <w:pPr>
      <w:adjustRightInd/>
    </w:pPr>
    <w:rPr>
      <w:sz w:val="18"/>
      <w:szCs w:val="20"/>
    </w:rPr>
  </w:style>
  <w:style w:type="paragraph" w:customStyle="1" w:styleId="595">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0">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autoRedefine/>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autoRedefine/>
    <w:qFormat/>
    <w:uiPriority w:val="0"/>
    <w:pPr>
      <w:snapToGrid w:val="0"/>
      <w:spacing w:line="360" w:lineRule="auto"/>
    </w:pPr>
    <w:rPr>
      <w:rFonts w:ascii="宋体"/>
      <w:b/>
      <w:sz w:val="24"/>
      <w:szCs w:val="20"/>
    </w:rPr>
  </w:style>
  <w:style w:type="paragraph" w:customStyle="1" w:styleId="605">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2"/>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autoRedefine/>
    <w:qFormat/>
    <w:uiPriority w:val="7"/>
    <w:pPr>
      <w:adjustRightInd/>
    </w:pPr>
    <w:rPr>
      <w:rFonts w:ascii="宋体" w:hAnsi="Courier New"/>
    </w:rPr>
  </w:style>
  <w:style w:type="paragraph" w:customStyle="1" w:styleId="608">
    <w:name w:val="Char3"/>
    <w:basedOn w:val="1"/>
    <w:autoRedefine/>
    <w:qFormat/>
    <w:uiPriority w:val="0"/>
    <w:pPr>
      <w:adjustRightInd/>
    </w:pPr>
    <w:rPr>
      <w:rFonts w:ascii="仿宋_GB2312" w:eastAsia="仿宋_GB2312"/>
      <w:b/>
      <w:sz w:val="32"/>
      <w:szCs w:val="32"/>
    </w:rPr>
  </w:style>
  <w:style w:type="paragraph" w:customStyle="1" w:styleId="609">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5"/>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autoRedefine/>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autoRedefine/>
    <w:qFormat/>
    <w:uiPriority w:val="0"/>
    <w:rPr>
      <w:rFonts w:ascii="仿宋_GB2312" w:eastAsia="仿宋_GB2312"/>
      <w:b/>
      <w:sz w:val="32"/>
      <w:szCs w:val="32"/>
    </w:rPr>
  </w:style>
  <w:style w:type="paragraph" w:customStyle="1" w:styleId="620">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autoRedefine/>
    <w:qFormat/>
    <w:uiPriority w:val="0"/>
    <w:pPr>
      <w:spacing w:line="360" w:lineRule="auto"/>
    </w:pPr>
    <w:rPr>
      <w:szCs w:val="20"/>
    </w:rPr>
  </w:style>
  <w:style w:type="paragraph" w:customStyle="1" w:styleId="623">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5">
    <w:name w:val="MM Topic 1"/>
    <w:basedOn w:val="4"/>
    <w:autoRedefine/>
    <w:qFormat/>
    <w:uiPriority w:val="0"/>
    <w:pPr>
      <w:tabs>
        <w:tab w:val="left" w:pos="840"/>
      </w:tabs>
      <w:adjustRightInd/>
      <w:ind w:left="840" w:hanging="420"/>
    </w:pPr>
  </w:style>
  <w:style w:type="paragraph" w:customStyle="1" w:styleId="626">
    <w:name w:val="样式 标题 2标题2H2Heading 2 HiddenHeading 2 CCBSheading 22nd lev..."/>
    <w:basedOn w:val="5"/>
    <w:autoRedefine/>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autoRedefine/>
    <w:qFormat/>
    <w:uiPriority w:val="0"/>
    <w:pPr>
      <w:spacing w:line="360" w:lineRule="auto"/>
      <w:ind w:firstLine="200" w:firstLineChars="200"/>
    </w:pPr>
    <w:rPr>
      <w:kern w:val="0"/>
      <w:sz w:val="24"/>
      <w:szCs w:val="20"/>
    </w:rPr>
  </w:style>
  <w:style w:type="paragraph" w:customStyle="1" w:styleId="628">
    <w:name w:val="表格"/>
    <w:basedOn w:val="1"/>
    <w:autoRedefine/>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autoRedefine/>
    <w:qFormat/>
    <w:uiPriority w:val="0"/>
    <w:pPr>
      <w:adjustRightInd/>
      <w:spacing w:line="300" w:lineRule="auto"/>
      <w:jc w:val="center"/>
    </w:pPr>
  </w:style>
  <w:style w:type="paragraph" w:customStyle="1" w:styleId="634">
    <w:name w:val="_Style 6"/>
    <w:basedOn w:val="1"/>
    <w:autoRedefine/>
    <w:qFormat/>
    <w:uiPriority w:val="34"/>
    <w:pPr>
      <w:adjustRightInd/>
      <w:ind w:firstLine="420" w:firstLineChars="200"/>
    </w:pPr>
    <w:rPr>
      <w:rFonts w:eastAsia="仿宋_GB2312"/>
      <w:sz w:val="28"/>
    </w:rPr>
  </w:style>
  <w:style w:type="paragraph" w:customStyle="1" w:styleId="635">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5"/>
    <w:autoRedefine/>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autoRedefine/>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autoRedefine/>
    <w:qFormat/>
    <w:uiPriority w:val="0"/>
    <w:rPr>
      <w:rFonts w:ascii="仿宋_GB2312" w:eastAsia="仿宋_GB2312"/>
      <w:b/>
      <w:sz w:val="32"/>
      <w:szCs w:val="20"/>
    </w:rPr>
  </w:style>
  <w:style w:type="paragraph" w:customStyle="1" w:styleId="645">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autoRedefine/>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autoRedefine/>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autoRedefine/>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autoRedefine/>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autoRedefine/>
    <w:qFormat/>
    <w:uiPriority w:val="0"/>
    <w:pPr>
      <w:tabs>
        <w:tab w:val="left" w:pos="1260"/>
        <w:tab w:val="left" w:pos="1680"/>
        <w:tab w:val="left" w:pos="2100"/>
      </w:tabs>
      <w:ind w:left="0"/>
      <w:outlineLvl w:val="3"/>
    </w:pPr>
  </w:style>
  <w:style w:type="paragraph" w:customStyle="1" w:styleId="657">
    <w:name w:val="一级条标题"/>
    <w:basedOn w:val="658"/>
    <w:next w:val="640"/>
    <w:autoRedefine/>
    <w:qFormat/>
    <w:uiPriority w:val="0"/>
    <w:pPr>
      <w:tabs>
        <w:tab w:val="left" w:pos="1260"/>
        <w:tab w:val="left" w:pos="1680"/>
      </w:tabs>
      <w:spacing w:before="0" w:after="0"/>
      <w:ind w:left="1680"/>
      <w:outlineLvl w:val="2"/>
    </w:pPr>
  </w:style>
  <w:style w:type="paragraph" w:customStyle="1" w:styleId="658">
    <w:name w:val="章标题"/>
    <w:next w:val="640"/>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5"/>
    <w:next w:val="1"/>
    <w:autoRedefine/>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4"/>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4"/>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autoRedefine/>
    <w:qFormat/>
    <w:uiPriority w:val="0"/>
    <w:pPr>
      <w:tabs>
        <w:tab w:val="left" w:pos="703"/>
      </w:tabs>
      <w:adjustRightInd/>
      <w:spacing w:line="360" w:lineRule="auto"/>
      <w:ind w:left="703"/>
      <w:jc w:val="center"/>
    </w:pPr>
  </w:style>
  <w:style w:type="paragraph" w:customStyle="1" w:styleId="66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autoRedefine/>
    <w:qFormat/>
    <w:uiPriority w:val="0"/>
    <w:pPr>
      <w:tabs>
        <w:tab w:val="left" w:pos="840"/>
      </w:tabs>
      <w:adjustRightInd/>
      <w:ind w:left="840" w:hanging="420"/>
    </w:pPr>
  </w:style>
  <w:style w:type="paragraph" w:customStyle="1" w:styleId="67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autoRedefine/>
    <w:qFormat/>
    <w:uiPriority w:val="0"/>
    <w:pPr>
      <w:tabs>
        <w:tab w:val="left" w:pos="2100"/>
      </w:tabs>
      <w:adjustRightInd/>
      <w:ind w:left="2100" w:hanging="420"/>
    </w:pPr>
    <w:rPr>
      <w:lang w:val="en-US"/>
    </w:rPr>
  </w:style>
  <w:style w:type="paragraph" w:customStyle="1" w:styleId="687">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6">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autoRedefine/>
    <w:qFormat/>
    <w:uiPriority w:val="0"/>
    <w:pPr>
      <w:adjustRightInd/>
      <w:spacing w:line="360" w:lineRule="auto"/>
      <w:jc w:val="center"/>
    </w:pPr>
    <w:rPr>
      <w:sz w:val="24"/>
    </w:rPr>
  </w:style>
  <w:style w:type="paragraph" w:customStyle="1" w:styleId="700">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autoRedefine/>
    <w:qFormat/>
    <w:uiPriority w:val="6"/>
    <w:rPr>
      <w:rFonts w:ascii="仿宋_GB2312" w:eastAsia="仿宋_GB2312"/>
      <w:b/>
      <w:sz w:val="32"/>
      <w:szCs w:val="32"/>
    </w:rPr>
  </w:style>
  <w:style w:type="paragraph" w:customStyle="1" w:styleId="702">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autoRedefine/>
    <w:qFormat/>
    <w:uiPriority w:val="0"/>
    <w:pPr>
      <w:widowControl/>
      <w:adjustRightInd/>
      <w:spacing w:after="160" w:line="240" w:lineRule="exact"/>
      <w:jc w:val="left"/>
    </w:pPr>
    <w:rPr>
      <w:szCs w:val="20"/>
    </w:rPr>
  </w:style>
  <w:style w:type="paragraph" w:customStyle="1" w:styleId="705">
    <w:name w:val="Char Char1121"/>
    <w:basedOn w:val="1"/>
    <w:autoRedefine/>
    <w:qFormat/>
    <w:uiPriority w:val="0"/>
    <w:pPr>
      <w:spacing w:line="360" w:lineRule="auto"/>
    </w:pPr>
    <w:rPr>
      <w:szCs w:val="20"/>
    </w:rPr>
  </w:style>
  <w:style w:type="paragraph" w:customStyle="1" w:styleId="70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autoRedefine/>
    <w:qFormat/>
    <w:uiPriority w:val="0"/>
    <w:rPr>
      <w:rFonts w:ascii="Times New Roman" w:hAnsi="Times New Roman" w:eastAsia="宋体" w:cs="Times New Roman"/>
      <w:lang w:val="en-US" w:eastAsia="en-US" w:bidi="ar-SA"/>
    </w:rPr>
  </w:style>
  <w:style w:type="paragraph" w:customStyle="1" w:styleId="709">
    <w:name w:val="带编号样式"/>
    <w:basedOn w:val="627"/>
    <w:autoRedefine/>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autoRedefine/>
    <w:qFormat/>
    <w:uiPriority w:val="0"/>
    <w:pPr>
      <w:suppressAutoHyphens/>
      <w:adjustRightInd/>
      <w:ind w:firstLine="420"/>
    </w:pPr>
    <w:rPr>
      <w:kern w:val="1"/>
      <w:szCs w:val="20"/>
    </w:rPr>
  </w:style>
  <w:style w:type="paragraph" w:customStyle="1" w:styleId="71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5"/>
    <w:autoRedefine/>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autoRedefine/>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autoRedefine/>
    <w:qFormat/>
    <w:uiPriority w:val="0"/>
    <w:pPr>
      <w:spacing w:after="120" w:line="480" w:lineRule="auto"/>
      <w:ind w:left="420" w:leftChars="200"/>
    </w:pPr>
    <w:rPr>
      <w:sz w:val="24"/>
      <w:szCs w:val="20"/>
    </w:rPr>
  </w:style>
  <w:style w:type="paragraph" w:customStyle="1" w:styleId="723">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autoRedefine/>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autoRedefine/>
    <w:qFormat/>
    <w:uiPriority w:val="0"/>
    <w:rPr>
      <w:rFonts w:ascii="仿宋_GB2312" w:eastAsia="仿宋_GB2312"/>
      <w:b/>
      <w:sz w:val="32"/>
      <w:szCs w:val="20"/>
    </w:rPr>
  </w:style>
  <w:style w:type="paragraph" w:customStyle="1" w:styleId="732">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autoRedefine/>
    <w:qFormat/>
    <w:uiPriority w:val="0"/>
    <w:rPr>
      <w:rFonts w:ascii="仿宋_GB2312" w:eastAsia="仿宋_GB2312"/>
      <w:b/>
      <w:sz w:val="32"/>
      <w:szCs w:val="32"/>
    </w:rPr>
  </w:style>
  <w:style w:type="paragraph" w:customStyle="1" w:styleId="736">
    <w:name w:val="Char3 Char Char Char1"/>
    <w:basedOn w:val="1"/>
    <w:autoRedefine/>
    <w:qFormat/>
    <w:uiPriority w:val="6"/>
    <w:pPr>
      <w:widowControl/>
      <w:adjustRightInd/>
      <w:spacing w:after="160" w:line="240" w:lineRule="exact"/>
      <w:jc w:val="left"/>
    </w:pPr>
    <w:rPr>
      <w:szCs w:val="20"/>
    </w:rPr>
  </w:style>
  <w:style w:type="paragraph" w:customStyle="1" w:styleId="737">
    <w:name w:val="Char1 Char Char Char21"/>
    <w:basedOn w:val="1"/>
    <w:autoRedefine/>
    <w:qFormat/>
    <w:uiPriority w:val="0"/>
    <w:rPr>
      <w:rFonts w:ascii="Tahoma" w:hAnsi="Tahoma"/>
      <w:sz w:val="24"/>
      <w:szCs w:val="20"/>
    </w:rPr>
  </w:style>
  <w:style w:type="paragraph" w:customStyle="1" w:styleId="738">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autoRedefine/>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autoRedefine/>
    <w:qFormat/>
    <w:uiPriority w:val="0"/>
    <w:pPr>
      <w:adjustRightInd/>
      <w:spacing w:line="360" w:lineRule="auto"/>
    </w:pPr>
    <w:rPr>
      <w:rFonts w:ascii="宋体" w:hAnsi="宋体"/>
      <w:szCs w:val="20"/>
    </w:rPr>
  </w:style>
  <w:style w:type="paragraph" w:customStyle="1" w:styleId="752">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autoRedefine/>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autoRedefine/>
    <w:qFormat/>
    <w:uiPriority w:val="0"/>
    <w:rPr>
      <w:rFonts w:ascii="Tahoma" w:hAnsi="Tahoma"/>
      <w:sz w:val="24"/>
      <w:szCs w:val="20"/>
    </w:rPr>
  </w:style>
  <w:style w:type="paragraph" w:customStyle="1" w:styleId="757">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autoRedefine/>
    <w:qFormat/>
    <w:uiPriority w:val="34"/>
    <w:pPr>
      <w:adjustRightInd/>
      <w:ind w:firstLine="420" w:firstLineChars="200"/>
    </w:pPr>
    <w:rPr>
      <w:rFonts w:eastAsia="仿宋_GB2312"/>
      <w:sz w:val="28"/>
    </w:rPr>
  </w:style>
  <w:style w:type="paragraph" w:customStyle="1" w:styleId="762">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autoRedefine/>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autoRedefine/>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70">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autoRedefine/>
    <w:qFormat/>
    <w:uiPriority w:val="0"/>
    <w:rPr>
      <w:rFonts w:ascii="宋体" w:hAnsi="Times New Roman" w:eastAsia="宋体" w:cs="Times New Roman"/>
      <w:kern w:val="2"/>
      <w:lang w:val="en-US" w:eastAsia="zh-CN" w:bidi="ar-SA"/>
    </w:rPr>
  </w:style>
  <w:style w:type="paragraph" w:customStyle="1" w:styleId="772">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autoRedefine/>
    <w:qFormat/>
    <w:uiPriority w:val="0"/>
    <w:pPr>
      <w:tabs>
        <w:tab w:val="left" w:pos="360"/>
      </w:tabs>
    </w:pPr>
    <w:rPr>
      <w:sz w:val="24"/>
      <w:szCs w:val="20"/>
    </w:rPr>
  </w:style>
  <w:style w:type="paragraph" w:customStyle="1" w:styleId="776">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3"/>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autoRedefine/>
    <w:qFormat/>
    <w:uiPriority w:val="0"/>
    <w:pPr>
      <w:widowControl/>
      <w:adjustRightInd/>
    </w:pPr>
    <w:rPr>
      <w:kern w:val="0"/>
      <w:szCs w:val="21"/>
    </w:rPr>
  </w:style>
  <w:style w:type="paragraph" w:customStyle="1" w:styleId="785">
    <w:name w:val="Char6"/>
    <w:basedOn w:val="1"/>
    <w:autoRedefine/>
    <w:qFormat/>
    <w:uiPriority w:val="0"/>
    <w:rPr>
      <w:rFonts w:ascii="仿宋_GB2312" w:eastAsia="仿宋_GB2312"/>
      <w:b/>
      <w:sz w:val="32"/>
      <w:szCs w:val="32"/>
    </w:rPr>
  </w:style>
  <w:style w:type="paragraph" w:customStyle="1" w:styleId="786">
    <w:name w:val="Char111"/>
    <w:basedOn w:val="1"/>
    <w:autoRedefine/>
    <w:qFormat/>
    <w:uiPriority w:val="0"/>
    <w:rPr>
      <w:rFonts w:ascii="仿宋_GB2312" w:eastAsia="仿宋_GB2312"/>
      <w:b/>
      <w:sz w:val="32"/>
      <w:szCs w:val="32"/>
    </w:rPr>
  </w:style>
  <w:style w:type="paragraph" w:customStyle="1" w:styleId="787">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autoRedefine/>
    <w:qFormat/>
    <w:uiPriority w:val="0"/>
    <w:pPr>
      <w:adjustRightInd/>
      <w:ind w:firstLine="200" w:firstLineChars="200"/>
    </w:pPr>
    <w:rPr>
      <w:rFonts w:ascii="Tahoma" w:hAnsi="Tahoma"/>
      <w:sz w:val="24"/>
      <w:szCs w:val="20"/>
    </w:rPr>
  </w:style>
  <w:style w:type="paragraph" w:customStyle="1" w:styleId="791">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autoRedefine/>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autoRedefine/>
    <w:qFormat/>
    <w:uiPriority w:val="0"/>
    <w:pPr>
      <w:tabs>
        <w:tab w:val="clear" w:pos="2520"/>
      </w:tabs>
      <w:ind w:left="2940"/>
      <w:outlineLvl w:val="5"/>
    </w:pPr>
  </w:style>
  <w:style w:type="paragraph" w:customStyle="1" w:styleId="796">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autoRedefine/>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2">
    <w:name w:val="单元格左对齐"/>
    <w:basedOn w:val="1"/>
    <w:autoRedefine/>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autoRedefine/>
    <w:qFormat/>
    <w:uiPriority w:val="0"/>
    <w:pPr>
      <w:widowControl/>
      <w:tabs>
        <w:tab w:val="left" w:pos="840"/>
      </w:tabs>
      <w:ind w:left="840" w:hanging="420"/>
      <w:jc w:val="left"/>
    </w:pPr>
    <w:rPr>
      <w:kern w:val="0"/>
      <w:sz w:val="18"/>
    </w:rPr>
  </w:style>
  <w:style w:type="paragraph" w:customStyle="1" w:styleId="810">
    <w:name w:val="Char Char11 Char Char Char1"/>
    <w:basedOn w:val="1"/>
    <w:autoRedefine/>
    <w:qFormat/>
    <w:uiPriority w:val="6"/>
    <w:pPr>
      <w:spacing w:line="360" w:lineRule="auto"/>
    </w:pPr>
    <w:rPr>
      <w:szCs w:val="20"/>
    </w:rPr>
  </w:style>
  <w:style w:type="paragraph" w:customStyle="1" w:styleId="8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2">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autoRedefine/>
    <w:qFormat/>
    <w:uiPriority w:val="0"/>
    <w:pPr>
      <w:spacing w:line="360" w:lineRule="auto"/>
    </w:pPr>
    <w:rPr>
      <w:szCs w:val="20"/>
    </w:rPr>
  </w:style>
  <w:style w:type="paragraph" w:customStyle="1" w:styleId="81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autoRedefine/>
    <w:qFormat/>
    <w:uiPriority w:val="0"/>
    <w:rPr>
      <w:rFonts w:ascii="仿宋_GB2312" w:eastAsia="仿宋_GB2312"/>
      <w:b/>
      <w:sz w:val="32"/>
      <w:szCs w:val="32"/>
    </w:rPr>
  </w:style>
  <w:style w:type="paragraph" w:customStyle="1" w:styleId="82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3">
    <w:name w:val="Char Char4 Char Char"/>
    <w:basedOn w:val="1"/>
    <w:autoRedefine/>
    <w:qFormat/>
    <w:uiPriority w:val="0"/>
    <w:pPr>
      <w:widowControl/>
      <w:adjustRightInd/>
      <w:spacing w:after="160" w:line="240" w:lineRule="exact"/>
      <w:jc w:val="left"/>
    </w:pPr>
  </w:style>
  <w:style w:type="paragraph" w:customStyle="1" w:styleId="824">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autoRedefine/>
    <w:qFormat/>
    <w:uiPriority w:val="0"/>
    <w:pPr>
      <w:spacing w:line="360" w:lineRule="auto"/>
    </w:pPr>
    <w:rPr>
      <w:szCs w:val="20"/>
    </w:rPr>
  </w:style>
  <w:style w:type="paragraph" w:customStyle="1" w:styleId="826">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autoRedefine/>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autoRedefine/>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autoRedefine/>
    <w:qFormat/>
    <w:uiPriority w:val="0"/>
    <w:rPr>
      <w:rFonts w:ascii="Tahoma" w:hAnsi="Tahoma" w:cs="仿宋_GB2312"/>
      <w:sz w:val="24"/>
      <w:szCs w:val="20"/>
    </w:rPr>
  </w:style>
  <w:style w:type="paragraph" w:customStyle="1" w:styleId="840">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autoRedefine/>
    <w:qFormat/>
    <w:uiPriority w:val="0"/>
    <w:rPr>
      <w:rFonts w:ascii="仿宋_GB2312" w:eastAsia="仿宋_GB2312"/>
      <w:b/>
      <w:sz w:val="32"/>
      <w:szCs w:val="20"/>
    </w:rPr>
  </w:style>
  <w:style w:type="paragraph" w:customStyle="1" w:styleId="84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autoRedefine/>
    <w:qFormat/>
    <w:uiPriority w:val="0"/>
    <w:rPr>
      <w:rFonts w:ascii="仿宋_GB2312" w:eastAsia="仿宋_GB2312"/>
      <w:b/>
      <w:sz w:val="32"/>
      <w:szCs w:val="20"/>
    </w:rPr>
  </w:style>
  <w:style w:type="paragraph" w:customStyle="1" w:styleId="847">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9">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autoRedefine/>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8">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autoRedefine/>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autoRedefine/>
    <w:qFormat/>
    <w:uiPriority w:val="34"/>
    <w:pPr>
      <w:adjustRightInd/>
      <w:ind w:right="238" w:firstLine="420"/>
    </w:pPr>
    <w:rPr>
      <w:rFonts w:ascii="Calibri" w:hAnsi="Calibri"/>
      <w:sz w:val="24"/>
    </w:rPr>
  </w:style>
  <w:style w:type="paragraph" w:customStyle="1" w:styleId="863">
    <w:name w:val="Char Char110"/>
    <w:basedOn w:val="1"/>
    <w:autoRedefine/>
    <w:qFormat/>
    <w:uiPriority w:val="6"/>
    <w:pPr>
      <w:spacing w:line="360" w:lineRule="auto"/>
    </w:pPr>
    <w:rPr>
      <w:rFonts w:ascii="Tahoma" w:hAnsi="Tahoma"/>
      <w:sz w:val="24"/>
      <w:szCs w:val="20"/>
    </w:rPr>
  </w:style>
  <w:style w:type="paragraph" w:customStyle="1" w:styleId="864">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6">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autoRedefine/>
    <w:qFormat/>
    <w:uiPriority w:val="0"/>
    <w:rPr>
      <w:rFonts w:ascii="Tahoma" w:hAnsi="Tahoma" w:cs="仿宋_GB2312"/>
      <w:sz w:val="24"/>
      <w:szCs w:val="20"/>
    </w:rPr>
  </w:style>
  <w:style w:type="paragraph" w:customStyle="1" w:styleId="869">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autoRedefine/>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3">
    <w:name w:val="_Style 12"/>
    <w:basedOn w:val="18"/>
    <w:autoRedefine/>
    <w:qFormat/>
    <w:uiPriority w:val="0"/>
    <w:pPr>
      <w:snapToGrid w:val="0"/>
      <w:spacing w:line="360" w:lineRule="auto"/>
    </w:pPr>
  </w:style>
  <w:style w:type="paragraph" w:customStyle="1" w:styleId="874">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autoRedefine/>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autoRedefine/>
    <w:qFormat/>
    <w:uiPriority w:val="0"/>
    <w:pPr>
      <w:adjustRightInd/>
      <w:ind w:firstLine="200" w:firstLineChars="200"/>
    </w:pPr>
    <w:rPr>
      <w:rFonts w:ascii="Tahoma" w:hAnsi="Tahoma"/>
      <w:sz w:val="24"/>
      <w:szCs w:val="20"/>
    </w:rPr>
  </w:style>
  <w:style w:type="paragraph" w:customStyle="1" w:styleId="883">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4">
    <w:name w:val="MM Empty"/>
    <w:basedOn w:val="1"/>
    <w:autoRedefine/>
    <w:qFormat/>
    <w:uiPriority w:val="0"/>
    <w:pPr>
      <w:adjustRightInd/>
    </w:pPr>
  </w:style>
  <w:style w:type="paragraph" w:customStyle="1" w:styleId="885">
    <w:name w:val="Char24"/>
    <w:basedOn w:val="1"/>
    <w:autoRedefine/>
    <w:qFormat/>
    <w:uiPriority w:val="0"/>
    <w:rPr>
      <w:rFonts w:ascii="仿宋_GB2312" w:eastAsia="仿宋_GB2312"/>
      <w:b/>
      <w:sz w:val="32"/>
      <w:szCs w:val="32"/>
    </w:rPr>
  </w:style>
  <w:style w:type="paragraph" w:customStyle="1" w:styleId="886">
    <w:name w:val="正文箭头"/>
    <w:basedOn w:val="538"/>
    <w:autoRedefine/>
    <w:qFormat/>
    <w:uiPriority w:val="0"/>
  </w:style>
  <w:style w:type="paragraph" w:customStyle="1" w:styleId="887">
    <w:name w:val="U_编号2"/>
    <w:basedOn w:val="1"/>
    <w:autoRedefine/>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2"/>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4"/>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autoRedefine/>
    <w:qFormat/>
    <w:uiPriority w:val="34"/>
    <w:pPr>
      <w:adjustRightInd/>
      <w:ind w:firstLine="420" w:firstLineChars="200"/>
    </w:pPr>
    <w:rPr>
      <w:rFonts w:eastAsia="仿宋_GB2312"/>
      <w:sz w:val="28"/>
    </w:rPr>
  </w:style>
  <w:style w:type="paragraph" w:customStyle="1" w:styleId="893">
    <w:name w:val="表格 内容"/>
    <w:basedOn w:val="729"/>
    <w:autoRedefine/>
    <w:qFormat/>
    <w:uiPriority w:val="0"/>
    <w:rPr>
      <w:b w:val="0"/>
      <w:sz w:val="20"/>
    </w:rPr>
  </w:style>
  <w:style w:type="paragraph" w:customStyle="1" w:styleId="894">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4"/>
    <w:next w:val="1"/>
    <w:autoRedefine/>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autoRedefine/>
    <w:qFormat/>
    <w:uiPriority w:val="0"/>
    <w:pPr>
      <w:widowControl/>
    </w:pPr>
    <w:rPr>
      <w:kern w:val="0"/>
      <w:sz w:val="24"/>
      <w:szCs w:val="20"/>
    </w:rPr>
  </w:style>
  <w:style w:type="paragraph" w:customStyle="1" w:styleId="905">
    <w:name w:val="Char Char113"/>
    <w:basedOn w:val="1"/>
    <w:autoRedefine/>
    <w:qFormat/>
    <w:uiPriority w:val="0"/>
    <w:pPr>
      <w:widowControl/>
      <w:spacing w:after="160" w:line="240" w:lineRule="exact"/>
      <w:jc w:val="left"/>
    </w:pPr>
    <w:rPr>
      <w:rFonts w:eastAsia="仿宋_GB2312"/>
      <w:sz w:val="28"/>
    </w:rPr>
  </w:style>
  <w:style w:type="paragraph" w:customStyle="1" w:styleId="906">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10">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autoRedefine/>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autoRedefine/>
    <w:qFormat/>
    <w:uiPriority w:val="0"/>
    <w:pPr>
      <w:adjustRightInd/>
      <w:spacing w:line="360" w:lineRule="auto"/>
      <w:ind w:firstLine="480"/>
    </w:pPr>
    <w:rPr>
      <w:sz w:val="24"/>
    </w:rPr>
  </w:style>
  <w:style w:type="table" w:customStyle="1" w:styleId="921">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autoRedefine/>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autoRedefine/>
    <w:qFormat/>
    <w:uiPriority w:val="0"/>
    <w:rPr>
      <w:rFonts w:ascii="宋体" w:eastAsia="宋体"/>
      <w:snapToGrid w:val="0"/>
      <w:color w:val="000000"/>
      <w:kern w:val="28"/>
      <w:sz w:val="28"/>
      <w:lang w:val="en-US" w:eastAsia="zh-CN" w:bidi="ar-SA"/>
    </w:rPr>
  </w:style>
  <w:style w:type="character" w:customStyle="1" w:styleId="930">
    <w:name w:val="页脚 字符1"/>
    <w:autoRedefine/>
    <w:qFormat/>
    <w:uiPriority w:val="99"/>
    <w:rPr>
      <w:kern w:val="2"/>
      <w:sz w:val="18"/>
      <w:szCs w:val="18"/>
    </w:rPr>
  </w:style>
  <w:style w:type="character" w:customStyle="1" w:styleId="931">
    <w:name w:val="页眉 字符1"/>
    <w:autoRedefine/>
    <w:qFormat/>
    <w:uiPriority w:val="99"/>
    <w:rPr>
      <w:kern w:val="2"/>
      <w:sz w:val="18"/>
      <w:szCs w:val="18"/>
    </w:rPr>
  </w:style>
  <w:style w:type="character" w:customStyle="1" w:styleId="932">
    <w:name w:val="尾注文本 Char"/>
    <w:link w:val="38"/>
    <w:qFormat/>
    <w:uiPriority w:val="0"/>
    <w:rPr>
      <w:kern w:val="2"/>
      <w:sz w:val="21"/>
      <w:szCs w:val="24"/>
      <w:lang w:val="zh-CN"/>
    </w:rPr>
  </w:style>
  <w:style w:type="character" w:customStyle="1" w:styleId="933">
    <w:name w:val="无间隔 Char"/>
    <w:link w:val="483"/>
    <w:autoRedefine/>
    <w:qFormat/>
    <w:uiPriority w:val="99"/>
    <w:rPr>
      <w:kern w:val="2"/>
      <w:sz w:val="21"/>
      <w:szCs w:val="22"/>
    </w:rPr>
  </w:style>
  <w:style w:type="character" w:customStyle="1" w:styleId="934">
    <w:name w:val="标准文本 Char Char"/>
    <w:link w:val="935"/>
    <w:autoRedefine/>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autoRedefine/>
    <w:qFormat/>
    <w:uiPriority w:val="0"/>
    <w:rPr>
      <w:rFonts w:eastAsia="Century Gothic"/>
      <w:b/>
      <w:bCs/>
      <w:kern w:val="44"/>
      <w:sz w:val="32"/>
      <w:szCs w:val="44"/>
      <w:lang w:val="en-US" w:eastAsia="zh-CN" w:bidi="ar-SA"/>
    </w:rPr>
  </w:style>
  <w:style w:type="character" w:customStyle="1" w:styleId="937">
    <w:name w:val="apple-style-span"/>
    <w:autoRedefine/>
    <w:qFormat/>
    <w:uiPriority w:val="0"/>
    <w:rPr>
      <w:rFonts w:ascii="Arial" w:hAnsi="Arial" w:eastAsia="黑体" w:cs="Arial"/>
      <w:snapToGrid w:val="0"/>
      <w:kern w:val="0"/>
      <w:szCs w:val="21"/>
    </w:rPr>
  </w:style>
  <w:style w:type="character" w:customStyle="1" w:styleId="938">
    <w:name w:val="15"/>
    <w:autoRedefine/>
    <w:qFormat/>
    <w:uiPriority w:val="0"/>
    <w:rPr>
      <w:rFonts w:hint="default" w:ascii="Calibri" w:hAnsi="Calibri"/>
      <w:color w:val="0000FF"/>
      <w:u w:val="single"/>
    </w:rPr>
  </w:style>
  <w:style w:type="character" w:customStyle="1" w:styleId="939">
    <w:name w:val="16"/>
    <w:autoRedefine/>
    <w:qFormat/>
    <w:uiPriority w:val="0"/>
    <w:rPr>
      <w:rFonts w:hint="eastAsia" w:ascii="宋体" w:hAnsi="宋体" w:eastAsia="宋体"/>
      <w:color w:val="000000"/>
      <w:sz w:val="20"/>
      <w:szCs w:val="20"/>
    </w:rPr>
  </w:style>
  <w:style w:type="character" w:customStyle="1" w:styleId="940">
    <w:name w:val="edui-unclickable"/>
    <w:autoRedefine/>
    <w:qFormat/>
    <w:uiPriority w:val="0"/>
    <w:rPr>
      <w:color w:val="808080"/>
    </w:rPr>
  </w:style>
  <w:style w:type="character" w:customStyle="1" w:styleId="941">
    <w:name w:val="tpc_content1"/>
    <w:autoRedefine/>
    <w:qFormat/>
    <w:uiPriority w:val="0"/>
    <w:rPr>
      <w:sz w:val="20"/>
      <w:szCs w:val="20"/>
    </w:rPr>
  </w:style>
  <w:style w:type="character" w:customStyle="1" w:styleId="942">
    <w:name w:val="正文文本缩进 字符"/>
    <w:autoRedefine/>
    <w:qFormat/>
    <w:uiPriority w:val="0"/>
    <w:rPr>
      <w:rFonts w:ascii="Century Gothic" w:hAnsi="Century Gothic" w:eastAsia="Century Gothic"/>
      <w:kern w:val="2"/>
      <w:sz w:val="24"/>
      <w:lang w:val="en-US" w:eastAsia="zh-CN" w:bidi="ar-SA"/>
    </w:rPr>
  </w:style>
  <w:style w:type="character" w:customStyle="1" w:styleId="943">
    <w:name w:val="正文文本 2 字符"/>
    <w:autoRedefine/>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autoRedefine/>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8">
    <w:name w:val="bulletintext1"/>
    <w:autoRedefine/>
    <w:qFormat/>
    <w:uiPriority w:val="0"/>
    <w:rPr>
      <w:color w:val="000000"/>
      <w:sz w:val="18"/>
    </w:rPr>
  </w:style>
  <w:style w:type="paragraph" w:customStyle="1" w:styleId="949">
    <w:name w:val="_Style 947"/>
    <w:basedOn w:val="1"/>
    <w:next w:val="258"/>
    <w:autoRedefine/>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5"/>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autoRedefine/>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9"/>
    <w:autoRedefine/>
    <w:qFormat/>
    <w:uiPriority w:val="0"/>
    <w:rPr>
      <w:color w:val="000000"/>
      <w:shd w:val="clear" w:color="auto" w:fill="EFD200"/>
    </w:rPr>
  </w:style>
  <w:style w:type="character" w:customStyle="1" w:styleId="962">
    <w:name w:val="font71"/>
    <w:autoRedefine/>
    <w:qFormat/>
    <w:uiPriority w:val="0"/>
    <w:rPr>
      <w:rFonts w:hint="eastAsia" w:ascii="宋体" w:hAnsi="宋体" w:eastAsia="宋体" w:cs="宋体"/>
      <w:color w:val="000000"/>
      <w:sz w:val="22"/>
      <w:szCs w:val="22"/>
      <w:u w:val="none"/>
    </w:rPr>
  </w:style>
  <w:style w:type="character" w:customStyle="1" w:styleId="963">
    <w:name w:val="font91"/>
    <w:autoRedefine/>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110</Pages>
  <Words>19376</Words>
  <Characters>20716</Characters>
  <Paragraphs>2030</Paragraphs>
  <TotalTime>35</TotalTime>
  <ScaleCrop>false</ScaleCrop>
  <LinksUpToDate>false</LinksUpToDate>
  <CharactersWithSpaces>21099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灰太狼的Angel</cp:lastModifiedBy>
  <cp:lastPrinted>2021-12-31T11:06:00Z</cp:lastPrinted>
  <dcterms:modified xsi:type="dcterms:W3CDTF">2025-02-21T01:45:38Z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1DED5193AF2E4A22B70F34C3814C12B0_13</vt:lpwstr>
  </property>
  <property fmtid="{D5CDD505-2E9C-101B-9397-08002B2CF9AE}" pid="5" name="KSOTemplateDocerSaveRecord">
    <vt:lpwstr>eyJoZGlkIjoiYTU0ZDdlMmEyZjhlMTE3M2JiOTFiYjJmYjQ0MDE4YjgiLCJ1c2VySWQiOiI2OTYxNjA2NDIifQ==</vt:lpwstr>
  </property>
</Properties>
</file>