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FE442">
      <w:pPr>
        <w:adjustRightInd w:val="0"/>
        <w:snapToGrid w:val="0"/>
        <w:spacing w:line="360" w:lineRule="auto"/>
        <w:jc w:val="center"/>
        <w:rPr>
          <w:rFonts w:hint="eastAsia" w:ascii="微软雅黑" w:hAnsi="微软雅黑" w:eastAsia="微软雅黑" w:cs="微软雅黑"/>
          <w:bCs/>
          <w:snapToGrid w:val="0"/>
          <w:color w:val="auto"/>
          <w:sz w:val="44"/>
          <w:szCs w:val="44"/>
          <w:highlight w:val="none"/>
        </w:rPr>
      </w:pPr>
    </w:p>
    <w:p w14:paraId="2CD2E7BC">
      <w:pPr>
        <w:adjustRightInd w:val="0"/>
        <w:snapToGrid w:val="0"/>
        <w:spacing w:line="360" w:lineRule="auto"/>
        <w:jc w:val="center"/>
        <w:rPr>
          <w:rFonts w:ascii="宋体" w:hAnsi="宋体" w:cs="宋体"/>
          <w:b/>
          <w:snapToGrid w:val="0"/>
          <w:color w:val="auto"/>
          <w:sz w:val="52"/>
          <w:highlight w:val="none"/>
        </w:rPr>
      </w:pPr>
      <w:r>
        <w:rPr>
          <w:rFonts w:hint="eastAsia" w:ascii="宋体" w:hAnsi="宋体" w:cs="宋体"/>
          <w:b/>
          <w:snapToGrid w:val="0"/>
          <w:color w:val="auto"/>
          <w:sz w:val="44"/>
          <w:szCs w:val="44"/>
          <w:highlight w:val="none"/>
        </w:rPr>
        <w:t>2024年滨湖街道城市小区生活垃圾精准分类项目</w:t>
      </w:r>
    </w:p>
    <w:p w14:paraId="30B2CE37">
      <w:pPr>
        <w:adjustRightInd w:val="0"/>
        <w:snapToGrid w:val="0"/>
        <w:spacing w:line="360" w:lineRule="auto"/>
        <w:jc w:val="center"/>
        <w:rPr>
          <w:rFonts w:ascii="宋体" w:hAnsi="宋体" w:cs="宋体"/>
          <w:b/>
          <w:color w:val="auto"/>
          <w:sz w:val="52"/>
          <w:szCs w:val="52"/>
          <w:highlight w:val="none"/>
        </w:rPr>
      </w:pPr>
    </w:p>
    <w:p w14:paraId="1ED69591">
      <w:pPr>
        <w:adjustRightInd w:val="0"/>
        <w:snapToGrid w:val="0"/>
        <w:spacing w:line="360" w:lineRule="auto"/>
        <w:jc w:val="center"/>
        <w:rPr>
          <w:rFonts w:ascii="宋体" w:hAnsi="宋体" w:cs="宋体"/>
          <w:b/>
          <w:color w:val="auto"/>
          <w:sz w:val="52"/>
          <w:szCs w:val="52"/>
          <w:highlight w:val="none"/>
        </w:rPr>
      </w:pPr>
    </w:p>
    <w:p w14:paraId="2A20DE61">
      <w:pPr>
        <w:adjustRightInd w:val="0"/>
        <w:snapToGrid w:val="0"/>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公开招标文件</w:t>
      </w:r>
    </w:p>
    <w:p w14:paraId="3EC28E9E">
      <w:pPr>
        <w:pStyle w:val="27"/>
        <w:jc w:val="center"/>
        <w:rPr>
          <w:rFonts w:hAnsi="宋体"/>
          <w:color w:val="auto"/>
          <w:sz w:val="30"/>
          <w:szCs w:val="30"/>
          <w:highlight w:val="none"/>
        </w:rPr>
      </w:pPr>
      <w:r>
        <w:rPr>
          <w:rFonts w:hint="eastAsia" w:hAnsi="宋体"/>
          <w:color w:val="auto"/>
          <w:sz w:val="30"/>
          <w:szCs w:val="30"/>
          <w:highlight w:val="none"/>
        </w:rPr>
        <w:t>（电子全流程）</w:t>
      </w:r>
    </w:p>
    <w:p w14:paraId="0865D190">
      <w:pPr>
        <w:pStyle w:val="2"/>
        <w:ind w:firstLine="280"/>
        <w:rPr>
          <w:rFonts w:ascii="宋体" w:hAnsi="宋体" w:cs="宋体"/>
          <w:color w:val="auto"/>
          <w:highlight w:val="none"/>
        </w:rPr>
      </w:pPr>
    </w:p>
    <w:p w14:paraId="38CEB66E">
      <w:pPr>
        <w:adjustRightInd w:val="0"/>
        <w:snapToGrid w:val="0"/>
        <w:spacing w:line="360" w:lineRule="auto"/>
        <w:jc w:val="center"/>
        <w:rPr>
          <w:rFonts w:ascii="宋体" w:hAnsi="宋体" w:cs="宋体"/>
          <w:bCs/>
          <w:snapToGrid w:val="0"/>
          <w:color w:val="auto"/>
          <w:sz w:val="30"/>
          <w:highlight w:val="none"/>
        </w:rPr>
      </w:pPr>
    </w:p>
    <w:p w14:paraId="230C0435">
      <w:pPr>
        <w:adjustRightInd w:val="0"/>
        <w:snapToGrid w:val="0"/>
        <w:spacing w:line="360" w:lineRule="auto"/>
        <w:jc w:val="center"/>
        <w:rPr>
          <w:rFonts w:ascii="宋体" w:hAnsi="宋体" w:cs="宋体"/>
          <w:bCs/>
          <w:snapToGrid w:val="0"/>
          <w:color w:val="auto"/>
          <w:sz w:val="30"/>
          <w:highlight w:val="none"/>
        </w:rPr>
      </w:pPr>
      <w:r>
        <w:rPr>
          <w:rFonts w:hint="eastAsia" w:ascii="宋体" w:hAnsi="宋体" w:cs="宋体"/>
          <w:bCs/>
          <w:snapToGrid w:val="0"/>
          <w:color w:val="auto"/>
          <w:sz w:val="30"/>
          <w:highlight w:val="none"/>
        </w:rPr>
        <w:t xml:space="preserve">  </w:t>
      </w:r>
    </w:p>
    <w:p w14:paraId="1E052628">
      <w:pPr>
        <w:adjustRightInd w:val="0"/>
        <w:snapToGrid w:val="0"/>
        <w:spacing w:line="360" w:lineRule="auto"/>
        <w:jc w:val="center"/>
        <w:rPr>
          <w:rFonts w:ascii="宋体" w:hAnsi="宋体" w:cs="宋体"/>
          <w:b/>
          <w:snapToGrid w:val="0"/>
          <w:color w:val="auto"/>
          <w:sz w:val="32"/>
          <w:highlight w:val="none"/>
        </w:rPr>
      </w:pPr>
    </w:p>
    <w:p w14:paraId="7AC094FA">
      <w:pPr>
        <w:spacing w:line="360" w:lineRule="auto"/>
        <w:rPr>
          <w:color w:val="auto"/>
          <w:sz w:val="30"/>
          <w:szCs w:val="30"/>
          <w:highlight w:val="none"/>
        </w:rPr>
      </w:pPr>
      <w:r>
        <w:rPr>
          <w:rFonts w:hint="eastAsia"/>
          <w:color w:val="auto"/>
          <w:sz w:val="30"/>
          <w:szCs w:val="30"/>
          <w:highlight w:val="none"/>
        </w:rPr>
        <w:t>项目编号：浙华采字【2024】hzx-9030号</w:t>
      </w:r>
    </w:p>
    <w:p w14:paraId="099B64AB">
      <w:pPr>
        <w:spacing w:line="360" w:lineRule="auto"/>
        <w:rPr>
          <w:color w:val="auto"/>
          <w:sz w:val="30"/>
          <w:szCs w:val="30"/>
          <w:highlight w:val="none"/>
        </w:rPr>
      </w:pPr>
      <w:r>
        <w:rPr>
          <w:rFonts w:hint="eastAsia"/>
          <w:color w:val="auto"/>
          <w:sz w:val="30"/>
          <w:szCs w:val="30"/>
          <w:highlight w:val="none"/>
        </w:rPr>
        <w:t>项目名称：2024年滨湖街道城市小区生活垃圾精准分类项目</w:t>
      </w:r>
    </w:p>
    <w:p w14:paraId="00A355BF">
      <w:pPr>
        <w:spacing w:line="360" w:lineRule="auto"/>
        <w:rPr>
          <w:color w:val="auto"/>
          <w:sz w:val="30"/>
          <w:szCs w:val="30"/>
          <w:highlight w:val="none"/>
        </w:rPr>
      </w:pPr>
      <w:r>
        <w:rPr>
          <w:rFonts w:hint="eastAsia"/>
          <w:color w:val="auto"/>
          <w:sz w:val="30"/>
          <w:szCs w:val="30"/>
          <w:highlight w:val="none"/>
        </w:rPr>
        <w:t xml:space="preserve">采购单位：湖州市人民政府滨湖街道办事处  </w:t>
      </w:r>
    </w:p>
    <w:p w14:paraId="074656C6">
      <w:pPr>
        <w:spacing w:line="360" w:lineRule="auto"/>
        <w:rPr>
          <w:color w:val="auto"/>
          <w:sz w:val="30"/>
          <w:szCs w:val="30"/>
          <w:highlight w:val="none"/>
        </w:rPr>
      </w:pPr>
      <w:r>
        <w:rPr>
          <w:rFonts w:hint="eastAsia"/>
          <w:color w:val="auto"/>
          <w:sz w:val="30"/>
          <w:szCs w:val="30"/>
          <w:highlight w:val="none"/>
        </w:rPr>
        <w:t>招标代理机构：浙江华夏工程管理有限公司</w:t>
      </w:r>
    </w:p>
    <w:p w14:paraId="28546755">
      <w:pPr>
        <w:adjustRightInd w:val="0"/>
        <w:snapToGrid w:val="0"/>
        <w:ind w:firstLine="842" w:firstLineChars="262"/>
        <w:rPr>
          <w:rFonts w:ascii="宋体" w:hAnsi="宋体" w:cs="宋体"/>
          <w:b/>
          <w:snapToGrid w:val="0"/>
          <w:color w:val="auto"/>
          <w:sz w:val="32"/>
          <w:highlight w:val="none"/>
        </w:rPr>
      </w:pPr>
    </w:p>
    <w:p w14:paraId="333F455F">
      <w:pPr>
        <w:adjustRightInd w:val="0"/>
        <w:snapToGrid w:val="0"/>
        <w:spacing w:line="360" w:lineRule="auto"/>
        <w:jc w:val="center"/>
        <w:rPr>
          <w:rFonts w:ascii="宋体" w:hAnsi="宋体" w:cs="宋体"/>
          <w:bCs/>
          <w:snapToGrid w:val="0"/>
          <w:color w:val="auto"/>
          <w:sz w:val="32"/>
          <w:highlight w:val="none"/>
        </w:rPr>
      </w:pPr>
    </w:p>
    <w:p w14:paraId="12DCC27B">
      <w:pPr>
        <w:adjustRightInd w:val="0"/>
        <w:snapToGrid w:val="0"/>
        <w:spacing w:line="360" w:lineRule="auto"/>
        <w:jc w:val="center"/>
        <w:rPr>
          <w:rFonts w:ascii="宋体" w:hAnsi="宋体" w:cs="宋体"/>
          <w:bCs/>
          <w:snapToGrid w:val="0"/>
          <w:color w:val="auto"/>
          <w:sz w:val="32"/>
          <w:highlight w:val="none"/>
        </w:rPr>
      </w:pPr>
    </w:p>
    <w:p w14:paraId="35854177">
      <w:pPr>
        <w:adjustRightInd w:val="0"/>
        <w:snapToGrid w:val="0"/>
        <w:spacing w:line="360" w:lineRule="auto"/>
        <w:jc w:val="center"/>
        <w:rPr>
          <w:rFonts w:ascii="宋体" w:hAnsi="宋体" w:cs="宋体"/>
          <w:bCs/>
          <w:snapToGrid w:val="0"/>
          <w:color w:val="auto"/>
          <w:sz w:val="32"/>
          <w:highlight w:val="none"/>
        </w:rPr>
      </w:pPr>
      <w:r>
        <w:rPr>
          <w:rFonts w:hint="eastAsia" w:ascii="宋体" w:hAnsi="宋体" w:cs="宋体"/>
          <w:bCs/>
          <w:snapToGrid w:val="0"/>
          <w:color w:val="auto"/>
          <w:sz w:val="32"/>
          <w:highlight w:val="none"/>
        </w:rPr>
        <w:t>2024 年9月</w:t>
      </w:r>
    </w:p>
    <w:p w14:paraId="0347399C">
      <w:pPr>
        <w:jc w:val="left"/>
        <w:rPr>
          <w:rFonts w:ascii="宋体" w:hAnsi="宋体" w:cs="宋体"/>
          <w:color w:val="auto"/>
          <w:highlight w:val="none"/>
        </w:rPr>
        <w:sectPr>
          <w:headerReference r:id="rId4" w:type="first"/>
          <w:headerReference r:id="rId3" w:type="default"/>
          <w:pgSz w:w="11907" w:h="16840"/>
          <w:pgMar w:top="1134" w:right="1247" w:bottom="1191" w:left="1128" w:header="851" w:footer="992" w:gutter="0"/>
          <w:cols w:space="720" w:num="1"/>
          <w:docGrid w:linePitch="381" w:charSpace="0"/>
        </w:sectPr>
      </w:pPr>
      <w:bookmarkStart w:id="0" w:name="_Toc20907"/>
    </w:p>
    <w:p w14:paraId="789C4FA9">
      <w:pPr>
        <w:spacing w:line="360" w:lineRule="auto"/>
        <w:jc w:val="center"/>
        <w:outlineLvl w:val="0"/>
        <w:rPr>
          <w:rFonts w:ascii="宋体" w:hAnsi="宋体" w:cs="宋体"/>
          <w:color w:val="auto"/>
          <w:highlight w:val="none"/>
        </w:rPr>
      </w:pPr>
      <w:r>
        <w:rPr>
          <w:rFonts w:hint="eastAsia" w:ascii="宋体" w:hAnsi="宋体" w:cs="宋体"/>
          <w:b/>
          <w:color w:val="auto"/>
          <w:sz w:val="44"/>
          <w:szCs w:val="44"/>
          <w:highlight w:val="none"/>
        </w:rPr>
        <w:t>目  录</w:t>
      </w:r>
      <w:bookmarkEnd w:id="0"/>
    </w:p>
    <w:p w14:paraId="5CB54121">
      <w:pPr>
        <w:pStyle w:val="16"/>
        <w:spacing w:line="480" w:lineRule="exact"/>
        <w:jc w:val="center"/>
        <w:rPr>
          <w:rFonts w:ascii="宋体" w:hAnsi="宋体" w:cs="宋体"/>
          <w:color w:val="auto"/>
          <w:kern w:val="0"/>
          <w:szCs w:val="28"/>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"1-2" \h \u </w:instrText>
      </w:r>
      <w:r>
        <w:rPr>
          <w:rFonts w:hint="eastAsia" w:ascii="宋体" w:hAnsi="宋体" w:cs="宋体"/>
          <w:color w:val="auto"/>
          <w:sz w:val="30"/>
          <w:szCs w:val="30"/>
          <w:highlight w:val="none"/>
        </w:rPr>
        <w:fldChar w:fldCharType="separate"/>
      </w:r>
      <w:r>
        <w:rPr>
          <w:rFonts w:hint="eastAsia" w:ascii="宋体" w:hAnsi="宋体" w:cs="宋体"/>
          <w:color w:val="auto"/>
          <w:kern w:val="0"/>
          <w:szCs w:val="28"/>
          <w:highlight w:val="none"/>
        </w:rPr>
        <w:t>招标公告....................................................1</w:t>
      </w:r>
    </w:p>
    <w:p w14:paraId="28331B72">
      <w:pPr>
        <w:pStyle w:val="16"/>
        <w:tabs>
          <w:tab w:val="right" w:leader="dot" w:pos="8494"/>
        </w:tabs>
        <w:spacing w:line="480" w:lineRule="exact"/>
        <w:jc w:val="center"/>
        <w:rPr>
          <w:rFonts w:ascii="宋体" w:hAnsi="宋体" w:cs="宋体"/>
          <w:color w:val="auto"/>
          <w:szCs w:val="28"/>
          <w:highlight w:val="none"/>
        </w:rPr>
      </w:pPr>
      <w:r>
        <w:rPr>
          <w:rStyle w:val="26"/>
          <w:rFonts w:hint="eastAsia" w:ascii="宋体" w:hAnsi="宋体" w:cs="宋体"/>
          <w:color w:val="auto"/>
          <w:sz w:val="28"/>
          <w:szCs w:val="28"/>
          <w:highlight w:val="none"/>
        </w:rPr>
        <w:fldChar w:fldCharType="begin"/>
      </w:r>
      <w:r>
        <w:rPr>
          <w:rStyle w:val="26"/>
          <w:rFonts w:hint="eastAsia" w:ascii="宋体" w:hAnsi="宋体" w:cs="宋体"/>
          <w:color w:val="auto"/>
          <w:sz w:val="28"/>
          <w:szCs w:val="28"/>
          <w:highlight w:val="none"/>
        </w:rPr>
        <w:instrText xml:space="preserve">TOC \o "1-3" \h \z \u</w:instrText>
      </w:r>
      <w:r>
        <w:rPr>
          <w:rStyle w:val="26"/>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"_Toc36641136" </w:instrText>
      </w:r>
      <w:r>
        <w:rPr>
          <w:color w:val="auto"/>
          <w:highlight w:val="none"/>
        </w:rPr>
        <w:fldChar w:fldCharType="separate"/>
      </w:r>
      <w:r>
        <w:rPr>
          <w:rStyle w:val="26"/>
          <w:rFonts w:hint="eastAsia" w:ascii="宋体" w:hAnsi="宋体" w:cs="宋体"/>
          <w:color w:val="auto"/>
          <w:sz w:val="28"/>
          <w:szCs w:val="28"/>
          <w:highlight w:val="none"/>
        </w:rPr>
        <w:t>第一章投标人须知</w:t>
      </w:r>
      <w:r>
        <w:rPr>
          <w:rFonts w:hint="eastAsia" w:ascii="宋体" w:hAnsi="宋体" w:cs="宋体"/>
          <w:color w:val="auto"/>
          <w:szCs w:val="28"/>
          <w:highlight w:val="none"/>
        </w:rPr>
        <w:tab/>
      </w:r>
      <w:r>
        <w:rPr>
          <w:rFonts w:hint="eastAsia" w:ascii="宋体" w:hAnsi="宋体" w:cs="宋体"/>
          <w:color w:val="auto"/>
          <w:szCs w:val="28"/>
          <w:highlight w:val="none"/>
        </w:rPr>
        <w:t>8</w:t>
      </w:r>
      <w:r>
        <w:rPr>
          <w:rFonts w:hint="eastAsia" w:ascii="宋体" w:hAnsi="宋体" w:cs="宋体"/>
          <w:color w:val="auto"/>
          <w:szCs w:val="28"/>
          <w:highlight w:val="none"/>
        </w:rPr>
        <w:fldChar w:fldCharType="end"/>
      </w:r>
    </w:p>
    <w:p w14:paraId="751974A3">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"_Toc36641137" </w:instrText>
      </w:r>
      <w:r>
        <w:rPr>
          <w:color w:val="auto"/>
          <w:highlight w:val="none"/>
        </w:rPr>
        <w:fldChar w:fldCharType="separate"/>
      </w:r>
      <w:r>
        <w:rPr>
          <w:rStyle w:val="26"/>
          <w:rFonts w:hint="eastAsia" w:ascii="宋体" w:hAnsi="宋体" w:cs="宋体"/>
          <w:color w:val="auto"/>
          <w:sz w:val="28"/>
          <w:szCs w:val="28"/>
          <w:highlight w:val="none"/>
        </w:rPr>
        <w:t>前附表</w:t>
      </w:r>
      <w:r>
        <w:rPr>
          <w:rFonts w:hint="eastAsia" w:ascii="宋体" w:hAnsi="宋体" w:cs="宋体"/>
          <w:color w:val="auto"/>
          <w:szCs w:val="28"/>
          <w:highlight w:val="none"/>
        </w:rPr>
        <w:tab/>
      </w:r>
      <w:r>
        <w:rPr>
          <w:rFonts w:hint="eastAsia" w:ascii="宋体" w:hAnsi="宋体" w:cs="宋体"/>
          <w:color w:val="auto"/>
          <w:szCs w:val="28"/>
          <w:highlight w:val="none"/>
        </w:rPr>
        <w:t>8</w:t>
      </w:r>
      <w:r>
        <w:rPr>
          <w:rFonts w:hint="eastAsia" w:ascii="宋体" w:hAnsi="宋体" w:cs="宋体"/>
          <w:color w:val="auto"/>
          <w:szCs w:val="28"/>
          <w:highlight w:val="none"/>
        </w:rPr>
        <w:fldChar w:fldCharType="end"/>
      </w:r>
    </w:p>
    <w:p w14:paraId="5518750B">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"_Toc36641138" </w:instrText>
      </w:r>
      <w:r>
        <w:rPr>
          <w:color w:val="auto"/>
          <w:highlight w:val="none"/>
        </w:rPr>
        <w:fldChar w:fldCharType="separate"/>
      </w:r>
      <w:r>
        <w:rPr>
          <w:rStyle w:val="26"/>
          <w:rFonts w:hint="eastAsia" w:ascii="宋体" w:hAnsi="宋体" w:cs="宋体"/>
          <w:color w:val="auto"/>
          <w:sz w:val="28"/>
          <w:szCs w:val="28"/>
          <w:highlight w:val="none"/>
        </w:rPr>
        <w:t>一、总则</w:t>
      </w:r>
      <w:r>
        <w:rPr>
          <w:rFonts w:hint="eastAsia" w:ascii="宋体" w:hAnsi="宋体" w:cs="宋体"/>
          <w:color w:val="auto"/>
          <w:szCs w:val="28"/>
          <w:highlight w:val="none"/>
        </w:rPr>
        <w:tab/>
      </w:r>
      <w:r>
        <w:rPr>
          <w:rFonts w:hint="eastAsia" w:ascii="宋体" w:hAnsi="宋体" w:cs="宋体"/>
          <w:color w:val="auto"/>
          <w:szCs w:val="28"/>
          <w:highlight w:val="none"/>
        </w:rPr>
        <w:t>1</w:t>
      </w:r>
      <w:r>
        <w:rPr>
          <w:rFonts w:hint="eastAsia" w:ascii="宋体" w:hAnsi="宋体" w:cs="宋体"/>
          <w:color w:val="auto"/>
          <w:szCs w:val="28"/>
          <w:highlight w:val="none"/>
        </w:rPr>
        <w:fldChar w:fldCharType="end"/>
      </w:r>
      <w:r>
        <w:rPr>
          <w:rFonts w:hint="eastAsia" w:ascii="宋体" w:hAnsi="宋体" w:cs="宋体"/>
          <w:color w:val="auto"/>
          <w:szCs w:val="28"/>
          <w:highlight w:val="none"/>
        </w:rPr>
        <w:t>1</w:t>
      </w:r>
    </w:p>
    <w:p w14:paraId="32086BAA">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"_Toc36641139" </w:instrText>
      </w:r>
      <w:r>
        <w:rPr>
          <w:color w:val="auto"/>
          <w:highlight w:val="none"/>
        </w:rPr>
        <w:fldChar w:fldCharType="separate"/>
      </w:r>
      <w:r>
        <w:rPr>
          <w:rStyle w:val="26"/>
          <w:rFonts w:hint="eastAsia" w:ascii="宋体" w:hAnsi="宋体" w:cs="宋体"/>
          <w:color w:val="auto"/>
          <w:sz w:val="28"/>
          <w:szCs w:val="28"/>
          <w:highlight w:val="none"/>
        </w:rPr>
        <w:t>二、招标文件的说明</w:t>
      </w:r>
      <w:r>
        <w:rPr>
          <w:rFonts w:hint="eastAsia" w:ascii="宋体" w:hAnsi="宋体" w:cs="宋体"/>
          <w:color w:val="auto"/>
          <w:szCs w:val="28"/>
          <w:highlight w:val="none"/>
        </w:rPr>
        <w:tab/>
      </w:r>
      <w:r>
        <w:rPr>
          <w:rFonts w:hint="eastAsia" w:ascii="宋体" w:hAnsi="宋体" w:cs="宋体"/>
          <w:color w:val="auto"/>
          <w:szCs w:val="28"/>
          <w:highlight w:val="none"/>
        </w:rPr>
        <w:t>1</w:t>
      </w:r>
      <w:r>
        <w:rPr>
          <w:rFonts w:hint="eastAsia" w:ascii="宋体" w:hAnsi="宋体" w:cs="宋体"/>
          <w:color w:val="auto"/>
          <w:szCs w:val="28"/>
          <w:highlight w:val="none"/>
        </w:rPr>
        <w:fldChar w:fldCharType="end"/>
      </w:r>
      <w:r>
        <w:rPr>
          <w:rFonts w:hint="eastAsia" w:ascii="宋体" w:hAnsi="宋体" w:cs="宋体"/>
          <w:color w:val="auto"/>
          <w:szCs w:val="28"/>
          <w:highlight w:val="none"/>
        </w:rPr>
        <w:t>3</w:t>
      </w:r>
    </w:p>
    <w:p w14:paraId="45F58299">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"_Toc36641140" </w:instrText>
      </w:r>
      <w:r>
        <w:rPr>
          <w:color w:val="auto"/>
          <w:highlight w:val="none"/>
        </w:rPr>
        <w:fldChar w:fldCharType="separate"/>
      </w:r>
      <w:r>
        <w:rPr>
          <w:rStyle w:val="26"/>
          <w:rFonts w:hint="eastAsia" w:ascii="宋体" w:hAnsi="宋体" w:cs="宋体"/>
          <w:color w:val="auto"/>
          <w:sz w:val="28"/>
          <w:szCs w:val="28"/>
          <w:highlight w:val="none"/>
        </w:rPr>
        <w:t>三、投标文件的编制</w:t>
      </w:r>
      <w:r>
        <w:rPr>
          <w:rFonts w:hint="eastAsia" w:ascii="宋体" w:hAnsi="宋体" w:cs="宋体"/>
          <w:color w:val="auto"/>
          <w:szCs w:val="28"/>
          <w:highlight w:val="none"/>
        </w:rPr>
        <w:tab/>
      </w:r>
      <w:r>
        <w:rPr>
          <w:rFonts w:hint="eastAsia" w:ascii="宋体" w:hAnsi="宋体" w:cs="宋体"/>
          <w:color w:val="auto"/>
          <w:szCs w:val="28"/>
          <w:highlight w:val="none"/>
        </w:rPr>
        <w:t>1</w:t>
      </w:r>
      <w:r>
        <w:rPr>
          <w:rFonts w:hint="eastAsia" w:ascii="宋体" w:hAnsi="宋体" w:cs="宋体"/>
          <w:color w:val="auto"/>
          <w:szCs w:val="28"/>
          <w:highlight w:val="none"/>
        </w:rPr>
        <w:fldChar w:fldCharType="end"/>
      </w:r>
      <w:r>
        <w:rPr>
          <w:rFonts w:hint="eastAsia" w:ascii="宋体" w:hAnsi="宋体" w:cs="宋体"/>
          <w:color w:val="auto"/>
          <w:szCs w:val="28"/>
          <w:highlight w:val="none"/>
        </w:rPr>
        <w:t>4</w:t>
      </w:r>
    </w:p>
    <w:p w14:paraId="3D925BE9">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"_Toc36641141" </w:instrText>
      </w:r>
      <w:r>
        <w:rPr>
          <w:color w:val="auto"/>
          <w:highlight w:val="none"/>
        </w:rPr>
        <w:fldChar w:fldCharType="separate"/>
      </w:r>
      <w:r>
        <w:rPr>
          <w:rStyle w:val="26"/>
          <w:rFonts w:hint="eastAsia" w:ascii="宋体" w:hAnsi="宋体" w:cs="宋体"/>
          <w:color w:val="auto"/>
          <w:sz w:val="28"/>
          <w:szCs w:val="28"/>
          <w:highlight w:val="none"/>
        </w:rPr>
        <w:t>四、投标文件的提交</w:t>
      </w:r>
      <w:r>
        <w:rPr>
          <w:rFonts w:hint="eastAsia" w:ascii="宋体" w:hAnsi="宋体" w:cs="宋体"/>
          <w:color w:val="auto"/>
          <w:szCs w:val="28"/>
          <w:highlight w:val="none"/>
        </w:rPr>
        <w:tab/>
      </w: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PAGEREF _Toc36641141 \h </w:instrText>
      </w:r>
      <w:r>
        <w:rPr>
          <w:rFonts w:hint="eastAsia" w:ascii="宋体" w:hAnsi="宋体" w:cs="宋体"/>
          <w:color w:val="auto"/>
          <w:szCs w:val="28"/>
          <w:highlight w:val="none"/>
        </w:rPr>
        <w:fldChar w:fldCharType="separate"/>
      </w:r>
      <w:r>
        <w:rPr>
          <w:rFonts w:hint="eastAsia" w:ascii="宋体" w:hAnsi="宋体" w:cs="宋体"/>
          <w:color w:val="auto"/>
          <w:szCs w:val="28"/>
          <w:highlight w:val="none"/>
        </w:rPr>
        <w:t>14</w:t>
      </w:r>
      <w:r>
        <w:rPr>
          <w:rFonts w:hint="eastAsia" w:ascii="宋体" w:hAnsi="宋体" w:cs="宋体"/>
          <w:color w:val="auto"/>
          <w:szCs w:val="28"/>
          <w:highlight w:val="none"/>
        </w:rPr>
        <w:fldChar w:fldCharType="end"/>
      </w:r>
      <w:r>
        <w:rPr>
          <w:rFonts w:hint="eastAsia" w:ascii="宋体" w:hAnsi="宋体" w:cs="宋体"/>
          <w:color w:val="auto"/>
          <w:szCs w:val="28"/>
          <w:highlight w:val="none"/>
        </w:rPr>
        <w:fldChar w:fldCharType="end"/>
      </w:r>
    </w:p>
    <w:p w14:paraId="1A664730">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"_Toc36641142" </w:instrText>
      </w:r>
      <w:r>
        <w:rPr>
          <w:color w:val="auto"/>
          <w:highlight w:val="none"/>
        </w:rPr>
        <w:fldChar w:fldCharType="separate"/>
      </w:r>
      <w:r>
        <w:rPr>
          <w:rStyle w:val="26"/>
          <w:rFonts w:hint="eastAsia" w:ascii="宋体" w:hAnsi="宋体" w:cs="宋体"/>
          <w:color w:val="auto"/>
          <w:sz w:val="28"/>
          <w:szCs w:val="28"/>
          <w:highlight w:val="none"/>
        </w:rPr>
        <w:t>五、开标程序</w:t>
      </w:r>
      <w:r>
        <w:rPr>
          <w:rFonts w:hint="eastAsia" w:ascii="宋体" w:hAnsi="宋体" w:cs="宋体"/>
          <w:color w:val="auto"/>
          <w:szCs w:val="28"/>
          <w:highlight w:val="none"/>
        </w:rPr>
        <w:tab/>
      </w:r>
      <w:r>
        <w:rPr>
          <w:rFonts w:hint="eastAsia" w:ascii="宋体" w:hAnsi="宋体" w:cs="宋体"/>
          <w:color w:val="auto"/>
          <w:szCs w:val="28"/>
          <w:highlight w:val="none"/>
        </w:rPr>
        <w:t>1</w:t>
      </w:r>
      <w:r>
        <w:rPr>
          <w:rFonts w:hint="eastAsia" w:ascii="宋体" w:hAnsi="宋体" w:cs="宋体"/>
          <w:color w:val="auto"/>
          <w:szCs w:val="28"/>
          <w:highlight w:val="none"/>
        </w:rPr>
        <w:fldChar w:fldCharType="end"/>
      </w:r>
      <w:r>
        <w:rPr>
          <w:rFonts w:hint="eastAsia" w:ascii="宋体" w:hAnsi="宋体" w:cs="宋体"/>
          <w:color w:val="auto"/>
          <w:szCs w:val="28"/>
          <w:highlight w:val="none"/>
        </w:rPr>
        <w:t>8</w:t>
      </w:r>
    </w:p>
    <w:p w14:paraId="48EA332F">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"_Toc36641143" </w:instrText>
      </w:r>
      <w:r>
        <w:rPr>
          <w:color w:val="auto"/>
          <w:highlight w:val="none"/>
        </w:rPr>
        <w:fldChar w:fldCharType="separate"/>
      </w:r>
      <w:r>
        <w:rPr>
          <w:rStyle w:val="26"/>
          <w:rFonts w:hint="eastAsia" w:ascii="宋体" w:hAnsi="宋体" w:cs="宋体"/>
          <w:snapToGrid w:val="0"/>
          <w:color w:val="auto"/>
          <w:sz w:val="28"/>
          <w:szCs w:val="28"/>
          <w:highlight w:val="none"/>
        </w:rPr>
        <w:t>六、评标</w:t>
      </w:r>
      <w:r>
        <w:rPr>
          <w:rFonts w:hint="eastAsia" w:ascii="宋体" w:hAnsi="宋体" w:cs="宋体"/>
          <w:color w:val="auto"/>
          <w:szCs w:val="28"/>
          <w:highlight w:val="none"/>
        </w:rPr>
        <w:tab/>
      </w:r>
      <w:r>
        <w:rPr>
          <w:rFonts w:hint="eastAsia" w:ascii="宋体" w:hAnsi="宋体" w:cs="宋体"/>
          <w:color w:val="auto"/>
          <w:szCs w:val="28"/>
          <w:highlight w:val="none"/>
        </w:rPr>
        <w:t>1</w:t>
      </w:r>
      <w:r>
        <w:rPr>
          <w:rFonts w:hint="eastAsia" w:ascii="宋体" w:hAnsi="宋体" w:cs="宋体"/>
          <w:color w:val="auto"/>
          <w:szCs w:val="28"/>
          <w:highlight w:val="none"/>
        </w:rPr>
        <w:fldChar w:fldCharType="end"/>
      </w:r>
      <w:r>
        <w:rPr>
          <w:rFonts w:hint="eastAsia" w:ascii="宋体" w:hAnsi="宋体" w:cs="宋体"/>
          <w:color w:val="auto"/>
          <w:szCs w:val="28"/>
          <w:highlight w:val="none"/>
        </w:rPr>
        <w:t>8</w:t>
      </w:r>
    </w:p>
    <w:p w14:paraId="7B6A32F6">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"_Toc36641144" </w:instrText>
      </w:r>
      <w:r>
        <w:rPr>
          <w:color w:val="auto"/>
          <w:highlight w:val="none"/>
        </w:rPr>
        <w:fldChar w:fldCharType="separate"/>
      </w:r>
      <w:r>
        <w:rPr>
          <w:rStyle w:val="26"/>
          <w:rFonts w:hint="eastAsia" w:ascii="宋体" w:hAnsi="宋体" w:cs="宋体"/>
          <w:color w:val="auto"/>
          <w:sz w:val="28"/>
          <w:szCs w:val="28"/>
          <w:highlight w:val="none"/>
        </w:rPr>
        <w:t>七、合同的授予</w:t>
      </w:r>
      <w:r>
        <w:rPr>
          <w:rFonts w:hint="eastAsia" w:ascii="宋体" w:hAnsi="宋体" w:cs="宋体"/>
          <w:color w:val="auto"/>
          <w:szCs w:val="28"/>
          <w:highlight w:val="none"/>
        </w:rPr>
        <w:tab/>
      </w:r>
      <w:r>
        <w:rPr>
          <w:rFonts w:hint="eastAsia" w:ascii="宋体" w:hAnsi="宋体" w:cs="宋体"/>
          <w:color w:val="auto"/>
          <w:szCs w:val="28"/>
          <w:highlight w:val="none"/>
        </w:rPr>
        <w:t>2</w:t>
      </w:r>
      <w:r>
        <w:rPr>
          <w:rFonts w:hint="eastAsia" w:ascii="宋体" w:hAnsi="宋体" w:cs="宋体"/>
          <w:color w:val="auto"/>
          <w:szCs w:val="28"/>
          <w:highlight w:val="none"/>
        </w:rPr>
        <w:fldChar w:fldCharType="end"/>
      </w:r>
      <w:r>
        <w:rPr>
          <w:rFonts w:hint="eastAsia" w:ascii="宋体" w:hAnsi="宋体" w:cs="宋体"/>
          <w:color w:val="auto"/>
          <w:szCs w:val="28"/>
          <w:highlight w:val="none"/>
        </w:rPr>
        <w:t>1</w:t>
      </w:r>
    </w:p>
    <w:p w14:paraId="1F15BE58">
      <w:pPr>
        <w:pStyle w:val="18"/>
        <w:tabs>
          <w:tab w:val="right" w:leader="dot" w:pos="8494"/>
        </w:tabs>
        <w:spacing w:line="480" w:lineRule="exact"/>
        <w:ind w:left="560"/>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"_Toc36641145" </w:instrText>
      </w:r>
      <w:r>
        <w:rPr>
          <w:color w:val="auto"/>
          <w:highlight w:val="none"/>
        </w:rPr>
        <w:fldChar w:fldCharType="separate"/>
      </w:r>
      <w:r>
        <w:rPr>
          <w:rStyle w:val="26"/>
          <w:rFonts w:hint="eastAsia" w:ascii="宋体" w:hAnsi="宋体" w:cs="宋体"/>
          <w:color w:val="auto"/>
          <w:sz w:val="28"/>
          <w:szCs w:val="28"/>
          <w:highlight w:val="none"/>
        </w:rPr>
        <w:t>八、质疑</w:t>
      </w:r>
      <w:r>
        <w:rPr>
          <w:rFonts w:hint="eastAsia" w:ascii="宋体" w:hAnsi="宋体" w:cs="宋体"/>
          <w:color w:val="auto"/>
          <w:szCs w:val="28"/>
          <w:highlight w:val="none"/>
        </w:rPr>
        <w:tab/>
      </w: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PAGEREF _Toc36641145 \h </w:instrText>
      </w:r>
      <w:r>
        <w:rPr>
          <w:rFonts w:hint="eastAsia" w:ascii="宋体" w:hAnsi="宋体" w:cs="宋体"/>
          <w:color w:val="auto"/>
          <w:szCs w:val="28"/>
          <w:highlight w:val="none"/>
        </w:rPr>
        <w:fldChar w:fldCharType="separate"/>
      </w:r>
      <w:r>
        <w:rPr>
          <w:rFonts w:hint="eastAsia" w:ascii="宋体" w:hAnsi="宋体" w:cs="宋体"/>
          <w:color w:val="auto"/>
          <w:szCs w:val="28"/>
          <w:highlight w:val="none"/>
        </w:rPr>
        <w:t>19</w:t>
      </w:r>
      <w:r>
        <w:rPr>
          <w:rFonts w:hint="eastAsia" w:ascii="宋体" w:hAnsi="宋体" w:cs="宋体"/>
          <w:color w:val="auto"/>
          <w:szCs w:val="28"/>
          <w:highlight w:val="none"/>
        </w:rPr>
        <w:fldChar w:fldCharType="end"/>
      </w:r>
      <w:r>
        <w:rPr>
          <w:rFonts w:hint="eastAsia" w:ascii="宋体" w:hAnsi="宋体" w:cs="宋体"/>
          <w:color w:val="auto"/>
          <w:szCs w:val="28"/>
          <w:highlight w:val="none"/>
        </w:rPr>
        <w:fldChar w:fldCharType="end"/>
      </w:r>
    </w:p>
    <w:p w14:paraId="5E38EC42">
      <w:pPr>
        <w:pStyle w:val="18"/>
        <w:tabs>
          <w:tab w:val="right" w:leader="dot" w:pos="8494"/>
        </w:tabs>
        <w:spacing w:line="480" w:lineRule="exact"/>
        <w:ind w:left="560"/>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"_Toc36641145" </w:instrText>
      </w:r>
      <w:r>
        <w:rPr>
          <w:color w:val="auto"/>
          <w:highlight w:val="none"/>
        </w:rPr>
        <w:fldChar w:fldCharType="separate"/>
      </w:r>
      <w:r>
        <w:rPr>
          <w:rFonts w:hint="eastAsia" w:ascii="宋体" w:hAnsi="宋体" w:cs="宋体"/>
          <w:color w:val="auto"/>
          <w:highlight w:val="none"/>
        </w:rPr>
        <w:t>九</w:t>
      </w:r>
      <w:r>
        <w:rPr>
          <w:rStyle w:val="26"/>
          <w:rFonts w:hint="eastAsia" w:ascii="宋体" w:hAnsi="宋体" w:cs="宋体"/>
          <w:color w:val="auto"/>
          <w:sz w:val="28"/>
          <w:szCs w:val="28"/>
          <w:highlight w:val="none"/>
        </w:rPr>
        <w:t>、履约验收</w:t>
      </w:r>
      <w:r>
        <w:rPr>
          <w:rFonts w:hint="eastAsia" w:ascii="宋体" w:hAnsi="宋体" w:cs="宋体"/>
          <w:color w:val="auto"/>
          <w:szCs w:val="28"/>
          <w:highlight w:val="none"/>
        </w:rPr>
        <w:tab/>
      </w: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PAGEREF _Toc36641145 \h </w:instrText>
      </w:r>
      <w:r>
        <w:rPr>
          <w:rFonts w:hint="eastAsia" w:ascii="宋体" w:hAnsi="宋体" w:cs="宋体"/>
          <w:color w:val="auto"/>
          <w:szCs w:val="28"/>
          <w:highlight w:val="none"/>
        </w:rPr>
        <w:fldChar w:fldCharType="separate"/>
      </w:r>
      <w:r>
        <w:rPr>
          <w:rFonts w:hint="eastAsia" w:ascii="宋体" w:hAnsi="宋体" w:cs="宋体"/>
          <w:color w:val="auto"/>
          <w:szCs w:val="28"/>
          <w:highlight w:val="none"/>
        </w:rPr>
        <w:t>19</w:t>
      </w:r>
      <w:r>
        <w:rPr>
          <w:rFonts w:hint="eastAsia" w:ascii="宋体" w:hAnsi="宋体" w:cs="宋体"/>
          <w:color w:val="auto"/>
          <w:szCs w:val="28"/>
          <w:highlight w:val="none"/>
        </w:rPr>
        <w:fldChar w:fldCharType="end"/>
      </w:r>
      <w:r>
        <w:rPr>
          <w:rFonts w:hint="eastAsia" w:ascii="宋体" w:hAnsi="宋体" w:cs="宋体"/>
          <w:color w:val="auto"/>
          <w:szCs w:val="28"/>
          <w:highlight w:val="none"/>
        </w:rPr>
        <w:fldChar w:fldCharType="end"/>
      </w:r>
    </w:p>
    <w:p w14:paraId="467F6ED0">
      <w:pPr>
        <w:pStyle w:val="16"/>
        <w:tabs>
          <w:tab w:val="right" w:leader="dot" w:pos="8494"/>
        </w:tabs>
        <w:spacing w:line="480" w:lineRule="exact"/>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"_Toc36641147" </w:instrText>
      </w:r>
      <w:r>
        <w:rPr>
          <w:color w:val="auto"/>
          <w:highlight w:val="none"/>
        </w:rPr>
        <w:fldChar w:fldCharType="separate"/>
      </w:r>
      <w:r>
        <w:rPr>
          <w:rStyle w:val="26"/>
          <w:rFonts w:hint="eastAsia" w:ascii="宋体" w:hAnsi="宋体" w:cs="宋体"/>
          <w:color w:val="auto"/>
          <w:sz w:val="28"/>
          <w:szCs w:val="28"/>
          <w:highlight w:val="none"/>
        </w:rPr>
        <w:t>第二章采购需求</w:t>
      </w:r>
      <w:r>
        <w:rPr>
          <w:rFonts w:hint="eastAsia" w:ascii="宋体" w:hAnsi="宋体" w:cs="宋体"/>
          <w:color w:val="auto"/>
          <w:szCs w:val="28"/>
          <w:highlight w:val="none"/>
        </w:rPr>
        <w:tab/>
      </w:r>
      <w:r>
        <w:rPr>
          <w:rFonts w:hint="eastAsia" w:ascii="宋体" w:hAnsi="宋体" w:cs="宋体"/>
          <w:color w:val="auto"/>
          <w:szCs w:val="28"/>
          <w:highlight w:val="none"/>
        </w:rPr>
        <w:t>2</w:t>
      </w:r>
      <w:r>
        <w:rPr>
          <w:rFonts w:hint="eastAsia" w:ascii="宋体" w:hAnsi="宋体" w:cs="宋体"/>
          <w:color w:val="auto"/>
          <w:szCs w:val="28"/>
          <w:highlight w:val="none"/>
        </w:rPr>
        <w:fldChar w:fldCharType="end"/>
      </w:r>
      <w:r>
        <w:rPr>
          <w:rFonts w:hint="eastAsia" w:ascii="宋体" w:hAnsi="宋体" w:cs="宋体"/>
          <w:color w:val="auto"/>
          <w:szCs w:val="28"/>
          <w:highlight w:val="none"/>
        </w:rPr>
        <w:t>4</w:t>
      </w:r>
    </w:p>
    <w:p w14:paraId="1A9ABE91">
      <w:pPr>
        <w:pStyle w:val="16"/>
        <w:tabs>
          <w:tab w:val="right" w:leader="dot" w:pos="8494"/>
        </w:tabs>
        <w:spacing w:line="480" w:lineRule="exact"/>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"_Toc36641148" </w:instrText>
      </w:r>
      <w:r>
        <w:rPr>
          <w:color w:val="auto"/>
          <w:highlight w:val="none"/>
        </w:rPr>
        <w:fldChar w:fldCharType="separate"/>
      </w:r>
      <w:r>
        <w:rPr>
          <w:rStyle w:val="26"/>
          <w:rFonts w:hint="eastAsia" w:ascii="宋体" w:hAnsi="宋体" w:cs="宋体"/>
          <w:color w:val="auto"/>
          <w:sz w:val="28"/>
          <w:szCs w:val="28"/>
          <w:highlight w:val="none"/>
        </w:rPr>
        <w:t>第三章评标办法及评分标准</w:t>
      </w:r>
      <w:r>
        <w:rPr>
          <w:rFonts w:hint="eastAsia" w:ascii="宋体" w:hAnsi="宋体" w:cs="宋体"/>
          <w:color w:val="auto"/>
          <w:szCs w:val="28"/>
          <w:highlight w:val="none"/>
        </w:rPr>
        <w:tab/>
      </w:r>
      <w:r>
        <w:rPr>
          <w:rFonts w:hint="eastAsia" w:ascii="宋体" w:hAnsi="宋体" w:cs="宋体"/>
          <w:color w:val="auto"/>
          <w:szCs w:val="28"/>
          <w:highlight w:val="none"/>
        </w:rPr>
        <w:t>3</w:t>
      </w:r>
      <w:r>
        <w:rPr>
          <w:rFonts w:hint="eastAsia" w:ascii="宋体" w:hAnsi="宋体" w:cs="宋体"/>
          <w:color w:val="auto"/>
          <w:szCs w:val="28"/>
          <w:highlight w:val="none"/>
        </w:rPr>
        <w:fldChar w:fldCharType="end"/>
      </w:r>
      <w:r>
        <w:rPr>
          <w:rFonts w:hint="eastAsia" w:ascii="宋体" w:hAnsi="宋体" w:cs="宋体"/>
          <w:color w:val="auto"/>
          <w:szCs w:val="28"/>
          <w:highlight w:val="none"/>
        </w:rPr>
        <w:t>7</w:t>
      </w:r>
    </w:p>
    <w:p w14:paraId="2ACF737D">
      <w:pPr>
        <w:pStyle w:val="16"/>
        <w:tabs>
          <w:tab w:val="right" w:leader="dot" w:pos="8494"/>
        </w:tabs>
        <w:spacing w:line="480" w:lineRule="exact"/>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"_Toc36641149" </w:instrText>
      </w:r>
      <w:r>
        <w:rPr>
          <w:color w:val="auto"/>
          <w:highlight w:val="none"/>
        </w:rPr>
        <w:fldChar w:fldCharType="separate"/>
      </w:r>
      <w:r>
        <w:rPr>
          <w:rStyle w:val="26"/>
          <w:rFonts w:hint="eastAsia" w:ascii="宋体" w:hAnsi="宋体" w:cs="宋体"/>
          <w:color w:val="auto"/>
          <w:sz w:val="28"/>
          <w:szCs w:val="28"/>
          <w:highlight w:val="none"/>
        </w:rPr>
        <w:t>第四章合同主要条款</w:t>
      </w:r>
      <w:r>
        <w:rPr>
          <w:rFonts w:hint="eastAsia" w:ascii="宋体" w:hAnsi="宋体" w:cs="宋体"/>
          <w:color w:val="auto"/>
          <w:szCs w:val="28"/>
          <w:highlight w:val="none"/>
        </w:rPr>
        <w:tab/>
      </w:r>
      <w:r>
        <w:rPr>
          <w:rFonts w:hint="eastAsia" w:ascii="宋体" w:hAnsi="宋体" w:cs="宋体"/>
          <w:color w:val="auto"/>
          <w:szCs w:val="28"/>
          <w:highlight w:val="none"/>
        </w:rPr>
        <w:t>4</w:t>
      </w:r>
      <w:r>
        <w:rPr>
          <w:rFonts w:hint="eastAsia" w:ascii="宋体" w:hAnsi="宋体" w:cs="宋体"/>
          <w:color w:val="auto"/>
          <w:szCs w:val="28"/>
          <w:highlight w:val="none"/>
        </w:rPr>
        <w:fldChar w:fldCharType="end"/>
      </w:r>
      <w:r>
        <w:rPr>
          <w:rFonts w:hint="eastAsia" w:ascii="宋体" w:hAnsi="宋体" w:cs="宋体"/>
          <w:color w:val="auto"/>
          <w:szCs w:val="28"/>
          <w:highlight w:val="none"/>
        </w:rPr>
        <w:t>3</w:t>
      </w:r>
    </w:p>
    <w:p w14:paraId="521B4A8C">
      <w:pPr>
        <w:pStyle w:val="16"/>
        <w:tabs>
          <w:tab w:val="right" w:leader="dot" w:pos="8494"/>
        </w:tabs>
        <w:spacing w:line="480" w:lineRule="exact"/>
        <w:jc w:val="center"/>
        <w:rPr>
          <w:rFonts w:ascii="宋体" w:hAnsi="宋体" w:cs="宋体"/>
          <w:color w:val="auto"/>
          <w:szCs w:val="28"/>
          <w:highlight w:val="none"/>
        </w:rPr>
      </w:pPr>
      <w:r>
        <w:rPr>
          <w:color w:val="auto"/>
          <w:highlight w:val="none"/>
        </w:rPr>
        <w:fldChar w:fldCharType="begin"/>
      </w:r>
      <w:r>
        <w:rPr>
          <w:color w:val="auto"/>
          <w:highlight w:val="none"/>
        </w:rPr>
        <w:instrText xml:space="preserve"> HYPERLINK \l "_Toc36641150" </w:instrText>
      </w:r>
      <w:r>
        <w:rPr>
          <w:color w:val="auto"/>
          <w:highlight w:val="none"/>
        </w:rPr>
        <w:fldChar w:fldCharType="separate"/>
      </w:r>
      <w:r>
        <w:rPr>
          <w:rStyle w:val="26"/>
          <w:rFonts w:hint="eastAsia" w:ascii="宋体" w:hAnsi="宋体" w:cs="宋体"/>
          <w:color w:val="auto"/>
          <w:sz w:val="28"/>
          <w:szCs w:val="28"/>
          <w:highlight w:val="none"/>
        </w:rPr>
        <w:t>第五章投标文件的格式</w:t>
      </w:r>
      <w:r>
        <w:rPr>
          <w:rFonts w:hint="eastAsia" w:ascii="宋体" w:hAnsi="宋体" w:cs="宋体"/>
          <w:color w:val="auto"/>
          <w:szCs w:val="28"/>
          <w:highlight w:val="none"/>
        </w:rPr>
        <w:tab/>
      </w:r>
      <w:r>
        <w:rPr>
          <w:rFonts w:hint="eastAsia" w:ascii="宋体" w:hAnsi="宋体" w:cs="宋体"/>
          <w:color w:val="auto"/>
          <w:szCs w:val="28"/>
          <w:highlight w:val="none"/>
        </w:rPr>
        <w:t>5</w:t>
      </w:r>
      <w:r>
        <w:rPr>
          <w:rFonts w:hint="eastAsia" w:ascii="宋体" w:hAnsi="宋体" w:cs="宋体"/>
          <w:color w:val="auto"/>
          <w:szCs w:val="28"/>
          <w:highlight w:val="none"/>
        </w:rPr>
        <w:fldChar w:fldCharType="end"/>
      </w:r>
      <w:r>
        <w:rPr>
          <w:rFonts w:hint="eastAsia" w:ascii="宋体" w:hAnsi="宋体" w:cs="宋体"/>
          <w:color w:val="auto"/>
          <w:szCs w:val="28"/>
          <w:highlight w:val="none"/>
        </w:rPr>
        <w:t>3</w:t>
      </w:r>
    </w:p>
    <w:p w14:paraId="40AB8F79">
      <w:pPr>
        <w:pStyle w:val="16"/>
        <w:tabs>
          <w:tab w:val="right" w:leader="dot" w:pos="9532"/>
        </w:tabs>
        <w:spacing w:line="480" w:lineRule="exact"/>
        <w:jc w:val="center"/>
        <w:rPr>
          <w:rFonts w:ascii="宋体" w:hAnsi="宋体" w:cs="宋体"/>
          <w:color w:val="auto"/>
          <w:highlight w:val="none"/>
        </w:rPr>
      </w:pPr>
      <w:r>
        <w:rPr>
          <w:rStyle w:val="26"/>
          <w:rFonts w:hint="eastAsia" w:ascii="宋体" w:hAnsi="宋体" w:cs="宋体"/>
          <w:color w:val="auto"/>
          <w:sz w:val="28"/>
          <w:szCs w:val="28"/>
          <w:highlight w:val="none"/>
        </w:rPr>
        <w:fldChar w:fldCharType="end"/>
      </w:r>
    </w:p>
    <w:p w14:paraId="46715F6F">
      <w:pPr>
        <w:rPr>
          <w:rFonts w:ascii="宋体" w:hAnsi="宋体" w:cs="宋体"/>
          <w:color w:val="auto"/>
          <w:highlight w:val="none"/>
        </w:rPr>
      </w:pPr>
    </w:p>
    <w:p w14:paraId="3DF221C6">
      <w:pPr>
        <w:adjustRightInd w:val="0"/>
        <w:snapToGrid w:val="0"/>
        <w:spacing w:line="360" w:lineRule="auto"/>
        <w:ind w:firstLine="600"/>
        <w:rPr>
          <w:rFonts w:ascii="宋体" w:hAnsi="宋体" w:cs="宋体"/>
          <w:color w:val="auto"/>
          <w:sz w:val="30"/>
          <w:szCs w:val="30"/>
          <w:highlight w:val="none"/>
        </w:rPr>
      </w:pPr>
      <w:r>
        <w:rPr>
          <w:rFonts w:hint="eastAsia" w:ascii="宋体" w:hAnsi="宋体" w:cs="宋体"/>
          <w:color w:val="auto"/>
          <w:szCs w:val="30"/>
          <w:highlight w:val="none"/>
        </w:rPr>
        <w:fldChar w:fldCharType="end"/>
      </w:r>
    </w:p>
    <w:p w14:paraId="5AB85D31">
      <w:pPr>
        <w:adjustRightInd w:val="0"/>
        <w:snapToGrid w:val="0"/>
        <w:spacing w:line="360" w:lineRule="auto"/>
        <w:rPr>
          <w:rFonts w:ascii="宋体" w:hAnsi="宋体" w:cs="宋体"/>
          <w:color w:val="auto"/>
          <w:sz w:val="30"/>
          <w:szCs w:val="30"/>
          <w:highlight w:val="none"/>
        </w:rPr>
      </w:pPr>
    </w:p>
    <w:p w14:paraId="62FA0024">
      <w:pPr>
        <w:spacing w:line="360" w:lineRule="auto"/>
        <w:jc w:val="center"/>
        <w:outlineLvl w:val="0"/>
        <w:rPr>
          <w:rFonts w:ascii="宋体" w:hAnsi="宋体" w:cs="宋体"/>
          <w:b/>
          <w:color w:val="auto"/>
          <w:sz w:val="44"/>
          <w:szCs w:val="44"/>
          <w:highlight w:val="none"/>
        </w:rPr>
      </w:pPr>
      <w:bookmarkStart w:id="1" w:name="_Toc28990"/>
    </w:p>
    <w:p w14:paraId="32E7A465">
      <w:pPr>
        <w:spacing w:line="360" w:lineRule="auto"/>
        <w:jc w:val="center"/>
        <w:outlineLvl w:val="0"/>
        <w:rPr>
          <w:rFonts w:ascii="宋体" w:hAnsi="宋体" w:cs="宋体"/>
          <w:b/>
          <w:color w:val="auto"/>
          <w:sz w:val="44"/>
          <w:szCs w:val="44"/>
          <w:highlight w:val="none"/>
        </w:rPr>
      </w:pPr>
    </w:p>
    <w:p w14:paraId="73D077F8">
      <w:pPr>
        <w:spacing w:line="360" w:lineRule="auto"/>
        <w:jc w:val="center"/>
        <w:outlineLvl w:val="0"/>
        <w:rPr>
          <w:rFonts w:ascii="宋体" w:hAnsi="宋体" w:cs="宋体"/>
          <w:b/>
          <w:color w:val="auto"/>
          <w:sz w:val="44"/>
          <w:szCs w:val="44"/>
          <w:highlight w:val="none"/>
        </w:rPr>
        <w:sectPr>
          <w:footerReference r:id="rId5" w:type="default"/>
          <w:pgSz w:w="11910" w:h="16840"/>
          <w:pgMar w:top="1440" w:right="1196" w:bottom="1440" w:left="1080" w:header="999" w:footer="1033" w:gutter="0"/>
          <w:cols w:space="720" w:num="1"/>
        </w:sectPr>
      </w:pPr>
    </w:p>
    <w:p w14:paraId="4FAF8376">
      <w:pPr>
        <w:spacing w:line="360" w:lineRule="auto"/>
        <w:jc w:val="center"/>
        <w:outlineLvl w:val="0"/>
        <w:rPr>
          <w:rFonts w:ascii="宋体" w:hAnsi="宋体" w:cs="宋体"/>
          <w:color w:val="auto"/>
          <w:sz w:val="21"/>
          <w:szCs w:val="21"/>
          <w:highlight w:val="none"/>
        </w:rPr>
      </w:pPr>
      <w:r>
        <w:rPr>
          <w:rFonts w:hint="eastAsia" w:ascii="宋体" w:hAnsi="宋体" w:cs="宋体"/>
          <w:b/>
          <w:color w:val="auto"/>
          <w:sz w:val="44"/>
          <w:szCs w:val="44"/>
          <w:highlight w:val="none"/>
        </w:rPr>
        <w:t xml:space="preserve"> 公开招标采购公告</w:t>
      </w:r>
      <w:bookmarkEnd w:id="1"/>
    </w:p>
    <w:p w14:paraId="696BEFFA">
      <w:pPr>
        <w:pStyle w:val="12"/>
        <w:adjustRightInd w:val="0"/>
        <w:snapToGrid w:val="0"/>
        <w:spacing w:line="360" w:lineRule="auto"/>
        <w:ind w:firstLine="480"/>
        <w:rPr>
          <w:rFonts w:cs="宋体"/>
          <w:color w:val="auto"/>
          <w:sz w:val="24"/>
          <w:szCs w:val="24"/>
          <w:highlight w:val="none"/>
        </w:rPr>
      </w:pPr>
      <w:r>
        <w:rPr>
          <w:rFonts w:hint="eastAsia" w:cs="宋体"/>
          <w:color w:val="auto"/>
          <w:sz w:val="24"/>
          <w:szCs w:val="24"/>
          <w:highlight w:val="none"/>
        </w:rPr>
        <w:t>根据《中华人民共和国政府采购法》、《政府采购货物和服务招标投标管理办法》等规定，经</w:t>
      </w:r>
      <w:r>
        <w:rPr>
          <w:rFonts w:hint="eastAsia" w:cs="宋体"/>
          <w:color w:val="auto"/>
          <w:kern w:val="0"/>
          <w:sz w:val="24"/>
          <w:highlight w:val="none"/>
        </w:rPr>
        <w:t>财政局</w:t>
      </w:r>
      <w:r>
        <w:rPr>
          <w:rFonts w:hint="eastAsia" w:cs="宋体"/>
          <w:color w:val="auto"/>
          <w:sz w:val="24"/>
          <w:szCs w:val="24"/>
          <w:highlight w:val="none"/>
        </w:rPr>
        <w:t>批准（财政审批编号:南太湖新区财采确临[2024]5270号），现就</w:t>
      </w:r>
      <w:r>
        <w:rPr>
          <w:rFonts w:hint="eastAsia" w:cs="宋体"/>
          <w:color w:val="auto"/>
          <w:kern w:val="0"/>
          <w:sz w:val="24"/>
          <w:highlight w:val="none"/>
          <w:u w:val="single"/>
        </w:rPr>
        <w:t>湖州市人民政府滨湖街道办事处</w:t>
      </w:r>
      <w:r>
        <w:rPr>
          <w:rFonts w:hint="eastAsia" w:cs="宋体"/>
          <w:color w:val="auto"/>
          <w:sz w:val="24"/>
          <w:szCs w:val="24"/>
          <w:highlight w:val="none"/>
        </w:rPr>
        <w:t>的</w:t>
      </w:r>
      <w:r>
        <w:rPr>
          <w:rFonts w:hint="eastAsia" w:cs="宋体"/>
          <w:color w:val="auto"/>
          <w:sz w:val="24"/>
          <w:szCs w:val="24"/>
          <w:highlight w:val="none"/>
          <w:u w:val="single"/>
        </w:rPr>
        <w:t>2024年滨湖街道城市小区生活垃圾精准分类项目</w:t>
      </w:r>
      <w:r>
        <w:rPr>
          <w:rFonts w:hint="eastAsia" w:cs="宋体"/>
          <w:color w:val="auto"/>
          <w:sz w:val="24"/>
          <w:szCs w:val="24"/>
          <w:highlight w:val="none"/>
        </w:rPr>
        <w:t>进行公开招标采购，欢迎中华人民共和国境内的合格投标人前来参加投标。</w:t>
      </w:r>
    </w:p>
    <w:p w14:paraId="54F2425E">
      <w:pPr>
        <w:pStyle w:val="12"/>
        <w:numPr>
          <w:ilvl w:val="0"/>
          <w:numId w:val="1"/>
        </w:numPr>
        <w:adjustRightInd w:val="0"/>
        <w:snapToGrid w:val="0"/>
        <w:spacing w:line="360" w:lineRule="auto"/>
        <w:ind w:firstLineChars="0"/>
        <w:outlineLvl w:val="1"/>
        <w:rPr>
          <w:rFonts w:cs="宋体"/>
          <w:color w:val="auto"/>
          <w:sz w:val="24"/>
          <w:szCs w:val="24"/>
          <w:highlight w:val="none"/>
        </w:rPr>
      </w:pPr>
      <w:bookmarkStart w:id="2" w:name="_Toc7519"/>
      <w:r>
        <w:rPr>
          <w:rFonts w:hint="eastAsia" w:cs="宋体"/>
          <w:b/>
          <w:color w:val="auto"/>
          <w:sz w:val="24"/>
          <w:szCs w:val="24"/>
          <w:highlight w:val="none"/>
        </w:rPr>
        <w:t>项目编号：</w:t>
      </w:r>
      <w:bookmarkEnd w:id="2"/>
      <w:r>
        <w:rPr>
          <w:rFonts w:hint="eastAsia" w:cs="宋体"/>
          <w:color w:val="auto"/>
          <w:sz w:val="24"/>
          <w:szCs w:val="24"/>
          <w:highlight w:val="none"/>
        </w:rPr>
        <w:t xml:space="preserve">浙华采字【2024】hzx-9030号 </w:t>
      </w:r>
    </w:p>
    <w:p w14:paraId="1BB732E9">
      <w:pPr>
        <w:pStyle w:val="12"/>
        <w:numPr>
          <w:ilvl w:val="0"/>
          <w:numId w:val="1"/>
        </w:numPr>
        <w:adjustRightInd w:val="0"/>
        <w:snapToGrid w:val="0"/>
        <w:spacing w:line="360" w:lineRule="auto"/>
        <w:ind w:firstLineChars="0"/>
        <w:outlineLvl w:val="1"/>
        <w:rPr>
          <w:rFonts w:cs="宋体"/>
          <w:color w:val="auto"/>
          <w:sz w:val="24"/>
          <w:szCs w:val="24"/>
          <w:highlight w:val="none"/>
        </w:rPr>
      </w:pPr>
      <w:bookmarkStart w:id="3" w:name="_Toc3936"/>
      <w:r>
        <w:rPr>
          <w:rFonts w:hint="eastAsia" w:cs="宋体"/>
          <w:b/>
          <w:color w:val="auto"/>
          <w:sz w:val="24"/>
          <w:szCs w:val="24"/>
          <w:highlight w:val="none"/>
        </w:rPr>
        <w:t>项目组织形式：</w:t>
      </w:r>
      <w:bookmarkEnd w:id="3"/>
      <w:r>
        <w:rPr>
          <w:rFonts w:hint="eastAsia" w:cs="宋体"/>
          <w:color w:val="auto"/>
          <w:sz w:val="24"/>
          <w:szCs w:val="24"/>
          <w:highlight w:val="none"/>
        </w:rPr>
        <w:t>分散采购委托代理</w:t>
      </w:r>
    </w:p>
    <w:p w14:paraId="6D2382FC">
      <w:pPr>
        <w:pStyle w:val="12"/>
        <w:numPr>
          <w:ilvl w:val="0"/>
          <w:numId w:val="1"/>
        </w:numPr>
        <w:adjustRightInd w:val="0"/>
        <w:snapToGrid w:val="0"/>
        <w:spacing w:line="360" w:lineRule="auto"/>
        <w:ind w:firstLineChars="0"/>
        <w:outlineLvl w:val="1"/>
        <w:rPr>
          <w:rFonts w:cs="宋体"/>
          <w:color w:val="auto"/>
          <w:sz w:val="24"/>
          <w:szCs w:val="24"/>
          <w:highlight w:val="none"/>
        </w:rPr>
      </w:pPr>
      <w:bookmarkStart w:id="4" w:name="_Toc20830"/>
      <w:r>
        <w:rPr>
          <w:rFonts w:hint="eastAsia" w:cs="宋体"/>
          <w:b/>
          <w:color w:val="auto"/>
          <w:sz w:val="24"/>
          <w:szCs w:val="24"/>
          <w:highlight w:val="none"/>
        </w:rPr>
        <w:t>招标方式：</w:t>
      </w:r>
      <w:r>
        <w:rPr>
          <w:rFonts w:hint="eastAsia" w:cs="宋体"/>
          <w:color w:val="auto"/>
          <w:sz w:val="24"/>
          <w:szCs w:val="24"/>
          <w:highlight w:val="none"/>
        </w:rPr>
        <w:t>公开招标</w:t>
      </w:r>
      <w:bookmarkEnd w:id="4"/>
    </w:p>
    <w:p w14:paraId="46FD2C83">
      <w:pPr>
        <w:pStyle w:val="12"/>
        <w:numPr>
          <w:ilvl w:val="0"/>
          <w:numId w:val="1"/>
        </w:numPr>
        <w:adjustRightInd w:val="0"/>
        <w:snapToGrid w:val="0"/>
        <w:spacing w:line="360" w:lineRule="auto"/>
        <w:ind w:firstLineChars="0"/>
        <w:outlineLvl w:val="1"/>
        <w:rPr>
          <w:rFonts w:cs="宋体"/>
          <w:b/>
          <w:color w:val="auto"/>
          <w:sz w:val="24"/>
          <w:szCs w:val="24"/>
          <w:highlight w:val="none"/>
        </w:rPr>
      </w:pPr>
      <w:bookmarkStart w:id="5" w:name="_Toc4561"/>
      <w:r>
        <w:rPr>
          <w:rFonts w:hint="eastAsia" w:cs="宋体"/>
          <w:b/>
          <w:color w:val="auto"/>
          <w:sz w:val="24"/>
          <w:szCs w:val="24"/>
          <w:highlight w:val="none"/>
        </w:rPr>
        <w:t>采购内容：</w:t>
      </w:r>
      <w:bookmarkEnd w:id="5"/>
    </w:p>
    <w:tbl>
      <w:tblPr>
        <w:tblStyle w:val="21"/>
        <w:tblW w:w="10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2970"/>
        <w:gridCol w:w="868"/>
        <w:gridCol w:w="1301"/>
        <w:gridCol w:w="2025"/>
        <w:gridCol w:w="1929"/>
      </w:tblGrid>
      <w:tr w14:paraId="59C7B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04F8024F">
            <w:pPr>
              <w:snapToGrid w:val="0"/>
              <w:spacing w:line="360" w:lineRule="auto"/>
              <w:jc w:val="center"/>
              <w:rPr>
                <w:rStyle w:val="28"/>
                <w:rFonts w:ascii="宋体" w:hAnsi="宋体" w:cs="宋体"/>
                <w:color w:val="auto"/>
                <w:sz w:val="24"/>
                <w:highlight w:val="none"/>
              </w:rPr>
            </w:pPr>
            <w:r>
              <w:rPr>
                <w:rStyle w:val="28"/>
                <w:rFonts w:hint="eastAsia" w:ascii="宋体" w:hAnsi="宋体" w:cs="宋体"/>
                <w:color w:val="auto"/>
                <w:sz w:val="24"/>
                <w:highlight w:val="none"/>
              </w:rPr>
              <w:t>标项</w:t>
            </w:r>
          </w:p>
        </w:tc>
        <w:tc>
          <w:tcPr>
            <w:tcW w:w="2970" w:type="dxa"/>
            <w:tcBorders>
              <w:top w:val="single" w:color="auto" w:sz="4" w:space="0"/>
              <w:left w:val="single" w:color="auto" w:sz="4" w:space="0"/>
              <w:bottom w:val="single" w:color="auto" w:sz="4" w:space="0"/>
              <w:right w:val="single" w:color="auto" w:sz="4" w:space="0"/>
            </w:tcBorders>
            <w:vAlign w:val="center"/>
          </w:tcPr>
          <w:p w14:paraId="18E2DCAE">
            <w:pPr>
              <w:snapToGrid w:val="0"/>
              <w:spacing w:line="360" w:lineRule="auto"/>
              <w:jc w:val="center"/>
              <w:rPr>
                <w:rStyle w:val="28"/>
                <w:rFonts w:ascii="宋体" w:hAnsi="宋体" w:cs="宋体"/>
                <w:color w:val="auto"/>
                <w:sz w:val="24"/>
                <w:highlight w:val="none"/>
              </w:rPr>
            </w:pPr>
            <w:r>
              <w:rPr>
                <w:rStyle w:val="28"/>
                <w:rFonts w:hint="eastAsia" w:ascii="宋体" w:hAnsi="宋体" w:cs="宋体"/>
                <w:color w:val="auto"/>
                <w:sz w:val="24"/>
                <w:highlight w:val="none"/>
              </w:rPr>
              <w:t>采购内容</w:t>
            </w:r>
          </w:p>
        </w:tc>
        <w:tc>
          <w:tcPr>
            <w:tcW w:w="868" w:type="dxa"/>
            <w:tcBorders>
              <w:top w:val="single" w:color="auto" w:sz="4" w:space="0"/>
              <w:left w:val="single" w:color="auto" w:sz="4" w:space="0"/>
              <w:bottom w:val="single" w:color="auto" w:sz="4" w:space="0"/>
              <w:right w:val="single" w:color="auto" w:sz="4" w:space="0"/>
            </w:tcBorders>
            <w:vAlign w:val="center"/>
          </w:tcPr>
          <w:p w14:paraId="16892410">
            <w:pPr>
              <w:snapToGrid w:val="0"/>
              <w:spacing w:line="360" w:lineRule="auto"/>
              <w:jc w:val="center"/>
              <w:rPr>
                <w:rStyle w:val="28"/>
                <w:rFonts w:ascii="宋体" w:hAnsi="宋体" w:cs="宋体"/>
                <w:color w:val="auto"/>
                <w:sz w:val="24"/>
                <w:highlight w:val="none"/>
              </w:rPr>
            </w:pPr>
            <w:r>
              <w:rPr>
                <w:rStyle w:val="28"/>
                <w:rFonts w:hint="eastAsia" w:ascii="宋体" w:hAnsi="宋体" w:cs="宋体"/>
                <w:color w:val="auto"/>
                <w:sz w:val="24"/>
                <w:highlight w:val="none"/>
              </w:rPr>
              <w:t>数量</w:t>
            </w:r>
          </w:p>
        </w:tc>
        <w:tc>
          <w:tcPr>
            <w:tcW w:w="1301" w:type="dxa"/>
            <w:tcBorders>
              <w:top w:val="single" w:color="auto" w:sz="4" w:space="0"/>
              <w:left w:val="single" w:color="auto" w:sz="4" w:space="0"/>
              <w:bottom w:val="single" w:color="auto" w:sz="4" w:space="0"/>
              <w:right w:val="single" w:color="auto" w:sz="4" w:space="0"/>
            </w:tcBorders>
            <w:vAlign w:val="center"/>
          </w:tcPr>
          <w:p w14:paraId="4384B42D">
            <w:pPr>
              <w:snapToGrid w:val="0"/>
              <w:spacing w:line="360" w:lineRule="auto"/>
              <w:jc w:val="center"/>
              <w:rPr>
                <w:rStyle w:val="28"/>
                <w:rFonts w:ascii="宋体" w:hAnsi="宋体" w:cs="宋体"/>
                <w:color w:val="auto"/>
                <w:sz w:val="24"/>
                <w:highlight w:val="none"/>
              </w:rPr>
            </w:pPr>
            <w:r>
              <w:rPr>
                <w:rStyle w:val="28"/>
                <w:rFonts w:hint="eastAsia" w:ascii="宋体" w:hAnsi="宋体" w:cs="宋体"/>
                <w:color w:val="auto"/>
                <w:sz w:val="24"/>
                <w:highlight w:val="none"/>
              </w:rPr>
              <w:t>服务期限</w:t>
            </w:r>
          </w:p>
        </w:tc>
        <w:tc>
          <w:tcPr>
            <w:tcW w:w="2025" w:type="dxa"/>
            <w:tcBorders>
              <w:top w:val="single" w:color="auto" w:sz="4" w:space="0"/>
              <w:left w:val="single" w:color="auto" w:sz="4" w:space="0"/>
              <w:bottom w:val="single" w:color="auto" w:sz="4" w:space="0"/>
              <w:right w:val="single" w:color="auto" w:sz="4" w:space="0"/>
            </w:tcBorders>
            <w:vAlign w:val="center"/>
          </w:tcPr>
          <w:p w14:paraId="782069DA">
            <w:pPr>
              <w:snapToGrid w:val="0"/>
              <w:spacing w:line="360" w:lineRule="auto"/>
              <w:jc w:val="center"/>
              <w:rPr>
                <w:rStyle w:val="28"/>
                <w:rFonts w:ascii="宋体" w:hAnsi="宋体" w:cs="宋体"/>
                <w:color w:val="auto"/>
                <w:sz w:val="24"/>
                <w:highlight w:val="none"/>
              </w:rPr>
            </w:pPr>
            <w:r>
              <w:rPr>
                <w:rStyle w:val="28"/>
                <w:rFonts w:hint="eastAsia" w:ascii="宋体" w:hAnsi="宋体" w:cs="宋体"/>
                <w:color w:val="auto"/>
                <w:sz w:val="24"/>
                <w:highlight w:val="none"/>
              </w:rPr>
              <w:t>预算常住户数</w:t>
            </w:r>
          </w:p>
        </w:tc>
        <w:tc>
          <w:tcPr>
            <w:tcW w:w="1929" w:type="dxa"/>
            <w:tcBorders>
              <w:top w:val="single" w:color="auto" w:sz="4" w:space="0"/>
              <w:left w:val="single" w:color="auto" w:sz="4" w:space="0"/>
              <w:bottom w:val="single" w:color="auto" w:sz="4" w:space="0"/>
              <w:right w:val="single" w:color="auto" w:sz="4" w:space="0"/>
            </w:tcBorders>
            <w:vAlign w:val="center"/>
          </w:tcPr>
          <w:p w14:paraId="6A9CB38E">
            <w:pPr>
              <w:snapToGrid w:val="0"/>
              <w:spacing w:line="360" w:lineRule="auto"/>
              <w:jc w:val="center"/>
              <w:rPr>
                <w:rStyle w:val="28"/>
                <w:rFonts w:ascii="宋体" w:hAnsi="宋体" w:cs="宋体"/>
                <w:color w:val="auto"/>
                <w:sz w:val="24"/>
                <w:highlight w:val="none"/>
              </w:rPr>
            </w:pPr>
            <w:r>
              <w:rPr>
                <w:rStyle w:val="28"/>
                <w:rFonts w:hint="eastAsia" w:ascii="宋体" w:hAnsi="宋体" w:cs="宋体"/>
                <w:color w:val="auto"/>
                <w:sz w:val="24"/>
                <w:highlight w:val="none"/>
              </w:rPr>
              <w:t>采购预算</w:t>
            </w:r>
          </w:p>
        </w:tc>
      </w:tr>
      <w:tr w14:paraId="4EC76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53FC7D74">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标项一</w:t>
            </w:r>
          </w:p>
        </w:tc>
        <w:tc>
          <w:tcPr>
            <w:tcW w:w="2970" w:type="dxa"/>
            <w:tcBorders>
              <w:top w:val="single" w:color="auto" w:sz="4" w:space="0"/>
              <w:left w:val="single" w:color="auto" w:sz="4" w:space="0"/>
              <w:bottom w:val="single" w:color="auto" w:sz="4" w:space="0"/>
              <w:right w:val="single" w:color="auto" w:sz="4" w:space="0"/>
            </w:tcBorders>
            <w:vAlign w:val="center"/>
          </w:tcPr>
          <w:p w14:paraId="0E4CE139">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乌程街以西19个小区内生活垃圾精准分类</w:t>
            </w:r>
          </w:p>
        </w:tc>
        <w:tc>
          <w:tcPr>
            <w:tcW w:w="868" w:type="dxa"/>
            <w:tcBorders>
              <w:top w:val="single" w:color="auto" w:sz="4" w:space="0"/>
              <w:left w:val="single" w:color="auto" w:sz="4" w:space="0"/>
              <w:bottom w:val="single" w:color="auto" w:sz="4" w:space="0"/>
              <w:right w:val="single" w:color="auto" w:sz="4" w:space="0"/>
            </w:tcBorders>
            <w:vAlign w:val="center"/>
          </w:tcPr>
          <w:p w14:paraId="2AB41470">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1项</w:t>
            </w:r>
          </w:p>
        </w:tc>
        <w:tc>
          <w:tcPr>
            <w:tcW w:w="1301" w:type="dxa"/>
            <w:tcBorders>
              <w:top w:val="single" w:color="auto" w:sz="4" w:space="0"/>
              <w:left w:val="single" w:color="auto" w:sz="4" w:space="0"/>
              <w:bottom w:val="single" w:color="auto" w:sz="4" w:space="0"/>
              <w:right w:val="single" w:color="auto" w:sz="4" w:space="0"/>
            </w:tcBorders>
            <w:vAlign w:val="center"/>
          </w:tcPr>
          <w:p w14:paraId="12DEE6CA">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1年</w:t>
            </w:r>
          </w:p>
        </w:tc>
        <w:tc>
          <w:tcPr>
            <w:tcW w:w="2025" w:type="dxa"/>
            <w:tcBorders>
              <w:top w:val="single" w:color="auto" w:sz="4" w:space="0"/>
              <w:left w:val="single" w:color="auto" w:sz="4" w:space="0"/>
              <w:bottom w:val="single" w:color="auto" w:sz="4" w:space="0"/>
              <w:right w:val="single" w:color="auto" w:sz="4" w:space="0"/>
            </w:tcBorders>
            <w:vAlign w:val="center"/>
          </w:tcPr>
          <w:p w14:paraId="14966925">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7722户</w:t>
            </w:r>
          </w:p>
        </w:tc>
        <w:tc>
          <w:tcPr>
            <w:tcW w:w="1929" w:type="dxa"/>
            <w:tcBorders>
              <w:top w:val="single" w:color="auto" w:sz="4" w:space="0"/>
              <w:left w:val="single" w:color="auto" w:sz="4" w:space="0"/>
              <w:bottom w:val="single" w:color="auto" w:sz="4" w:space="0"/>
              <w:right w:val="single" w:color="auto" w:sz="4" w:space="0"/>
            </w:tcBorders>
            <w:vAlign w:val="center"/>
          </w:tcPr>
          <w:p w14:paraId="1E167529">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2890180元</w:t>
            </w:r>
          </w:p>
        </w:tc>
      </w:tr>
      <w:tr w14:paraId="4604C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658CED78">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标项二</w:t>
            </w:r>
          </w:p>
        </w:tc>
        <w:tc>
          <w:tcPr>
            <w:tcW w:w="2970" w:type="dxa"/>
            <w:tcBorders>
              <w:top w:val="single" w:color="auto" w:sz="4" w:space="0"/>
              <w:left w:val="single" w:color="auto" w:sz="4" w:space="0"/>
              <w:bottom w:val="single" w:color="auto" w:sz="4" w:space="0"/>
              <w:right w:val="single" w:color="auto" w:sz="4" w:space="0"/>
            </w:tcBorders>
            <w:vAlign w:val="center"/>
          </w:tcPr>
          <w:p w14:paraId="5F3C0589">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乌程街以东及长东片区</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个小区内生活垃圾精准分类</w:t>
            </w:r>
          </w:p>
        </w:tc>
        <w:tc>
          <w:tcPr>
            <w:tcW w:w="868" w:type="dxa"/>
            <w:tcBorders>
              <w:top w:val="single" w:color="auto" w:sz="4" w:space="0"/>
              <w:left w:val="single" w:color="auto" w:sz="4" w:space="0"/>
              <w:bottom w:val="single" w:color="auto" w:sz="4" w:space="0"/>
              <w:right w:val="single" w:color="auto" w:sz="4" w:space="0"/>
            </w:tcBorders>
            <w:vAlign w:val="center"/>
          </w:tcPr>
          <w:p w14:paraId="1AE81339">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1项</w:t>
            </w:r>
          </w:p>
        </w:tc>
        <w:tc>
          <w:tcPr>
            <w:tcW w:w="1301" w:type="dxa"/>
            <w:tcBorders>
              <w:top w:val="single" w:color="auto" w:sz="4" w:space="0"/>
              <w:left w:val="single" w:color="auto" w:sz="4" w:space="0"/>
              <w:bottom w:val="single" w:color="auto" w:sz="4" w:space="0"/>
              <w:right w:val="single" w:color="auto" w:sz="4" w:space="0"/>
            </w:tcBorders>
            <w:vAlign w:val="center"/>
          </w:tcPr>
          <w:p w14:paraId="273B3746">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1年</w:t>
            </w:r>
          </w:p>
        </w:tc>
        <w:tc>
          <w:tcPr>
            <w:tcW w:w="2025" w:type="dxa"/>
            <w:tcBorders>
              <w:top w:val="single" w:color="auto" w:sz="4" w:space="0"/>
              <w:left w:val="single" w:color="auto" w:sz="4" w:space="0"/>
              <w:bottom w:val="single" w:color="auto" w:sz="4" w:space="0"/>
              <w:right w:val="single" w:color="auto" w:sz="4" w:space="0"/>
            </w:tcBorders>
            <w:vAlign w:val="center"/>
          </w:tcPr>
          <w:p w14:paraId="2C7FF58D">
            <w:pPr>
              <w:widowControl/>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4501户</w:t>
            </w:r>
          </w:p>
        </w:tc>
        <w:tc>
          <w:tcPr>
            <w:tcW w:w="1929" w:type="dxa"/>
            <w:tcBorders>
              <w:top w:val="single" w:color="auto" w:sz="4" w:space="0"/>
              <w:left w:val="single" w:color="auto" w:sz="4" w:space="0"/>
              <w:bottom w:val="single" w:color="auto" w:sz="4" w:space="0"/>
              <w:right w:val="single" w:color="auto" w:sz="4" w:space="0"/>
            </w:tcBorders>
            <w:vAlign w:val="center"/>
          </w:tcPr>
          <w:p w14:paraId="3AE75547">
            <w:pPr>
              <w:widowControl/>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1771010元</w:t>
            </w:r>
          </w:p>
        </w:tc>
      </w:tr>
      <w:tr w14:paraId="6E7EB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0" w:hRule="atLeast"/>
          <w:jc w:val="center"/>
        </w:trPr>
        <w:tc>
          <w:tcPr>
            <w:tcW w:w="10197" w:type="dxa"/>
            <w:gridSpan w:val="6"/>
            <w:tcBorders>
              <w:top w:val="single" w:color="auto" w:sz="4" w:space="0"/>
              <w:left w:val="single" w:color="auto" w:sz="4" w:space="0"/>
              <w:bottom w:val="single" w:color="auto" w:sz="4" w:space="0"/>
              <w:right w:val="single" w:color="auto" w:sz="4" w:space="0"/>
            </w:tcBorders>
            <w:vAlign w:val="center"/>
          </w:tcPr>
          <w:p w14:paraId="2C6BF2DE">
            <w:pPr>
              <w:widowControl/>
              <w:snapToGrid w:val="0"/>
              <w:spacing w:line="360" w:lineRule="auto"/>
              <w:jc w:val="left"/>
              <w:rPr>
                <w:color w:val="auto"/>
                <w:highlight w:val="none"/>
              </w:rPr>
            </w:pPr>
            <w:r>
              <w:rPr>
                <w:rFonts w:hint="eastAsia"/>
                <w:color w:val="auto"/>
                <w:sz w:val="24"/>
                <w:highlight w:val="none"/>
              </w:rPr>
              <w:t>注：1、投标报价及分项报价部分超最高限价均为无效；2、本项目共分两个标项，按标项1、标项2标项顺序开标、评标，采取兼投不兼中原则，投标人可以参加所有标项的投标，但同一投标人最多只能中一个标项，</w:t>
            </w:r>
            <w:r>
              <w:rPr>
                <w:rFonts w:hint="eastAsia"/>
                <w:color w:val="auto"/>
                <w:sz w:val="24"/>
                <w:highlight w:val="none"/>
                <w:lang w:eastAsia="zh-TW"/>
              </w:rPr>
              <w:t>当该投标人在多个标项中同时得分最高时，则按照标项顺序进行中标，且该投标人在其所投剩余标项中，只参加评审、不推荐中标。</w:t>
            </w:r>
            <w:r>
              <w:rPr>
                <w:rFonts w:hint="eastAsia"/>
                <w:color w:val="auto"/>
                <w:sz w:val="24"/>
                <w:highlight w:val="none"/>
              </w:rPr>
              <w:t>如标项1第一中标候选人放弃中标或被取消中标资格，不影响标项2的中标</w:t>
            </w:r>
            <w:r>
              <w:rPr>
                <w:rFonts w:hint="eastAsia" w:ascii="宋体" w:hAnsi="宋体" w:cs="宋体"/>
                <w:color w:val="auto"/>
                <w:sz w:val="24"/>
                <w:highlight w:val="none"/>
              </w:rPr>
              <w:t>结果</w:t>
            </w:r>
            <w:r>
              <w:rPr>
                <w:rFonts w:hint="eastAsia"/>
                <w:color w:val="auto"/>
                <w:sz w:val="24"/>
                <w:highlight w:val="none"/>
              </w:rPr>
              <w:t>；按同一投标人最多只能中一个标项原则，标项1由第三候选中标人中标。</w:t>
            </w:r>
          </w:p>
        </w:tc>
      </w:tr>
    </w:tbl>
    <w:p w14:paraId="6325A330">
      <w:pPr>
        <w:pStyle w:val="12"/>
        <w:numPr>
          <w:ilvl w:val="0"/>
          <w:numId w:val="1"/>
        </w:numPr>
        <w:adjustRightInd w:val="0"/>
        <w:snapToGrid w:val="0"/>
        <w:spacing w:line="500" w:lineRule="exact"/>
        <w:ind w:firstLineChars="0"/>
        <w:outlineLvl w:val="1"/>
        <w:rPr>
          <w:rFonts w:cs="宋体"/>
          <w:b/>
          <w:color w:val="auto"/>
          <w:sz w:val="24"/>
          <w:szCs w:val="24"/>
          <w:highlight w:val="none"/>
        </w:rPr>
      </w:pPr>
      <w:bookmarkStart w:id="6" w:name="_Toc4575"/>
      <w:r>
        <w:rPr>
          <w:rFonts w:hint="eastAsia" w:cs="宋体"/>
          <w:b/>
          <w:color w:val="auto"/>
          <w:sz w:val="24"/>
          <w:szCs w:val="24"/>
          <w:highlight w:val="none"/>
        </w:rPr>
        <w:t>合格投标人的资格要求：</w:t>
      </w:r>
      <w:bookmarkEnd w:id="6"/>
    </w:p>
    <w:p w14:paraId="218858B5">
      <w:pPr>
        <w:numPr>
          <w:ilvl w:val="0"/>
          <w:numId w:val="2"/>
        </w:numPr>
        <w:spacing w:line="50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A4AFA23">
      <w:pPr>
        <w:numPr>
          <w:ilvl w:val="0"/>
          <w:numId w:val="2"/>
        </w:numPr>
        <w:spacing w:line="50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单位负责人为同一人或者存在控股、管理关系的不同单位，不得参加同一标项投标。</w:t>
      </w:r>
    </w:p>
    <w:p w14:paraId="19509118">
      <w:pPr>
        <w:numPr>
          <w:ilvl w:val="0"/>
          <w:numId w:val="2"/>
        </w:numPr>
        <w:spacing w:line="50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至本项目开标截止时间前，投标人未列入失信被执行人、重大税收违法案件当事人名单、政府采购严重违法失信行为记录名单的（以“信用中国”网站www.creditchina.gov.cn、“中国政府采购网”www.ccgp.gov.cn查询结果为准）。</w:t>
      </w:r>
    </w:p>
    <w:p w14:paraId="1F0A1D13">
      <w:pPr>
        <w:numPr>
          <w:ilvl w:val="0"/>
          <w:numId w:val="2"/>
        </w:numPr>
        <w:spacing w:line="50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落实政府采购政策需满足的资格要求：本项目专门面向中小企业采购，供应商需提供符合《政府采购促进中小企业发展管理办法》（财库【2020】46号）和本采购文件规定的《中小企业声明函》。（本项目采购标的对应的中小企业划分标准所属行业为其他未列明行业）</w:t>
      </w:r>
    </w:p>
    <w:p w14:paraId="1C47427D">
      <w:pPr>
        <w:numPr>
          <w:ilvl w:val="0"/>
          <w:numId w:val="2"/>
        </w:numPr>
        <w:spacing w:line="50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本项目不接受联合体投标。</w:t>
      </w:r>
    </w:p>
    <w:p w14:paraId="08C22C6E">
      <w:pPr>
        <w:widowControl/>
        <w:numPr>
          <w:ilvl w:val="0"/>
          <w:numId w:val="1"/>
        </w:numPr>
        <w:spacing w:line="500" w:lineRule="exact"/>
        <w:jc w:val="left"/>
        <w:rPr>
          <w:rFonts w:ascii="宋体" w:hAnsi="宋体" w:cs="宋体"/>
          <w:b/>
          <w:bCs/>
          <w:color w:val="auto"/>
          <w:kern w:val="0"/>
          <w:sz w:val="24"/>
          <w:highlight w:val="none"/>
        </w:rPr>
      </w:pPr>
      <w:bookmarkStart w:id="7" w:name="_Toc19747"/>
      <w:r>
        <w:rPr>
          <w:rFonts w:hint="eastAsia" w:ascii="宋体" w:hAnsi="宋体" w:cs="宋体"/>
          <w:b/>
          <w:bCs/>
          <w:color w:val="auto"/>
          <w:kern w:val="0"/>
          <w:sz w:val="24"/>
          <w:highlight w:val="none"/>
        </w:rPr>
        <w:t>采购文件的获取:</w:t>
      </w:r>
    </w:p>
    <w:bookmarkEnd w:id="7"/>
    <w:p w14:paraId="0DB6AC10">
      <w:pPr>
        <w:widowControl/>
        <w:numPr>
          <w:ilvl w:val="0"/>
          <w:numId w:val="3"/>
        </w:numPr>
        <w:snapToGrid w:val="0"/>
        <w:spacing w:line="500" w:lineRule="exact"/>
        <w:jc w:val="left"/>
        <w:textAlignment w:val="baseline"/>
        <w:rPr>
          <w:rFonts w:ascii="宋体" w:hAnsi="宋体" w:cs="宋体"/>
          <w:color w:val="auto"/>
          <w:kern w:val="0"/>
          <w:sz w:val="24"/>
          <w:highlight w:val="none"/>
        </w:rPr>
      </w:pPr>
      <w:bookmarkStart w:id="8" w:name="_Toc32145"/>
      <w:bookmarkStart w:id="9" w:name="_Toc4490"/>
      <w:r>
        <w:rPr>
          <w:rFonts w:hint="eastAsia" w:ascii="宋体" w:hAnsi="宋体" w:cs="宋体"/>
          <w:color w:val="auto"/>
          <w:kern w:val="0"/>
          <w:sz w:val="24"/>
          <w:highlight w:val="none"/>
        </w:rPr>
        <w:t>获取文件时间：自公告发布之日起至投标截止时间（潜在供应商获取采购文件前应当在电子交易平台上注册账号并登录,截止时间后不再接受潜在供应商获取采购文件）</w:t>
      </w:r>
    </w:p>
    <w:p w14:paraId="473DA7E4">
      <w:pPr>
        <w:snapToGrid w:val="0"/>
        <w:spacing w:line="500" w:lineRule="exact"/>
        <w:textAlignment w:val="baseline"/>
        <w:rPr>
          <w:rFonts w:ascii="宋体" w:hAnsi="宋体" w:cs="宋体"/>
          <w:b/>
          <w:color w:val="auto"/>
          <w:sz w:val="24"/>
          <w:highlight w:val="none"/>
          <w:u w:val="single"/>
        </w:rPr>
      </w:pPr>
      <w:r>
        <w:rPr>
          <w:rFonts w:hint="eastAsia" w:ascii="宋体" w:hAnsi="宋体" w:cs="宋体"/>
          <w:b/>
          <w:color w:val="auto"/>
          <w:sz w:val="24"/>
          <w:highlight w:val="none"/>
          <w:u w:val="single" w:color="000000"/>
        </w:rPr>
        <w:t>本公告自发布之日起公告期限为5个工作日。</w:t>
      </w:r>
    </w:p>
    <w:p w14:paraId="3768F32E">
      <w:pPr>
        <w:widowControl/>
        <w:numPr>
          <w:ilvl w:val="0"/>
          <w:numId w:val="3"/>
        </w:numPr>
        <w:snapToGrid w:val="0"/>
        <w:spacing w:line="500" w:lineRule="exact"/>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本项目采购文件实行网上在线申请，不收取工本费。</w:t>
      </w:r>
    </w:p>
    <w:p w14:paraId="6D29E583">
      <w:pPr>
        <w:widowControl/>
        <w:numPr>
          <w:ilvl w:val="0"/>
          <w:numId w:val="3"/>
        </w:numPr>
        <w:snapToGrid w:val="0"/>
        <w:spacing w:line="500" w:lineRule="exact"/>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获取方式：供应商登录浙江政府采购网(http://zfcg.czt.zj.gov.cn/)进入政采云系统“项目采购”模块“获取采购文件”菜单，进行网上获取招标文件。（“政采云”注册账号、密码登录系统后获取采购文件）或在湖州市公共资源交易信息网（http://ggzyjy.huzhou.gov.cn/)“政府采购”--“分散采购”版块下载。</w:t>
      </w:r>
    </w:p>
    <w:p w14:paraId="730855E3">
      <w:pPr>
        <w:pStyle w:val="29"/>
        <w:numPr>
          <w:ilvl w:val="0"/>
          <w:numId w:val="3"/>
        </w:numPr>
        <w:snapToGrid w:val="0"/>
        <w:spacing w:line="500" w:lineRule="exact"/>
        <w:rPr>
          <w:rFonts w:ascii="宋体" w:hAnsi="宋体" w:cs="宋体"/>
          <w:b/>
          <w:color w:val="auto"/>
          <w:sz w:val="24"/>
          <w:highlight w:val="none"/>
        </w:rPr>
      </w:pPr>
      <w:r>
        <w:rPr>
          <w:rFonts w:hint="eastAsia" w:ascii="宋体" w:hAnsi="宋体" w:cs="宋体"/>
          <w:color w:val="auto"/>
          <w:sz w:val="24"/>
          <w:highlight w:val="none"/>
        </w:rPr>
        <w:t>免费注册网址：浙江政府采购网（供应商注册页面）：https://middle.zcygov.cn/settle-front/#/registry“政采云”，咨询电话：95763。已经注册成功的供应商无需重复注册。</w:t>
      </w:r>
    </w:p>
    <w:p w14:paraId="1BFEC06A">
      <w:pPr>
        <w:pStyle w:val="12"/>
        <w:numPr>
          <w:ilvl w:val="0"/>
          <w:numId w:val="3"/>
        </w:numPr>
        <w:snapToGrid w:val="0"/>
        <w:spacing w:line="360" w:lineRule="auto"/>
        <w:ind w:firstLineChars="0"/>
        <w:textAlignment w:val="baseline"/>
        <w:rPr>
          <w:rFonts w:cs="宋体"/>
          <w:b/>
          <w:color w:val="auto"/>
          <w:sz w:val="24"/>
          <w:szCs w:val="24"/>
          <w:highlight w:val="none"/>
        </w:rPr>
      </w:pPr>
      <w:r>
        <w:rPr>
          <w:rFonts w:hint="eastAsia" w:cs="宋体"/>
          <w:b/>
          <w:color w:val="auto"/>
          <w:sz w:val="24"/>
          <w:szCs w:val="24"/>
          <w:highlight w:val="none"/>
        </w:rPr>
        <w:t>投标保证金：不缴纳</w:t>
      </w:r>
    </w:p>
    <w:p w14:paraId="3599AE1F">
      <w:pPr>
        <w:pStyle w:val="12"/>
        <w:numPr>
          <w:ilvl w:val="0"/>
          <w:numId w:val="1"/>
        </w:numPr>
        <w:snapToGrid w:val="0"/>
        <w:spacing w:line="360" w:lineRule="auto"/>
        <w:ind w:firstLineChars="0"/>
        <w:textAlignment w:val="baseline"/>
        <w:rPr>
          <w:rFonts w:cs="宋体"/>
          <w:b/>
          <w:color w:val="auto"/>
          <w:sz w:val="24"/>
          <w:szCs w:val="24"/>
          <w:highlight w:val="none"/>
        </w:rPr>
      </w:pPr>
      <w:r>
        <w:rPr>
          <w:rFonts w:hint="eastAsia" w:cs="宋体"/>
          <w:b/>
          <w:color w:val="auto"/>
          <w:sz w:val="24"/>
          <w:szCs w:val="24"/>
          <w:highlight w:val="none"/>
        </w:rPr>
        <w:t>投标文件的递交及相关事宜</w:t>
      </w:r>
    </w:p>
    <w:p w14:paraId="113D0072">
      <w:pPr>
        <w:pStyle w:val="19"/>
        <w:numPr>
          <w:ilvl w:val="0"/>
          <w:numId w:val="4"/>
        </w:numPr>
        <w:shd w:val="clear" w:color="auto" w:fill="FFFFFF"/>
        <w:snapToGrid w:val="0"/>
        <w:spacing w:before="0" w:beforeAutospacing="0" w:after="0" w:afterAutospacing="0" w:line="360" w:lineRule="auto"/>
        <w:jc w:val="both"/>
        <w:textAlignment w:val="baseline"/>
        <w:rPr>
          <w:color w:val="auto"/>
          <w:highlight w:val="none"/>
        </w:rPr>
      </w:pPr>
      <w:r>
        <w:rPr>
          <w:rFonts w:hint="eastAsia"/>
          <w:b/>
          <w:bCs/>
          <w:color w:val="auto"/>
          <w:highlight w:val="none"/>
        </w:rPr>
        <w:t>投标文件递交的截止时间</w:t>
      </w:r>
      <w:r>
        <w:rPr>
          <w:rFonts w:hint="eastAsia"/>
          <w:color w:val="auto"/>
          <w:highlight w:val="none"/>
        </w:rPr>
        <w:t>（投标截止时间，下同）为2024年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09</w:t>
      </w:r>
      <w:r>
        <w:rPr>
          <w:rFonts w:hint="eastAsia"/>
          <w:color w:val="auto"/>
          <w:highlight w:val="none"/>
        </w:rPr>
        <w:t>日09：30。</w:t>
      </w:r>
    </w:p>
    <w:p w14:paraId="13485A62">
      <w:pPr>
        <w:pStyle w:val="19"/>
        <w:numPr>
          <w:ilvl w:val="0"/>
          <w:numId w:val="4"/>
        </w:numPr>
        <w:shd w:val="clear" w:color="auto" w:fill="FFFFFF"/>
        <w:snapToGrid w:val="0"/>
        <w:spacing w:before="0" w:beforeAutospacing="0" w:after="0" w:afterAutospacing="0" w:line="360" w:lineRule="auto"/>
        <w:textAlignment w:val="baseline"/>
        <w:rPr>
          <w:b/>
          <w:bCs/>
          <w:color w:val="auto"/>
          <w:highlight w:val="none"/>
        </w:rPr>
      </w:pPr>
      <w:r>
        <w:rPr>
          <w:rFonts w:hint="eastAsia"/>
          <w:b/>
          <w:bCs/>
          <w:color w:val="auto"/>
          <w:highlight w:val="none"/>
        </w:rPr>
        <w:t>投标文件递交方式：</w:t>
      </w:r>
    </w:p>
    <w:p w14:paraId="1D0DBEB8">
      <w:pPr>
        <w:pStyle w:val="19"/>
        <w:numPr>
          <w:ilvl w:val="0"/>
          <w:numId w:val="5"/>
        </w:numPr>
        <w:shd w:val="clear" w:color="auto" w:fill="FFFFFF"/>
        <w:snapToGrid w:val="0"/>
        <w:spacing w:before="0" w:beforeAutospacing="0" w:after="0" w:afterAutospacing="0" w:line="360" w:lineRule="auto"/>
        <w:textAlignment w:val="baseline"/>
        <w:rPr>
          <w:color w:val="auto"/>
          <w:highlight w:val="none"/>
        </w:rPr>
      </w:pPr>
      <w:r>
        <w:rPr>
          <w:rFonts w:hint="eastAsia"/>
          <w:b/>
          <w:bCs/>
          <w:color w:val="auto"/>
          <w:highlight w:val="none"/>
        </w:rPr>
        <w:t>电子投标文件：</w:t>
      </w:r>
      <w:r>
        <w:rPr>
          <w:rFonts w:hint="eastAsia"/>
          <w:color w:val="auto"/>
          <w:highlight w:val="none"/>
        </w:rPr>
        <w:t>按政采云平台项目采购-电子交易操作指南及本招标文件要求递交。投标人应于2024年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09</w:t>
      </w:r>
      <w:r>
        <w:rPr>
          <w:rFonts w:hint="eastAsia"/>
          <w:color w:val="auto"/>
          <w:highlight w:val="none"/>
        </w:rPr>
        <w:t>日09：30（北京时间）前将加密的电子版投标文件上传到政采云系统中（不准时上传视为不参加）。</w:t>
      </w:r>
    </w:p>
    <w:p w14:paraId="414BDBA0">
      <w:pPr>
        <w:pStyle w:val="19"/>
        <w:numPr>
          <w:ilvl w:val="0"/>
          <w:numId w:val="6"/>
        </w:numPr>
        <w:shd w:val="clear" w:color="auto" w:fill="FFFFFF"/>
        <w:snapToGrid w:val="0"/>
        <w:spacing w:before="0" w:beforeAutospacing="0" w:after="0" w:afterAutospacing="0" w:line="360" w:lineRule="auto"/>
        <w:jc w:val="both"/>
        <w:textAlignment w:val="baseline"/>
        <w:rPr>
          <w:color w:val="auto"/>
          <w:highlight w:val="none"/>
        </w:rPr>
      </w:pPr>
      <w:r>
        <w:rPr>
          <w:rFonts w:hint="eastAsia"/>
          <w:color w:val="auto"/>
          <w:highlight w:val="none"/>
        </w:rPr>
        <w:t>供应商须在线获取CA数字证书（完成CA数字证书办理预计一周左右，建议各投标人自行把握时间），并登陆“浙江省政府采购网”(https://zfcg.czt.zj.gov.cn/)，进入“下载专区”下载“电子交易客户端”，制作投标文件。</w:t>
      </w:r>
    </w:p>
    <w:p w14:paraId="2592E967">
      <w:pPr>
        <w:pStyle w:val="19"/>
        <w:numPr>
          <w:ilvl w:val="0"/>
          <w:numId w:val="6"/>
        </w:numPr>
        <w:shd w:val="clear" w:color="auto" w:fill="FFFFFF"/>
        <w:snapToGrid w:val="0"/>
        <w:spacing w:before="0" w:beforeAutospacing="0" w:after="0" w:afterAutospacing="0" w:line="360" w:lineRule="auto"/>
        <w:textAlignment w:val="baseline"/>
        <w:rPr>
          <w:color w:val="auto"/>
          <w:highlight w:val="none"/>
        </w:rPr>
      </w:pPr>
      <w:r>
        <w:rPr>
          <w:rFonts w:hint="eastAsia"/>
          <w:color w:val="auto"/>
          <w:highlight w:val="none"/>
        </w:rPr>
        <w:t>投标人将加密的电子版投标文件于投标截止时间前上传到政采云系统中。具体的投标文件加密上传等操作详见政采云平台操作指南。</w:t>
      </w:r>
      <w:r>
        <w:rPr>
          <w:color w:val="auto"/>
          <w:highlight w:val="none"/>
        </w:rPr>
        <w:fldChar w:fldCharType="begin"/>
      </w:r>
      <w:r>
        <w:rPr>
          <w:color w:val="auto"/>
          <w:highlight w:val="none"/>
        </w:rPr>
        <w:instrText xml:space="preserve"> HYPERLINK "https://edu.zcygov.cn/luban/e-biding?utm=a0004.2ef5001f.0001.0109.da8b35e0da8611e98d8937b7ef8a3544" </w:instrText>
      </w:r>
      <w:r>
        <w:rPr>
          <w:color w:val="auto"/>
          <w:highlight w:val="none"/>
        </w:rPr>
        <w:fldChar w:fldCharType="separate"/>
      </w:r>
      <w:r>
        <w:rPr>
          <w:rFonts w:hint="eastAsia"/>
          <w:color w:val="auto"/>
          <w:highlight w:val="none"/>
        </w:rPr>
        <w:t>https://edu.zcygov.cn/luban/e-biding?utm=a0004.2ef5001f.0001.0109.da8b35e0da8611e98d8937b7ef8a3544</w:t>
      </w:r>
      <w:r>
        <w:rPr>
          <w:rFonts w:hint="eastAsia"/>
          <w:color w:val="auto"/>
          <w:highlight w:val="none"/>
        </w:rPr>
        <w:fldChar w:fldCharType="end"/>
      </w:r>
    </w:p>
    <w:p w14:paraId="37766AE5">
      <w:pPr>
        <w:pStyle w:val="19"/>
        <w:numPr>
          <w:ilvl w:val="0"/>
          <w:numId w:val="5"/>
        </w:numPr>
        <w:shd w:val="clear" w:color="auto" w:fill="FFFFFF"/>
        <w:snapToGrid w:val="0"/>
        <w:spacing w:before="0" w:beforeAutospacing="0" w:after="0" w:afterAutospacing="0" w:line="360" w:lineRule="auto"/>
        <w:textAlignment w:val="baseline"/>
        <w:rPr>
          <w:color w:val="auto"/>
          <w:highlight w:val="none"/>
        </w:rPr>
      </w:pPr>
      <w:r>
        <w:rPr>
          <w:rFonts w:hint="eastAsia"/>
          <w:b/>
          <w:bCs/>
          <w:color w:val="auto"/>
          <w:highlight w:val="none"/>
        </w:rPr>
        <w:t>备份投标文件</w:t>
      </w:r>
    </w:p>
    <w:p w14:paraId="4F131B51">
      <w:pPr>
        <w:pStyle w:val="19"/>
        <w:numPr>
          <w:ilvl w:val="0"/>
          <w:numId w:val="7"/>
        </w:numPr>
        <w:shd w:val="clear" w:color="auto" w:fill="FFFFFF"/>
        <w:snapToGrid w:val="0"/>
        <w:spacing w:before="0" w:beforeAutospacing="0" w:after="0" w:afterAutospacing="0" w:line="360" w:lineRule="auto"/>
        <w:textAlignment w:val="baseline"/>
        <w:rPr>
          <w:color w:val="auto"/>
          <w:highlight w:val="none"/>
        </w:rPr>
      </w:pPr>
      <w:r>
        <w:rPr>
          <w:rFonts w:hint="eastAsia"/>
          <w:color w:val="auto"/>
          <w:highlight w:val="none"/>
        </w:rPr>
        <w:t>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w:t>
      </w:r>
    </w:p>
    <w:p w14:paraId="038F73C4">
      <w:pPr>
        <w:pStyle w:val="19"/>
        <w:numPr>
          <w:ilvl w:val="0"/>
          <w:numId w:val="7"/>
        </w:numPr>
        <w:shd w:val="clear" w:color="auto" w:fill="FFFFFF"/>
        <w:snapToGrid w:val="0"/>
        <w:spacing w:before="0" w:beforeAutospacing="0" w:after="0" w:afterAutospacing="0" w:line="360" w:lineRule="auto"/>
        <w:textAlignment w:val="baseline"/>
        <w:rPr>
          <w:color w:val="auto"/>
          <w:highlight w:val="none"/>
        </w:rPr>
      </w:pPr>
      <w:r>
        <w:rPr>
          <w:rFonts w:hint="eastAsia"/>
          <w:color w:val="auto"/>
          <w:highlight w:val="none"/>
        </w:rPr>
        <w:t>备份投标文件通过邮寄方式递交，电子流程正常进行时，备份投标文件不予开启。备份投标文件邮寄地址：湖州市吴兴区星洲国际10幢5楼，浙江华夏工程管理有限公司，联系人：采购部；联系电话：0572-2567837 。</w:t>
      </w:r>
    </w:p>
    <w:p w14:paraId="2F92AEEB">
      <w:pPr>
        <w:pStyle w:val="19"/>
        <w:numPr>
          <w:ilvl w:val="0"/>
          <w:numId w:val="4"/>
        </w:numPr>
        <w:shd w:val="clear" w:color="auto" w:fill="FFFFFF"/>
        <w:snapToGrid w:val="0"/>
        <w:spacing w:before="0" w:beforeAutospacing="0" w:after="0" w:afterAutospacing="0" w:line="360" w:lineRule="auto"/>
        <w:textAlignment w:val="baseline"/>
        <w:rPr>
          <w:color w:val="auto"/>
          <w:highlight w:val="none"/>
        </w:rPr>
      </w:pPr>
      <w:bookmarkStart w:id="10" w:name="_Toc25948"/>
      <w:bookmarkStart w:id="11" w:name="_Toc1896"/>
      <w:r>
        <w:rPr>
          <w:rFonts w:hint="eastAsia"/>
          <w:b/>
          <w:bCs/>
          <w:color w:val="auto"/>
          <w:highlight w:val="none"/>
        </w:rPr>
        <w:t>投标文件的标前准备</w:t>
      </w:r>
    </w:p>
    <w:p w14:paraId="32E8D531">
      <w:pPr>
        <w:pStyle w:val="19"/>
        <w:shd w:val="clear" w:color="auto" w:fill="FFFFFF"/>
        <w:snapToGrid w:val="0"/>
        <w:spacing w:before="0" w:beforeAutospacing="0" w:after="0" w:afterAutospacing="0" w:line="360" w:lineRule="auto"/>
        <w:ind w:firstLine="480" w:firstLineChars="200"/>
        <w:textAlignment w:val="baseline"/>
        <w:rPr>
          <w:color w:val="auto"/>
          <w:highlight w:val="none"/>
        </w:rPr>
      </w:pPr>
      <w:r>
        <w:rPr>
          <w:rFonts w:hint="eastAsia"/>
          <w:color w:val="auto"/>
          <w:highlight w:val="none"/>
        </w:rPr>
        <w:t>标前投标人必须完成以下操作：政府采购云平台正式供应商注册-CA数字证书申领-CA锁绑定-电子交易客户端的下载。完成CA数字证书办理在资料齐全的情况下预计7个工作日左右，建议供应商获取招标文件后立即办理。</w:t>
      </w:r>
    </w:p>
    <w:p w14:paraId="61424AF1">
      <w:pPr>
        <w:pStyle w:val="19"/>
        <w:snapToGrid w:val="0"/>
        <w:spacing w:before="0" w:beforeAutospacing="0" w:after="0" w:afterAutospacing="0" w:line="360" w:lineRule="auto"/>
        <w:ind w:firstLine="420"/>
        <w:textAlignment w:val="baseline"/>
        <w:rPr>
          <w:color w:val="auto"/>
          <w:highlight w:val="none"/>
        </w:rPr>
      </w:pPr>
      <w:r>
        <w:rPr>
          <w:rFonts w:hint="eastAsia"/>
          <w:color w:val="auto"/>
          <w:highlight w:val="none"/>
        </w:rPr>
        <w:t>①《注册入驻操作指南【通用版】-供应商》：</w:t>
      </w:r>
      <w:r>
        <w:rPr>
          <w:rFonts w:hint="eastAsia"/>
          <w:color w:val="auto"/>
          <w:highlight w:val="none"/>
          <w:u w:val="single"/>
        </w:rPr>
        <w:t>https://service.zcygov.cn/#/knowledges/c㎡eqWwBFdiHxlNd_otq/w3Cd3GwBFdiHxlNd-BRD?keyword=%E4%BE%9B%E5%BA%94%E5%95%86%E5%85%A5%E9%A9%BB</w:t>
      </w:r>
      <w:r>
        <w:rPr>
          <w:rFonts w:hint="eastAsia"/>
          <w:color w:val="auto"/>
          <w:highlight w:val="none"/>
        </w:rPr>
        <w:t>；</w:t>
      </w:r>
    </w:p>
    <w:p w14:paraId="6F79CFFB">
      <w:pPr>
        <w:pStyle w:val="19"/>
        <w:snapToGrid w:val="0"/>
        <w:spacing w:before="0" w:beforeAutospacing="0" w:after="0" w:afterAutospacing="0" w:line="360" w:lineRule="auto"/>
        <w:ind w:firstLine="420"/>
        <w:textAlignment w:val="baseline"/>
        <w:rPr>
          <w:color w:val="auto"/>
          <w:highlight w:val="none"/>
        </w:rPr>
      </w:pPr>
      <w:r>
        <w:rPr>
          <w:rFonts w:hint="eastAsia"/>
          <w:color w:val="auto"/>
          <w:highlight w:val="none"/>
        </w:rPr>
        <w:t>②《CA热点问题汇总》：</w:t>
      </w:r>
      <w:r>
        <w:rPr>
          <w:rFonts w:hint="eastAsia"/>
          <w:color w:val="auto"/>
          <w:highlight w:val="none"/>
          <w:u w:val="single"/>
        </w:rPr>
        <w:t>https://service.zcygov.cn/#/knowledges/depk120BkjoVoiMyPhAJ/8QejCnEBiyELHE-ohzp-</w:t>
      </w:r>
      <w:r>
        <w:rPr>
          <w:rFonts w:hint="eastAsia"/>
          <w:color w:val="auto"/>
          <w:highlight w:val="none"/>
        </w:rPr>
        <w:t>；</w:t>
      </w:r>
    </w:p>
    <w:p w14:paraId="739D5D83">
      <w:pPr>
        <w:pStyle w:val="19"/>
        <w:snapToGrid w:val="0"/>
        <w:spacing w:before="0" w:beforeAutospacing="0" w:after="0" w:afterAutospacing="0" w:line="360" w:lineRule="auto"/>
        <w:ind w:firstLine="405"/>
        <w:textAlignment w:val="baseline"/>
        <w:rPr>
          <w:color w:val="auto"/>
          <w:highlight w:val="none"/>
        </w:rPr>
      </w:pPr>
      <w:r>
        <w:rPr>
          <w:rFonts w:hint="eastAsia"/>
          <w:color w:val="auto"/>
          <w:highlight w:val="none"/>
        </w:rPr>
        <w:t>注：为确保网上操作合法、有效和安全，投标供应商应当在投标截止时间前完成在“政府采购云平台”的身份认证，确保在电子投标过程中能够对相关数据电文进行加密和使用电子签章。</w:t>
      </w:r>
    </w:p>
    <w:p w14:paraId="643CF40A">
      <w:pPr>
        <w:pStyle w:val="19"/>
        <w:numPr>
          <w:ilvl w:val="0"/>
          <w:numId w:val="4"/>
        </w:numPr>
        <w:shd w:val="clear" w:color="auto" w:fill="FFFFFF"/>
        <w:snapToGrid w:val="0"/>
        <w:spacing w:before="0" w:beforeAutospacing="0" w:after="0" w:afterAutospacing="0" w:line="360" w:lineRule="auto"/>
        <w:jc w:val="both"/>
        <w:textAlignment w:val="baseline"/>
        <w:rPr>
          <w:b/>
          <w:bCs/>
          <w:color w:val="auto"/>
          <w:highlight w:val="none"/>
        </w:rPr>
      </w:pPr>
      <w:r>
        <w:rPr>
          <w:rFonts w:hint="eastAsia"/>
          <w:b/>
          <w:bCs/>
          <w:color w:val="auto"/>
          <w:highlight w:val="none"/>
        </w:rPr>
        <w:t>CA锁解密时间</w:t>
      </w:r>
      <w:r>
        <w:rPr>
          <w:rFonts w:hint="eastAsia"/>
          <w:color w:val="auto"/>
          <w:highlight w:val="none"/>
        </w:rPr>
        <w:t>为开标当日投标截止后系统发起解密30分钟内。超过投标截止时间未完成上传的投标文件或未按规定时间递交备份投标文件的，采购人不予受理。</w:t>
      </w:r>
    </w:p>
    <w:p w14:paraId="6C7B28F4">
      <w:pPr>
        <w:pStyle w:val="12"/>
        <w:numPr>
          <w:ilvl w:val="0"/>
          <w:numId w:val="1"/>
        </w:numPr>
        <w:snapToGrid w:val="0"/>
        <w:spacing w:line="360" w:lineRule="auto"/>
        <w:ind w:firstLineChars="0"/>
        <w:textAlignment w:val="baseline"/>
        <w:rPr>
          <w:rFonts w:cs="宋体"/>
          <w:b/>
          <w:color w:val="auto"/>
          <w:sz w:val="24"/>
          <w:szCs w:val="24"/>
          <w:highlight w:val="none"/>
        </w:rPr>
      </w:pPr>
      <w:r>
        <w:rPr>
          <w:rFonts w:hint="eastAsia" w:cs="宋体"/>
          <w:b/>
          <w:color w:val="auto"/>
          <w:sz w:val="24"/>
          <w:szCs w:val="24"/>
          <w:highlight w:val="none"/>
        </w:rPr>
        <w:t>开标时间</w:t>
      </w:r>
      <w:bookmarkEnd w:id="10"/>
      <w:bookmarkEnd w:id="11"/>
      <w:r>
        <w:rPr>
          <w:rFonts w:hint="eastAsia" w:cs="宋体"/>
          <w:b/>
          <w:color w:val="auto"/>
          <w:sz w:val="24"/>
          <w:szCs w:val="24"/>
          <w:highlight w:val="none"/>
        </w:rPr>
        <w:t>：</w:t>
      </w:r>
      <w:r>
        <w:rPr>
          <w:rFonts w:hint="eastAsia" w:cs="宋体"/>
          <w:bCs/>
          <w:color w:val="auto"/>
          <w:sz w:val="24"/>
          <w:szCs w:val="24"/>
          <w:highlight w:val="none"/>
        </w:rPr>
        <w:t>2024年</w:t>
      </w:r>
      <w:r>
        <w:rPr>
          <w:rFonts w:hint="eastAsia" w:cs="宋体"/>
          <w:bCs/>
          <w:color w:val="auto"/>
          <w:sz w:val="24"/>
          <w:szCs w:val="24"/>
          <w:highlight w:val="none"/>
          <w:lang w:val="en-US" w:eastAsia="zh-CN"/>
        </w:rPr>
        <w:t>10</w:t>
      </w:r>
      <w:r>
        <w:rPr>
          <w:rFonts w:hint="eastAsia" w:cs="宋体"/>
          <w:bCs/>
          <w:color w:val="auto"/>
          <w:sz w:val="24"/>
          <w:szCs w:val="24"/>
          <w:highlight w:val="none"/>
        </w:rPr>
        <w:t>月</w:t>
      </w:r>
      <w:r>
        <w:rPr>
          <w:rFonts w:hint="eastAsia" w:cs="宋体"/>
          <w:bCs/>
          <w:color w:val="auto"/>
          <w:sz w:val="24"/>
          <w:szCs w:val="24"/>
          <w:highlight w:val="none"/>
          <w:lang w:val="en-US" w:eastAsia="zh-CN"/>
        </w:rPr>
        <w:t>09</w:t>
      </w:r>
      <w:r>
        <w:rPr>
          <w:rFonts w:hint="eastAsia" w:cs="宋体"/>
          <w:bCs/>
          <w:color w:val="auto"/>
          <w:sz w:val="24"/>
          <w:szCs w:val="24"/>
          <w:highlight w:val="none"/>
        </w:rPr>
        <w:t>日09：30</w:t>
      </w:r>
    </w:p>
    <w:p w14:paraId="5A8AD355">
      <w:pPr>
        <w:pStyle w:val="12"/>
        <w:numPr>
          <w:ilvl w:val="0"/>
          <w:numId w:val="1"/>
        </w:numPr>
        <w:snapToGrid w:val="0"/>
        <w:spacing w:line="360" w:lineRule="auto"/>
        <w:ind w:firstLineChars="0"/>
        <w:textAlignment w:val="baseline"/>
        <w:rPr>
          <w:rFonts w:cs="宋体"/>
          <w:b/>
          <w:color w:val="auto"/>
          <w:sz w:val="24"/>
          <w:szCs w:val="24"/>
          <w:highlight w:val="none"/>
        </w:rPr>
      </w:pPr>
      <w:r>
        <w:rPr>
          <w:rFonts w:hint="eastAsia" w:cs="宋体"/>
          <w:b/>
          <w:color w:val="auto"/>
          <w:sz w:val="24"/>
          <w:szCs w:val="24"/>
          <w:highlight w:val="none"/>
        </w:rPr>
        <w:t>开标地点：</w:t>
      </w:r>
      <w:bookmarkStart w:id="12" w:name="OLE_LINK1"/>
      <w:bookmarkStart w:id="13" w:name="OLE_LINK2"/>
      <w:r>
        <w:rPr>
          <w:rFonts w:hint="eastAsia" w:cs="宋体"/>
          <w:bCs/>
          <w:color w:val="auto"/>
          <w:sz w:val="24"/>
          <w:szCs w:val="24"/>
          <w:highlight w:val="none"/>
        </w:rPr>
        <w:t>湖州市市民服务中心2号楼2楼开标室（湖州市仁皇山片区金盖山路66号），具体详见二楼大厅公告栏。“政府采购云平台（www.zcygov.cn）”在线投标响应。</w:t>
      </w:r>
      <w:bookmarkEnd w:id="12"/>
      <w:bookmarkEnd w:id="13"/>
    </w:p>
    <w:p w14:paraId="0C5C688A">
      <w:pPr>
        <w:pStyle w:val="12"/>
        <w:numPr>
          <w:ilvl w:val="0"/>
          <w:numId w:val="1"/>
        </w:numPr>
        <w:snapToGrid w:val="0"/>
        <w:spacing w:line="360" w:lineRule="auto"/>
        <w:ind w:firstLineChars="0"/>
        <w:textAlignment w:val="baseline"/>
        <w:rPr>
          <w:rFonts w:cs="宋体"/>
          <w:b/>
          <w:color w:val="auto"/>
          <w:sz w:val="24"/>
          <w:szCs w:val="24"/>
          <w:highlight w:val="none"/>
        </w:rPr>
      </w:pPr>
      <w:r>
        <w:rPr>
          <w:rFonts w:hint="eastAsia" w:cs="宋体"/>
          <w:b/>
          <w:color w:val="auto"/>
          <w:sz w:val="24"/>
          <w:szCs w:val="24"/>
          <w:highlight w:val="none"/>
        </w:rPr>
        <w:t>发布招标公告的媒体为：</w:t>
      </w:r>
    </w:p>
    <w:p w14:paraId="1E35B9A0">
      <w:pPr>
        <w:widowControl/>
        <w:tabs>
          <w:tab w:val="left" w:pos="418"/>
        </w:tabs>
        <w:snapToGrid w:val="0"/>
        <w:spacing w:line="440" w:lineRule="exact"/>
        <w:ind w:firstLine="480" w:firstLineChars="20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浙江政府采购网 （https://zfcg.czt.zj.gov.cn/）；</w:t>
      </w:r>
    </w:p>
    <w:p w14:paraId="78D6A358">
      <w:pPr>
        <w:pStyle w:val="12"/>
        <w:snapToGrid w:val="0"/>
        <w:spacing w:line="440" w:lineRule="exact"/>
        <w:ind w:firstLine="480"/>
        <w:textAlignment w:val="baseline"/>
        <w:rPr>
          <w:rFonts w:cs="宋体"/>
          <w:color w:val="auto"/>
          <w:kern w:val="0"/>
          <w:sz w:val="24"/>
          <w:highlight w:val="none"/>
        </w:rPr>
      </w:pPr>
      <w:bookmarkStart w:id="14" w:name="_Toc20946"/>
      <w:r>
        <w:rPr>
          <w:rFonts w:hint="eastAsia" w:cs="宋体"/>
          <w:color w:val="auto"/>
          <w:kern w:val="0"/>
          <w:sz w:val="24"/>
          <w:highlight w:val="none"/>
        </w:rPr>
        <w:t>湖州市公共资源交易信息网（https://ggzyjy.huzhou.gov.cn/）；</w:t>
      </w:r>
      <w:bookmarkEnd w:id="14"/>
    </w:p>
    <w:p w14:paraId="56660758">
      <w:pPr>
        <w:pStyle w:val="12"/>
        <w:numPr>
          <w:ilvl w:val="0"/>
          <w:numId w:val="1"/>
        </w:numPr>
        <w:snapToGrid w:val="0"/>
        <w:spacing w:line="360" w:lineRule="auto"/>
        <w:ind w:firstLineChars="0"/>
        <w:textAlignment w:val="baseline"/>
        <w:rPr>
          <w:rFonts w:cs="宋体"/>
          <w:b/>
          <w:color w:val="auto"/>
          <w:sz w:val="24"/>
          <w:szCs w:val="24"/>
          <w:highlight w:val="none"/>
        </w:rPr>
      </w:pPr>
      <w:r>
        <w:rPr>
          <w:rFonts w:hint="eastAsia" w:cs="宋体"/>
          <w:b/>
          <w:color w:val="auto"/>
          <w:sz w:val="24"/>
          <w:szCs w:val="24"/>
          <w:highlight w:val="none"/>
        </w:rPr>
        <w:t>其他事项</w:t>
      </w:r>
    </w:p>
    <w:p w14:paraId="4147E674">
      <w:pPr>
        <w:pStyle w:val="12"/>
        <w:numPr>
          <w:ilvl w:val="0"/>
          <w:numId w:val="8"/>
        </w:numPr>
        <w:snapToGrid w:val="0"/>
        <w:spacing w:line="360" w:lineRule="auto"/>
        <w:ind w:firstLine="403" w:firstLineChars="0"/>
        <w:textAlignment w:val="baseline"/>
        <w:rPr>
          <w:rFonts w:cs="宋体"/>
          <w:bCs/>
          <w:color w:val="auto"/>
          <w:sz w:val="24"/>
          <w:szCs w:val="24"/>
          <w:highlight w:val="none"/>
        </w:rPr>
      </w:pPr>
      <w:r>
        <w:rPr>
          <w:rFonts w:hint="eastAsia" w:cs="宋体"/>
          <w:bCs/>
          <w:color w:val="auto"/>
          <w:sz w:val="24"/>
          <w:szCs w:val="24"/>
          <w:highlight w:val="none"/>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质疑供应商对采购人、采购代理机构的答复不满意，或者采购人、采购代理机构未在规定时间内作出答复的，可以在答复期满后15个工作日内向同级财政部门提起投诉。质疑函范本、投诉书范本请到浙江政府采购网下载专区下载。“规定方式获取招标文件”是指：供应商按本项目招标公告要求申请获取招标文件通过后下载招标文件。</w:t>
      </w:r>
    </w:p>
    <w:p w14:paraId="3EF1B7C8">
      <w:pPr>
        <w:pStyle w:val="12"/>
        <w:numPr>
          <w:ilvl w:val="0"/>
          <w:numId w:val="8"/>
        </w:numPr>
        <w:snapToGrid w:val="0"/>
        <w:spacing w:line="360" w:lineRule="auto"/>
        <w:ind w:firstLine="403" w:firstLineChars="0"/>
        <w:textAlignment w:val="baseline"/>
        <w:rPr>
          <w:rFonts w:cs="宋体"/>
          <w:color w:val="auto"/>
          <w:sz w:val="24"/>
          <w:szCs w:val="24"/>
          <w:highlight w:val="none"/>
        </w:rPr>
      </w:pPr>
      <w:r>
        <w:rPr>
          <w:rFonts w:hint="eastAsia" w:cs="宋体"/>
          <w:color w:val="auto"/>
          <w:sz w:val="24"/>
          <w:szCs w:val="24"/>
          <w:highlight w:val="none"/>
        </w:rPr>
        <w:t>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A8727CE">
      <w:pPr>
        <w:pStyle w:val="12"/>
        <w:snapToGrid w:val="0"/>
        <w:spacing w:line="360" w:lineRule="auto"/>
        <w:ind w:firstLine="480"/>
        <w:textAlignment w:val="baseline"/>
        <w:rPr>
          <w:rFonts w:cs="宋体"/>
          <w:b/>
          <w:bCs/>
          <w:color w:val="auto"/>
          <w:sz w:val="24"/>
          <w:szCs w:val="24"/>
          <w:highlight w:val="none"/>
        </w:rPr>
      </w:pPr>
      <w:r>
        <w:rPr>
          <w:rFonts w:hint="eastAsia" w:cs="宋体"/>
          <w:color w:val="auto"/>
          <w:kern w:val="0"/>
          <w:sz w:val="24"/>
          <w:szCs w:val="24"/>
          <w:highlight w:val="none"/>
        </w:rPr>
        <w:t>3.本项目为电子招投标项目，实行网上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政府采购云平台（www.zcygov.cn）”）将予以拒收。备份投标文件按招标文件相关要求通过邮寄方式递交。采购组织机构按照采购</w:t>
      </w:r>
      <w:r>
        <w:rPr>
          <w:rFonts w:hint="eastAsia" w:cs="宋体"/>
          <w:color w:val="auto"/>
          <w:sz w:val="24"/>
          <w:szCs w:val="24"/>
          <w:highlight w:val="none"/>
        </w:rPr>
        <w:t>文件规定的时间通过电子交易平台</w:t>
      </w:r>
      <w:r>
        <w:rPr>
          <w:rFonts w:hint="eastAsia" w:cs="宋体"/>
          <w:color w:val="auto"/>
          <w:kern w:val="0"/>
          <w:sz w:val="24"/>
          <w:szCs w:val="24"/>
          <w:highlight w:val="none"/>
        </w:rPr>
        <w:t>（“政府采购云平台（www.zcygov.cn）”）</w:t>
      </w:r>
      <w:r>
        <w:rPr>
          <w:rFonts w:hint="eastAsia" w:cs="宋体"/>
          <w:color w:val="auto"/>
          <w:sz w:val="24"/>
          <w:szCs w:val="24"/>
          <w:highlight w:val="none"/>
        </w:rPr>
        <w:t>组织开启投标</w:t>
      </w:r>
      <w:r>
        <w:rPr>
          <w:rFonts w:hint="eastAsia" w:cs="宋体"/>
          <w:bCs/>
          <w:color w:val="auto"/>
          <w:sz w:val="24"/>
          <w:szCs w:val="24"/>
          <w:highlight w:val="none"/>
        </w:rPr>
        <w:t>文件，所有供应商均应当准时在线参加。</w:t>
      </w:r>
    </w:p>
    <w:p w14:paraId="17AFEDC4">
      <w:pPr>
        <w:pStyle w:val="12"/>
        <w:snapToGrid w:val="0"/>
        <w:spacing w:line="360" w:lineRule="auto"/>
        <w:ind w:firstLine="480"/>
        <w:textAlignment w:val="baseline"/>
        <w:rPr>
          <w:rFonts w:cs="宋体"/>
          <w:color w:val="auto"/>
          <w:sz w:val="24"/>
          <w:szCs w:val="24"/>
          <w:highlight w:val="none"/>
        </w:rPr>
      </w:pPr>
      <w:r>
        <w:rPr>
          <w:rFonts w:hint="eastAsia" w:cs="宋体"/>
          <w:color w:val="auto"/>
          <w:kern w:val="0"/>
          <w:sz w:val="24"/>
          <w:szCs w:val="24"/>
          <w:highlight w:val="none"/>
        </w:rPr>
        <w:t>4.本项目实行电子投标，采取“不见面”形式进行开评标活动，应按照本项目招标文件和政采云平台的要求编制、加密并提交投标文件, 投标人的法定代表人或其授权代表不需要参加现场投标和开标。供应商在使用系统进行投标的过程中遇到涉及平台使用的任何问题，可致电政采云平台技术支持热线咨询，联系方式：95763。</w:t>
      </w:r>
    </w:p>
    <w:p w14:paraId="7CE2F659">
      <w:pPr>
        <w:pStyle w:val="12"/>
        <w:snapToGrid w:val="0"/>
        <w:spacing w:line="360" w:lineRule="auto"/>
        <w:ind w:firstLine="480"/>
        <w:textAlignment w:val="baseline"/>
        <w:rPr>
          <w:rFonts w:cs="宋体"/>
          <w:color w:val="auto"/>
          <w:sz w:val="24"/>
          <w:szCs w:val="24"/>
          <w:highlight w:val="none"/>
        </w:rPr>
      </w:pPr>
      <w:r>
        <w:rPr>
          <w:rFonts w:hint="eastAsia" w:cs="宋体"/>
          <w:color w:val="auto"/>
          <w:sz w:val="24"/>
          <w:szCs w:val="24"/>
          <w:highlight w:val="none"/>
        </w:rPr>
        <w:t>5.本项目所有公告发布网站：“浙江省政府采购网”(http://zfcg.czt.zj.gov.cn/)和“湖州市公共资源交易信息网（http://ggzyjy.huzhou.gov.cn/)。</w:t>
      </w:r>
    </w:p>
    <w:p w14:paraId="0FF6A609">
      <w:pPr>
        <w:pStyle w:val="12"/>
        <w:snapToGrid w:val="0"/>
        <w:spacing w:line="360" w:lineRule="auto"/>
        <w:ind w:firstLine="480"/>
        <w:textAlignment w:val="baseline"/>
        <w:rPr>
          <w:rFonts w:cs="宋体"/>
          <w:color w:val="auto"/>
          <w:sz w:val="24"/>
          <w:szCs w:val="24"/>
          <w:highlight w:val="none"/>
        </w:rPr>
      </w:pPr>
      <w:r>
        <w:rPr>
          <w:rFonts w:hint="eastAsia" w:cs="宋体"/>
          <w:color w:val="auto"/>
          <w:sz w:val="24"/>
          <w:szCs w:val="24"/>
          <w:highlight w:val="none"/>
        </w:rPr>
        <w:t>6.本项目所属行业：其他未列明行业。</w:t>
      </w:r>
    </w:p>
    <w:bookmarkEnd w:id="8"/>
    <w:bookmarkEnd w:id="9"/>
    <w:p w14:paraId="5534DEFC">
      <w:pPr>
        <w:pStyle w:val="12"/>
        <w:numPr>
          <w:ilvl w:val="0"/>
          <w:numId w:val="1"/>
        </w:numPr>
        <w:snapToGrid w:val="0"/>
        <w:spacing w:line="360" w:lineRule="auto"/>
        <w:ind w:firstLineChars="0"/>
        <w:textAlignment w:val="baseline"/>
        <w:rPr>
          <w:rFonts w:cs="宋体"/>
          <w:b/>
          <w:color w:val="auto"/>
          <w:sz w:val="24"/>
          <w:szCs w:val="24"/>
          <w:highlight w:val="none"/>
        </w:rPr>
      </w:pPr>
      <w:r>
        <w:rPr>
          <w:rFonts w:hint="eastAsia" w:cs="宋体"/>
          <w:b/>
          <w:color w:val="auto"/>
          <w:sz w:val="24"/>
          <w:szCs w:val="24"/>
          <w:highlight w:val="none"/>
        </w:rPr>
        <w:t>对本次招标提出询问，请按以下方式联系。</w:t>
      </w:r>
    </w:p>
    <w:p w14:paraId="5C1A8214">
      <w:pPr>
        <w:pStyle w:val="12"/>
        <w:numPr>
          <w:ilvl w:val="0"/>
          <w:numId w:val="9"/>
        </w:numPr>
        <w:snapToGrid w:val="0"/>
        <w:spacing w:line="360" w:lineRule="auto"/>
        <w:ind w:left="420" w:leftChars="150" w:firstLineChars="0"/>
        <w:textAlignment w:val="baseline"/>
        <w:rPr>
          <w:rFonts w:cs="宋体"/>
          <w:color w:val="auto"/>
          <w:sz w:val="24"/>
          <w:szCs w:val="24"/>
          <w:highlight w:val="none"/>
        </w:rPr>
      </w:pPr>
      <w:r>
        <w:rPr>
          <w:rFonts w:hint="eastAsia" w:cs="宋体"/>
          <w:color w:val="auto"/>
          <w:sz w:val="24"/>
          <w:szCs w:val="24"/>
          <w:highlight w:val="none"/>
        </w:rPr>
        <w:t>采购人：湖州市人民政府滨湖街道办事处</w:t>
      </w:r>
    </w:p>
    <w:p w14:paraId="472D7273">
      <w:pPr>
        <w:pStyle w:val="12"/>
        <w:snapToGrid w:val="0"/>
        <w:spacing w:line="360" w:lineRule="auto"/>
        <w:ind w:left="420" w:leftChars="150" w:firstLine="0" w:firstLineChars="0"/>
        <w:textAlignment w:val="baseline"/>
        <w:rPr>
          <w:rFonts w:cs="宋体"/>
          <w:color w:val="auto"/>
          <w:sz w:val="24"/>
          <w:szCs w:val="24"/>
          <w:highlight w:val="none"/>
        </w:rPr>
      </w:pPr>
      <w:r>
        <w:rPr>
          <w:rFonts w:hint="eastAsia" w:cs="宋体"/>
          <w:color w:val="auto"/>
          <w:sz w:val="24"/>
          <w:szCs w:val="24"/>
          <w:highlight w:val="none"/>
        </w:rPr>
        <w:t xml:space="preserve">联 系 人：张先生     </w:t>
      </w:r>
      <w:r>
        <w:rPr>
          <w:rFonts w:hint="eastAsia" w:cs="宋体"/>
          <w:color w:val="auto"/>
          <w:kern w:val="0"/>
          <w:sz w:val="24"/>
          <w:szCs w:val="24"/>
          <w:highlight w:val="none"/>
        </w:rPr>
        <w:t>联系电话：</w:t>
      </w:r>
      <w:r>
        <w:rPr>
          <w:rFonts w:hint="eastAsia" w:cs="宋体"/>
          <w:color w:val="auto"/>
          <w:sz w:val="24"/>
          <w:szCs w:val="24"/>
          <w:highlight w:val="none"/>
        </w:rPr>
        <w:t>0572-2593113</w:t>
      </w:r>
    </w:p>
    <w:p w14:paraId="51249055">
      <w:pPr>
        <w:pStyle w:val="12"/>
        <w:snapToGrid w:val="0"/>
        <w:spacing w:line="360" w:lineRule="auto"/>
        <w:ind w:left="420" w:leftChars="150" w:firstLine="0" w:firstLineChars="0"/>
        <w:textAlignment w:val="baseline"/>
        <w:rPr>
          <w:rFonts w:cs="宋体"/>
          <w:color w:val="auto"/>
          <w:sz w:val="24"/>
          <w:szCs w:val="24"/>
          <w:highlight w:val="none"/>
        </w:rPr>
      </w:pPr>
      <w:r>
        <w:rPr>
          <w:rFonts w:hint="eastAsia" w:cs="宋体"/>
          <w:color w:val="auto"/>
          <w:sz w:val="24"/>
          <w:szCs w:val="24"/>
          <w:highlight w:val="none"/>
        </w:rPr>
        <w:t>地 址：湖州市吴兴区弁山大道</w:t>
      </w:r>
    </w:p>
    <w:p w14:paraId="47204910">
      <w:pPr>
        <w:numPr>
          <w:ilvl w:val="0"/>
          <w:numId w:val="9"/>
        </w:numPr>
        <w:snapToGrid w:val="0"/>
        <w:spacing w:line="360" w:lineRule="auto"/>
        <w:ind w:left="420" w:leftChars="150"/>
        <w:jc w:val="left"/>
        <w:textAlignment w:val="baseline"/>
        <w:rPr>
          <w:rFonts w:ascii="宋体" w:hAnsi="宋体" w:cs="宋体"/>
          <w:color w:val="auto"/>
          <w:kern w:val="0"/>
          <w:sz w:val="24"/>
          <w:highlight w:val="none"/>
        </w:rPr>
      </w:pPr>
      <w:r>
        <w:rPr>
          <w:rFonts w:hint="eastAsia" w:ascii="宋体" w:hAnsi="宋体" w:cs="宋体"/>
          <w:color w:val="auto"/>
          <w:sz w:val="24"/>
          <w:highlight w:val="none"/>
        </w:rPr>
        <w:t xml:space="preserve">采购代理机构：浙江华夏工程管理有限公司    </w:t>
      </w:r>
      <w:r>
        <w:rPr>
          <w:rFonts w:hint="eastAsia" w:ascii="宋体" w:hAnsi="宋体" w:cs="宋体"/>
          <w:color w:val="auto"/>
          <w:kern w:val="0"/>
          <w:sz w:val="24"/>
          <w:highlight w:val="none"/>
        </w:rPr>
        <w:t xml:space="preserve">            </w:t>
      </w:r>
    </w:p>
    <w:p w14:paraId="5549198D">
      <w:pPr>
        <w:snapToGrid w:val="0"/>
        <w:spacing w:line="360" w:lineRule="auto"/>
        <w:ind w:left="420" w:leftChars="15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联系人：丁锦赟      联系电话：0572-2567837</w:t>
      </w:r>
    </w:p>
    <w:p w14:paraId="62413FF0">
      <w:pPr>
        <w:pStyle w:val="2"/>
        <w:ind w:left="420" w:leftChars="150"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质疑函接收人：蔡先生    联系电话：0572-2567859</w:t>
      </w:r>
    </w:p>
    <w:p w14:paraId="622F1DAF">
      <w:pPr>
        <w:snapToGrid w:val="0"/>
        <w:spacing w:line="360" w:lineRule="auto"/>
        <w:ind w:left="420" w:leftChars="150"/>
        <w:textAlignment w:val="baseline"/>
        <w:rPr>
          <w:rFonts w:ascii="宋体" w:hAnsi="宋体" w:cs="宋体"/>
          <w:color w:val="auto"/>
          <w:kern w:val="0"/>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湖州市星洲国际10幢5楼</w:t>
      </w:r>
    </w:p>
    <w:p w14:paraId="1AD8321A">
      <w:pPr>
        <w:numPr>
          <w:ilvl w:val="0"/>
          <w:numId w:val="9"/>
        </w:numPr>
        <w:snapToGrid w:val="0"/>
        <w:spacing w:line="360" w:lineRule="auto"/>
        <w:ind w:left="420" w:leftChars="15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政府采购行政监管及投诉受理部门：</w:t>
      </w:r>
    </w:p>
    <w:p w14:paraId="4665C1FB">
      <w:pPr>
        <w:snapToGrid w:val="0"/>
        <w:spacing w:line="360" w:lineRule="auto"/>
        <w:ind w:left="420" w:leftChars="150"/>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湖州市财政局政府采购监管处         联系人：程先生</w:t>
      </w:r>
    </w:p>
    <w:p w14:paraId="65C01A8D">
      <w:pPr>
        <w:snapToGrid w:val="0"/>
        <w:spacing w:line="360" w:lineRule="auto"/>
        <w:ind w:left="420" w:leftChars="150"/>
        <w:textAlignment w:val="baseline"/>
        <w:rPr>
          <w:rFonts w:ascii="宋体" w:hAnsi="宋体" w:cs="宋体"/>
          <w:color w:val="auto"/>
          <w:sz w:val="24"/>
          <w:highlight w:val="none"/>
        </w:rPr>
        <w:sectPr>
          <w:footerReference r:id="rId6" w:type="default"/>
          <w:pgSz w:w="11910" w:h="16840"/>
          <w:pgMar w:top="1440" w:right="1080" w:bottom="1440" w:left="1080" w:header="999" w:footer="1033" w:gutter="0"/>
          <w:pgNumType w:start="1"/>
          <w:cols w:space="720" w:num="1"/>
        </w:sectPr>
      </w:pPr>
      <w:r>
        <w:rPr>
          <w:rFonts w:hint="eastAsia" w:ascii="宋体" w:hAnsi="宋体" w:cs="宋体"/>
          <w:color w:val="auto"/>
          <w:kern w:val="0"/>
          <w:sz w:val="24"/>
          <w:highlight w:val="none"/>
        </w:rPr>
        <w:t>监督投诉电话：0572-2150216        地址：湖州市吴兴区龙王山路518号</w:t>
      </w:r>
      <w:bookmarkStart w:id="15" w:name="_Toc27574"/>
      <w:r>
        <w:rPr>
          <w:rFonts w:hint="eastAsia" w:ascii="宋体" w:hAnsi="宋体" w:cs="宋体"/>
          <w:color w:val="auto"/>
          <w:sz w:val="24"/>
          <w:highlight w:val="none"/>
        </w:rPr>
        <w:t xml:space="preserve"> </w:t>
      </w:r>
    </w:p>
    <w:bookmarkEnd w:id="15"/>
    <w:p w14:paraId="5C0EF772">
      <w:pPr>
        <w:numPr>
          <w:ilvl w:val="0"/>
          <w:numId w:val="10"/>
        </w:num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 xml:space="preserve"> 投标人须知</w:t>
      </w:r>
    </w:p>
    <w:p w14:paraId="63F02D72">
      <w:pPr>
        <w:pStyle w:val="5"/>
        <w:adjustRightInd w:val="0"/>
        <w:snapToGrid w:val="0"/>
        <w:spacing w:before="0" w:after="0" w:line="360" w:lineRule="exact"/>
        <w:jc w:val="center"/>
        <w:rPr>
          <w:rFonts w:ascii="宋体" w:hAnsi="宋体" w:eastAsia="宋体" w:cs="宋体"/>
          <w:color w:val="auto"/>
          <w:sz w:val="24"/>
          <w:szCs w:val="24"/>
          <w:highlight w:val="none"/>
        </w:rPr>
      </w:pPr>
      <w:bookmarkStart w:id="16" w:name="_Toc9577"/>
      <w:r>
        <w:rPr>
          <w:rFonts w:hint="eastAsia" w:ascii="宋体" w:hAnsi="宋体" w:eastAsia="宋体" w:cs="宋体"/>
          <w:color w:val="auto"/>
          <w:sz w:val="24"/>
          <w:szCs w:val="24"/>
          <w:highlight w:val="none"/>
        </w:rPr>
        <w:t>投标人须知前附表</w:t>
      </w:r>
    </w:p>
    <w:tbl>
      <w:tblPr>
        <w:tblStyle w:val="21"/>
        <w:tblW w:w="9699" w:type="dxa"/>
        <w:tblInd w:w="-99" w:type="dxa"/>
        <w:tblLayout w:type="fixed"/>
        <w:tblCellMar>
          <w:top w:w="0" w:type="dxa"/>
          <w:left w:w="108" w:type="dxa"/>
          <w:bottom w:w="0" w:type="dxa"/>
          <w:right w:w="108" w:type="dxa"/>
        </w:tblCellMar>
      </w:tblPr>
      <w:tblGrid>
        <w:gridCol w:w="585"/>
        <w:gridCol w:w="1619"/>
        <w:gridCol w:w="7495"/>
      </w:tblGrid>
      <w:tr w14:paraId="11B94912">
        <w:tblPrEx>
          <w:tblCellMar>
            <w:top w:w="0" w:type="dxa"/>
            <w:left w:w="108" w:type="dxa"/>
            <w:bottom w:w="0" w:type="dxa"/>
            <w:right w:w="108" w:type="dxa"/>
          </w:tblCellMar>
        </w:tblPrEx>
        <w:trPr>
          <w:trHeight w:val="556" w:hRule="atLeast"/>
          <w:tblHeader/>
        </w:trPr>
        <w:tc>
          <w:tcPr>
            <w:tcW w:w="585" w:type="dxa"/>
            <w:tcBorders>
              <w:top w:val="single" w:color="auto" w:sz="4" w:space="0"/>
              <w:left w:val="single" w:color="auto" w:sz="4" w:space="0"/>
              <w:bottom w:val="single" w:color="auto" w:sz="4" w:space="0"/>
              <w:right w:val="single" w:color="auto" w:sz="4" w:space="0"/>
            </w:tcBorders>
            <w:vAlign w:val="center"/>
          </w:tcPr>
          <w:p w14:paraId="7C80B663">
            <w:pPr>
              <w:widowControl/>
              <w:spacing w:line="360" w:lineRule="exact"/>
              <w:ind w:left="-92" w:leftChars="-33" w:right="-92" w:rightChars="-33"/>
              <w:jc w:val="center"/>
              <w:rPr>
                <w:rFonts w:ascii="宋体" w:hAnsi="宋体" w:cs="宋体"/>
                <w:color w:val="auto"/>
                <w:kern w:val="0"/>
                <w:sz w:val="24"/>
                <w:highlight w:val="none"/>
              </w:rPr>
            </w:pPr>
            <w:bookmarkStart w:id="17" w:name="招标项目基本内容及要求：Block"/>
            <w:bookmarkEnd w:id="17"/>
            <w:bookmarkStart w:id="18" w:name="sys_招标项目基本内容及要求其他：Block"/>
            <w:bookmarkEnd w:id="18"/>
            <w:bookmarkStart w:id="19" w:name="招标项目基本内容及要求其他：Block"/>
            <w:bookmarkEnd w:id="19"/>
            <w:bookmarkStart w:id="20" w:name="sys_招标项目基本内容及要求：Block"/>
            <w:bookmarkEnd w:id="20"/>
            <w:r>
              <w:rPr>
                <w:rFonts w:hint="eastAsia" w:ascii="宋体" w:hAnsi="宋体" w:cs="宋体"/>
                <w:color w:val="auto"/>
                <w:kern w:val="0"/>
                <w:sz w:val="24"/>
                <w:highlight w:val="none"/>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6211EB44">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   目</w:t>
            </w:r>
          </w:p>
        </w:tc>
        <w:tc>
          <w:tcPr>
            <w:tcW w:w="7495" w:type="dxa"/>
            <w:tcBorders>
              <w:top w:val="single" w:color="auto" w:sz="4" w:space="0"/>
              <w:left w:val="single" w:color="auto" w:sz="4" w:space="0"/>
              <w:bottom w:val="single" w:color="auto" w:sz="4" w:space="0"/>
              <w:right w:val="single" w:color="auto" w:sz="4" w:space="0"/>
            </w:tcBorders>
            <w:vAlign w:val="center"/>
          </w:tcPr>
          <w:p w14:paraId="38DC229F">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内     容</w:t>
            </w:r>
          </w:p>
        </w:tc>
      </w:tr>
      <w:tr w14:paraId="5E351B12">
        <w:tblPrEx>
          <w:tblCellMar>
            <w:top w:w="0" w:type="dxa"/>
            <w:left w:w="108" w:type="dxa"/>
            <w:bottom w:w="0" w:type="dxa"/>
            <w:right w:w="108" w:type="dxa"/>
          </w:tblCellMar>
        </w:tblPrEx>
        <w:trPr>
          <w:trHeight w:val="1053" w:hRule="atLeast"/>
        </w:trPr>
        <w:tc>
          <w:tcPr>
            <w:tcW w:w="585" w:type="dxa"/>
            <w:tcBorders>
              <w:top w:val="single" w:color="auto" w:sz="4" w:space="0"/>
              <w:left w:val="single" w:color="auto" w:sz="4" w:space="0"/>
              <w:bottom w:val="single" w:color="auto" w:sz="4" w:space="0"/>
              <w:right w:val="single" w:color="auto" w:sz="4" w:space="0"/>
            </w:tcBorders>
            <w:vAlign w:val="center"/>
          </w:tcPr>
          <w:p w14:paraId="32EB27F1">
            <w:pPr>
              <w:widowControl/>
              <w:spacing w:line="360" w:lineRule="exact"/>
              <w:ind w:left="-92" w:leftChars="-33" w:right="-92" w:rightChars="-33"/>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619" w:type="dxa"/>
            <w:tcBorders>
              <w:top w:val="single" w:color="auto" w:sz="4" w:space="0"/>
              <w:left w:val="single" w:color="auto" w:sz="4" w:space="0"/>
              <w:bottom w:val="single" w:color="auto" w:sz="4" w:space="0"/>
              <w:right w:val="single" w:color="auto" w:sz="4" w:space="0"/>
            </w:tcBorders>
            <w:vAlign w:val="center"/>
          </w:tcPr>
          <w:p w14:paraId="0304CD3C">
            <w:pPr>
              <w:spacing w:line="360" w:lineRule="exact"/>
              <w:jc w:val="center"/>
              <w:rPr>
                <w:rFonts w:ascii="宋体" w:hAnsi="宋体" w:cs="宋体"/>
                <w:color w:val="auto"/>
                <w:kern w:val="0"/>
                <w:sz w:val="24"/>
                <w:highlight w:val="none"/>
              </w:rPr>
            </w:pPr>
            <w:r>
              <w:rPr>
                <w:rFonts w:hint="eastAsia" w:ascii="宋体" w:hAnsi="宋体" w:cs="宋体"/>
                <w:bCs/>
                <w:color w:val="auto"/>
                <w:sz w:val="24"/>
                <w:highlight w:val="none"/>
              </w:rPr>
              <w:t>项目名称</w:t>
            </w:r>
          </w:p>
        </w:tc>
        <w:tc>
          <w:tcPr>
            <w:tcW w:w="7495" w:type="dxa"/>
            <w:tcBorders>
              <w:top w:val="single" w:color="auto" w:sz="4" w:space="0"/>
              <w:left w:val="single" w:color="auto" w:sz="4" w:space="0"/>
              <w:bottom w:val="single" w:color="auto" w:sz="4" w:space="0"/>
              <w:right w:val="single" w:color="auto" w:sz="4" w:space="0"/>
            </w:tcBorders>
            <w:vAlign w:val="center"/>
          </w:tcPr>
          <w:p w14:paraId="2969DF7D">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2024年滨湖街道城市小区生活垃圾精准分类项目</w:t>
            </w:r>
          </w:p>
        </w:tc>
      </w:tr>
      <w:tr w14:paraId="607A2FFB">
        <w:tblPrEx>
          <w:tblCellMar>
            <w:top w:w="0" w:type="dxa"/>
            <w:left w:w="108" w:type="dxa"/>
            <w:bottom w:w="0" w:type="dxa"/>
            <w:right w:w="108" w:type="dxa"/>
          </w:tblCellMar>
        </w:tblPrEx>
        <w:trPr>
          <w:trHeight w:val="935" w:hRule="atLeast"/>
        </w:trPr>
        <w:tc>
          <w:tcPr>
            <w:tcW w:w="585" w:type="dxa"/>
            <w:tcBorders>
              <w:top w:val="single" w:color="auto" w:sz="4" w:space="0"/>
              <w:left w:val="single" w:color="auto" w:sz="4" w:space="0"/>
              <w:bottom w:val="single" w:color="auto" w:sz="4" w:space="0"/>
              <w:right w:val="single" w:color="auto" w:sz="4" w:space="0"/>
            </w:tcBorders>
            <w:vAlign w:val="center"/>
          </w:tcPr>
          <w:p w14:paraId="6C0486A2">
            <w:pPr>
              <w:widowControl/>
              <w:spacing w:line="360" w:lineRule="exact"/>
              <w:ind w:left="-92" w:leftChars="-33" w:right="-92" w:rightChars="-33"/>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619" w:type="dxa"/>
            <w:tcBorders>
              <w:top w:val="single" w:color="auto" w:sz="4" w:space="0"/>
              <w:left w:val="single" w:color="auto" w:sz="4" w:space="0"/>
              <w:bottom w:val="single" w:color="auto" w:sz="4" w:space="0"/>
              <w:right w:val="single" w:color="auto" w:sz="4" w:space="0"/>
            </w:tcBorders>
            <w:vAlign w:val="center"/>
          </w:tcPr>
          <w:p w14:paraId="51EE286F">
            <w:pPr>
              <w:spacing w:line="360" w:lineRule="exact"/>
              <w:jc w:val="center"/>
              <w:rPr>
                <w:rFonts w:ascii="宋体" w:hAnsi="宋体" w:cs="宋体"/>
                <w:color w:val="auto"/>
                <w:kern w:val="0"/>
                <w:sz w:val="24"/>
                <w:highlight w:val="none"/>
              </w:rPr>
            </w:pPr>
            <w:r>
              <w:rPr>
                <w:rFonts w:hint="eastAsia" w:ascii="宋体" w:hAnsi="宋体" w:cs="宋体"/>
                <w:bCs/>
                <w:color w:val="auto"/>
                <w:sz w:val="24"/>
                <w:highlight w:val="none"/>
              </w:rPr>
              <w:t>编号</w:t>
            </w:r>
          </w:p>
        </w:tc>
        <w:tc>
          <w:tcPr>
            <w:tcW w:w="7495" w:type="dxa"/>
            <w:tcBorders>
              <w:top w:val="single" w:color="auto" w:sz="4" w:space="0"/>
              <w:left w:val="single" w:color="auto" w:sz="4" w:space="0"/>
              <w:bottom w:val="single" w:color="auto" w:sz="4" w:space="0"/>
              <w:right w:val="single" w:color="auto" w:sz="4" w:space="0"/>
            </w:tcBorders>
            <w:vAlign w:val="center"/>
          </w:tcPr>
          <w:p w14:paraId="223AEAEA">
            <w:pPr>
              <w:widowControl/>
              <w:spacing w:line="360" w:lineRule="exact"/>
              <w:rPr>
                <w:rFonts w:ascii="宋体" w:hAnsi="宋体" w:cs="宋体"/>
                <w:color w:val="auto"/>
                <w:sz w:val="24"/>
                <w:highlight w:val="none"/>
              </w:rPr>
            </w:pPr>
            <w:r>
              <w:rPr>
                <w:rFonts w:hint="eastAsia" w:ascii="宋体" w:hAnsi="宋体" w:cs="宋体"/>
                <w:color w:val="auto"/>
                <w:sz w:val="24"/>
                <w:highlight w:val="none"/>
              </w:rPr>
              <w:t xml:space="preserve">招标文件编号：浙华采字【2024】hzx-9030号 </w:t>
            </w:r>
          </w:p>
          <w:p w14:paraId="4AA0C252">
            <w:pPr>
              <w:pStyle w:val="2"/>
              <w:spacing w:line="360" w:lineRule="exact"/>
              <w:ind w:firstLine="0" w:firstLineChars="0"/>
              <w:rPr>
                <w:rFonts w:ascii="宋体" w:hAnsi="宋体" w:cs="宋体"/>
                <w:color w:val="auto"/>
                <w:kern w:val="0"/>
                <w:sz w:val="24"/>
                <w:szCs w:val="24"/>
                <w:highlight w:val="none"/>
              </w:rPr>
            </w:pPr>
            <w:r>
              <w:rPr>
                <w:rFonts w:hint="eastAsia" w:ascii="宋体" w:hAnsi="宋体" w:cs="宋体"/>
                <w:color w:val="auto"/>
                <w:sz w:val="24"/>
                <w:szCs w:val="24"/>
                <w:highlight w:val="none"/>
              </w:rPr>
              <w:t>财政审批编号:南太湖新区财采确临[2024]5270号</w:t>
            </w:r>
          </w:p>
        </w:tc>
      </w:tr>
      <w:tr w14:paraId="4AF61426">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vAlign w:val="center"/>
          </w:tcPr>
          <w:p w14:paraId="00CA6F34">
            <w:pPr>
              <w:widowControl/>
              <w:spacing w:line="360" w:lineRule="exact"/>
              <w:ind w:left="-92" w:leftChars="-33" w:right="-92" w:rightChars="-33"/>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619" w:type="dxa"/>
            <w:tcBorders>
              <w:top w:val="single" w:color="auto" w:sz="4" w:space="0"/>
              <w:left w:val="single" w:color="auto" w:sz="4" w:space="0"/>
              <w:bottom w:val="single" w:color="auto" w:sz="4" w:space="0"/>
              <w:right w:val="single" w:color="auto" w:sz="4" w:space="0"/>
            </w:tcBorders>
            <w:vAlign w:val="center"/>
          </w:tcPr>
          <w:p w14:paraId="4D1BED0D">
            <w:pPr>
              <w:spacing w:line="360" w:lineRule="exact"/>
              <w:jc w:val="center"/>
              <w:rPr>
                <w:rFonts w:ascii="宋体" w:hAnsi="宋体" w:cs="宋体"/>
                <w:color w:val="auto"/>
                <w:kern w:val="0"/>
                <w:sz w:val="24"/>
                <w:highlight w:val="none"/>
              </w:rPr>
            </w:pPr>
            <w:r>
              <w:rPr>
                <w:rFonts w:hint="eastAsia" w:ascii="宋体" w:hAnsi="宋体" w:cs="宋体"/>
                <w:bCs/>
                <w:color w:val="auto"/>
                <w:sz w:val="24"/>
                <w:highlight w:val="none"/>
              </w:rPr>
              <w:t>招标内容</w:t>
            </w:r>
          </w:p>
        </w:tc>
        <w:tc>
          <w:tcPr>
            <w:tcW w:w="7495" w:type="dxa"/>
            <w:tcBorders>
              <w:top w:val="single" w:color="auto" w:sz="4" w:space="0"/>
              <w:left w:val="single" w:color="auto" w:sz="4" w:space="0"/>
              <w:bottom w:val="single" w:color="auto" w:sz="4" w:space="0"/>
              <w:right w:val="single" w:color="auto" w:sz="4" w:space="0"/>
            </w:tcBorders>
            <w:vAlign w:val="center"/>
          </w:tcPr>
          <w:p w14:paraId="7EF027AC">
            <w:pPr>
              <w:pStyle w:val="2"/>
              <w:spacing w:line="360" w:lineRule="exact"/>
              <w:ind w:firstLine="0" w:firstLineChars="0"/>
              <w:rPr>
                <w:rFonts w:ascii="宋体" w:hAnsi="宋体" w:cs="宋体"/>
                <w:color w:val="auto"/>
                <w:kern w:val="0"/>
                <w:sz w:val="24"/>
                <w:szCs w:val="24"/>
                <w:highlight w:val="none"/>
              </w:rPr>
            </w:pPr>
            <w:r>
              <w:rPr>
                <w:rFonts w:hint="eastAsia" w:ascii="宋体" w:hAnsi="宋体" w:cs="宋体"/>
                <w:bCs/>
                <w:color w:val="auto"/>
                <w:sz w:val="24"/>
                <w:szCs w:val="24"/>
                <w:highlight w:val="none"/>
              </w:rPr>
              <w:t>滨湖街道</w:t>
            </w: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个小区生活垃圾精准分类服务（具体内容详见招标需求）</w:t>
            </w:r>
          </w:p>
        </w:tc>
      </w:tr>
      <w:tr w14:paraId="2987C3C5">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vAlign w:val="center"/>
          </w:tcPr>
          <w:p w14:paraId="552BEEDF">
            <w:pPr>
              <w:widowControl/>
              <w:spacing w:line="360" w:lineRule="exact"/>
              <w:ind w:left="-92" w:leftChars="-33" w:right="-92" w:rightChars="-33"/>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619" w:type="dxa"/>
            <w:tcBorders>
              <w:top w:val="single" w:color="auto" w:sz="4" w:space="0"/>
              <w:left w:val="single" w:color="auto" w:sz="4" w:space="0"/>
              <w:bottom w:val="single" w:color="auto" w:sz="4" w:space="0"/>
              <w:right w:val="single" w:color="auto" w:sz="4" w:space="0"/>
            </w:tcBorders>
            <w:vAlign w:val="center"/>
          </w:tcPr>
          <w:p w14:paraId="2FF4E297">
            <w:pPr>
              <w:spacing w:line="360" w:lineRule="exact"/>
              <w:jc w:val="center"/>
              <w:rPr>
                <w:rFonts w:ascii="宋体" w:hAnsi="宋体" w:cs="宋体"/>
                <w:bCs/>
                <w:color w:val="auto"/>
                <w:sz w:val="24"/>
                <w:highlight w:val="none"/>
              </w:rPr>
            </w:pPr>
            <w:r>
              <w:rPr>
                <w:rFonts w:hint="eastAsia" w:ascii="宋体" w:hAnsi="宋体" w:cs="宋体"/>
                <w:bCs/>
                <w:color w:val="auto"/>
                <w:sz w:val="24"/>
                <w:highlight w:val="none"/>
              </w:rPr>
              <w:t>投标报价及费用</w:t>
            </w:r>
          </w:p>
        </w:tc>
        <w:tc>
          <w:tcPr>
            <w:tcW w:w="7495" w:type="dxa"/>
            <w:tcBorders>
              <w:top w:val="single" w:color="auto" w:sz="4" w:space="0"/>
              <w:left w:val="single" w:color="auto" w:sz="4" w:space="0"/>
              <w:bottom w:val="single" w:color="auto" w:sz="4" w:space="0"/>
              <w:right w:val="single" w:color="auto" w:sz="4" w:space="0"/>
            </w:tcBorders>
            <w:vAlign w:val="center"/>
          </w:tcPr>
          <w:p w14:paraId="61E6A04B">
            <w:pPr>
              <w:pStyle w:val="2"/>
              <w:spacing w:line="360" w:lineRule="exact"/>
              <w:ind w:firstLine="0" w:firstLineChars="0"/>
              <w:rPr>
                <w:rFonts w:ascii="宋体" w:hAnsi="宋体" w:cs="宋体"/>
                <w:bCs/>
                <w:color w:val="auto"/>
                <w:sz w:val="24"/>
                <w:szCs w:val="24"/>
                <w:highlight w:val="none"/>
              </w:rPr>
            </w:pPr>
            <w:r>
              <w:rPr>
                <w:rFonts w:hint="eastAsia" w:ascii="宋体" w:hAnsi="宋体" w:cs="宋体"/>
                <w:color w:val="auto"/>
                <w:kern w:val="0"/>
                <w:sz w:val="24"/>
                <w:szCs w:val="24"/>
                <w:highlight w:val="none"/>
              </w:rPr>
              <w:t>1、本项目投标应以人民币报价；2、不论投标结果如何，投标人均应自行承担所有与投标有关的全部费用。3、本项目招标代理服务费以各标项预算金额为计费基数，按计价格〔2002〕1980号文标准打8折收取，代理费由各标项中标单位在领取中标通知书前一次性向招标代理机构支付完成。</w:t>
            </w:r>
          </w:p>
        </w:tc>
      </w:tr>
      <w:tr w14:paraId="4478B04F">
        <w:tblPrEx>
          <w:tblCellMar>
            <w:top w:w="0" w:type="dxa"/>
            <w:left w:w="108" w:type="dxa"/>
            <w:bottom w:w="0" w:type="dxa"/>
            <w:right w:w="108" w:type="dxa"/>
          </w:tblCellMar>
        </w:tblPrEx>
        <w:trPr>
          <w:trHeight w:val="1535" w:hRule="atLeast"/>
        </w:trPr>
        <w:tc>
          <w:tcPr>
            <w:tcW w:w="585" w:type="dxa"/>
            <w:tcBorders>
              <w:top w:val="single" w:color="auto" w:sz="4" w:space="0"/>
              <w:left w:val="single" w:color="auto" w:sz="4" w:space="0"/>
              <w:bottom w:val="single" w:color="auto" w:sz="4" w:space="0"/>
              <w:right w:val="single" w:color="auto" w:sz="4" w:space="0"/>
            </w:tcBorders>
            <w:vAlign w:val="center"/>
          </w:tcPr>
          <w:p w14:paraId="4D7DCF2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619" w:type="dxa"/>
            <w:tcBorders>
              <w:top w:val="single" w:color="auto" w:sz="4" w:space="0"/>
              <w:left w:val="single" w:color="auto" w:sz="4" w:space="0"/>
              <w:bottom w:val="single" w:color="auto" w:sz="4" w:space="0"/>
              <w:right w:val="single" w:color="auto" w:sz="4" w:space="0"/>
            </w:tcBorders>
            <w:vAlign w:val="center"/>
          </w:tcPr>
          <w:p w14:paraId="0D81D737">
            <w:pPr>
              <w:spacing w:line="360" w:lineRule="exact"/>
              <w:jc w:val="center"/>
              <w:rPr>
                <w:rFonts w:ascii="宋体" w:hAnsi="宋体" w:cs="宋体"/>
                <w:bCs/>
                <w:color w:val="auto"/>
                <w:sz w:val="24"/>
                <w:highlight w:val="none"/>
              </w:rPr>
            </w:pPr>
            <w:r>
              <w:rPr>
                <w:rFonts w:hint="eastAsia" w:ascii="宋体" w:hAnsi="宋体" w:cs="宋体"/>
                <w:color w:val="auto"/>
                <w:kern w:val="0"/>
                <w:sz w:val="24"/>
                <w:highlight w:val="none"/>
              </w:rPr>
              <w:t>采购人</w:t>
            </w:r>
          </w:p>
        </w:tc>
        <w:tc>
          <w:tcPr>
            <w:tcW w:w="7495" w:type="dxa"/>
            <w:tcBorders>
              <w:top w:val="single" w:color="auto" w:sz="4" w:space="0"/>
              <w:left w:val="single" w:color="auto" w:sz="4" w:space="0"/>
              <w:bottom w:val="single" w:color="auto" w:sz="4" w:space="0"/>
              <w:right w:val="single" w:color="auto" w:sz="4" w:space="0"/>
            </w:tcBorders>
            <w:vAlign w:val="center"/>
          </w:tcPr>
          <w:p w14:paraId="16D1CE47">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名  称：湖州市人民政府滨湖街道办事处</w:t>
            </w:r>
          </w:p>
          <w:p w14:paraId="45FD83AA">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地  址：湖州市吴兴区弁山大道</w:t>
            </w:r>
          </w:p>
          <w:p w14:paraId="1B3C861C">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联系人：张先生</w:t>
            </w:r>
          </w:p>
          <w:p w14:paraId="154ABAEF">
            <w:pPr>
              <w:widowControl/>
              <w:spacing w:line="360" w:lineRule="exact"/>
              <w:jc w:val="left"/>
              <w:rPr>
                <w:rFonts w:ascii="宋体" w:hAnsi="宋体" w:cs="宋体"/>
                <w:bCs/>
                <w:color w:val="auto"/>
                <w:sz w:val="24"/>
                <w:highlight w:val="none"/>
              </w:rPr>
            </w:pPr>
            <w:r>
              <w:rPr>
                <w:rFonts w:hint="eastAsia" w:ascii="宋体" w:hAnsi="宋体" w:cs="宋体"/>
                <w:color w:val="auto"/>
                <w:kern w:val="0"/>
                <w:sz w:val="24"/>
                <w:highlight w:val="none"/>
              </w:rPr>
              <w:t>电  话：0572-2593113</w:t>
            </w:r>
          </w:p>
        </w:tc>
      </w:tr>
      <w:tr w14:paraId="35C6344F">
        <w:tblPrEx>
          <w:tblCellMar>
            <w:top w:w="0" w:type="dxa"/>
            <w:left w:w="108" w:type="dxa"/>
            <w:bottom w:w="0" w:type="dxa"/>
            <w:right w:w="108" w:type="dxa"/>
          </w:tblCellMar>
        </w:tblPrEx>
        <w:trPr>
          <w:trHeight w:val="1505" w:hRule="atLeast"/>
        </w:trPr>
        <w:tc>
          <w:tcPr>
            <w:tcW w:w="585" w:type="dxa"/>
            <w:tcBorders>
              <w:top w:val="single" w:color="auto" w:sz="4" w:space="0"/>
              <w:left w:val="single" w:color="auto" w:sz="4" w:space="0"/>
              <w:bottom w:val="single" w:color="auto" w:sz="4" w:space="0"/>
              <w:right w:val="single" w:color="auto" w:sz="4" w:space="0"/>
            </w:tcBorders>
            <w:vAlign w:val="center"/>
          </w:tcPr>
          <w:p w14:paraId="51E1F15B">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619" w:type="dxa"/>
            <w:tcBorders>
              <w:top w:val="single" w:color="auto" w:sz="4" w:space="0"/>
              <w:left w:val="single" w:color="auto" w:sz="4" w:space="0"/>
              <w:bottom w:val="single" w:color="auto" w:sz="4" w:space="0"/>
              <w:right w:val="single" w:color="auto" w:sz="4" w:space="0"/>
            </w:tcBorders>
            <w:vAlign w:val="center"/>
          </w:tcPr>
          <w:p w14:paraId="40E3F95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采购代理机构</w:t>
            </w:r>
          </w:p>
        </w:tc>
        <w:tc>
          <w:tcPr>
            <w:tcW w:w="7495" w:type="dxa"/>
            <w:tcBorders>
              <w:top w:val="single" w:color="auto" w:sz="4" w:space="0"/>
              <w:left w:val="single" w:color="auto" w:sz="4" w:space="0"/>
              <w:bottom w:val="single" w:color="auto" w:sz="4" w:space="0"/>
              <w:right w:val="single" w:color="auto" w:sz="4" w:space="0"/>
            </w:tcBorders>
            <w:vAlign w:val="center"/>
          </w:tcPr>
          <w:p w14:paraId="50995974">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名  称：浙江华夏工程管理有限公司</w:t>
            </w:r>
          </w:p>
          <w:p w14:paraId="1775717B">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地  址：湖州市星洲国际10幢5楼 </w:t>
            </w:r>
          </w:p>
          <w:p w14:paraId="4E3AFD95">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联系人：丁锦赟</w:t>
            </w:r>
          </w:p>
          <w:p w14:paraId="0AB3B048">
            <w:pPr>
              <w:widowControl/>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电  话：0572-2567837 </w:t>
            </w:r>
          </w:p>
        </w:tc>
      </w:tr>
      <w:tr w14:paraId="258B702B">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vAlign w:val="center"/>
          </w:tcPr>
          <w:p w14:paraId="635D438E">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619" w:type="dxa"/>
            <w:tcBorders>
              <w:top w:val="single" w:color="auto" w:sz="4" w:space="0"/>
              <w:left w:val="single" w:color="auto" w:sz="4" w:space="0"/>
              <w:bottom w:val="single" w:color="auto" w:sz="4" w:space="0"/>
              <w:right w:val="single" w:color="auto" w:sz="4" w:space="0"/>
            </w:tcBorders>
            <w:vAlign w:val="center"/>
          </w:tcPr>
          <w:p w14:paraId="221196D8">
            <w:pPr>
              <w:shd w:val="clear" w:color="auto" w:fill="FFFFFF"/>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项目预算金额、最高限价</w:t>
            </w:r>
          </w:p>
        </w:tc>
        <w:tc>
          <w:tcPr>
            <w:tcW w:w="7495" w:type="dxa"/>
            <w:tcBorders>
              <w:top w:val="single" w:color="auto" w:sz="4" w:space="0"/>
              <w:left w:val="single" w:color="auto" w:sz="4" w:space="0"/>
              <w:bottom w:val="single" w:color="auto" w:sz="4" w:space="0"/>
              <w:right w:val="single" w:color="auto" w:sz="4" w:space="0"/>
            </w:tcBorders>
            <w:vAlign w:val="center"/>
          </w:tcPr>
          <w:p w14:paraId="39ED4A1B">
            <w:pPr>
              <w:spacing w:line="400" w:lineRule="exact"/>
              <w:rPr>
                <w:rFonts w:ascii="宋体" w:hAnsi="宋体" w:cs="宋体"/>
                <w:color w:val="auto"/>
                <w:sz w:val="24"/>
                <w:highlight w:val="none"/>
              </w:rPr>
            </w:pPr>
            <w:r>
              <w:rPr>
                <w:rFonts w:hint="eastAsia" w:ascii="宋体" w:hAnsi="宋体" w:cs="宋体"/>
                <w:color w:val="auto"/>
                <w:sz w:val="24"/>
                <w:highlight w:val="none"/>
              </w:rPr>
              <w:t>标项一：2890180元（50元/户/年+30000元/站点/年或310元/户/年）</w:t>
            </w:r>
          </w:p>
          <w:p w14:paraId="2F840FF8">
            <w:pPr>
              <w:spacing w:line="400" w:lineRule="exact"/>
              <w:rPr>
                <w:rFonts w:ascii="宋体" w:hAnsi="宋体" w:cs="宋体"/>
                <w:color w:val="auto"/>
                <w:kern w:val="0"/>
                <w:sz w:val="24"/>
                <w:highlight w:val="none"/>
              </w:rPr>
            </w:pPr>
            <w:r>
              <w:rPr>
                <w:rFonts w:hint="eastAsia" w:ascii="宋体" w:hAnsi="宋体" w:cs="宋体"/>
                <w:color w:val="auto"/>
                <w:sz w:val="24"/>
                <w:highlight w:val="none"/>
              </w:rPr>
              <w:t>标项二：1771010元（50元/户/年+30000元/站点/年或310元/户/年）</w:t>
            </w:r>
          </w:p>
        </w:tc>
      </w:tr>
      <w:tr w14:paraId="6F1E3E47">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vAlign w:val="center"/>
          </w:tcPr>
          <w:p w14:paraId="76416421">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619" w:type="dxa"/>
            <w:tcBorders>
              <w:top w:val="single" w:color="auto" w:sz="4" w:space="0"/>
              <w:left w:val="single" w:color="auto" w:sz="4" w:space="0"/>
              <w:bottom w:val="single" w:color="auto" w:sz="4" w:space="0"/>
              <w:right w:val="single" w:color="auto" w:sz="4" w:space="0"/>
            </w:tcBorders>
            <w:vAlign w:val="center"/>
          </w:tcPr>
          <w:p w14:paraId="318FDFA7">
            <w:pPr>
              <w:tabs>
                <w:tab w:val="left" w:pos="1425"/>
              </w:tabs>
              <w:spacing w:line="360" w:lineRule="exact"/>
              <w:jc w:val="center"/>
              <w:rPr>
                <w:rFonts w:ascii="宋体" w:hAnsi="宋体" w:cs="宋体"/>
                <w:bCs/>
                <w:color w:val="auto"/>
                <w:kern w:val="0"/>
                <w:sz w:val="24"/>
                <w:highlight w:val="none"/>
              </w:rPr>
            </w:pPr>
            <w:r>
              <w:rPr>
                <w:rFonts w:hint="eastAsia" w:ascii="宋体" w:hAnsi="宋体" w:cs="宋体"/>
                <w:color w:val="auto"/>
                <w:kern w:val="0"/>
                <w:sz w:val="24"/>
                <w:highlight w:val="none"/>
              </w:rPr>
              <w:t>是否专门面向</w:t>
            </w:r>
            <w:r>
              <w:rPr>
                <w:rFonts w:hint="eastAsia" w:ascii="宋体" w:hAnsi="宋体" w:cs="宋体"/>
                <w:color w:val="auto"/>
                <w:sz w:val="24"/>
                <w:highlight w:val="none"/>
              </w:rPr>
              <w:t>中小企业</w:t>
            </w:r>
            <w:r>
              <w:rPr>
                <w:rFonts w:hint="eastAsia" w:ascii="宋体" w:hAnsi="宋体" w:cs="宋体"/>
                <w:color w:val="auto"/>
                <w:kern w:val="0"/>
                <w:sz w:val="24"/>
                <w:highlight w:val="none"/>
              </w:rPr>
              <w:t>采购</w:t>
            </w:r>
          </w:p>
        </w:tc>
        <w:tc>
          <w:tcPr>
            <w:tcW w:w="7495" w:type="dxa"/>
            <w:tcBorders>
              <w:top w:val="single" w:color="auto" w:sz="4" w:space="0"/>
              <w:left w:val="single" w:color="auto" w:sz="4" w:space="0"/>
              <w:bottom w:val="single" w:color="auto" w:sz="4" w:space="0"/>
              <w:right w:val="single" w:color="auto" w:sz="4" w:space="0"/>
            </w:tcBorders>
            <w:vAlign w:val="center"/>
          </w:tcPr>
          <w:p w14:paraId="0677A0EC">
            <w:pPr>
              <w:spacing w:line="360" w:lineRule="exact"/>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eastAsia="zh-CN"/>
              </w:rPr>
              <w:t>是</w:t>
            </w:r>
          </w:p>
        </w:tc>
      </w:tr>
      <w:tr w14:paraId="6CC01CF6">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vAlign w:val="center"/>
          </w:tcPr>
          <w:p w14:paraId="723B6333">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619" w:type="dxa"/>
            <w:tcBorders>
              <w:top w:val="single" w:color="auto" w:sz="4" w:space="0"/>
              <w:left w:val="single" w:color="auto" w:sz="4" w:space="0"/>
              <w:bottom w:val="single" w:color="auto" w:sz="4" w:space="0"/>
              <w:right w:val="single" w:color="auto" w:sz="4" w:space="0"/>
            </w:tcBorders>
            <w:vAlign w:val="center"/>
          </w:tcPr>
          <w:p w14:paraId="1A8C2614">
            <w:pPr>
              <w:tabs>
                <w:tab w:val="left" w:pos="1425"/>
              </w:tabs>
              <w:spacing w:line="360" w:lineRule="exact"/>
              <w:jc w:val="center"/>
              <w:rPr>
                <w:rFonts w:ascii="宋体" w:hAnsi="宋体" w:cs="宋体"/>
                <w:color w:val="auto"/>
                <w:kern w:val="0"/>
                <w:sz w:val="24"/>
                <w:highlight w:val="none"/>
              </w:rPr>
            </w:pPr>
            <w:r>
              <w:rPr>
                <w:rFonts w:hint="eastAsia" w:ascii="宋体" w:hAnsi="宋体" w:cs="宋体"/>
                <w:color w:val="auto"/>
                <w:sz w:val="24"/>
                <w:highlight w:val="none"/>
              </w:rPr>
              <w:t>是否有政府强制采购的节能产品</w:t>
            </w:r>
          </w:p>
        </w:tc>
        <w:tc>
          <w:tcPr>
            <w:tcW w:w="7495" w:type="dxa"/>
            <w:tcBorders>
              <w:top w:val="single" w:color="auto" w:sz="4" w:space="0"/>
              <w:left w:val="single" w:color="auto" w:sz="4" w:space="0"/>
              <w:bottom w:val="single" w:color="auto" w:sz="4" w:space="0"/>
              <w:right w:val="single" w:color="auto" w:sz="4" w:space="0"/>
            </w:tcBorders>
            <w:vAlign w:val="center"/>
          </w:tcPr>
          <w:p w14:paraId="29F66E85">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没有</w:t>
            </w:r>
          </w:p>
        </w:tc>
      </w:tr>
      <w:tr w14:paraId="2D0B17D4">
        <w:tblPrEx>
          <w:tblCellMar>
            <w:top w:w="0" w:type="dxa"/>
            <w:left w:w="108" w:type="dxa"/>
            <w:bottom w:w="0" w:type="dxa"/>
            <w:right w:w="108" w:type="dxa"/>
          </w:tblCellMar>
        </w:tblPrEx>
        <w:trPr>
          <w:trHeight w:val="321" w:hRule="atLeast"/>
        </w:trPr>
        <w:tc>
          <w:tcPr>
            <w:tcW w:w="585" w:type="dxa"/>
            <w:tcBorders>
              <w:top w:val="single" w:color="auto" w:sz="4" w:space="0"/>
              <w:left w:val="single" w:color="auto" w:sz="4" w:space="0"/>
              <w:bottom w:val="single" w:color="auto" w:sz="4" w:space="0"/>
              <w:right w:val="single" w:color="auto" w:sz="4" w:space="0"/>
            </w:tcBorders>
            <w:vAlign w:val="center"/>
          </w:tcPr>
          <w:p w14:paraId="46629D36">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619" w:type="dxa"/>
            <w:tcBorders>
              <w:top w:val="single" w:color="auto" w:sz="4" w:space="0"/>
              <w:left w:val="single" w:color="auto" w:sz="4" w:space="0"/>
              <w:bottom w:val="single" w:color="auto" w:sz="4" w:space="0"/>
              <w:right w:val="single" w:color="auto" w:sz="4" w:space="0"/>
            </w:tcBorders>
            <w:vAlign w:val="center"/>
          </w:tcPr>
          <w:p w14:paraId="4719EE7F">
            <w:pPr>
              <w:tabs>
                <w:tab w:val="left" w:pos="1425"/>
              </w:tabs>
              <w:spacing w:line="360" w:lineRule="exact"/>
              <w:jc w:val="center"/>
              <w:rPr>
                <w:rFonts w:ascii="宋体" w:hAnsi="宋体" w:cs="宋体"/>
                <w:b/>
                <w:color w:val="auto"/>
                <w:kern w:val="0"/>
                <w:sz w:val="24"/>
                <w:highlight w:val="none"/>
              </w:rPr>
            </w:pPr>
            <w:r>
              <w:rPr>
                <w:rFonts w:hint="eastAsia" w:ascii="宋体" w:hAnsi="宋体" w:cs="宋体"/>
                <w:bCs/>
                <w:color w:val="auto"/>
                <w:kern w:val="0"/>
                <w:sz w:val="24"/>
                <w:highlight w:val="none"/>
              </w:rPr>
              <w:t>是否允许联合体投标</w:t>
            </w:r>
          </w:p>
        </w:tc>
        <w:tc>
          <w:tcPr>
            <w:tcW w:w="7495" w:type="dxa"/>
            <w:tcBorders>
              <w:top w:val="single" w:color="auto" w:sz="4" w:space="0"/>
              <w:left w:val="single" w:color="auto" w:sz="4" w:space="0"/>
              <w:bottom w:val="single" w:color="auto" w:sz="4" w:space="0"/>
              <w:right w:val="single" w:color="auto" w:sz="4" w:space="0"/>
            </w:tcBorders>
            <w:vAlign w:val="center"/>
          </w:tcPr>
          <w:p w14:paraId="31EF3AF1">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否</w:t>
            </w:r>
          </w:p>
        </w:tc>
      </w:tr>
      <w:tr w14:paraId="5B32DEDF">
        <w:tblPrEx>
          <w:tblCellMar>
            <w:top w:w="0" w:type="dxa"/>
            <w:left w:w="108" w:type="dxa"/>
            <w:bottom w:w="0" w:type="dxa"/>
            <w:right w:w="108" w:type="dxa"/>
          </w:tblCellMar>
        </w:tblPrEx>
        <w:trPr>
          <w:trHeight w:val="265" w:hRule="atLeast"/>
        </w:trPr>
        <w:tc>
          <w:tcPr>
            <w:tcW w:w="585" w:type="dxa"/>
            <w:tcBorders>
              <w:top w:val="single" w:color="auto" w:sz="4" w:space="0"/>
              <w:left w:val="single" w:color="auto" w:sz="4" w:space="0"/>
              <w:bottom w:val="single" w:color="auto" w:sz="4" w:space="0"/>
              <w:right w:val="single" w:color="auto" w:sz="4" w:space="0"/>
            </w:tcBorders>
            <w:vAlign w:val="center"/>
          </w:tcPr>
          <w:p w14:paraId="0EB3F62A">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619" w:type="dxa"/>
            <w:tcBorders>
              <w:top w:val="single" w:color="auto" w:sz="4" w:space="0"/>
              <w:left w:val="single" w:color="auto" w:sz="4" w:space="0"/>
              <w:bottom w:val="single" w:color="auto" w:sz="4" w:space="0"/>
              <w:right w:val="single" w:color="auto" w:sz="4" w:space="0"/>
            </w:tcBorders>
            <w:vAlign w:val="center"/>
          </w:tcPr>
          <w:p w14:paraId="17CA1ADB">
            <w:pPr>
              <w:shd w:val="clear" w:color="auto" w:fill="FFFFFF"/>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现场考察、开标前答疑会</w:t>
            </w:r>
          </w:p>
        </w:tc>
        <w:tc>
          <w:tcPr>
            <w:tcW w:w="7495" w:type="dxa"/>
            <w:tcBorders>
              <w:top w:val="single" w:color="auto" w:sz="4" w:space="0"/>
              <w:left w:val="single" w:color="auto" w:sz="4" w:space="0"/>
              <w:bottom w:val="single" w:color="auto" w:sz="4" w:space="0"/>
              <w:right w:val="single" w:color="auto" w:sz="4" w:space="0"/>
            </w:tcBorders>
            <w:vAlign w:val="center"/>
          </w:tcPr>
          <w:p w14:paraId="45D940D8">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不组织</w:t>
            </w:r>
          </w:p>
        </w:tc>
      </w:tr>
      <w:tr w14:paraId="7E825CD7">
        <w:tblPrEx>
          <w:tblCellMar>
            <w:top w:w="0" w:type="dxa"/>
            <w:left w:w="108" w:type="dxa"/>
            <w:bottom w:w="0" w:type="dxa"/>
            <w:right w:w="108" w:type="dxa"/>
          </w:tblCellMar>
        </w:tblPrEx>
        <w:trPr>
          <w:trHeight w:val="862" w:hRule="atLeast"/>
        </w:trPr>
        <w:tc>
          <w:tcPr>
            <w:tcW w:w="585" w:type="dxa"/>
            <w:tcBorders>
              <w:top w:val="single" w:color="auto" w:sz="4" w:space="0"/>
              <w:left w:val="single" w:color="auto" w:sz="4" w:space="0"/>
              <w:bottom w:val="single" w:color="auto" w:sz="4" w:space="0"/>
              <w:right w:val="single" w:color="auto" w:sz="4" w:space="0"/>
            </w:tcBorders>
            <w:vAlign w:val="center"/>
          </w:tcPr>
          <w:p w14:paraId="4E62D37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619" w:type="dxa"/>
            <w:tcBorders>
              <w:top w:val="single" w:color="auto" w:sz="4" w:space="0"/>
              <w:left w:val="single" w:color="auto" w:sz="4" w:space="0"/>
              <w:bottom w:val="single" w:color="auto" w:sz="4" w:space="0"/>
              <w:right w:val="single" w:color="auto" w:sz="4" w:space="0"/>
            </w:tcBorders>
            <w:vAlign w:val="center"/>
          </w:tcPr>
          <w:p w14:paraId="16ACD76B">
            <w:pPr>
              <w:shd w:val="clear" w:color="auto" w:fill="FFFFFF"/>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样品或演示</w:t>
            </w:r>
          </w:p>
        </w:tc>
        <w:tc>
          <w:tcPr>
            <w:tcW w:w="7495" w:type="dxa"/>
            <w:tcBorders>
              <w:top w:val="single" w:color="auto" w:sz="4" w:space="0"/>
              <w:left w:val="single" w:color="auto" w:sz="4" w:space="0"/>
              <w:bottom w:val="single" w:color="auto" w:sz="4" w:space="0"/>
              <w:right w:val="single" w:color="auto" w:sz="4" w:space="0"/>
            </w:tcBorders>
            <w:vAlign w:val="center"/>
          </w:tcPr>
          <w:p w14:paraId="5ABB7BF9">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不需要</w:t>
            </w:r>
            <w:r>
              <w:rPr>
                <w:rFonts w:hint="eastAsia" w:ascii="宋体" w:hAnsi="宋体" w:cs="宋体"/>
                <w:bCs/>
                <w:color w:val="auto"/>
                <w:kern w:val="0"/>
                <w:sz w:val="24"/>
                <w:highlight w:val="none"/>
              </w:rPr>
              <w:t>提供样品、无演示</w:t>
            </w:r>
          </w:p>
        </w:tc>
      </w:tr>
      <w:tr w14:paraId="1C65B449">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vAlign w:val="center"/>
          </w:tcPr>
          <w:p w14:paraId="3CB1F97D">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619" w:type="dxa"/>
            <w:tcBorders>
              <w:top w:val="single" w:color="auto" w:sz="4" w:space="0"/>
              <w:left w:val="single" w:color="auto" w:sz="4" w:space="0"/>
              <w:bottom w:val="single" w:color="auto" w:sz="4" w:space="0"/>
              <w:right w:val="single" w:color="auto" w:sz="4" w:space="0"/>
            </w:tcBorders>
            <w:vAlign w:val="center"/>
          </w:tcPr>
          <w:p w14:paraId="07E80FED">
            <w:pPr>
              <w:shd w:val="clear" w:color="auto" w:fill="FFFFFF"/>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投标报价货币要求</w:t>
            </w:r>
          </w:p>
        </w:tc>
        <w:tc>
          <w:tcPr>
            <w:tcW w:w="7495" w:type="dxa"/>
            <w:tcBorders>
              <w:top w:val="single" w:color="auto" w:sz="4" w:space="0"/>
              <w:left w:val="single" w:color="auto" w:sz="4" w:space="0"/>
              <w:bottom w:val="single" w:color="auto" w:sz="4" w:space="0"/>
              <w:right w:val="single" w:color="auto" w:sz="4" w:space="0"/>
            </w:tcBorders>
            <w:vAlign w:val="center"/>
          </w:tcPr>
          <w:p w14:paraId="59DE5164">
            <w:pPr>
              <w:spacing w:line="3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所有投标均按</w:t>
            </w:r>
            <w:r>
              <w:rPr>
                <w:rFonts w:hint="eastAsia" w:ascii="宋体" w:hAnsi="宋体" w:cs="宋体"/>
                <w:color w:val="auto"/>
                <w:kern w:val="0"/>
                <w:sz w:val="24"/>
                <w:highlight w:val="none"/>
                <w:u w:val="single"/>
              </w:rPr>
              <w:t xml:space="preserve"> 人民币 </w:t>
            </w:r>
            <w:r>
              <w:rPr>
                <w:rFonts w:hint="eastAsia" w:ascii="宋体" w:hAnsi="宋体" w:cs="宋体"/>
                <w:color w:val="auto"/>
                <w:kern w:val="0"/>
                <w:sz w:val="24"/>
                <w:highlight w:val="none"/>
              </w:rPr>
              <w:t>货币进行报价。</w:t>
            </w:r>
          </w:p>
        </w:tc>
      </w:tr>
      <w:tr w14:paraId="6394F90E">
        <w:tblPrEx>
          <w:tblCellMar>
            <w:top w:w="0" w:type="dxa"/>
            <w:left w:w="108" w:type="dxa"/>
            <w:bottom w:w="0" w:type="dxa"/>
            <w:right w:w="108" w:type="dxa"/>
          </w:tblCellMar>
        </w:tblPrEx>
        <w:trPr>
          <w:trHeight w:val="609" w:hRule="atLeast"/>
        </w:trPr>
        <w:tc>
          <w:tcPr>
            <w:tcW w:w="585" w:type="dxa"/>
            <w:tcBorders>
              <w:top w:val="single" w:color="auto" w:sz="4" w:space="0"/>
              <w:left w:val="single" w:color="auto" w:sz="8" w:space="0"/>
              <w:bottom w:val="single" w:color="auto" w:sz="8" w:space="0"/>
              <w:right w:val="single" w:color="auto" w:sz="4" w:space="0"/>
            </w:tcBorders>
            <w:vAlign w:val="center"/>
          </w:tcPr>
          <w:p w14:paraId="3A493834">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619" w:type="dxa"/>
            <w:tcBorders>
              <w:top w:val="single" w:color="auto" w:sz="4" w:space="0"/>
              <w:left w:val="single" w:color="auto" w:sz="4" w:space="0"/>
              <w:bottom w:val="single" w:color="auto" w:sz="8" w:space="0"/>
              <w:right w:val="single" w:color="auto" w:sz="8" w:space="0"/>
            </w:tcBorders>
            <w:vAlign w:val="center"/>
          </w:tcPr>
          <w:p w14:paraId="6CDC4A36">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7495" w:type="dxa"/>
            <w:tcBorders>
              <w:top w:val="single" w:color="auto" w:sz="4" w:space="0"/>
              <w:left w:val="nil"/>
              <w:bottom w:val="single" w:color="auto" w:sz="8" w:space="0"/>
              <w:right w:val="single" w:color="auto" w:sz="8" w:space="0"/>
            </w:tcBorders>
            <w:vAlign w:val="center"/>
          </w:tcPr>
          <w:p w14:paraId="602A1E79">
            <w:pPr>
              <w:spacing w:line="360" w:lineRule="exact"/>
              <w:rPr>
                <w:rFonts w:ascii="宋体" w:hAnsi="宋体" w:cs="宋体"/>
                <w:color w:val="auto"/>
                <w:sz w:val="24"/>
                <w:highlight w:val="none"/>
              </w:rPr>
            </w:pPr>
            <w:r>
              <w:rPr>
                <w:rFonts w:hint="eastAsia" w:ascii="宋体" w:hAnsi="宋体" w:cs="宋体"/>
                <w:color w:val="auto"/>
                <w:sz w:val="24"/>
                <w:highlight w:val="none"/>
              </w:rPr>
              <w:t>不缴纳</w:t>
            </w:r>
          </w:p>
        </w:tc>
      </w:tr>
      <w:tr w14:paraId="0FFE1BBC">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8" w:space="0"/>
              <w:bottom w:val="single" w:color="auto" w:sz="8" w:space="0"/>
              <w:right w:val="single" w:color="auto" w:sz="4" w:space="0"/>
            </w:tcBorders>
            <w:vAlign w:val="center"/>
          </w:tcPr>
          <w:p w14:paraId="7F14E01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619" w:type="dxa"/>
            <w:tcBorders>
              <w:top w:val="single" w:color="auto" w:sz="4" w:space="0"/>
              <w:left w:val="single" w:color="auto" w:sz="4" w:space="0"/>
              <w:bottom w:val="single" w:color="auto" w:sz="8" w:space="0"/>
              <w:right w:val="single" w:color="auto" w:sz="8" w:space="0"/>
            </w:tcBorders>
            <w:vAlign w:val="center"/>
          </w:tcPr>
          <w:p w14:paraId="50DA9E7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7495" w:type="dxa"/>
            <w:tcBorders>
              <w:top w:val="single" w:color="auto" w:sz="4" w:space="0"/>
              <w:left w:val="nil"/>
              <w:bottom w:val="single" w:color="auto" w:sz="8" w:space="0"/>
              <w:right w:val="single" w:color="auto" w:sz="8" w:space="0"/>
            </w:tcBorders>
            <w:vAlign w:val="center"/>
          </w:tcPr>
          <w:p w14:paraId="522D9E8C">
            <w:pPr>
              <w:pStyle w:val="10"/>
              <w:spacing w:line="360" w:lineRule="exact"/>
              <w:textAlignment w:val="auto"/>
              <w:rPr>
                <w:rFonts w:ascii="宋体" w:hAnsi="宋体" w:cs="宋体"/>
                <w:color w:val="auto"/>
                <w:szCs w:val="24"/>
                <w:highlight w:val="none"/>
              </w:rPr>
            </w:pPr>
            <w:r>
              <w:rPr>
                <w:rFonts w:hint="eastAsia" w:ascii="宋体" w:hAnsi="宋体" w:cs="宋体"/>
                <w:color w:val="auto"/>
                <w:szCs w:val="24"/>
                <w:highlight w:val="none"/>
                <w:u w:val="single"/>
              </w:rPr>
              <w:t xml:space="preserve"> 120 </w:t>
            </w:r>
            <w:r>
              <w:rPr>
                <w:rFonts w:hint="eastAsia" w:ascii="宋体" w:hAnsi="宋体" w:cs="宋体"/>
                <w:color w:val="auto"/>
                <w:szCs w:val="24"/>
                <w:highlight w:val="none"/>
              </w:rPr>
              <w:t>日历天</w:t>
            </w:r>
          </w:p>
        </w:tc>
      </w:tr>
      <w:tr w14:paraId="36D71CB8">
        <w:tblPrEx>
          <w:tblCellMar>
            <w:top w:w="0" w:type="dxa"/>
            <w:left w:w="108" w:type="dxa"/>
            <w:bottom w:w="0" w:type="dxa"/>
            <w:right w:w="108" w:type="dxa"/>
          </w:tblCellMar>
        </w:tblPrEx>
        <w:trPr>
          <w:trHeight w:val="936" w:hRule="atLeast"/>
        </w:trPr>
        <w:tc>
          <w:tcPr>
            <w:tcW w:w="585" w:type="dxa"/>
            <w:tcBorders>
              <w:top w:val="nil"/>
              <w:left w:val="single" w:color="auto" w:sz="8" w:space="0"/>
              <w:bottom w:val="single" w:color="auto" w:sz="4" w:space="0"/>
              <w:right w:val="single" w:color="auto" w:sz="4" w:space="0"/>
            </w:tcBorders>
            <w:vAlign w:val="center"/>
          </w:tcPr>
          <w:p w14:paraId="33CDDDFB">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619" w:type="dxa"/>
            <w:tcBorders>
              <w:top w:val="nil"/>
              <w:left w:val="single" w:color="auto" w:sz="4" w:space="0"/>
              <w:bottom w:val="single" w:color="auto" w:sz="4" w:space="0"/>
              <w:right w:val="single" w:color="auto" w:sz="8" w:space="0"/>
            </w:tcBorders>
            <w:vAlign w:val="center"/>
          </w:tcPr>
          <w:p w14:paraId="108507AA">
            <w:pPr>
              <w:widowControl/>
              <w:spacing w:line="360" w:lineRule="exact"/>
              <w:jc w:val="center"/>
              <w:rPr>
                <w:rFonts w:ascii="宋体" w:hAnsi="宋体" w:cs="宋体"/>
                <w:color w:val="auto"/>
                <w:kern w:val="0"/>
                <w:sz w:val="24"/>
                <w:highlight w:val="none"/>
              </w:rPr>
            </w:pPr>
            <w:r>
              <w:rPr>
                <w:rFonts w:hint="eastAsia" w:ascii="宋体" w:hAnsi="宋体" w:cs="宋体"/>
                <w:color w:val="auto"/>
                <w:sz w:val="24"/>
                <w:highlight w:val="none"/>
              </w:rPr>
              <w:t>投标文件及电子文档份数</w:t>
            </w:r>
          </w:p>
        </w:tc>
        <w:tc>
          <w:tcPr>
            <w:tcW w:w="7495" w:type="dxa"/>
            <w:tcBorders>
              <w:top w:val="nil"/>
              <w:left w:val="nil"/>
              <w:bottom w:val="single" w:color="auto" w:sz="4" w:space="0"/>
              <w:right w:val="single" w:color="auto" w:sz="8" w:space="0"/>
            </w:tcBorders>
            <w:vAlign w:val="center"/>
          </w:tcPr>
          <w:p w14:paraId="603F6A66">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1、投标人应准备电子投标文件、以介质存储的数据电文形式的备份投标文件：</w:t>
            </w:r>
          </w:p>
          <w:p w14:paraId="1D54E17E">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（1）电子投标文件，按政采云平台项目采购-电子交易操作指南及本招标文件要求递交。</w:t>
            </w:r>
          </w:p>
          <w:p w14:paraId="53B1F940">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（2）以介质存储的数据电文形式（bfbs格式）的备份投标文件，按政采云平台项目采购-电子交易操作指南中上传的电子投标文件格式，以U盘形式存储提供。数量为1份。</w:t>
            </w:r>
            <w:r>
              <w:rPr>
                <w:rFonts w:hint="eastAsia" w:ascii="宋体" w:hAnsi="宋体" w:cs="宋体"/>
                <w:color w:val="auto"/>
                <w:kern w:val="0"/>
                <w:sz w:val="24"/>
                <w:highlight w:val="none"/>
              </w:rPr>
              <w:t>（根据实际情况自行决定是否递交备份投标文件）</w:t>
            </w:r>
          </w:p>
          <w:p w14:paraId="2CB07657">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2、是否需要提交纸质版投标文件：否，但中标后，中标单位需在领取中标通知书时，向招标代理机构提交与投标时电子投标文件一致的纸质版本一式三份（按照招标文件要求签字盖章）。</w:t>
            </w:r>
          </w:p>
          <w:p w14:paraId="683670F5">
            <w:pPr>
              <w:widowControl/>
              <w:spacing w:line="360" w:lineRule="exact"/>
              <w:rPr>
                <w:rFonts w:ascii="宋体" w:hAnsi="宋体" w:cs="宋体"/>
                <w:color w:val="auto"/>
                <w:sz w:val="24"/>
                <w:highlight w:val="none"/>
                <w:u w:val="single"/>
              </w:rPr>
            </w:pPr>
            <w:r>
              <w:rPr>
                <w:rFonts w:hint="eastAsia" w:ascii="宋体" w:hAnsi="宋体" w:cs="宋体"/>
                <w:color w:val="auto"/>
                <w:sz w:val="24"/>
                <w:highlight w:val="none"/>
                <w:u w:val="single"/>
              </w:rPr>
              <w:t>投标文件均由《资格文件》、《技术、商务、资信及其他文件》、《报价文件》组成。</w:t>
            </w:r>
          </w:p>
          <w:p w14:paraId="749FA2B5">
            <w:pPr>
              <w:widowControl/>
              <w:spacing w:line="360" w:lineRule="exact"/>
              <w:rPr>
                <w:rFonts w:ascii="宋体" w:hAnsi="宋体" w:cs="宋体"/>
                <w:color w:val="auto"/>
                <w:sz w:val="24"/>
                <w:highlight w:val="none"/>
                <w:u w:val="single"/>
              </w:rPr>
            </w:pPr>
            <w:r>
              <w:rPr>
                <w:rFonts w:hint="eastAsia" w:ascii="宋体" w:hAnsi="宋体" w:cs="宋体"/>
                <w:color w:val="auto"/>
                <w:sz w:val="24"/>
                <w:highlight w:val="none"/>
                <w:u w:val="single"/>
              </w:rPr>
              <w:t>仅提供备份投标文件的，投标无效。</w:t>
            </w:r>
          </w:p>
          <w:p w14:paraId="6540BE8B">
            <w:pPr>
              <w:widowControl/>
              <w:spacing w:line="360" w:lineRule="exact"/>
              <w:rPr>
                <w:rFonts w:ascii="宋体" w:hAnsi="宋体" w:cs="宋体"/>
                <w:color w:val="auto"/>
                <w:sz w:val="24"/>
                <w:highlight w:val="none"/>
                <w:u w:val="single"/>
              </w:rPr>
            </w:pPr>
            <w:r>
              <w:rPr>
                <w:rFonts w:hint="eastAsia" w:ascii="宋体" w:hAnsi="宋体" w:cs="宋体"/>
                <w:color w:val="auto"/>
                <w:sz w:val="24"/>
                <w:highlight w:val="none"/>
                <w:u w:val="single"/>
              </w:rPr>
              <w:t>本项目不强制要求供应商提交备份投标文件，但由于未提交备份投标文件而造成项目开评标活动无法进行下去的，投标无效的，相关风险由供应商自行承担。</w:t>
            </w:r>
          </w:p>
        </w:tc>
      </w:tr>
      <w:tr w14:paraId="4CC11DD7">
        <w:tblPrEx>
          <w:tblCellMar>
            <w:top w:w="0" w:type="dxa"/>
            <w:left w:w="108" w:type="dxa"/>
            <w:bottom w:w="0" w:type="dxa"/>
            <w:right w:w="108" w:type="dxa"/>
          </w:tblCellMar>
        </w:tblPrEx>
        <w:trPr>
          <w:trHeight w:val="90" w:hRule="atLeast"/>
        </w:trPr>
        <w:tc>
          <w:tcPr>
            <w:tcW w:w="585" w:type="dxa"/>
            <w:tcBorders>
              <w:top w:val="nil"/>
              <w:left w:val="single" w:color="auto" w:sz="8" w:space="0"/>
              <w:bottom w:val="single" w:color="auto" w:sz="4" w:space="0"/>
              <w:right w:val="single" w:color="auto" w:sz="4" w:space="0"/>
            </w:tcBorders>
            <w:vAlign w:val="center"/>
          </w:tcPr>
          <w:p w14:paraId="17CF3AD5">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1619" w:type="dxa"/>
            <w:tcBorders>
              <w:top w:val="nil"/>
              <w:left w:val="single" w:color="auto" w:sz="4" w:space="0"/>
              <w:bottom w:val="single" w:color="auto" w:sz="4" w:space="0"/>
              <w:right w:val="single" w:color="auto" w:sz="8" w:space="0"/>
            </w:tcBorders>
            <w:vAlign w:val="center"/>
          </w:tcPr>
          <w:p w14:paraId="31FF12E3">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递交投标文件截止时间、地点</w:t>
            </w:r>
          </w:p>
        </w:tc>
        <w:tc>
          <w:tcPr>
            <w:tcW w:w="7495" w:type="dxa"/>
            <w:tcBorders>
              <w:top w:val="nil"/>
              <w:left w:val="nil"/>
              <w:bottom w:val="single" w:color="auto" w:sz="4" w:space="0"/>
              <w:right w:val="single" w:color="auto" w:sz="8" w:space="0"/>
            </w:tcBorders>
            <w:vAlign w:val="center"/>
          </w:tcPr>
          <w:p w14:paraId="65AB1E80">
            <w:pPr>
              <w:widowControl/>
              <w:spacing w:line="3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详见招标公告，以招标公告规定时间、地点为准。</w:t>
            </w:r>
          </w:p>
        </w:tc>
      </w:tr>
      <w:tr w14:paraId="23B80D96">
        <w:tblPrEx>
          <w:tblCellMar>
            <w:top w:w="0" w:type="dxa"/>
            <w:left w:w="108" w:type="dxa"/>
            <w:bottom w:w="0" w:type="dxa"/>
            <w:right w:w="108" w:type="dxa"/>
          </w:tblCellMar>
        </w:tblPrEx>
        <w:trPr>
          <w:trHeight w:val="439" w:hRule="atLeast"/>
        </w:trPr>
        <w:tc>
          <w:tcPr>
            <w:tcW w:w="585" w:type="dxa"/>
            <w:tcBorders>
              <w:top w:val="nil"/>
              <w:left w:val="single" w:color="auto" w:sz="8" w:space="0"/>
              <w:bottom w:val="single" w:color="auto" w:sz="4" w:space="0"/>
              <w:right w:val="single" w:color="auto" w:sz="4" w:space="0"/>
            </w:tcBorders>
            <w:vAlign w:val="center"/>
          </w:tcPr>
          <w:p w14:paraId="2C421558">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1619" w:type="dxa"/>
            <w:tcBorders>
              <w:top w:val="nil"/>
              <w:left w:val="single" w:color="auto" w:sz="4" w:space="0"/>
              <w:bottom w:val="single" w:color="auto" w:sz="4" w:space="0"/>
              <w:right w:val="single" w:color="auto" w:sz="8" w:space="0"/>
            </w:tcBorders>
            <w:vAlign w:val="center"/>
          </w:tcPr>
          <w:p w14:paraId="72B9D8F5">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开标时间、地点</w:t>
            </w:r>
          </w:p>
        </w:tc>
        <w:tc>
          <w:tcPr>
            <w:tcW w:w="7495" w:type="dxa"/>
            <w:tcBorders>
              <w:top w:val="nil"/>
              <w:left w:val="nil"/>
              <w:bottom w:val="single" w:color="auto" w:sz="4" w:space="0"/>
              <w:right w:val="single" w:color="auto" w:sz="8" w:space="0"/>
            </w:tcBorders>
            <w:vAlign w:val="center"/>
          </w:tcPr>
          <w:p w14:paraId="7FBB710E">
            <w:pPr>
              <w:adjustRightInd w:val="0"/>
              <w:snapToGrid w:val="0"/>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2024 年</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日9时30分整（以政采云平台时间为准）；</w:t>
            </w:r>
          </w:p>
          <w:p w14:paraId="25B31C9F">
            <w:pPr>
              <w:adjustRightInd w:val="0"/>
              <w:snapToGrid w:val="0"/>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地点：湖州市公共资源交易中心开标室（湖州市仁皇山片区金盖山路66号2号楼2楼）具体详见二楼休息区大屏幕。</w:t>
            </w:r>
          </w:p>
          <w:p w14:paraId="692ADA01">
            <w:pPr>
              <w:adjustRightInd w:val="0"/>
              <w:snapToGrid w:val="0"/>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“政府采购云平台（www.zcygov.cn）”在线响应。</w:t>
            </w:r>
          </w:p>
        </w:tc>
      </w:tr>
      <w:tr w14:paraId="4AC29240">
        <w:tblPrEx>
          <w:tblCellMar>
            <w:top w:w="0" w:type="dxa"/>
            <w:left w:w="108" w:type="dxa"/>
            <w:bottom w:w="0" w:type="dxa"/>
            <w:right w:w="108" w:type="dxa"/>
          </w:tblCellMar>
        </w:tblPrEx>
        <w:trPr>
          <w:trHeight w:val="614" w:hRule="atLeast"/>
        </w:trPr>
        <w:tc>
          <w:tcPr>
            <w:tcW w:w="585" w:type="dxa"/>
            <w:tcBorders>
              <w:top w:val="nil"/>
              <w:left w:val="single" w:color="auto" w:sz="8" w:space="0"/>
              <w:bottom w:val="single" w:color="auto" w:sz="4" w:space="0"/>
              <w:right w:val="single" w:color="auto" w:sz="4" w:space="0"/>
            </w:tcBorders>
            <w:vAlign w:val="center"/>
          </w:tcPr>
          <w:p w14:paraId="1B84268C">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1619" w:type="dxa"/>
            <w:tcBorders>
              <w:top w:val="nil"/>
              <w:left w:val="single" w:color="auto" w:sz="4" w:space="0"/>
              <w:bottom w:val="single" w:color="auto" w:sz="4" w:space="0"/>
              <w:right w:val="single" w:color="auto" w:sz="8" w:space="0"/>
            </w:tcBorders>
            <w:vAlign w:val="center"/>
          </w:tcPr>
          <w:p w14:paraId="3A2D0531">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评标委员会组成</w:t>
            </w:r>
          </w:p>
        </w:tc>
        <w:tc>
          <w:tcPr>
            <w:tcW w:w="7495" w:type="dxa"/>
            <w:tcBorders>
              <w:top w:val="nil"/>
              <w:left w:val="nil"/>
              <w:bottom w:val="single" w:color="auto" w:sz="4" w:space="0"/>
              <w:right w:val="single" w:color="auto" w:sz="8" w:space="0"/>
            </w:tcBorders>
            <w:vAlign w:val="center"/>
          </w:tcPr>
          <w:p w14:paraId="7969EB13">
            <w:pPr>
              <w:widowControl/>
              <w:spacing w:line="360" w:lineRule="exact"/>
              <w:rPr>
                <w:rFonts w:ascii="宋体" w:hAnsi="宋体" w:cs="宋体"/>
                <w:color w:val="auto"/>
                <w:kern w:val="0"/>
                <w:sz w:val="24"/>
                <w:highlight w:val="none"/>
              </w:rPr>
            </w:pPr>
            <w:r>
              <w:rPr>
                <w:rFonts w:hint="eastAsia" w:ascii="宋体" w:hAnsi="宋体" w:cs="宋体"/>
                <w:color w:val="auto"/>
                <w:sz w:val="24"/>
                <w:highlight w:val="none"/>
              </w:rPr>
              <w:t>评标委员会评标委员会依法组建，负责评标活动。评标委员会遵循公正、公平、科学合理，竞争择优的原则。</w:t>
            </w:r>
          </w:p>
        </w:tc>
      </w:tr>
      <w:tr w14:paraId="1987D2A7">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vAlign w:val="center"/>
          </w:tcPr>
          <w:p w14:paraId="66573F93">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1619" w:type="dxa"/>
            <w:tcBorders>
              <w:top w:val="single" w:color="auto" w:sz="4" w:space="0"/>
              <w:left w:val="single" w:color="auto" w:sz="4" w:space="0"/>
              <w:bottom w:val="single" w:color="auto" w:sz="4" w:space="0"/>
              <w:right w:val="single" w:color="auto" w:sz="4" w:space="0"/>
            </w:tcBorders>
            <w:vAlign w:val="center"/>
          </w:tcPr>
          <w:p w14:paraId="5E3DD71A">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评标办法</w:t>
            </w:r>
          </w:p>
        </w:tc>
        <w:tc>
          <w:tcPr>
            <w:tcW w:w="7495" w:type="dxa"/>
            <w:tcBorders>
              <w:top w:val="single" w:color="auto" w:sz="4" w:space="0"/>
              <w:left w:val="single" w:color="auto" w:sz="4" w:space="0"/>
              <w:bottom w:val="single" w:color="auto" w:sz="4" w:space="0"/>
              <w:right w:val="single" w:color="auto" w:sz="4" w:space="0"/>
            </w:tcBorders>
            <w:vAlign w:val="center"/>
          </w:tcPr>
          <w:p w14:paraId="018CB532">
            <w:pPr>
              <w:widowControl/>
              <w:spacing w:line="360" w:lineRule="exact"/>
              <w:rPr>
                <w:rFonts w:ascii="宋体" w:hAnsi="宋体" w:cs="宋体"/>
                <w:color w:val="auto"/>
                <w:sz w:val="24"/>
                <w:highlight w:val="none"/>
              </w:rPr>
            </w:pPr>
            <w:r>
              <w:rPr>
                <w:rFonts w:hint="eastAsia" w:ascii="宋体" w:hAnsi="宋体" w:cs="宋体"/>
                <w:color w:val="auto"/>
                <w:sz w:val="24"/>
                <w:highlight w:val="none"/>
              </w:rPr>
              <w:t>综合评分法</w:t>
            </w:r>
          </w:p>
        </w:tc>
      </w:tr>
      <w:tr w14:paraId="5262BDB6">
        <w:tblPrEx>
          <w:tblCellMar>
            <w:top w:w="0" w:type="dxa"/>
            <w:left w:w="108" w:type="dxa"/>
            <w:bottom w:w="0" w:type="dxa"/>
            <w:right w:w="108" w:type="dxa"/>
          </w:tblCellMar>
        </w:tblPrEx>
        <w:trPr>
          <w:trHeight w:val="943" w:hRule="atLeast"/>
        </w:trPr>
        <w:tc>
          <w:tcPr>
            <w:tcW w:w="585" w:type="dxa"/>
            <w:tcBorders>
              <w:top w:val="single" w:color="auto" w:sz="4" w:space="0"/>
              <w:left w:val="single" w:color="auto" w:sz="4" w:space="0"/>
              <w:bottom w:val="single" w:color="auto" w:sz="4" w:space="0"/>
              <w:right w:val="single" w:color="auto" w:sz="4" w:space="0"/>
            </w:tcBorders>
            <w:vAlign w:val="center"/>
          </w:tcPr>
          <w:p w14:paraId="01E80CF6">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619" w:type="dxa"/>
            <w:tcBorders>
              <w:top w:val="single" w:color="auto" w:sz="4" w:space="0"/>
              <w:left w:val="single" w:color="auto" w:sz="4" w:space="0"/>
              <w:bottom w:val="single" w:color="auto" w:sz="4" w:space="0"/>
              <w:right w:val="single" w:color="auto" w:sz="4" w:space="0"/>
            </w:tcBorders>
            <w:vAlign w:val="center"/>
          </w:tcPr>
          <w:p w14:paraId="610DBEB3">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确定中标人的方式</w:t>
            </w:r>
          </w:p>
        </w:tc>
        <w:tc>
          <w:tcPr>
            <w:tcW w:w="7495" w:type="dxa"/>
            <w:tcBorders>
              <w:top w:val="single" w:color="auto" w:sz="4" w:space="0"/>
              <w:left w:val="single" w:color="auto" w:sz="4" w:space="0"/>
              <w:bottom w:val="single" w:color="auto" w:sz="4" w:space="0"/>
              <w:right w:val="single" w:color="auto" w:sz="4" w:space="0"/>
            </w:tcBorders>
            <w:vAlign w:val="center"/>
          </w:tcPr>
          <w:p w14:paraId="25CB86A3">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中标人数量：</w:t>
            </w:r>
            <w:r>
              <w:rPr>
                <w:rFonts w:hint="eastAsia" w:ascii="宋体" w:hAnsi="宋体" w:cs="宋体"/>
                <w:color w:val="auto"/>
                <w:kern w:val="0"/>
                <w:sz w:val="24"/>
                <w:highlight w:val="none"/>
                <w:u w:val="single"/>
              </w:rPr>
              <w:t xml:space="preserve">标项1、标项2各 1家 </w:t>
            </w:r>
          </w:p>
          <w:p w14:paraId="56AD078C">
            <w:pPr>
              <w:widowControl/>
              <w:spacing w:line="3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采购人确定中标人。</w:t>
            </w:r>
          </w:p>
        </w:tc>
      </w:tr>
      <w:tr w14:paraId="1D07A9D7">
        <w:tblPrEx>
          <w:tblCellMar>
            <w:top w:w="0" w:type="dxa"/>
            <w:left w:w="108" w:type="dxa"/>
            <w:bottom w:w="0" w:type="dxa"/>
            <w:right w:w="108" w:type="dxa"/>
          </w:tblCellMar>
        </w:tblPrEx>
        <w:trPr>
          <w:trHeight w:val="504" w:hRule="atLeast"/>
        </w:trPr>
        <w:tc>
          <w:tcPr>
            <w:tcW w:w="585" w:type="dxa"/>
            <w:tcBorders>
              <w:top w:val="single" w:color="auto" w:sz="4" w:space="0"/>
              <w:left w:val="single" w:color="auto" w:sz="4" w:space="0"/>
              <w:bottom w:val="single" w:color="auto" w:sz="4" w:space="0"/>
              <w:right w:val="single" w:color="auto" w:sz="4" w:space="0"/>
            </w:tcBorders>
            <w:vAlign w:val="center"/>
          </w:tcPr>
          <w:p w14:paraId="657CF7F8">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22</w:t>
            </w:r>
          </w:p>
        </w:tc>
        <w:tc>
          <w:tcPr>
            <w:tcW w:w="1619" w:type="dxa"/>
            <w:tcBorders>
              <w:top w:val="single" w:color="auto" w:sz="4" w:space="0"/>
              <w:left w:val="single" w:color="auto" w:sz="4" w:space="0"/>
              <w:bottom w:val="single" w:color="auto" w:sz="4" w:space="0"/>
              <w:right w:val="single" w:color="auto" w:sz="4" w:space="0"/>
            </w:tcBorders>
            <w:vAlign w:val="center"/>
          </w:tcPr>
          <w:p w14:paraId="22E094E0">
            <w:pPr>
              <w:shd w:val="clear" w:color="auto" w:fill="FFFFFF"/>
              <w:spacing w:line="360" w:lineRule="exact"/>
              <w:jc w:val="center"/>
              <w:rPr>
                <w:rFonts w:ascii="宋体" w:hAnsi="宋体" w:cs="宋体"/>
                <w:color w:val="auto"/>
                <w:kern w:val="0"/>
                <w:sz w:val="24"/>
                <w:highlight w:val="none"/>
              </w:rPr>
            </w:pPr>
            <w:r>
              <w:rPr>
                <w:rFonts w:hint="eastAsia" w:ascii="宋体" w:hAnsi="宋体" w:cs="宋体"/>
                <w:color w:val="auto"/>
                <w:sz w:val="24"/>
                <w:highlight w:val="none"/>
              </w:rPr>
              <w:t>履约保证金</w:t>
            </w:r>
          </w:p>
        </w:tc>
        <w:tc>
          <w:tcPr>
            <w:tcW w:w="7495" w:type="dxa"/>
            <w:tcBorders>
              <w:top w:val="single" w:color="auto" w:sz="4" w:space="0"/>
              <w:left w:val="single" w:color="auto" w:sz="4" w:space="0"/>
              <w:bottom w:val="single" w:color="auto" w:sz="4" w:space="0"/>
              <w:right w:val="single" w:color="auto" w:sz="4" w:space="0"/>
            </w:tcBorders>
            <w:vAlign w:val="center"/>
          </w:tcPr>
          <w:p w14:paraId="6067685D">
            <w:pPr>
              <w:shd w:val="clear" w:color="auto" w:fill="FFFFFF"/>
              <w:spacing w:line="360" w:lineRule="exact"/>
              <w:jc w:val="left"/>
              <w:rPr>
                <w:rFonts w:ascii="宋体" w:hAnsi="宋体" w:cs="宋体"/>
                <w:color w:val="auto"/>
                <w:kern w:val="0"/>
                <w:sz w:val="24"/>
                <w:highlight w:val="none"/>
              </w:rPr>
            </w:pPr>
            <w:r>
              <w:rPr>
                <w:rFonts w:hint="eastAsia" w:ascii="宋体" w:hAnsi="宋体" w:cs="宋体"/>
                <w:color w:val="auto"/>
                <w:sz w:val="24"/>
                <w:highlight w:val="none"/>
              </w:rPr>
              <w:t>本项目不收取履约保证金</w:t>
            </w:r>
          </w:p>
        </w:tc>
      </w:tr>
      <w:tr w14:paraId="1A32960E">
        <w:tblPrEx>
          <w:tblCellMar>
            <w:top w:w="0" w:type="dxa"/>
            <w:left w:w="108" w:type="dxa"/>
            <w:bottom w:w="0" w:type="dxa"/>
            <w:right w:w="108" w:type="dxa"/>
          </w:tblCellMar>
        </w:tblPrEx>
        <w:trPr>
          <w:trHeight w:val="3143" w:hRule="atLeast"/>
        </w:trPr>
        <w:tc>
          <w:tcPr>
            <w:tcW w:w="585" w:type="dxa"/>
            <w:tcBorders>
              <w:top w:val="single" w:color="auto" w:sz="4" w:space="0"/>
              <w:left w:val="single" w:color="auto" w:sz="8" w:space="0"/>
              <w:bottom w:val="single" w:color="auto" w:sz="4" w:space="0"/>
              <w:right w:val="single" w:color="auto" w:sz="4" w:space="0"/>
            </w:tcBorders>
            <w:vAlign w:val="center"/>
          </w:tcPr>
          <w:p w14:paraId="073A054C">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23</w:t>
            </w:r>
          </w:p>
        </w:tc>
        <w:tc>
          <w:tcPr>
            <w:tcW w:w="1619" w:type="dxa"/>
            <w:tcBorders>
              <w:top w:val="single" w:color="auto" w:sz="4" w:space="0"/>
              <w:left w:val="single" w:color="auto" w:sz="4" w:space="0"/>
              <w:bottom w:val="single" w:color="auto" w:sz="4" w:space="0"/>
              <w:right w:val="single" w:color="auto" w:sz="8" w:space="0"/>
            </w:tcBorders>
            <w:vAlign w:val="center"/>
          </w:tcPr>
          <w:p w14:paraId="0C9D79F4">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质疑</w:t>
            </w:r>
          </w:p>
        </w:tc>
        <w:tc>
          <w:tcPr>
            <w:tcW w:w="7495" w:type="dxa"/>
            <w:tcBorders>
              <w:top w:val="single" w:color="auto" w:sz="4" w:space="0"/>
              <w:left w:val="nil"/>
              <w:bottom w:val="single" w:color="auto" w:sz="4" w:space="0"/>
              <w:right w:val="single" w:color="auto" w:sz="8" w:space="0"/>
            </w:tcBorders>
            <w:vAlign w:val="center"/>
          </w:tcPr>
          <w:p w14:paraId="40CD81A8">
            <w:pPr>
              <w:widowControl/>
              <w:spacing w:line="360" w:lineRule="exact"/>
              <w:rPr>
                <w:rFonts w:ascii="宋体" w:hAnsi="宋体" w:cs="宋体"/>
                <w:color w:val="auto"/>
                <w:sz w:val="24"/>
                <w:highlight w:val="none"/>
              </w:rPr>
            </w:pPr>
            <w:r>
              <w:rPr>
                <w:rFonts w:hint="eastAsia" w:ascii="宋体" w:hAnsi="宋体" w:cs="宋体"/>
                <w:color w:val="auto"/>
                <w:sz w:val="24"/>
                <w:highlight w:val="none"/>
              </w:rPr>
              <w:t>一、投标人认为自己的权益受到损害的，可以在知道或者应知其权益受到损害之日起七个工作日内，向采购代理机构提出质疑。</w:t>
            </w:r>
          </w:p>
          <w:p w14:paraId="5D876E25">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1、接收质疑函的方式：接收加盖单位公章的书面质疑函</w:t>
            </w:r>
          </w:p>
          <w:p w14:paraId="5DFCEDE4">
            <w:pPr>
              <w:widowControl/>
              <w:spacing w:line="360" w:lineRule="exact"/>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联系单位：</w:t>
            </w:r>
            <w:r>
              <w:rPr>
                <w:rFonts w:hint="eastAsia" w:ascii="宋体" w:hAnsi="宋体" w:cs="宋体"/>
                <w:color w:val="auto"/>
                <w:kern w:val="0"/>
                <w:sz w:val="24"/>
                <w:highlight w:val="none"/>
                <w:u w:val="single"/>
              </w:rPr>
              <w:t>浙江华夏工程管理有限公司</w:t>
            </w:r>
          </w:p>
          <w:p w14:paraId="1091E530">
            <w:pPr>
              <w:widowControl/>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kern w:val="0"/>
                <w:sz w:val="24"/>
                <w:highlight w:val="none"/>
                <w:u w:val="single"/>
              </w:rPr>
              <w:t xml:space="preserve">蔡伟洪  </w:t>
            </w:r>
          </w:p>
          <w:p w14:paraId="332C2317">
            <w:pPr>
              <w:widowControl/>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kern w:val="0"/>
                <w:sz w:val="24"/>
                <w:highlight w:val="none"/>
                <w:u w:val="single"/>
              </w:rPr>
              <w:t>0572-2567859</w:t>
            </w:r>
          </w:p>
          <w:p w14:paraId="5A4B5848">
            <w:pPr>
              <w:widowControl/>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通讯地址：</w:t>
            </w:r>
            <w:r>
              <w:rPr>
                <w:rFonts w:hint="eastAsia" w:ascii="宋体" w:hAnsi="宋体" w:cs="宋体"/>
                <w:color w:val="auto"/>
                <w:kern w:val="0"/>
                <w:sz w:val="24"/>
                <w:highlight w:val="none"/>
                <w:u w:val="single"/>
              </w:rPr>
              <w:t xml:space="preserve">湖州市星洲国际10幢5楼 </w:t>
            </w:r>
          </w:p>
          <w:p w14:paraId="26D037DD">
            <w:pPr>
              <w:widowControl/>
              <w:spacing w:line="360" w:lineRule="exact"/>
              <w:rPr>
                <w:rFonts w:ascii="宋体" w:hAnsi="宋体" w:cs="宋体"/>
                <w:color w:val="auto"/>
                <w:sz w:val="24"/>
                <w:highlight w:val="none"/>
              </w:rPr>
            </w:pPr>
            <w:r>
              <w:rPr>
                <w:rFonts w:hint="eastAsia" w:ascii="宋体" w:hAnsi="宋体" w:cs="宋体"/>
                <w:color w:val="auto"/>
                <w:sz w:val="24"/>
                <w:highlight w:val="none"/>
              </w:rPr>
              <w:t>2、质疑函的内容、格式：应符合《政府采购质疑和投诉办法》相关规定和财政部门制定的《政府采购质疑函范本》格式。</w:t>
            </w:r>
          </w:p>
          <w:p w14:paraId="43424E93">
            <w:pPr>
              <w:pStyle w:val="10"/>
              <w:spacing w:line="360" w:lineRule="exact"/>
              <w:textAlignment w:val="auto"/>
              <w:rPr>
                <w:rFonts w:ascii="宋体" w:hAnsi="宋体" w:cs="宋体"/>
                <w:color w:val="auto"/>
                <w:szCs w:val="24"/>
                <w:highlight w:val="none"/>
              </w:rPr>
            </w:pPr>
            <w:r>
              <w:rPr>
                <w:rFonts w:hint="eastAsia" w:ascii="宋体" w:hAnsi="宋体" w:cs="宋体"/>
                <w:color w:val="auto"/>
                <w:szCs w:val="24"/>
                <w:highlight w:val="none"/>
              </w:rPr>
              <w:t>二、投标人应在法定质疑期内一次性针对同一采购程序环节提出质疑，否则针对再次提出质疑将不予接收。（采购程序环节分为：招标公告、招标文件、招标过程、中标结果）</w:t>
            </w:r>
          </w:p>
        </w:tc>
      </w:tr>
      <w:tr w14:paraId="120A6B4D">
        <w:tblPrEx>
          <w:tblCellMar>
            <w:top w:w="0" w:type="dxa"/>
            <w:left w:w="108" w:type="dxa"/>
            <w:bottom w:w="0" w:type="dxa"/>
            <w:right w:w="108" w:type="dxa"/>
          </w:tblCellMar>
        </w:tblPrEx>
        <w:trPr>
          <w:trHeight w:val="668" w:hRule="atLeast"/>
        </w:trPr>
        <w:tc>
          <w:tcPr>
            <w:tcW w:w="9699" w:type="dxa"/>
            <w:gridSpan w:val="3"/>
            <w:tcBorders>
              <w:top w:val="single" w:color="auto" w:sz="4" w:space="0"/>
              <w:left w:val="single" w:color="auto" w:sz="8" w:space="0"/>
              <w:bottom w:val="single" w:color="auto" w:sz="8" w:space="0"/>
              <w:right w:val="single" w:color="auto" w:sz="8" w:space="0"/>
            </w:tcBorders>
            <w:vAlign w:val="center"/>
          </w:tcPr>
          <w:p w14:paraId="12D9493C">
            <w:pPr>
              <w:pStyle w:val="10"/>
              <w:spacing w:line="360" w:lineRule="exact"/>
              <w:textAlignment w:val="auto"/>
              <w:rPr>
                <w:rFonts w:ascii="宋体" w:hAnsi="宋体" w:cs="宋体"/>
                <w:color w:val="auto"/>
                <w:szCs w:val="24"/>
                <w:highlight w:val="none"/>
              </w:rPr>
            </w:pPr>
            <w:r>
              <w:rPr>
                <w:rFonts w:hint="eastAsia" w:ascii="宋体" w:hAnsi="宋体" w:cs="宋体"/>
                <w:color w:val="auto"/>
                <w:szCs w:val="24"/>
                <w:highlight w:val="none"/>
              </w:rPr>
              <w:t>解释：本招标文件的解释权属于招标采购单位。</w:t>
            </w:r>
          </w:p>
        </w:tc>
      </w:tr>
    </w:tbl>
    <w:p w14:paraId="64330F61">
      <w:pPr>
        <w:spacing w:line="360" w:lineRule="auto"/>
        <w:jc w:val="center"/>
        <w:outlineLvl w:val="1"/>
        <w:rPr>
          <w:rFonts w:ascii="宋体" w:hAnsi="宋体" w:cs="宋体"/>
          <w:b/>
          <w:color w:val="auto"/>
          <w:sz w:val="32"/>
          <w:szCs w:val="32"/>
          <w:highlight w:val="none"/>
        </w:rPr>
      </w:pPr>
    </w:p>
    <w:p w14:paraId="0AC68CDA">
      <w:pPr>
        <w:spacing w:line="360" w:lineRule="auto"/>
        <w:jc w:val="center"/>
        <w:outlineLvl w:val="1"/>
        <w:rPr>
          <w:rFonts w:ascii="宋体" w:hAnsi="宋体" w:cs="宋体"/>
          <w:b/>
          <w:color w:val="auto"/>
          <w:sz w:val="32"/>
          <w:szCs w:val="32"/>
          <w:highlight w:val="none"/>
        </w:rPr>
      </w:pPr>
    </w:p>
    <w:p w14:paraId="12035136">
      <w:pPr>
        <w:numPr>
          <w:ilvl w:val="0"/>
          <w:numId w:val="11"/>
        </w:num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总  则</w:t>
      </w:r>
      <w:bookmarkEnd w:id="16"/>
    </w:p>
    <w:p w14:paraId="4ABC382B">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适用范围</w:t>
      </w:r>
    </w:p>
    <w:p w14:paraId="2C478D87">
      <w:pPr>
        <w:spacing w:line="360" w:lineRule="auto"/>
        <w:ind w:firstLine="480" w:firstLineChars="200"/>
        <w:rPr>
          <w:rFonts w:ascii="宋体" w:hAnsi="宋体" w:cs="宋体"/>
          <w:bCs/>
          <w:snapToGrid w:val="0"/>
          <w:color w:val="auto"/>
          <w:sz w:val="24"/>
          <w:highlight w:val="none"/>
          <w:u w:val="single"/>
        </w:rPr>
      </w:pPr>
      <w:r>
        <w:rPr>
          <w:rFonts w:hint="eastAsia" w:ascii="宋体" w:hAnsi="宋体" w:cs="宋体"/>
          <w:color w:val="auto"/>
          <w:sz w:val="24"/>
          <w:highlight w:val="none"/>
        </w:rPr>
        <w:t>本招标文件适用于</w:t>
      </w:r>
      <w:r>
        <w:rPr>
          <w:rFonts w:hint="eastAsia" w:ascii="宋体" w:hAnsi="宋体" w:cs="宋体"/>
          <w:b/>
          <w:bCs/>
          <w:color w:val="auto"/>
          <w:sz w:val="24"/>
          <w:highlight w:val="none"/>
          <w:u w:val="single"/>
        </w:rPr>
        <w:t>湖州市人民政府滨湖街道办事处</w:t>
      </w:r>
      <w:r>
        <w:rPr>
          <w:rFonts w:hint="eastAsia" w:ascii="宋体" w:hAnsi="宋体" w:cs="宋体"/>
          <w:color w:val="auto"/>
          <w:sz w:val="24"/>
          <w:highlight w:val="none"/>
        </w:rPr>
        <w:t>的</w:t>
      </w:r>
      <w:r>
        <w:rPr>
          <w:rFonts w:hint="eastAsia" w:ascii="宋体" w:hAnsi="宋体" w:cs="宋体"/>
          <w:b/>
          <w:bCs/>
          <w:color w:val="auto"/>
          <w:sz w:val="24"/>
          <w:highlight w:val="none"/>
          <w:u w:val="single"/>
        </w:rPr>
        <w:t>2024年滨湖街道城市小区生活垃圾精准分类项目</w:t>
      </w:r>
      <w:r>
        <w:rPr>
          <w:rFonts w:hint="eastAsia" w:ascii="宋体" w:hAnsi="宋体" w:cs="宋体"/>
          <w:color w:val="auto"/>
          <w:sz w:val="24"/>
          <w:highlight w:val="none"/>
        </w:rPr>
        <w:t>的招标、投标、评标、定标、验收、合同履约、付款等行为（法律、法规另有规定的，从其规定）。</w:t>
      </w:r>
    </w:p>
    <w:p w14:paraId="3886D165">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定义</w:t>
      </w:r>
    </w:p>
    <w:p w14:paraId="1C9189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b/>
          <w:bCs/>
          <w:color w:val="auto"/>
          <w:sz w:val="24"/>
          <w:highlight w:val="none"/>
        </w:rPr>
        <w:t>“采购人”</w:t>
      </w:r>
      <w:r>
        <w:rPr>
          <w:rFonts w:hint="eastAsia" w:ascii="宋体" w:hAnsi="宋体" w:cs="宋体"/>
          <w:color w:val="auto"/>
          <w:sz w:val="24"/>
          <w:highlight w:val="none"/>
        </w:rPr>
        <w:t>系指</w:t>
      </w:r>
      <w:r>
        <w:rPr>
          <w:rFonts w:hint="eastAsia" w:ascii="宋体" w:hAnsi="宋体" w:cs="宋体"/>
          <w:b/>
          <w:bCs/>
          <w:color w:val="auto"/>
          <w:sz w:val="24"/>
          <w:highlight w:val="none"/>
        </w:rPr>
        <w:t xml:space="preserve">湖州市人民政府滨湖街道办事处 </w:t>
      </w:r>
      <w:r>
        <w:rPr>
          <w:rFonts w:hint="eastAsia" w:ascii="宋体" w:hAnsi="宋体" w:cs="宋体"/>
          <w:color w:val="auto"/>
          <w:sz w:val="24"/>
          <w:highlight w:val="none"/>
        </w:rPr>
        <w:t>。</w:t>
      </w:r>
    </w:p>
    <w:p w14:paraId="6F2F3B9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b/>
          <w:bCs/>
          <w:color w:val="auto"/>
          <w:sz w:val="24"/>
          <w:highlight w:val="none"/>
        </w:rPr>
        <w:t>采购代理机构”</w:t>
      </w:r>
      <w:r>
        <w:rPr>
          <w:rFonts w:hint="eastAsia" w:ascii="宋体" w:hAnsi="宋体" w:cs="宋体"/>
          <w:color w:val="auto"/>
          <w:sz w:val="24"/>
          <w:highlight w:val="none"/>
        </w:rPr>
        <w:t>系指浙江华夏工程管理有限公司。</w:t>
      </w:r>
    </w:p>
    <w:p w14:paraId="5C3B433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b/>
          <w:bCs/>
          <w:color w:val="auto"/>
          <w:sz w:val="24"/>
          <w:highlight w:val="none"/>
        </w:rPr>
        <w:t>“投标人”</w:t>
      </w:r>
      <w:r>
        <w:rPr>
          <w:rFonts w:hint="eastAsia" w:ascii="宋体" w:hAnsi="宋体" w:cs="宋体"/>
          <w:color w:val="auto"/>
          <w:sz w:val="24"/>
          <w:highlight w:val="none"/>
        </w:rPr>
        <w:t>系指向采购人提供货物、工程或者服务的法人、非法人组织或者自然人。本项目的投标人及其投标服务须满足以下条件：</w:t>
      </w:r>
    </w:p>
    <w:p w14:paraId="18712E9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2.3.1.在中华人民共和国境内注册，能够独立承担民事责任，有生产或供应能力的本国供应商。</w:t>
      </w:r>
    </w:p>
    <w:p w14:paraId="2D6DE62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2.3.2.符合《中华人民共和国政府采购法》第二十二条关于供应商条件的规定，遵守本项目采购人本级和上级财政部门关于政府采购的有关规定。</w:t>
      </w:r>
    </w:p>
    <w:p w14:paraId="4A20DD3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2.3.3.以采购代理机构认可的方式获得了本项目的招标文件。</w:t>
      </w:r>
    </w:p>
    <w:p w14:paraId="236734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2.4本项目不接受联合体投标。</w:t>
      </w:r>
    </w:p>
    <w:p w14:paraId="5358EAE5">
      <w:pPr>
        <w:snapToGrid w:val="0"/>
        <w:spacing w:line="360" w:lineRule="auto"/>
        <w:rPr>
          <w:rFonts w:ascii="宋体" w:hAnsi="宋体" w:cs="宋体"/>
          <w:color w:val="auto"/>
          <w:highlight w:val="none"/>
        </w:rPr>
      </w:pPr>
      <w:r>
        <w:rPr>
          <w:rFonts w:hint="eastAsia" w:ascii="宋体" w:hAnsi="宋体" w:cs="宋体"/>
          <w:color w:val="auto"/>
          <w:sz w:val="24"/>
          <w:highlight w:val="none"/>
        </w:rPr>
        <w:t>2.5.单位负责人为同一人或者存在直接控股、管理关系的不同供应商，其相关投标将被认定为投标无效。</w:t>
      </w:r>
    </w:p>
    <w:p w14:paraId="12D62E02">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资金来源</w:t>
      </w:r>
    </w:p>
    <w:p w14:paraId="6CB950F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3.1.本项目的采购人已获得足以支付本次招标后所签订的合同项下的资金（包括财政性资金和本项目采购中无法与财政性资金分割的非财政性资金）。</w:t>
      </w:r>
    </w:p>
    <w:p w14:paraId="1DB6B20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3.2.项目预算金额和分项或分包最高限价见投标人须知表。</w:t>
      </w:r>
    </w:p>
    <w:p w14:paraId="3C85972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3.3.投标人报价超过招标文件规定的预算金额或者分项最高限价的，其投标将被认定为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631D4568">
      <w:pPr>
        <w:numPr>
          <w:ilvl w:val="0"/>
          <w:numId w:val="12"/>
        </w:numPr>
        <w:snapToGrid w:val="0"/>
        <w:spacing w:line="360" w:lineRule="auto"/>
        <w:outlineLvl w:val="2"/>
        <w:rPr>
          <w:rFonts w:ascii="宋体" w:hAnsi="宋体" w:cs="宋体"/>
          <w:b/>
          <w:color w:val="auto"/>
          <w:sz w:val="24"/>
          <w:highlight w:val="none"/>
        </w:rPr>
      </w:pPr>
      <w:bookmarkStart w:id="21" w:name="_Toc266951048"/>
      <w:r>
        <w:rPr>
          <w:rFonts w:hint="eastAsia" w:ascii="宋体" w:hAnsi="宋体" w:cs="宋体"/>
          <w:b/>
          <w:color w:val="auto"/>
          <w:sz w:val="24"/>
          <w:highlight w:val="none"/>
        </w:rPr>
        <w:t>语言文字</w:t>
      </w:r>
      <w:bookmarkEnd w:id="21"/>
    </w:p>
    <w:p w14:paraId="19D04E4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除专用术语外，与投标有关的语言均使用中文。必要时专用术语应附有中文注释。对不同文字文本投标文件的解释发生异议的，以中文文本为准。</w:t>
      </w:r>
    </w:p>
    <w:p w14:paraId="10232E8A">
      <w:pPr>
        <w:numPr>
          <w:ilvl w:val="0"/>
          <w:numId w:val="12"/>
        </w:numPr>
        <w:snapToGrid w:val="0"/>
        <w:spacing w:line="360" w:lineRule="auto"/>
        <w:outlineLvl w:val="2"/>
        <w:rPr>
          <w:rFonts w:ascii="宋体" w:hAnsi="宋体" w:cs="宋体"/>
          <w:b/>
          <w:color w:val="auto"/>
          <w:sz w:val="24"/>
          <w:highlight w:val="none"/>
        </w:rPr>
      </w:pPr>
      <w:bookmarkStart w:id="22" w:name="_1.8_计量单位"/>
      <w:bookmarkEnd w:id="22"/>
      <w:bookmarkStart w:id="23" w:name="_Toc266951049"/>
      <w:r>
        <w:rPr>
          <w:rFonts w:hint="eastAsia" w:ascii="宋体" w:hAnsi="宋体" w:cs="宋体"/>
          <w:b/>
          <w:color w:val="auto"/>
          <w:sz w:val="24"/>
          <w:highlight w:val="none"/>
        </w:rPr>
        <w:t>计量单位</w:t>
      </w:r>
      <w:bookmarkEnd w:id="23"/>
    </w:p>
    <w:p w14:paraId="2F40DC59">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除投标人须知表4条中有特殊要求外，投标文件中所使用的计量单位，应采用中华人民共和国法定计量单位。</w:t>
      </w:r>
    </w:p>
    <w:p w14:paraId="20B7B1DD">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投标费用</w:t>
      </w:r>
    </w:p>
    <w:p w14:paraId="133520B1">
      <w:pPr>
        <w:snapToGrid w:val="0"/>
        <w:spacing w:line="360" w:lineRule="auto"/>
        <w:ind w:firstLine="480" w:firstLineChars="200"/>
        <w:outlineLvl w:val="2"/>
        <w:rPr>
          <w:rFonts w:ascii="宋体" w:hAnsi="宋体" w:cs="宋体"/>
          <w:color w:val="auto"/>
          <w:sz w:val="24"/>
          <w:highlight w:val="none"/>
        </w:rPr>
      </w:pPr>
      <w:r>
        <w:rPr>
          <w:rFonts w:hint="eastAsia" w:ascii="宋体" w:hAnsi="宋体" w:cs="宋体"/>
          <w:color w:val="auto"/>
          <w:sz w:val="24"/>
          <w:highlight w:val="none"/>
        </w:rPr>
        <w:t>不论投标的结果如何，投标人应承担所有与投标有关的费用。</w:t>
      </w:r>
    </w:p>
    <w:p w14:paraId="2E442451">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现场考察、开标前答疑会</w:t>
      </w:r>
    </w:p>
    <w:p w14:paraId="0C67A185">
      <w:pPr>
        <w:adjustRightInd w:val="0"/>
        <w:snapToGrid w:val="0"/>
        <w:spacing w:line="360" w:lineRule="auto"/>
        <w:rPr>
          <w:rFonts w:ascii="宋体" w:hAnsi="宋体" w:cs="宋体"/>
          <w:b/>
          <w:bCs/>
          <w:color w:val="auto"/>
          <w:sz w:val="24"/>
          <w:highlight w:val="none"/>
        </w:rPr>
      </w:pPr>
      <w:bookmarkStart w:id="24" w:name="_1.10_投标预备会"/>
      <w:bookmarkEnd w:id="24"/>
      <w:r>
        <w:rPr>
          <w:rFonts w:hint="eastAsia" w:ascii="宋体" w:hAnsi="宋体" w:cs="宋体"/>
          <w:color w:val="auto"/>
          <w:kern w:val="0"/>
          <w:sz w:val="24"/>
          <w:highlight w:val="none"/>
        </w:rPr>
        <w:t>7.1.不组织现场考察或开标前答疑会，投标人自行现场考察，由于未现场考察而导致对项目实际情况不了解，影响技术文件编制、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hint="eastAsia" w:ascii="宋体" w:hAnsi="宋体" w:cs="宋体"/>
          <w:color w:val="auto"/>
          <w:kern w:val="0"/>
          <w:sz w:val="24"/>
          <w:highlight w:val="none"/>
        </w:rPr>
        <w:t>投标报价</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准确性、综合因素响应不全面等问题的，由投标人自行承担相应后果。</w:t>
      </w:r>
    </w:p>
    <w:p w14:paraId="592DBCA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7.2.现场考察所发生的费用及一切责任由投标人自行承担。</w:t>
      </w:r>
    </w:p>
    <w:p w14:paraId="492A7513">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适用法律</w:t>
      </w:r>
    </w:p>
    <w:p w14:paraId="2640E32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652DE109">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特别说明：</w:t>
      </w:r>
    </w:p>
    <w:p w14:paraId="447EE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9.1.本项目不允许转包、分包。</w:t>
      </w:r>
    </w:p>
    <w:p w14:paraId="336D4C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9.2.投标人投标所使用的资格、信誉、业绩与企业认证必须为本法人所拥有。投标人投标所使用的采购项目实施人员必须为本法人员工（或必须为本法人或控股公司正式员工）（招标文件另有相关规定除外）。</w:t>
      </w:r>
    </w:p>
    <w:p w14:paraId="5A6EF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9.3.投标人应仔细阅读招标文件的所有内容，按照招标文件的要求提交投标文件，并对所提供的全部资料的真实性承担法律责任。</w:t>
      </w:r>
    </w:p>
    <w:p w14:paraId="3E866B53">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9.4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2B423F27">
      <w:pPr>
        <w:numPr>
          <w:ilvl w:val="0"/>
          <w:numId w:val="11"/>
        </w:numPr>
        <w:spacing w:line="360" w:lineRule="auto"/>
        <w:jc w:val="center"/>
        <w:outlineLvl w:val="1"/>
        <w:rPr>
          <w:rFonts w:ascii="宋体" w:hAnsi="宋体" w:cs="宋体"/>
          <w:b/>
          <w:color w:val="auto"/>
          <w:sz w:val="32"/>
          <w:szCs w:val="32"/>
          <w:highlight w:val="none"/>
        </w:rPr>
      </w:pPr>
      <w:bookmarkStart w:id="25" w:name="_Toc13309"/>
      <w:r>
        <w:rPr>
          <w:rFonts w:hint="eastAsia" w:ascii="宋体" w:hAnsi="宋体" w:cs="宋体"/>
          <w:b/>
          <w:color w:val="auto"/>
          <w:sz w:val="32"/>
          <w:szCs w:val="32"/>
          <w:highlight w:val="none"/>
        </w:rPr>
        <w:t>招标文件</w:t>
      </w:r>
      <w:bookmarkEnd w:id="25"/>
    </w:p>
    <w:p w14:paraId="18BA5177">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招标文件构成</w:t>
      </w:r>
    </w:p>
    <w:p w14:paraId="7E04676E">
      <w:pPr>
        <w:tabs>
          <w:tab w:val="left" w:pos="312"/>
        </w:tabs>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10.1招标文件内容如下:</w:t>
      </w:r>
    </w:p>
    <w:p w14:paraId="176DBEE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招标</w:t>
      </w:r>
      <w:r>
        <w:rPr>
          <w:rFonts w:hint="eastAsia" w:ascii="宋体" w:hAnsi="宋体" w:cs="宋体"/>
          <w:color w:val="auto"/>
          <w:sz w:val="24"/>
          <w:highlight w:val="none"/>
        </w:rPr>
        <w:t>公告</w:t>
      </w:r>
    </w:p>
    <w:p w14:paraId="1E641DB9">
      <w:pPr>
        <w:numPr>
          <w:ilvl w:val="0"/>
          <w:numId w:val="13"/>
        </w:numPr>
        <w:adjustRightInd w:val="0"/>
        <w:snapToGrid w:val="0"/>
        <w:spacing w:line="360" w:lineRule="auto"/>
        <w:ind w:firstLine="480" w:firstLineChars="200"/>
        <w:rPr>
          <w:rFonts w:ascii="宋体" w:hAnsi="宋体" w:cs="宋体"/>
          <w:color w:val="auto"/>
          <w:sz w:val="24"/>
          <w:highlight w:val="none"/>
        </w:rPr>
      </w:pPr>
      <w:bookmarkStart w:id="26" w:name="_Toc4961_WPSOffice_Level2"/>
      <w:bookmarkStart w:id="27" w:name="_Toc25935_WPSOffice_Level2"/>
      <w:bookmarkStart w:id="28" w:name="_Toc24604_WPSOffice_Level2"/>
      <w:bookmarkStart w:id="29" w:name="_Toc188_WPSOffice_Level2"/>
      <w:r>
        <w:rPr>
          <w:rFonts w:hint="eastAsia" w:ascii="宋体" w:hAnsi="宋体" w:cs="宋体"/>
          <w:color w:val="auto"/>
          <w:sz w:val="24"/>
          <w:highlight w:val="none"/>
        </w:rPr>
        <w:t>投标人须知</w:t>
      </w:r>
      <w:bookmarkEnd w:id="26"/>
      <w:bookmarkEnd w:id="27"/>
      <w:bookmarkEnd w:id="28"/>
      <w:bookmarkEnd w:id="29"/>
    </w:p>
    <w:p w14:paraId="438D30D9">
      <w:pPr>
        <w:adjustRightInd w:val="0"/>
        <w:snapToGrid w:val="0"/>
        <w:spacing w:line="360" w:lineRule="auto"/>
        <w:ind w:firstLine="480" w:firstLineChars="200"/>
        <w:rPr>
          <w:rFonts w:ascii="宋体" w:hAnsi="宋体" w:cs="宋体"/>
          <w:color w:val="auto"/>
          <w:sz w:val="24"/>
          <w:highlight w:val="none"/>
        </w:rPr>
      </w:pPr>
      <w:bookmarkStart w:id="30" w:name="_Toc32235_WPSOffice_Level2"/>
      <w:bookmarkStart w:id="31" w:name="_Toc2443_WPSOffice_Level2"/>
      <w:bookmarkStart w:id="32" w:name="_Toc31424_WPSOffice_Level2"/>
      <w:bookmarkStart w:id="33" w:name="_Toc13276_WPSOffice_Level2"/>
      <w:r>
        <w:rPr>
          <w:rFonts w:hint="eastAsia" w:ascii="宋体" w:hAnsi="宋体" w:cs="宋体"/>
          <w:color w:val="auto"/>
          <w:sz w:val="24"/>
          <w:highlight w:val="none"/>
        </w:rPr>
        <w:t xml:space="preserve">第二章 </w:t>
      </w:r>
      <w:bookmarkEnd w:id="30"/>
      <w:bookmarkEnd w:id="31"/>
      <w:bookmarkEnd w:id="32"/>
      <w:bookmarkEnd w:id="33"/>
      <w:r>
        <w:rPr>
          <w:rFonts w:hint="eastAsia" w:ascii="宋体" w:hAnsi="宋体" w:cs="宋体"/>
          <w:color w:val="auto"/>
          <w:sz w:val="24"/>
          <w:highlight w:val="none"/>
        </w:rPr>
        <w:t>招标需求</w:t>
      </w:r>
    </w:p>
    <w:p w14:paraId="68B02805">
      <w:pPr>
        <w:adjustRightInd w:val="0"/>
        <w:snapToGrid w:val="0"/>
        <w:spacing w:line="360" w:lineRule="auto"/>
        <w:ind w:firstLine="480" w:firstLineChars="200"/>
        <w:rPr>
          <w:rFonts w:ascii="宋体" w:hAnsi="宋体" w:cs="宋体"/>
          <w:color w:val="auto"/>
          <w:sz w:val="24"/>
          <w:highlight w:val="none"/>
        </w:rPr>
      </w:pPr>
      <w:bookmarkStart w:id="34" w:name="_Toc7005_WPSOffice_Level2"/>
      <w:bookmarkStart w:id="35" w:name="_Toc16269_WPSOffice_Level2"/>
      <w:bookmarkStart w:id="36" w:name="_Toc4416_WPSOffice_Level2"/>
      <w:bookmarkStart w:id="37" w:name="_Toc24836_WPSOffice_Level2"/>
      <w:r>
        <w:rPr>
          <w:rFonts w:hint="eastAsia" w:ascii="宋体" w:hAnsi="宋体" w:cs="宋体"/>
          <w:color w:val="auto"/>
          <w:sz w:val="24"/>
          <w:highlight w:val="none"/>
        </w:rPr>
        <w:t>第三章</w:t>
      </w:r>
      <w:bookmarkEnd w:id="34"/>
      <w:bookmarkEnd w:id="35"/>
      <w:bookmarkEnd w:id="36"/>
      <w:bookmarkEnd w:id="37"/>
      <w:r>
        <w:rPr>
          <w:rFonts w:hint="eastAsia" w:ascii="宋体" w:hAnsi="宋体" w:cs="宋体"/>
          <w:color w:val="auto"/>
          <w:sz w:val="24"/>
          <w:highlight w:val="none"/>
        </w:rPr>
        <w:t xml:space="preserve"> 评标办法及评分标准</w:t>
      </w:r>
    </w:p>
    <w:p w14:paraId="3DFBD3CA">
      <w:pPr>
        <w:adjustRightInd w:val="0"/>
        <w:snapToGrid w:val="0"/>
        <w:spacing w:line="360" w:lineRule="auto"/>
        <w:ind w:firstLine="480" w:firstLineChars="200"/>
        <w:rPr>
          <w:rFonts w:ascii="宋体" w:hAnsi="宋体" w:cs="宋体"/>
          <w:color w:val="auto"/>
          <w:sz w:val="24"/>
          <w:highlight w:val="none"/>
        </w:rPr>
      </w:pPr>
      <w:bookmarkStart w:id="38" w:name="_Toc25382_WPSOffice_Level2"/>
      <w:bookmarkStart w:id="39" w:name="_Toc16294_WPSOffice_Level2"/>
      <w:bookmarkStart w:id="40" w:name="_Toc23459_WPSOffice_Level2"/>
      <w:bookmarkStart w:id="41" w:name="_Toc16119_WPSOffice_Level2"/>
      <w:r>
        <w:rPr>
          <w:rFonts w:hint="eastAsia" w:ascii="宋体" w:hAnsi="宋体" w:cs="宋体"/>
          <w:color w:val="auto"/>
          <w:sz w:val="24"/>
          <w:highlight w:val="none"/>
        </w:rPr>
        <w:t xml:space="preserve">第四章 </w:t>
      </w:r>
      <w:bookmarkEnd w:id="38"/>
      <w:bookmarkEnd w:id="39"/>
      <w:bookmarkEnd w:id="40"/>
      <w:bookmarkEnd w:id="41"/>
      <w:bookmarkStart w:id="42" w:name="_Toc16368_WPSOffice_Level2"/>
      <w:bookmarkStart w:id="43" w:name="_Toc17794_WPSOffice_Level2"/>
      <w:bookmarkStart w:id="44" w:name="_Toc28106_WPSOffice_Level2"/>
      <w:bookmarkStart w:id="45" w:name="_Toc9629_WPSOffice_Level2"/>
      <w:r>
        <w:rPr>
          <w:rFonts w:hint="eastAsia" w:ascii="宋体" w:hAnsi="宋体" w:cs="宋体"/>
          <w:color w:val="auto"/>
          <w:sz w:val="24"/>
          <w:highlight w:val="none"/>
        </w:rPr>
        <w:t>合同主要条款</w:t>
      </w:r>
    </w:p>
    <w:p w14:paraId="167D42A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第五章 </w:t>
      </w:r>
      <w:bookmarkEnd w:id="42"/>
      <w:bookmarkEnd w:id="43"/>
      <w:bookmarkEnd w:id="44"/>
      <w:bookmarkEnd w:id="45"/>
      <w:r>
        <w:rPr>
          <w:rFonts w:hint="eastAsia" w:ascii="宋体" w:hAnsi="宋体" w:cs="宋体"/>
          <w:color w:val="auto"/>
          <w:sz w:val="24"/>
          <w:highlight w:val="none"/>
        </w:rPr>
        <w:t>投标文件的格式</w:t>
      </w:r>
    </w:p>
    <w:p w14:paraId="10EF887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10.2采购代理机构在投标截止时间前，以书面形式发出的对招标文件的澄清或修改内容，均为招标文件的组成部分，对采购人、采购代理机构和投标人起约束作用。</w:t>
      </w:r>
    </w:p>
    <w:p w14:paraId="1CA815D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10.3投标人应认真阅读招标文件所有的事项、格式、条款等。如投标人没有按照招标文件要求提交资料，或者投标文件没有对招标文件做出实质性响应，可能导致其投标被认定为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7D5AD1C9">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招标文件的澄清与修改</w:t>
      </w:r>
    </w:p>
    <w:p w14:paraId="0E905226">
      <w:pPr>
        <w:adjustRightInd w:val="0"/>
        <w:snapToGrid w:val="0"/>
        <w:spacing w:line="360" w:lineRule="auto"/>
        <w:rPr>
          <w:rFonts w:ascii="宋体" w:hAnsi="宋体" w:cs="宋体"/>
          <w:color w:val="auto"/>
          <w:sz w:val="24"/>
          <w:highlight w:val="none"/>
        </w:rPr>
      </w:pPr>
      <w:bookmarkStart w:id="46" w:name="_Toc3451"/>
      <w:r>
        <w:rPr>
          <w:rFonts w:hint="eastAsia" w:ascii="宋体" w:hAnsi="宋体" w:cs="宋体"/>
          <w:color w:val="auto"/>
          <w:sz w:val="24"/>
          <w:highlight w:val="none"/>
        </w:rPr>
        <w:t>11.1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66F71AA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11.2采购人和采购代理机构可以视采购具体情况，延长投标截止时间和开标时间，并将变更时间通知所有招标文件收受人，并在财政部门指定的政府采购信息发布媒体上发布变更公告。</w:t>
      </w:r>
    </w:p>
    <w:p w14:paraId="489F70BA">
      <w:pPr>
        <w:numPr>
          <w:ilvl w:val="0"/>
          <w:numId w:val="11"/>
        </w:num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投标文件的编制要求</w:t>
      </w:r>
      <w:bookmarkEnd w:id="46"/>
    </w:p>
    <w:p w14:paraId="17015E04">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投标文件的语言及度量衡单位</w:t>
      </w:r>
    </w:p>
    <w:p w14:paraId="1A8973E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12.1投标文件及投标人与采购人和采购代理机构就投标有关的通知、信函和文件原则上均应使用简体中文。若投标人所提供的资料为外文的，需同时提供中文译文。</w:t>
      </w:r>
    </w:p>
    <w:p w14:paraId="4FB0F3D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12.2除技术规范中另有规定外，投标文件所使用的度量衡单位，均采用我国法定计量单位。</w:t>
      </w:r>
    </w:p>
    <w:p w14:paraId="3C56E6F5">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投标文件的形式与效力</w:t>
      </w:r>
    </w:p>
    <w:p w14:paraId="71CE9AF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13.1供应商应准备电子投标文件，按政采云平台“政府采购项目电子交易管理操作视频-供应商”及本项目招标文件要求提交；</w:t>
      </w:r>
    </w:p>
    <w:p w14:paraId="1C5929A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13.2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0AD7A8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通过政府采购云平台成功上传递交的电子加密投标文件已按时解密的，备份投标文件自动失效；电子加密投标文件解密失败的，启用备份投标文件；启用成功的投标文件作为评标依据。</w:t>
      </w:r>
    </w:p>
    <w:p w14:paraId="771891A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投标截止时间前，投标供应商仅递交了“备份投标文件”而未将“电子加密投标文件”成功上传至“政府采购云平台”的，投标无效。</w:t>
      </w:r>
    </w:p>
    <w:p w14:paraId="7AECCA3A">
      <w:pPr>
        <w:numPr>
          <w:ilvl w:val="0"/>
          <w:numId w:val="12"/>
        </w:numPr>
        <w:snapToGrid w:val="0"/>
        <w:spacing w:line="360" w:lineRule="auto"/>
        <w:outlineLvl w:val="2"/>
        <w:rPr>
          <w:rFonts w:ascii="宋体" w:hAnsi="宋体" w:cs="宋体"/>
          <w:b/>
          <w:color w:val="auto"/>
          <w:sz w:val="24"/>
          <w:highlight w:val="none"/>
        </w:rPr>
      </w:pPr>
      <w:r>
        <w:rPr>
          <w:rFonts w:hint="eastAsia" w:ascii="宋体" w:hAnsi="宋体" w:cs="宋体"/>
          <w:b/>
          <w:color w:val="auto"/>
          <w:sz w:val="24"/>
          <w:highlight w:val="none"/>
        </w:rPr>
        <w:t>电子投标文件的组成</w:t>
      </w:r>
    </w:p>
    <w:p w14:paraId="4135E71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当按照招标文件的要求编制投标文件。电子投标文件应对招标文件提出的要求和条件做出实质性响应。电子投标文件由《资格部分》、《技术、商务资信及其他部分》和《报价部分》三组成（电子投标文件中所盖公章均采用CA签章）。</w:t>
      </w:r>
    </w:p>
    <w:p w14:paraId="06997DE4">
      <w:pPr>
        <w:spacing w:line="440" w:lineRule="exact"/>
        <w:rPr>
          <w:rFonts w:ascii="宋体" w:hAnsi="宋体" w:cs="宋体"/>
          <w:b/>
          <w:bCs/>
          <w:color w:val="auto"/>
          <w:sz w:val="24"/>
          <w:highlight w:val="none"/>
        </w:rPr>
      </w:pPr>
      <w:r>
        <w:rPr>
          <w:rFonts w:hint="eastAsia" w:ascii="宋体" w:hAnsi="宋体" w:cs="宋体"/>
          <w:b/>
          <w:color w:val="auto"/>
          <w:sz w:val="24"/>
          <w:highlight w:val="none"/>
        </w:rPr>
        <w:t>14.1资格部分</w:t>
      </w:r>
      <w:r>
        <w:rPr>
          <w:rFonts w:hint="eastAsia" w:ascii="宋体" w:hAnsi="宋体" w:cs="宋体"/>
          <w:b/>
          <w:bCs/>
          <w:color w:val="auto"/>
          <w:sz w:val="24"/>
          <w:highlight w:val="none"/>
        </w:rPr>
        <w:t>包括下列内容：</w:t>
      </w:r>
    </w:p>
    <w:p w14:paraId="4CB5027C">
      <w:pPr>
        <w:snapToGrid w:val="0"/>
        <w:spacing w:line="46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14.1.1投标声明书(格式见附件，含重大违法记录声明)；</w:t>
      </w:r>
    </w:p>
    <w:p w14:paraId="6E2242BB">
      <w:pPr>
        <w:snapToGrid w:val="0"/>
        <w:spacing w:line="4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14.1.2信用承诺书(格式见附件)；</w:t>
      </w:r>
    </w:p>
    <w:p w14:paraId="7E77DB0F">
      <w:pPr>
        <w:snapToGrid w:val="0"/>
        <w:spacing w:line="4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14.1.3提供自招标公告发布之日起至投标截止日内任意时间的“信用中国”网站（www.creditchina.gov.cn）、中国政府采购网（www.ccgp.gov.cn）投标人信用查询网页截图（以开标当日采购人或由采购代理机构核实的查询结果为准）。</w:t>
      </w:r>
    </w:p>
    <w:p w14:paraId="3EF7CFF0">
      <w:pPr>
        <w:snapToGrid w:val="0"/>
        <w:spacing w:line="46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14.1.4提供法定代表人授权委托书(格式见附件)、授权代理人有效身份证明（复印件）以及授权代理人个人社保缴纳证明（缴纳凭证或人社部门出具的证明）；</w:t>
      </w:r>
    </w:p>
    <w:p w14:paraId="0EDF6022">
      <w:pPr>
        <w:snapToGrid w:val="0"/>
        <w:spacing w:line="46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 xml:space="preserve">14.1.5提供有效的《营业执照》复印件并加盖投标人公章； </w:t>
      </w:r>
    </w:p>
    <w:p w14:paraId="4942D396">
      <w:pPr>
        <w:snapToGrid w:val="0"/>
        <w:spacing w:line="46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14.1.6符合参加政府采购活动应当具备的一般条件的承诺函；</w:t>
      </w:r>
    </w:p>
    <w:p w14:paraId="0F300D77">
      <w:pPr>
        <w:snapToGrid w:val="0"/>
        <w:spacing w:line="4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14.1.7投标人关联单位的说明；</w:t>
      </w:r>
    </w:p>
    <w:p w14:paraId="6B8BDAAA">
      <w:pPr>
        <w:snapToGrid w:val="0"/>
        <w:spacing w:line="460" w:lineRule="exact"/>
        <w:ind w:firstLine="470" w:firstLineChars="196"/>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14.1.8</w:t>
      </w:r>
      <w:r>
        <w:rPr>
          <w:rFonts w:hint="eastAsia" w:ascii="宋体" w:hAnsi="宋体" w:cs="宋体"/>
          <w:color w:val="auto"/>
          <w:sz w:val="24"/>
          <w:highlight w:val="none"/>
        </w:rPr>
        <w:t>中小企业声明函（格式见附件）</w:t>
      </w:r>
      <w:r>
        <w:rPr>
          <w:rFonts w:hint="eastAsia" w:ascii="宋体" w:hAnsi="宋体" w:cs="宋体"/>
          <w:color w:val="auto"/>
          <w:sz w:val="24"/>
          <w:highlight w:val="none"/>
          <w:lang w:eastAsia="zh-CN"/>
        </w:rPr>
        <w:t>；</w:t>
      </w:r>
    </w:p>
    <w:p w14:paraId="07B98DA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投标人需要说明的其他资格文件说明。</w:t>
      </w:r>
    </w:p>
    <w:p w14:paraId="786EB54E">
      <w:pPr>
        <w:spacing w:line="440" w:lineRule="exact"/>
        <w:ind w:firstLine="480" w:firstLineChars="200"/>
        <w:rPr>
          <w:rFonts w:ascii="宋体" w:hAnsi="宋体" w:cs="宋体"/>
          <w:color w:val="auto"/>
          <w:sz w:val="24"/>
          <w:highlight w:val="none"/>
          <w:u w:val="single"/>
        </w:rPr>
      </w:pPr>
      <w:r>
        <w:rPr>
          <w:rFonts w:hint="eastAsia" w:ascii="宋体" w:hAnsi="宋体" w:cs="宋体"/>
          <w:b/>
          <w:color w:val="auto"/>
          <w:sz w:val="24"/>
          <w:highlight w:val="none"/>
          <w:u w:val="single"/>
        </w:rPr>
        <w:t>请将以上资格部分全部上传政采云平台做资格审查，采购人或评标委员会仅根据上传的资格部分文件材料进行资格审查。</w:t>
      </w:r>
    </w:p>
    <w:p w14:paraId="69662102">
      <w:pPr>
        <w:spacing w:line="440" w:lineRule="exact"/>
        <w:rPr>
          <w:rFonts w:ascii="宋体" w:hAnsi="宋体" w:cs="宋体"/>
          <w:b/>
          <w:color w:val="auto"/>
          <w:sz w:val="24"/>
          <w:highlight w:val="none"/>
        </w:rPr>
      </w:pPr>
      <w:r>
        <w:rPr>
          <w:rFonts w:hint="eastAsia" w:ascii="宋体" w:hAnsi="宋体" w:cs="宋体"/>
          <w:b/>
          <w:color w:val="auto"/>
          <w:sz w:val="24"/>
          <w:highlight w:val="none"/>
        </w:rPr>
        <w:t>14.2技术、商务、资信及其他文件主要包括下列内容：</w:t>
      </w:r>
    </w:p>
    <w:p w14:paraId="6027BEDA">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14.2.1评分索引表；</w:t>
      </w:r>
    </w:p>
    <w:p w14:paraId="6926330B">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14.2.2计划方案；</w:t>
      </w:r>
    </w:p>
    <w:p w14:paraId="4C47BF37">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14.2.3宣传方案及垃圾收集收运方案；</w:t>
      </w:r>
    </w:p>
    <w:p w14:paraId="15DE4CC4">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14.2.4垃圾分类驿站管理方案；</w:t>
      </w:r>
    </w:p>
    <w:p w14:paraId="2AC8C381">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14.2.5安全措施方案；</w:t>
      </w:r>
    </w:p>
    <w:p w14:paraId="7006EB23">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14.2.6智能化垃圾分类积分系统；</w:t>
      </w:r>
    </w:p>
    <w:p w14:paraId="0D1AA850">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14.2.7驿站监控智能化系统；</w:t>
      </w:r>
    </w:p>
    <w:p w14:paraId="7398F297">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14.2.8服务能力；</w:t>
      </w:r>
    </w:p>
    <w:p w14:paraId="233EC1AF">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14.2.9企业业绩；</w:t>
      </w:r>
    </w:p>
    <w:p w14:paraId="6CC2A97A">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14.2.10企业荣誉；</w:t>
      </w:r>
    </w:p>
    <w:p w14:paraId="5EFF3D14">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14.2.11企业综合实力；</w:t>
      </w:r>
    </w:p>
    <w:p w14:paraId="44294695">
      <w:pPr>
        <w:pStyle w:val="2"/>
        <w:spacing w:line="36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14.2.12商务技术条款偏离表；</w:t>
      </w:r>
    </w:p>
    <w:p w14:paraId="7BF80DC8">
      <w:pPr>
        <w:pStyle w:val="2"/>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14.2.13投标供应商情况表</w:t>
      </w:r>
      <w:r>
        <w:rPr>
          <w:rFonts w:hint="eastAsia" w:ascii="宋体" w:hAnsi="宋体" w:cs="宋体"/>
          <w:color w:val="auto"/>
          <w:sz w:val="24"/>
          <w:szCs w:val="24"/>
          <w:highlight w:val="none"/>
        </w:rPr>
        <w:t>；</w:t>
      </w:r>
    </w:p>
    <w:p w14:paraId="7ADE09DE">
      <w:pPr>
        <w:pStyle w:val="2"/>
        <w:keepNext w:val="0"/>
        <w:keepLines w:val="0"/>
        <w:pageBreakBefore w:val="0"/>
        <w:widowControl w:val="0"/>
        <w:kinsoku/>
        <w:wordWrap/>
        <w:overflowPunct/>
        <w:topLinePunct w:val="0"/>
        <w:autoSpaceDE/>
        <w:autoSpaceDN/>
        <w:bidi w:val="0"/>
        <w:spacing w:line="36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14.2.14投标方认为需要的其他文件资料及说明内容；</w:t>
      </w:r>
    </w:p>
    <w:p w14:paraId="46CBA5C9">
      <w:pPr>
        <w:snapToGrid w:val="0"/>
        <w:spacing w:line="440" w:lineRule="exact"/>
        <w:jc w:val="left"/>
        <w:rPr>
          <w:rFonts w:ascii="宋体" w:hAnsi="宋体" w:cs="宋体"/>
          <w:b/>
          <w:color w:val="auto"/>
          <w:sz w:val="24"/>
          <w:highlight w:val="none"/>
        </w:rPr>
      </w:pPr>
      <w:r>
        <w:rPr>
          <w:rFonts w:hint="eastAsia" w:ascii="宋体" w:hAnsi="宋体" w:cs="宋体"/>
          <w:b/>
          <w:color w:val="auto"/>
          <w:sz w:val="24"/>
          <w:highlight w:val="none"/>
        </w:rPr>
        <w:t>14.3报价文件主要包括下列内容：</w:t>
      </w:r>
    </w:p>
    <w:p w14:paraId="5F2677D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14.3.1投标函（格式见附件）</w:t>
      </w:r>
    </w:p>
    <w:p w14:paraId="3A0E9A9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14.3.2开标一览表（格式见附件）；</w:t>
      </w:r>
    </w:p>
    <w:p w14:paraId="5DB7037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14.3.3报价明细表；</w:t>
      </w:r>
    </w:p>
    <w:p w14:paraId="74E794B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w:t>
      </w:r>
      <w:r>
        <w:rPr>
          <w:rFonts w:hint="eastAsia" w:ascii="宋体" w:hAnsi="宋体" w:cs="宋体"/>
          <w:color w:val="auto"/>
          <w:sz w:val="24"/>
          <w:highlight w:val="none"/>
          <w:lang w:val="en-US" w:eastAsia="zh-CN"/>
        </w:rPr>
        <w:t>4</w:t>
      </w:r>
      <w:r>
        <w:rPr>
          <w:rFonts w:hint="eastAsia" w:ascii="宋体" w:hAnsi="宋体" w:cs="宋体"/>
          <w:b/>
          <w:bCs/>
          <w:color w:val="auto"/>
          <w:sz w:val="24"/>
          <w:highlight w:val="none"/>
        </w:rPr>
        <w:t>报价情况说明（如供应商报价低于项目预算50%的，应当提交本文档，详细阐述不影响产品质量或者诚信履约的具体原因）；</w:t>
      </w:r>
    </w:p>
    <w:p w14:paraId="08CC2BE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14.3.8投标人针对报价需要说明的其他文件和说明（格式自拟）。</w:t>
      </w:r>
    </w:p>
    <w:p w14:paraId="6F1844C2">
      <w:pPr>
        <w:spacing w:line="440" w:lineRule="exact"/>
        <w:ind w:firstLine="470" w:firstLineChars="196"/>
        <w:rPr>
          <w:rFonts w:ascii="宋体" w:hAnsi="宋体" w:cs="宋体"/>
          <w:b/>
          <w:color w:val="auto"/>
          <w:sz w:val="24"/>
          <w:highlight w:val="none"/>
          <w:u w:val="single"/>
        </w:rPr>
      </w:pPr>
      <w:r>
        <w:rPr>
          <w:rFonts w:hint="eastAsia" w:ascii="宋体" w:hAnsi="宋体" w:cs="宋体"/>
          <w:b/>
          <w:color w:val="auto"/>
          <w:sz w:val="24"/>
          <w:highlight w:val="none"/>
        </w:rPr>
        <w:t>注：法定代表人授权委托书、投标声明书、投标项目报价明细表必须按招标文件格式要求正确签署并加盖投标人电子签章。</w:t>
      </w:r>
      <w:r>
        <w:rPr>
          <w:rFonts w:hint="eastAsia" w:ascii="宋体" w:hAnsi="宋体" w:cs="宋体"/>
          <w:b/>
          <w:color w:val="auto"/>
          <w:sz w:val="24"/>
          <w:highlight w:val="none"/>
          <w:u w:val="single"/>
        </w:rPr>
        <w:t>资格部分、技术、商务、资信及其他文件部分中不得出现项目价格部分内容，否则将作无效标处理。</w:t>
      </w:r>
    </w:p>
    <w:p w14:paraId="06E49BF1">
      <w:pPr>
        <w:numPr>
          <w:ilvl w:val="0"/>
          <w:numId w:val="12"/>
        </w:numPr>
        <w:snapToGrid w:val="0"/>
        <w:spacing w:line="440" w:lineRule="exact"/>
        <w:outlineLvl w:val="2"/>
        <w:rPr>
          <w:rFonts w:ascii="宋体" w:hAnsi="宋体" w:cs="宋体"/>
          <w:b/>
          <w:color w:val="auto"/>
          <w:sz w:val="24"/>
          <w:highlight w:val="none"/>
        </w:rPr>
      </w:pPr>
      <w:r>
        <w:rPr>
          <w:rFonts w:hint="eastAsia" w:ascii="宋体" w:hAnsi="宋体" w:cs="宋体"/>
          <w:b/>
          <w:color w:val="auto"/>
          <w:sz w:val="24"/>
          <w:highlight w:val="none"/>
        </w:rPr>
        <w:t>投标报价</w:t>
      </w:r>
    </w:p>
    <w:p w14:paraId="4BAFFC43">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15.1所有投标投标文件中的单价、合价、总价全部采用人民币表示。投标人的投标报价应遵守《中华人民共和国价格法》。同时，根据《中华人民共和国政府采购法》第三条的规定，为保证公平竞争，如有服务主体部分的赠与行为，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4CDBA5A8">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15.2投标人应按招标文件要求在相关表格中标明投标服务及伴随货物的单价和总价，并由法定代表人（非法人组织的负责人）或其委托代理人签署。</w:t>
      </w:r>
    </w:p>
    <w:p w14:paraId="48561FC8">
      <w:pPr>
        <w:adjustRightInd w:val="0"/>
        <w:snapToGrid w:val="0"/>
        <w:spacing w:line="440" w:lineRule="exact"/>
        <w:rPr>
          <w:rFonts w:ascii="宋体" w:hAnsi="宋体" w:cs="宋体"/>
          <w:b/>
          <w:bCs/>
          <w:color w:val="auto"/>
          <w:sz w:val="24"/>
          <w:highlight w:val="none"/>
        </w:rPr>
      </w:pPr>
      <w:r>
        <w:rPr>
          <w:rFonts w:hint="eastAsia" w:ascii="宋体" w:hAnsi="宋体" w:cs="宋体"/>
          <w:color w:val="auto"/>
          <w:sz w:val="24"/>
          <w:highlight w:val="none"/>
        </w:rPr>
        <w:t>15.3投标人所报的各分项投标单价在合同履行过程中是固定不变的，不得以任何理由予以变更。任何包含价格调整要求的投标，其投标将被认定为</w:t>
      </w:r>
      <w:r>
        <w:rPr>
          <w:rFonts w:hint="eastAsia" w:ascii="宋体" w:hAnsi="宋体" w:cs="宋体"/>
          <w:b/>
          <w:bCs/>
          <w:color w:val="auto"/>
          <w:sz w:val="24"/>
          <w:highlight w:val="none"/>
        </w:rPr>
        <w:t>投标无效。</w:t>
      </w:r>
    </w:p>
    <w:p w14:paraId="4181E92E">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15.4每种服务只能有一个投标报价。采购人不接受具有附加条件的报价。</w:t>
      </w:r>
    </w:p>
    <w:p w14:paraId="09520235">
      <w:pPr>
        <w:numPr>
          <w:ilvl w:val="0"/>
          <w:numId w:val="12"/>
        </w:numPr>
        <w:snapToGrid w:val="0"/>
        <w:spacing w:line="440" w:lineRule="exact"/>
        <w:outlineLvl w:val="2"/>
        <w:rPr>
          <w:rFonts w:ascii="宋体" w:hAnsi="宋体" w:cs="宋体"/>
          <w:b/>
          <w:color w:val="auto"/>
          <w:sz w:val="24"/>
          <w:highlight w:val="none"/>
        </w:rPr>
      </w:pPr>
      <w:bookmarkStart w:id="47" w:name="_Toc177825128"/>
      <w:bookmarkStart w:id="48" w:name="_Toc177824947"/>
      <w:bookmarkStart w:id="49" w:name="_Toc177824880"/>
      <w:bookmarkStart w:id="50" w:name="_Toc293916018"/>
      <w:bookmarkStart w:id="51" w:name="_Toc293916369"/>
      <w:bookmarkStart w:id="52" w:name="_Toc177870550"/>
      <w:r>
        <w:rPr>
          <w:rFonts w:hint="eastAsia" w:ascii="宋体" w:hAnsi="宋体" w:cs="宋体"/>
          <w:b/>
          <w:color w:val="auto"/>
          <w:sz w:val="24"/>
          <w:highlight w:val="none"/>
        </w:rPr>
        <w:t>投标有效期</w:t>
      </w:r>
    </w:p>
    <w:p w14:paraId="46CBF161">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16.1投标有效期见本须知前附表（120日历天）所规定的期限，在此期限内，凡符合本招标文件要求的投标文件均保持有效。</w:t>
      </w:r>
    </w:p>
    <w:p w14:paraId="7D23E7A8">
      <w:pPr>
        <w:adjustRightInd w:val="0"/>
        <w:snapToGrid w:val="0"/>
        <w:spacing w:line="440" w:lineRule="exact"/>
        <w:rPr>
          <w:rFonts w:ascii="宋体" w:hAnsi="宋体" w:cs="宋体"/>
          <w:color w:val="auto"/>
          <w:sz w:val="24"/>
          <w:highlight w:val="none"/>
        </w:rPr>
      </w:pPr>
      <w:r>
        <w:rPr>
          <w:rFonts w:hint="eastAsia" w:ascii="宋体" w:hAnsi="宋体" w:cs="宋体"/>
          <w:color w:val="auto"/>
          <w:sz w:val="24"/>
          <w:highlight w:val="none"/>
        </w:rPr>
        <w:t>16.2在特殊情况下，采购人和采购代理机构在原定投标有效期内，可以根据需要以书面形式向投标人提出延长投标有效期的要求，对此要求投标人须以书面形式予以答复。投标人可以拒绝采购人和采购代理机构这种要求。同意延长投标有效期的投标人既不能要求也不允许修改其投标文件。</w:t>
      </w:r>
    </w:p>
    <w:p w14:paraId="47C835F7">
      <w:pPr>
        <w:numPr>
          <w:ilvl w:val="0"/>
          <w:numId w:val="12"/>
        </w:numPr>
        <w:snapToGrid w:val="0"/>
        <w:spacing w:line="440" w:lineRule="exact"/>
        <w:outlineLvl w:val="2"/>
        <w:rPr>
          <w:rFonts w:ascii="宋体" w:hAnsi="宋体" w:cs="宋体"/>
          <w:b/>
          <w:color w:val="auto"/>
          <w:sz w:val="24"/>
          <w:highlight w:val="none"/>
        </w:rPr>
      </w:pPr>
      <w:r>
        <w:rPr>
          <w:rFonts w:hint="eastAsia" w:ascii="宋体" w:hAnsi="宋体" w:cs="宋体"/>
          <w:b/>
          <w:color w:val="auto"/>
          <w:sz w:val="24"/>
          <w:highlight w:val="none"/>
        </w:rPr>
        <w:t>投标保证金</w:t>
      </w:r>
    </w:p>
    <w:p w14:paraId="359EB6D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本项目不向投标人收取投标保证金。</w:t>
      </w:r>
    </w:p>
    <w:p w14:paraId="08B6974C">
      <w:pPr>
        <w:numPr>
          <w:ilvl w:val="0"/>
          <w:numId w:val="12"/>
        </w:numPr>
        <w:snapToGrid w:val="0"/>
        <w:spacing w:line="440" w:lineRule="exact"/>
        <w:outlineLvl w:val="2"/>
        <w:rPr>
          <w:rFonts w:ascii="宋体" w:hAnsi="宋体" w:cs="宋体"/>
          <w:b/>
          <w:bCs/>
          <w:color w:val="auto"/>
          <w:sz w:val="24"/>
          <w:highlight w:val="none"/>
        </w:rPr>
      </w:pPr>
      <w:r>
        <w:rPr>
          <w:rFonts w:hint="eastAsia" w:ascii="宋体" w:hAnsi="宋体" w:cs="宋体"/>
          <w:b/>
          <w:color w:val="auto"/>
          <w:sz w:val="24"/>
          <w:highlight w:val="none"/>
        </w:rPr>
        <w:t>投标文件的签署</w:t>
      </w:r>
    </w:p>
    <w:p w14:paraId="5178FF95">
      <w:pPr>
        <w:snapToGrid w:val="0"/>
        <w:spacing w:line="440" w:lineRule="exact"/>
        <w:ind w:firstLine="480" w:firstLineChars="200"/>
        <w:outlineLvl w:val="2"/>
        <w:rPr>
          <w:rFonts w:ascii="宋体" w:hAnsi="宋体" w:cs="宋体"/>
          <w:b/>
          <w:bCs/>
          <w:color w:val="auto"/>
          <w:sz w:val="24"/>
          <w:highlight w:val="none"/>
        </w:rPr>
      </w:pPr>
      <w:r>
        <w:rPr>
          <w:rFonts w:hint="eastAsia" w:ascii="宋体" w:hAnsi="宋体" w:cs="宋体"/>
          <w:color w:val="auto"/>
          <w:sz w:val="24"/>
          <w:highlight w:val="none"/>
        </w:rPr>
        <w:t>供应商应根据政采云平台“政府采购项目电子交易管理操作视频-供应商”及本招标文件规定的格式和顺序编制电子投标文件并进行关联定位。</w:t>
      </w:r>
    </w:p>
    <w:p w14:paraId="3EE5D543">
      <w:pPr>
        <w:spacing w:line="44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投标人须按资格部分、商务部分、技术部分和价格部分编制投标文件，资格部分、商务部分和技术部分的投标文件不得体现价格部分内容。</w:t>
      </w:r>
    </w:p>
    <w:p w14:paraId="2F516F75">
      <w:pPr>
        <w:autoSpaceDE w:val="0"/>
        <w:autoSpaceDN w:val="0"/>
        <w:adjustRightInd w:val="0"/>
        <w:spacing w:line="440" w:lineRule="exact"/>
        <w:ind w:firstLine="484" w:firstLineChars="202"/>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投标文件需按招标文件要求的格式填写并签字盖章。</w:t>
      </w:r>
    </w:p>
    <w:p w14:paraId="081989F8">
      <w:pPr>
        <w:numPr>
          <w:ilvl w:val="0"/>
          <w:numId w:val="11"/>
        </w:numPr>
        <w:spacing w:line="360" w:lineRule="auto"/>
        <w:jc w:val="center"/>
        <w:outlineLvl w:val="1"/>
        <w:rPr>
          <w:rFonts w:ascii="宋体" w:hAnsi="宋体" w:cs="宋体"/>
          <w:b/>
          <w:color w:val="auto"/>
          <w:sz w:val="32"/>
          <w:szCs w:val="32"/>
          <w:highlight w:val="none"/>
        </w:rPr>
      </w:pPr>
      <w:bookmarkStart w:id="53" w:name="_Toc36454317"/>
      <w:bookmarkStart w:id="54" w:name="_Toc36641141"/>
      <w:r>
        <w:rPr>
          <w:rFonts w:hint="eastAsia" w:ascii="宋体" w:hAnsi="宋体" w:cs="宋体"/>
          <w:b/>
          <w:color w:val="auto"/>
          <w:sz w:val="32"/>
          <w:szCs w:val="32"/>
          <w:highlight w:val="none"/>
        </w:rPr>
        <w:t>投标文件的提交</w:t>
      </w:r>
      <w:bookmarkEnd w:id="53"/>
      <w:bookmarkEnd w:id="54"/>
    </w:p>
    <w:p w14:paraId="57EAC068">
      <w:pPr>
        <w:numPr>
          <w:ilvl w:val="0"/>
          <w:numId w:val="12"/>
        </w:numPr>
        <w:snapToGrid w:val="0"/>
        <w:spacing w:line="400" w:lineRule="exact"/>
        <w:outlineLvl w:val="2"/>
        <w:rPr>
          <w:rFonts w:ascii="宋体" w:hAnsi="宋体" w:cs="宋体"/>
          <w:b/>
          <w:color w:val="auto"/>
          <w:sz w:val="24"/>
          <w:highlight w:val="none"/>
        </w:rPr>
      </w:pPr>
      <w:r>
        <w:rPr>
          <w:rFonts w:hint="eastAsia" w:ascii="宋体" w:hAnsi="宋体" w:cs="宋体"/>
          <w:b/>
          <w:color w:val="auto"/>
          <w:sz w:val="24"/>
          <w:highlight w:val="none"/>
        </w:rPr>
        <w:t>投标文件的提交及提交截止时间</w:t>
      </w:r>
    </w:p>
    <w:p w14:paraId="4C60DB28">
      <w:pPr>
        <w:spacing w:line="40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19.1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14:paraId="137A09D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19.2采购代理机构可通过修改招标文件酌情延长投标截止时间，在此情况下，投标人的所有权利和义务以及投标人的投标截止时间均应以延长后新的截止时间为准；</w:t>
      </w:r>
    </w:p>
    <w:p w14:paraId="5BC896A2">
      <w:pPr>
        <w:numPr>
          <w:ilvl w:val="0"/>
          <w:numId w:val="12"/>
        </w:numPr>
        <w:snapToGrid w:val="0"/>
        <w:spacing w:line="400" w:lineRule="exact"/>
        <w:outlineLvl w:val="2"/>
        <w:rPr>
          <w:rFonts w:ascii="宋体" w:hAnsi="宋体" w:cs="宋体"/>
          <w:b/>
          <w:color w:val="auto"/>
          <w:sz w:val="24"/>
          <w:highlight w:val="none"/>
        </w:rPr>
      </w:pPr>
      <w:r>
        <w:rPr>
          <w:rFonts w:hint="eastAsia" w:ascii="宋体" w:hAnsi="宋体" w:cs="宋体"/>
          <w:b/>
          <w:color w:val="auto"/>
          <w:sz w:val="24"/>
          <w:highlight w:val="none"/>
        </w:rPr>
        <w:t>迟交的投标文件</w:t>
      </w:r>
    </w:p>
    <w:p w14:paraId="69916A2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投标截止时间后传输提交的投标文件，将被政采云平台拒收。</w:t>
      </w:r>
    </w:p>
    <w:p w14:paraId="08E43CC1">
      <w:pPr>
        <w:numPr>
          <w:ilvl w:val="0"/>
          <w:numId w:val="12"/>
        </w:numPr>
        <w:snapToGrid w:val="0"/>
        <w:spacing w:line="400" w:lineRule="exact"/>
        <w:outlineLvl w:val="2"/>
        <w:rPr>
          <w:rFonts w:ascii="宋体" w:hAnsi="宋体" w:cs="宋体"/>
          <w:b/>
          <w:color w:val="auto"/>
          <w:sz w:val="24"/>
          <w:highlight w:val="none"/>
        </w:rPr>
      </w:pPr>
      <w:r>
        <w:rPr>
          <w:rFonts w:hint="eastAsia" w:ascii="宋体" w:hAnsi="宋体" w:cs="宋体"/>
          <w:b/>
          <w:color w:val="auto"/>
          <w:sz w:val="24"/>
          <w:highlight w:val="none"/>
        </w:rPr>
        <w:t>投标文件的撤回</w:t>
      </w:r>
    </w:p>
    <w:p w14:paraId="15F875B2">
      <w:pPr>
        <w:spacing w:line="4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在投标截止时间至规定的投标有效期满之间的这段时间，投标人不得撤回其投标。</w:t>
      </w:r>
      <w:bookmarkEnd w:id="47"/>
      <w:bookmarkEnd w:id="48"/>
      <w:bookmarkEnd w:id="49"/>
      <w:bookmarkEnd w:id="50"/>
      <w:bookmarkEnd w:id="51"/>
      <w:bookmarkEnd w:id="52"/>
    </w:p>
    <w:p w14:paraId="2B085FEB">
      <w:pPr>
        <w:numPr>
          <w:ilvl w:val="0"/>
          <w:numId w:val="11"/>
        </w:numPr>
        <w:spacing w:line="360" w:lineRule="auto"/>
        <w:jc w:val="center"/>
        <w:outlineLvl w:val="1"/>
        <w:rPr>
          <w:rFonts w:ascii="宋体" w:hAnsi="宋体" w:cs="宋体"/>
          <w:b/>
          <w:color w:val="auto"/>
          <w:sz w:val="32"/>
          <w:szCs w:val="32"/>
          <w:highlight w:val="none"/>
        </w:rPr>
      </w:pPr>
      <w:bookmarkStart w:id="55" w:name="_Toc16193"/>
      <w:r>
        <w:rPr>
          <w:rFonts w:hint="eastAsia" w:ascii="宋体" w:hAnsi="宋体" w:cs="宋体"/>
          <w:b/>
          <w:color w:val="auto"/>
          <w:sz w:val="32"/>
          <w:szCs w:val="32"/>
          <w:highlight w:val="none"/>
        </w:rPr>
        <w:t>开标</w:t>
      </w:r>
      <w:bookmarkEnd w:id="55"/>
      <w:r>
        <w:rPr>
          <w:rFonts w:hint="eastAsia" w:ascii="宋体" w:hAnsi="宋体" w:cs="宋体"/>
          <w:b/>
          <w:color w:val="auto"/>
          <w:sz w:val="32"/>
          <w:szCs w:val="32"/>
          <w:highlight w:val="none"/>
        </w:rPr>
        <w:t>程序</w:t>
      </w:r>
    </w:p>
    <w:p w14:paraId="010E322C">
      <w:pPr>
        <w:numPr>
          <w:ilvl w:val="0"/>
          <w:numId w:val="12"/>
        </w:numPr>
        <w:snapToGrid w:val="0"/>
        <w:outlineLvl w:val="2"/>
        <w:rPr>
          <w:rFonts w:ascii="宋体" w:hAnsi="宋体" w:cs="宋体"/>
          <w:b/>
          <w:color w:val="auto"/>
          <w:sz w:val="24"/>
          <w:highlight w:val="none"/>
        </w:rPr>
      </w:pPr>
      <w:bookmarkStart w:id="56" w:name="_Toc17761"/>
      <w:r>
        <w:rPr>
          <w:rFonts w:hint="eastAsia" w:ascii="宋体" w:hAnsi="宋体" w:cs="宋体"/>
          <w:b/>
          <w:color w:val="auto"/>
          <w:sz w:val="24"/>
          <w:highlight w:val="none"/>
        </w:rPr>
        <w:t>开标程序</w:t>
      </w:r>
    </w:p>
    <w:p w14:paraId="28FE00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22.1采购代理机构和采购人将于按照招标文件规定的时间和地点举行开标会；</w:t>
      </w:r>
    </w:p>
    <w:p w14:paraId="65F2BCA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22.2开标会由采购代理机构和采购人共同主持；</w:t>
      </w:r>
    </w:p>
    <w:p w14:paraId="73B178F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22.3本项目采用政采云电子招投标开标程序</w:t>
      </w:r>
    </w:p>
    <w:p w14:paraId="12A2687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投标截止时间后，投标人登录政采云平台，用“项目采购-开标评标”功能对电子投标文件进行在线解密。在线解密电子投标文件时间为</w:t>
      </w:r>
      <w:r>
        <w:rPr>
          <w:rFonts w:hint="eastAsia" w:ascii="宋体" w:hAnsi="宋体" w:cs="宋体"/>
          <w:b/>
          <w:color w:val="auto"/>
          <w:sz w:val="24"/>
          <w:highlight w:val="none"/>
        </w:rPr>
        <w:t>开标截止后系统发起解密30分钟内</w:t>
      </w:r>
      <w:r>
        <w:rPr>
          <w:rFonts w:hint="eastAsia" w:ascii="宋体" w:hAnsi="宋体" w:cs="宋体"/>
          <w:color w:val="auto"/>
          <w:sz w:val="24"/>
          <w:highlight w:val="none"/>
        </w:rPr>
        <w:t>。</w:t>
      </w:r>
      <w:r>
        <w:rPr>
          <w:rFonts w:hint="eastAsia" w:ascii="宋体" w:hAnsi="宋体" w:cs="宋体"/>
          <w:b/>
          <w:color w:val="auto"/>
          <w:sz w:val="24"/>
          <w:highlight w:val="none"/>
        </w:rPr>
        <w:t>如投标人在开标开始后30分钟内解密失败，投标无效</w:t>
      </w:r>
      <w:r>
        <w:rPr>
          <w:rFonts w:hint="eastAsia" w:ascii="宋体" w:hAnsi="宋体" w:cs="宋体"/>
          <w:color w:val="auto"/>
          <w:sz w:val="24"/>
          <w:highlight w:val="none"/>
        </w:rPr>
        <w:t>。</w:t>
      </w:r>
    </w:p>
    <w:p w14:paraId="5AE6AABF">
      <w:pPr>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说明：政采云平台如对电子开评标程序有调整的，按调整后的程序操作</w:t>
      </w:r>
      <w:r>
        <w:rPr>
          <w:rFonts w:hint="eastAsia" w:ascii="宋体" w:hAnsi="宋体" w:cs="宋体"/>
          <w:color w:val="auto"/>
          <w:sz w:val="24"/>
          <w:highlight w:val="none"/>
        </w:rPr>
        <w:t>。</w:t>
      </w:r>
    </w:p>
    <w:p w14:paraId="70C85FEB">
      <w:pPr>
        <w:numPr>
          <w:ilvl w:val="0"/>
          <w:numId w:val="11"/>
        </w:numPr>
        <w:spacing w:line="360" w:lineRule="auto"/>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评标</w:t>
      </w:r>
      <w:bookmarkEnd w:id="56"/>
    </w:p>
    <w:p w14:paraId="7878CD5A">
      <w:pPr>
        <w:numPr>
          <w:ilvl w:val="0"/>
          <w:numId w:val="12"/>
        </w:numPr>
        <w:snapToGrid w:val="0"/>
        <w:outlineLvl w:val="2"/>
        <w:rPr>
          <w:rFonts w:ascii="宋体" w:hAnsi="宋体" w:cs="宋体"/>
          <w:b/>
          <w:color w:val="auto"/>
          <w:sz w:val="24"/>
          <w:highlight w:val="none"/>
        </w:rPr>
      </w:pPr>
      <w:r>
        <w:rPr>
          <w:rFonts w:hint="eastAsia" w:ascii="宋体" w:hAnsi="宋体" w:cs="宋体"/>
          <w:b/>
          <w:color w:val="auto"/>
          <w:sz w:val="24"/>
          <w:highlight w:val="none"/>
        </w:rPr>
        <w:t>评标委员会与评标</w:t>
      </w:r>
    </w:p>
    <w:p w14:paraId="3A013C06">
      <w:pPr>
        <w:spacing w:line="440" w:lineRule="exact"/>
        <w:ind w:firstLine="560"/>
        <w:rPr>
          <w:rFonts w:ascii="宋体" w:hAnsi="宋体" w:cs="宋体"/>
          <w:color w:val="auto"/>
          <w:sz w:val="24"/>
          <w:highlight w:val="none"/>
        </w:rPr>
      </w:pPr>
      <w:r>
        <w:rPr>
          <w:rFonts w:hint="eastAsia" w:ascii="宋体" w:hAnsi="宋体" w:cs="宋体"/>
          <w:color w:val="auto"/>
          <w:sz w:val="24"/>
          <w:highlight w:val="none"/>
        </w:rPr>
        <w:t>评标委员会由采购代理机构依法组建，负责评标活动。评标</w:t>
      </w:r>
      <w:r>
        <w:rPr>
          <w:rFonts w:hint="eastAsia" w:ascii="宋体" w:hAnsi="宋体" w:cs="宋体"/>
          <w:snapToGrid w:val="0"/>
          <w:color w:val="auto"/>
          <w:sz w:val="24"/>
          <w:highlight w:val="none"/>
        </w:rPr>
        <w:t>委员会</w:t>
      </w:r>
      <w:r>
        <w:rPr>
          <w:rFonts w:hint="eastAsia" w:ascii="宋体" w:hAnsi="宋体" w:cs="宋体"/>
          <w:color w:val="auto"/>
          <w:sz w:val="24"/>
          <w:highlight w:val="none"/>
        </w:rPr>
        <w:t>遵循公正、公平、科学合理，竞争择优的原则。</w:t>
      </w:r>
    </w:p>
    <w:p w14:paraId="576F9CC7">
      <w:pPr>
        <w:numPr>
          <w:ilvl w:val="0"/>
          <w:numId w:val="12"/>
        </w:numPr>
        <w:snapToGrid w:val="0"/>
        <w:outlineLvl w:val="2"/>
        <w:rPr>
          <w:rFonts w:ascii="宋体" w:hAnsi="宋体" w:cs="宋体"/>
          <w:b/>
          <w:color w:val="auto"/>
          <w:sz w:val="24"/>
          <w:highlight w:val="none"/>
        </w:rPr>
      </w:pPr>
      <w:r>
        <w:rPr>
          <w:rFonts w:hint="eastAsia" w:ascii="宋体" w:hAnsi="宋体" w:cs="宋体"/>
          <w:b/>
          <w:color w:val="auto"/>
          <w:sz w:val="24"/>
          <w:highlight w:val="none"/>
        </w:rPr>
        <w:t>评标过程的保密</w:t>
      </w:r>
    </w:p>
    <w:p w14:paraId="25BFC24F">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24.1开标后，直至授予中标供应商合同为止，凡属于对投标文件的审查、澄清、评价和比较的有关资料、中标候选人的推荐情况及与评标有关的其他任何情况均严格保密。</w:t>
      </w:r>
    </w:p>
    <w:p w14:paraId="77F78B93">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24.2 在投标文件的评审和比较、中标候选人推荐以及授予合同的过程中，投标人向采购人、采购代理机构和评标委员会施加影响的任何行为，都将会导致其投标被拒绝。</w:t>
      </w:r>
    </w:p>
    <w:p w14:paraId="14EC4E67">
      <w:pPr>
        <w:numPr>
          <w:ilvl w:val="0"/>
          <w:numId w:val="12"/>
        </w:numPr>
        <w:snapToGrid w:val="0"/>
        <w:outlineLvl w:val="2"/>
        <w:rPr>
          <w:rFonts w:ascii="宋体" w:hAnsi="宋体" w:cs="宋体"/>
          <w:b/>
          <w:color w:val="auto"/>
          <w:sz w:val="24"/>
          <w:highlight w:val="none"/>
        </w:rPr>
      </w:pPr>
      <w:r>
        <w:rPr>
          <w:rFonts w:hint="eastAsia" w:ascii="宋体" w:hAnsi="宋体" w:cs="宋体"/>
          <w:b/>
          <w:color w:val="auto"/>
          <w:sz w:val="24"/>
          <w:highlight w:val="none"/>
        </w:rPr>
        <w:t>投标文件的澄清</w:t>
      </w:r>
    </w:p>
    <w:p w14:paraId="455CDEF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为有助于投标文件的审查、评价和比较，评标委员会可以要求投标人对于投标文件中含义不明确、同类问题表述不一致或者有明显文字和计算错误的内容作必要的澄清、说明或补正。</w:t>
      </w:r>
    </w:p>
    <w:p w14:paraId="73EB00F6">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14:paraId="0E17B6C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投标人通过政采云平台交换的数据电文必须进行电子签章。</w:t>
      </w:r>
    </w:p>
    <w:p w14:paraId="168C01B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根据本须知第25条规定，凡属于评标委员会在评标中发现的计算错误进行核实的修改不在此列。</w:t>
      </w:r>
    </w:p>
    <w:p w14:paraId="6A244372">
      <w:pPr>
        <w:numPr>
          <w:ilvl w:val="0"/>
          <w:numId w:val="12"/>
        </w:numPr>
        <w:snapToGrid w:val="0"/>
        <w:outlineLvl w:val="2"/>
        <w:rPr>
          <w:rFonts w:ascii="宋体" w:hAnsi="宋体" w:cs="宋体"/>
          <w:b/>
          <w:color w:val="auto"/>
          <w:sz w:val="24"/>
          <w:highlight w:val="none"/>
        </w:rPr>
      </w:pPr>
      <w:r>
        <w:rPr>
          <w:rFonts w:hint="eastAsia" w:ascii="宋体" w:hAnsi="宋体" w:cs="宋体"/>
          <w:b/>
          <w:color w:val="auto"/>
          <w:sz w:val="24"/>
          <w:highlight w:val="none"/>
        </w:rPr>
        <w:t>投标文件的评定</w:t>
      </w:r>
    </w:p>
    <w:p w14:paraId="5A7722A3">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26.1资格性审查</w:t>
      </w:r>
    </w:p>
    <w:p w14:paraId="1FCA53B9">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依据法律、法规和招标文件规定，对投标文件中的资格文件逐项进行审查，以确定投标人是否具备投标资格。资格性审查由采购人或采购代理机构负责。未通过资格审查的投标人不能进入评标，其投标将被认定为投标无效。</w:t>
      </w:r>
    </w:p>
    <w:p w14:paraId="35808F07">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26.1.1采购人或采购代理机构将在递交投标文件截止时间前一个工作日至资格性审查结束前的期间内查询投标人的信用记录。投标人存在不良信用记录的，其投标将被认定为</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14:paraId="0CF46A54">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26.1.2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3A0A8C41">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26.1.3 查询及记录方式：采购人或采购代理机构经办人将查询网页打印并存档备查。投标人不良信用记录以采购人或采购代理机构查询结果为准。</w:t>
      </w:r>
    </w:p>
    <w:p w14:paraId="17A0AB3D">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在本招标文件规定的查询时间之后，网站信息发生的任何变更均不再作为评标依据。</w:t>
      </w:r>
    </w:p>
    <w:p w14:paraId="0652F981">
      <w:pPr>
        <w:adjustRightInd w:val="0"/>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投标人自行提供的与网站信息不一致的其他证明材料亦不作为资格审查依据。</w:t>
      </w:r>
    </w:p>
    <w:p w14:paraId="5DB4676A">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26.2符合性审查</w:t>
      </w:r>
    </w:p>
    <w:p w14:paraId="7D072B9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4F69A92E">
      <w:pPr>
        <w:spacing w:line="44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26.3如果投标文件实质上不响应招标文件的各项要求，评标委员会将予以拒绝，并且不允许投标人通过修改或撤销其不符合要求的差异或保留，使之成为具有响应性的投标。</w:t>
      </w:r>
    </w:p>
    <w:p w14:paraId="3D6B24BF">
      <w:pPr>
        <w:numPr>
          <w:ilvl w:val="0"/>
          <w:numId w:val="12"/>
        </w:numPr>
        <w:snapToGrid w:val="0"/>
        <w:outlineLvl w:val="2"/>
        <w:rPr>
          <w:rFonts w:ascii="宋体" w:hAnsi="宋体" w:cs="宋体"/>
          <w:b/>
          <w:color w:val="auto"/>
          <w:sz w:val="24"/>
          <w:highlight w:val="none"/>
        </w:rPr>
      </w:pPr>
      <w:r>
        <w:rPr>
          <w:rFonts w:hint="eastAsia" w:ascii="宋体" w:hAnsi="宋体" w:cs="宋体"/>
          <w:b/>
          <w:color w:val="auto"/>
          <w:sz w:val="24"/>
          <w:highlight w:val="none"/>
        </w:rPr>
        <w:t>投标文件报价前后不一致的修正</w:t>
      </w:r>
    </w:p>
    <w:p w14:paraId="78B1C8F9">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投标文件报价出现前后不一致的，除本招标文件另有规定外，按照下列规定修正：</w:t>
      </w:r>
    </w:p>
    <w:p w14:paraId="3EC724EC">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27.1投标文件中开标一览表（报价表）内容与投标文件中</w:t>
      </w:r>
      <w:r>
        <w:rPr>
          <w:rFonts w:hint="eastAsia" w:ascii="宋体" w:hAnsi="宋体" w:cs="宋体"/>
          <w:bCs/>
          <w:color w:val="auto"/>
          <w:sz w:val="24"/>
          <w:highlight w:val="none"/>
        </w:rPr>
        <w:t>投标项目报价</w:t>
      </w:r>
      <w:r>
        <w:rPr>
          <w:rFonts w:hint="eastAsia" w:ascii="宋体" w:hAnsi="宋体" w:cs="宋体"/>
          <w:color w:val="auto"/>
          <w:sz w:val="24"/>
          <w:highlight w:val="none"/>
        </w:rPr>
        <w:t>明细表内容不一致的，以开标一览表（报价表）为准；</w:t>
      </w:r>
    </w:p>
    <w:p w14:paraId="0924BF3D">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27.2投标文件的大写金额和小写金额不一致的，以大写金额为准；</w:t>
      </w:r>
    </w:p>
    <w:p w14:paraId="1E45DDB8">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27.3单价金额小数点或者百分比有明显错位的，以开标一览表的总价为准，并修改单价；</w:t>
      </w:r>
    </w:p>
    <w:p w14:paraId="09758126">
      <w:pPr>
        <w:spacing w:line="440" w:lineRule="exact"/>
        <w:ind w:firstLine="500"/>
        <w:rPr>
          <w:rFonts w:ascii="宋体" w:hAnsi="宋体" w:cs="宋体"/>
          <w:color w:val="auto"/>
          <w:sz w:val="24"/>
          <w:highlight w:val="none"/>
        </w:rPr>
      </w:pPr>
      <w:r>
        <w:rPr>
          <w:rFonts w:hint="eastAsia" w:ascii="宋体" w:hAnsi="宋体" w:cs="宋体"/>
          <w:color w:val="auto"/>
          <w:spacing w:val="-8"/>
          <w:sz w:val="24"/>
          <w:highlight w:val="none"/>
        </w:rPr>
        <w:t>27.4</w:t>
      </w:r>
      <w:r>
        <w:rPr>
          <w:rFonts w:hint="eastAsia" w:ascii="宋体" w:hAnsi="宋体" w:cs="宋体"/>
          <w:color w:val="auto"/>
          <w:sz w:val="24"/>
          <w:highlight w:val="none"/>
        </w:rPr>
        <w:t>总价金额与按单价汇总金额不一致的，以单价金额计算结果为准。</w:t>
      </w:r>
    </w:p>
    <w:p w14:paraId="159E7D31">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27.5同时出现两种以上不一致的，按照前款规定的顺序修正。修正后的报价经投标人确认后产生约束力，投标人不确认的，其投标无效。</w:t>
      </w:r>
    </w:p>
    <w:p w14:paraId="271C9CF7">
      <w:pPr>
        <w:numPr>
          <w:ilvl w:val="0"/>
          <w:numId w:val="12"/>
        </w:numPr>
        <w:snapToGrid w:val="0"/>
        <w:outlineLvl w:val="2"/>
        <w:rPr>
          <w:rFonts w:ascii="宋体" w:hAnsi="宋体" w:cs="宋体"/>
          <w:b/>
          <w:color w:val="auto"/>
          <w:sz w:val="24"/>
          <w:highlight w:val="none"/>
        </w:rPr>
      </w:pPr>
      <w:r>
        <w:rPr>
          <w:rFonts w:hint="eastAsia" w:ascii="宋体" w:hAnsi="宋体" w:cs="宋体"/>
          <w:b/>
          <w:color w:val="auto"/>
          <w:sz w:val="24"/>
          <w:highlight w:val="none"/>
        </w:rPr>
        <w:t>投标文件的评审、比较和否决</w:t>
      </w:r>
    </w:p>
    <w:p w14:paraId="39EC586F">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28.1评标委员会将对在实质上响应招标文件要求的投标文件进行评估和比较。</w:t>
      </w:r>
    </w:p>
    <w:p w14:paraId="13C18F42">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28.2 在评审过程中,评标委员会可以要求投标人就投标文件中含义不明确的内容进行说明并提供相关材料。</w:t>
      </w:r>
    </w:p>
    <w:p w14:paraId="0F435290">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28.3在评审过程中，如发现与招标文件要求相偏离的，评标委员会应对其偏离情形进行必要的书面核实。</w:t>
      </w:r>
    </w:p>
    <w:p w14:paraId="7B831BBD">
      <w:pPr>
        <w:spacing w:line="440" w:lineRule="exact"/>
        <w:ind w:firstLine="500"/>
        <w:rPr>
          <w:rFonts w:ascii="宋体" w:hAnsi="宋体" w:cs="宋体"/>
          <w:color w:val="auto"/>
          <w:sz w:val="24"/>
          <w:highlight w:val="none"/>
        </w:rPr>
      </w:pPr>
      <w:r>
        <w:rPr>
          <w:rFonts w:hint="eastAsia" w:ascii="宋体" w:hAnsi="宋体" w:cs="宋体"/>
          <w:color w:val="auto"/>
          <w:sz w:val="24"/>
          <w:highlight w:val="none"/>
        </w:rPr>
        <w:t>28.4在评审过程中，如属于实质性偏离或符合无效响应条件的，应当询问相关投标人，并允许其进行陈述申辩，但不允许其对偏离条款进行补充、修正或撤回。</w:t>
      </w:r>
    </w:p>
    <w:p w14:paraId="4F34D05F">
      <w:pPr>
        <w:spacing w:line="440" w:lineRule="exact"/>
        <w:ind w:firstLine="500"/>
        <w:rPr>
          <w:rFonts w:ascii="宋体" w:hAnsi="宋体" w:cs="宋体"/>
          <w:color w:val="auto"/>
          <w:sz w:val="24"/>
          <w:highlight w:val="none"/>
          <w:u w:val="single"/>
        </w:rPr>
      </w:pPr>
      <w:r>
        <w:rPr>
          <w:rFonts w:hint="eastAsia" w:ascii="宋体" w:hAnsi="宋体" w:cs="宋体"/>
          <w:color w:val="auto"/>
          <w:sz w:val="24"/>
          <w:highlight w:val="none"/>
        </w:rPr>
        <w:t>28.5在评审过程中，如发现投标文件同一内容前后描述不一致的，评标委员会有权对其做出不利的判定。</w:t>
      </w:r>
    </w:p>
    <w:p w14:paraId="4243C82A">
      <w:pPr>
        <w:ind w:firstLine="500"/>
        <w:rPr>
          <w:rFonts w:ascii="宋体" w:hAnsi="宋体" w:cs="宋体"/>
          <w:color w:val="auto"/>
          <w:sz w:val="24"/>
          <w:highlight w:val="none"/>
        </w:rPr>
      </w:pPr>
      <w:r>
        <w:rPr>
          <w:rFonts w:hint="eastAsia" w:ascii="宋体" w:hAnsi="宋体" w:cs="宋体"/>
          <w:color w:val="auto"/>
          <w:sz w:val="24"/>
          <w:highlight w:val="none"/>
        </w:rPr>
        <w:t>28.6 评标委员会依据招标文件规定的评标标准和方法，对投标文件进行评审和比较，向采购代理机构提交书面评标报告，并推荐合格的中标候选人。</w:t>
      </w:r>
    </w:p>
    <w:p w14:paraId="7B350CDC">
      <w:pPr>
        <w:numPr>
          <w:ilvl w:val="0"/>
          <w:numId w:val="12"/>
        </w:numPr>
        <w:snapToGrid w:val="0"/>
        <w:outlineLvl w:val="2"/>
        <w:rPr>
          <w:rFonts w:ascii="宋体" w:hAnsi="宋体" w:cs="宋体"/>
          <w:b/>
          <w:color w:val="auto"/>
          <w:sz w:val="24"/>
          <w:highlight w:val="none"/>
        </w:rPr>
      </w:pPr>
      <w:r>
        <w:rPr>
          <w:rFonts w:hint="eastAsia" w:ascii="宋体" w:hAnsi="宋体" w:cs="宋体"/>
          <w:b/>
          <w:color w:val="auto"/>
          <w:sz w:val="24"/>
          <w:highlight w:val="none"/>
        </w:rPr>
        <w:t>废标</w:t>
      </w:r>
    </w:p>
    <w:p w14:paraId="139B9C96">
      <w:pPr>
        <w:spacing w:line="460" w:lineRule="exact"/>
        <w:ind w:firstLine="480" w:firstLineChars="200"/>
        <w:rPr>
          <w:rFonts w:ascii="宋体" w:hAnsi="宋体" w:cs="宋体"/>
          <w:b/>
          <w:bCs/>
          <w:color w:val="auto"/>
          <w:sz w:val="24"/>
          <w:highlight w:val="none"/>
        </w:rPr>
      </w:pPr>
      <w:r>
        <w:rPr>
          <w:rFonts w:hint="eastAsia" w:ascii="宋体" w:hAnsi="宋体" w:cs="宋体"/>
          <w:b/>
          <w:bCs/>
          <w:color w:val="auto"/>
          <w:sz w:val="24"/>
          <w:highlight w:val="none"/>
        </w:rPr>
        <w:t>在招标采购中，出现下列情形之一的，应予废标（</w:t>
      </w:r>
      <w:r>
        <w:rPr>
          <w:rFonts w:hint="eastAsia" w:ascii="宋体" w:hAnsi="宋体" w:cs="宋体"/>
          <w:b/>
          <w:snapToGrid w:val="0"/>
          <w:color w:val="auto"/>
          <w:sz w:val="24"/>
          <w:highlight w:val="none"/>
        </w:rPr>
        <w:t>法律、法规、规章、省级及以上监管部门规定的其他情形除外）</w:t>
      </w:r>
      <w:r>
        <w:rPr>
          <w:rFonts w:hint="eastAsia" w:ascii="宋体" w:hAnsi="宋体" w:cs="宋体"/>
          <w:b/>
          <w:bCs/>
          <w:color w:val="auto"/>
          <w:sz w:val="24"/>
          <w:highlight w:val="none"/>
        </w:rPr>
        <w:t>：</w:t>
      </w:r>
    </w:p>
    <w:p w14:paraId="51CEB81A">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29.1符合专业条件的供应商或者对招标文件作实质响应的供应商不足三家的；</w:t>
      </w:r>
    </w:p>
    <w:p w14:paraId="6E38254C">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29.2出现影响采购公正的违法、违规行为的；</w:t>
      </w:r>
    </w:p>
    <w:p w14:paraId="1E00075E">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29.3因重大变故，采购任务取消的;</w:t>
      </w:r>
    </w:p>
    <w:p w14:paraId="4051B285">
      <w:pPr>
        <w:spacing w:line="460" w:lineRule="exact"/>
        <w:ind w:firstLine="480" w:firstLineChars="200"/>
        <w:rPr>
          <w:rFonts w:ascii="宋体" w:hAnsi="宋体" w:cs="宋体"/>
          <w:b/>
          <w:snapToGrid w:val="0"/>
          <w:color w:val="auto"/>
          <w:sz w:val="24"/>
          <w:highlight w:val="none"/>
        </w:rPr>
      </w:pPr>
      <w:r>
        <w:rPr>
          <w:rFonts w:hint="eastAsia" w:ascii="宋体" w:hAnsi="宋体" w:cs="宋体"/>
          <w:bCs/>
          <w:color w:val="auto"/>
          <w:sz w:val="24"/>
          <w:highlight w:val="none"/>
        </w:rPr>
        <w:t>29.4投标人的报价均超采购预算的，采购人不能支付的。</w:t>
      </w:r>
    </w:p>
    <w:p w14:paraId="056C6B52">
      <w:pPr>
        <w:numPr>
          <w:ilvl w:val="0"/>
          <w:numId w:val="12"/>
        </w:numPr>
        <w:snapToGrid w:val="0"/>
        <w:spacing w:line="460" w:lineRule="exact"/>
        <w:outlineLvl w:val="2"/>
        <w:rPr>
          <w:rFonts w:ascii="宋体" w:hAnsi="宋体" w:cs="宋体"/>
          <w:b/>
          <w:color w:val="auto"/>
          <w:sz w:val="24"/>
          <w:highlight w:val="none"/>
        </w:rPr>
      </w:pPr>
      <w:r>
        <w:rPr>
          <w:rFonts w:hint="eastAsia" w:ascii="宋体" w:hAnsi="宋体" w:cs="宋体"/>
          <w:b/>
          <w:color w:val="auto"/>
          <w:sz w:val="24"/>
          <w:highlight w:val="none"/>
        </w:rPr>
        <w:t>定标</w:t>
      </w:r>
    </w:p>
    <w:p w14:paraId="52BC6CE5">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30.1采购代理机构在评标结束后2个工作日内将评标报告送交采购人确认，采购人应在收到评标报告后五个工作日内依法确定中标供应商，并将确认意见书面形式回复采购代理机构，逾期未复视为同意。</w:t>
      </w:r>
    </w:p>
    <w:p w14:paraId="6EA17CF1">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30.2中标供应商确定后，中标结果在财政部门指定的政府采购信息发布媒体上公告。</w:t>
      </w:r>
    </w:p>
    <w:p w14:paraId="4DFF715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30.3在发布公告的同时，采购人和采购代理机构向中标供应商发出中标通知书，中标通知书对采购人和中标供应商具有同等法律效力。</w:t>
      </w:r>
    </w:p>
    <w:p w14:paraId="7FBB6076">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30.4中标通知书发出后，采购人改变中标结果，或者中标供应商放弃中标，应当承担相应的法律责任。</w:t>
      </w:r>
    </w:p>
    <w:p w14:paraId="5414E0D2">
      <w:pPr>
        <w:snapToGrid w:val="0"/>
        <w:spacing w:line="460" w:lineRule="exact"/>
        <w:ind w:firstLine="480" w:firstLineChars="200"/>
        <w:outlineLvl w:val="2"/>
        <w:rPr>
          <w:rFonts w:ascii="宋体" w:hAnsi="宋体" w:cs="宋体"/>
          <w:b/>
          <w:color w:val="auto"/>
          <w:sz w:val="24"/>
          <w:highlight w:val="none"/>
        </w:rPr>
      </w:pPr>
      <w:r>
        <w:rPr>
          <w:rFonts w:hint="eastAsia" w:ascii="宋体" w:hAnsi="宋体" w:cs="宋体"/>
          <w:b/>
          <w:color w:val="auto"/>
          <w:sz w:val="24"/>
          <w:highlight w:val="none"/>
        </w:rPr>
        <w:t>30.5出现下述情况之一的，采购单位可以与排位在中标人之后第一位的中标候选人签订政府采购合同，以此类推。采购单位也可重新组织招标。</w:t>
      </w:r>
    </w:p>
    <w:p w14:paraId="597BE2C6">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30.5.1中标人因自身原因放弃中标成交或因不可抗力不能履行合同的；</w:t>
      </w:r>
    </w:p>
    <w:p w14:paraId="57192185">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30.5.2经质疑，采购代理机构审查确认因中标人在本次采购活动中存在违法违规行为或其他原因使质疑成立的。</w:t>
      </w:r>
    </w:p>
    <w:p w14:paraId="242EC0C9">
      <w:pPr>
        <w:numPr>
          <w:ilvl w:val="0"/>
          <w:numId w:val="12"/>
        </w:numPr>
        <w:snapToGrid w:val="0"/>
        <w:spacing w:line="460" w:lineRule="exact"/>
        <w:outlineLvl w:val="2"/>
        <w:rPr>
          <w:rFonts w:ascii="宋体" w:hAnsi="宋体" w:cs="宋体"/>
          <w:b/>
          <w:color w:val="auto"/>
          <w:sz w:val="24"/>
          <w:highlight w:val="none"/>
        </w:rPr>
      </w:pPr>
      <w:r>
        <w:rPr>
          <w:rFonts w:hint="eastAsia" w:ascii="宋体" w:hAnsi="宋体" w:cs="宋体"/>
          <w:b/>
          <w:color w:val="auto"/>
          <w:sz w:val="24"/>
          <w:highlight w:val="none"/>
        </w:rPr>
        <w:t>投标无效的情形</w:t>
      </w:r>
    </w:p>
    <w:p w14:paraId="08B32B8D">
      <w:pPr>
        <w:spacing w:line="460" w:lineRule="exact"/>
        <w:ind w:firstLine="480" w:firstLineChars="200"/>
        <w:rPr>
          <w:rFonts w:ascii="宋体" w:hAnsi="宋体" w:cs="宋体"/>
          <w:b/>
          <w:color w:val="auto"/>
          <w:sz w:val="24"/>
          <w:highlight w:val="none"/>
        </w:rPr>
      </w:pPr>
      <w:r>
        <w:rPr>
          <w:rFonts w:hint="eastAsia" w:ascii="宋体" w:hAnsi="宋体" w:cs="宋体"/>
          <w:b/>
          <w:color w:val="auto"/>
          <w:sz w:val="24"/>
          <w:highlight w:val="none"/>
        </w:rPr>
        <w:t>投标文件有下列情况之一者, 投标文件将被视为无效：</w:t>
      </w:r>
    </w:p>
    <w:p w14:paraId="4888BB22">
      <w:pPr>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31.1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未提供招标公告中投标人特定条件要求的其他资质复印件的；）；</w:t>
      </w:r>
    </w:p>
    <w:p w14:paraId="7F8AE252">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31.2电子投标文件在规定时间内解密失败的；</w:t>
      </w:r>
    </w:p>
    <w:p w14:paraId="461E75B6">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31.3未按照招标文件规定的要求签署、盖章的；</w:t>
      </w:r>
    </w:p>
    <w:p w14:paraId="4F806E9D">
      <w:pPr>
        <w:spacing w:line="44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31.4投标文件中资格部分、商务部分、技术部分中出现价格部分内容的；</w:t>
      </w:r>
    </w:p>
    <w:p w14:paraId="0C4CF418">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31.5投标人在一份投标文件中对同一采购项目有两个或两个以上报价的；</w:t>
      </w:r>
    </w:p>
    <w:p w14:paraId="09F84E23">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31.6投标报价超过招标文件中规定的预算金额或者最高限价的；</w:t>
      </w:r>
    </w:p>
    <w:p w14:paraId="07A88291">
      <w:pPr>
        <w:spacing w:line="440" w:lineRule="exact"/>
        <w:ind w:firstLine="480" w:firstLineChars="200"/>
        <w:rPr>
          <w:rFonts w:ascii="宋体" w:hAnsi="宋体" w:cs="宋体"/>
          <w:bCs/>
          <w:snapToGrid w:val="0"/>
          <w:color w:val="auto"/>
          <w:sz w:val="24"/>
          <w:highlight w:val="none"/>
        </w:rPr>
      </w:pPr>
      <w:r>
        <w:rPr>
          <w:rFonts w:hint="eastAsia" w:ascii="宋体" w:hAnsi="宋体" w:cs="宋体"/>
          <w:bCs/>
          <w:color w:val="auto"/>
          <w:sz w:val="24"/>
          <w:highlight w:val="none"/>
        </w:rPr>
        <w:t>31.7投标文件</w:t>
      </w:r>
      <w:r>
        <w:rPr>
          <w:rFonts w:hint="eastAsia" w:ascii="宋体" w:hAnsi="宋体" w:cs="宋体"/>
          <w:bCs/>
          <w:snapToGrid w:val="0"/>
          <w:color w:val="auto"/>
          <w:sz w:val="24"/>
          <w:highlight w:val="none"/>
        </w:rPr>
        <w:t>载明的招标项目完成期限超过招标文件规定的期限，采购人不能接受的；</w:t>
      </w:r>
    </w:p>
    <w:p w14:paraId="25D50602">
      <w:pPr>
        <w:spacing w:line="44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31.8</w:t>
      </w:r>
      <w:r>
        <w:rPr>
          <w:rFonts w:hint="eastAsia" w:ascii="宋体" w:hAnsi="宋体" w:cs="宋体"/>
          <w:bCs/>
          <w:color w:val="auto"/>
          <w:sz w:val="24"/>
          <w:highlight w:val="none"/>
        </w:rPr>
        <w:t>投标文件</w:t>
      </w:r>
      <w:r>
        <w:rPr>
          <w:rFonts w:hint="eastAsia" w:ascii="宋体" w:hAnsi="宋体" w:cs="宋体"/>
          <w:bCs/>
          <w:snapToGrid w:val="0"/>
          <w:color w:val="auto"/>
          <w:sz w:val="24"/>
          <w:highlight w:val="none"/>
        </w:rPr>
        <w:t>载明的投标有效期、质量保证期少于招标文件规定期限的；</w:t>
      </w:r>
    </w:p>
    <w:p w14:paraId="0F1AB982">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31.9投标文件未响应招标文件规定的付款方式的；</w:t>
      </w:r>
    </w:p>
    <w:p w14:paraId="73B9B875">
      <w:pPr>
        <w:spacing w:line="440" w:lineRule="exact"/>
        <w:ind w:firstLine="470" w:firstLineChars="196"/>
        <w:rPr>
          <w:rFonts w:ascii="宋体" w:hAnsi="宋体" w:cs="宋体"/>
          <w:bCs/>
          <w:snapToGrid w:val="0"/>
          <w:color w:val="auto"/>
          <w:sz w:val="24"/>
          <w:highlight w:val="none"/>
        </w:rPr>
      </w:pPr>
      <w:r>
        <w:rPr>
          <w:rFonts w:hint="eastAsia" w:ascii="宋体" w:hAnsi="宋体" w:cs="宋体"/>
          <w:bCs/>
          <w:color w:val="auto"/>
          <w:sz w:val="24"/>
          <w:highlight w:val="none"/>
        </w:rPr>
        <w:t>31.10投标服务的</w:t>
      </w:r>
      <w:r>
        <w:rPr>
          <w:rFonts w:hint="eastAsia" w:ascii="宋体" w:hAnsi="宋体" w:cs="宋体"/>
          <w:bCs/>
          <w:snapToGrid w:val="0"/>
          <w:color w:val="auto"/>
          <w:sz w:val="24"/>
          <w:highlight w:val="none"/>
        </w:rPr>
        <w:t>技术规范、技术标准明显不符合国家强制性要求的；</w:t>
      </w:r>
    </w:p>
    <w:p w14:paraId="286F7D82">
      <w:pPr>
        <w:spacing w:line="44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31.11投标服务载明的验收标准和方法等不符合国家规定及招标文件要求的；</w:t>
      </w:r>
    </w:p>
    <w:p w14:paraId="2FE67D11">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31.12投标文件字迹模糊辨认不清的（评标委员会一致认为难以确认）；</w:t>
      </w:r>
    </w:p>
    <w:p w14:paraId="3DD28050">
      <w:pPr>
        <w:spacing w:line="440" w:lineRule="exact"/>
        <w:ind w:firstLine="480" w:firstLineChars="200"/>
        <w:rPr>
          <w:rFonts w:ascii="宋体" w:hAnsi="宋体" w:cs="宋体"/>
          <w:bCs/>
          <w:color w:val="auto"/>
          <w:kern w:val="0"/>
          <w:sz w:val="24"/>
          <w:highlight w:val="none"/>
        </w:rPr>
      </w:pPr>
      <w:r>
        <w:rPr>
          <w:rFonts w:hint="eastAsia" w:ascii="宋体" w:hAnsi="宋体" w:cs="宋体"/>
          <w:bCs/>
          <w:snapToGrid w:val="0"/>
          <w:color w:val="auto"/>
          <w:sz w:val="24"/>
          <w:highlight w:val="none"/>
        </w:rPr>
        <w:t>31.13</w:t>
      </w:r>
      <w:r>
        <w:rPr>
          <w:rFonts w:hint="eastAsia" w:ascii="宋体" w:hAnsi="宋体" w:cs="宋体"/>
          <w:bCs/>
          <w:color w:val="auto"/>
          <w:kern w:val="0"/>
          <w:sz w:val="24"/>
          <w:highlight w:val="none"/>
        </w:rPr>
        <w:t>提供不真实资料的；</w:t>
      </w:r>
    </w:p>
    <w:p w14:paraId="6B810D54">
      <w:pPr>
        <w:spacing w:line="440" w:lineRule="exact"/>
        <w:ind w:firstLine="480" w:firstLineChars="200"/>
        <w:rPr>
          <w:rFonts w:ascii="宋体" w:hAnsi="宋体" w:cs="宋体"/>
          <w:bCs/>
          <w:color w:val="auto"/>
          <w:sz w:val="24"/>
          <w:highlight w:val="none"/>
        </w:rPr>
      </w:pPr>
      <w:r>
        <w:rPr>
          <w:rFonts w:hint="eastAsia" w:ascii="宋体" w:hAnsi="宋体" w:cs="宋体"/>
          <w:bCs/>
          <w:snapToGrid w:val="0"/>
          <w:color w:val="auto"/>
          <w:sz w:val="24"/>
          <w:highlight w:val="none"/>
        </w:rPr>
        <w:t>31.14</w:t>
      </w:r>
      <w:r>
        <w:rPr>
          <w:rFonts w:hint="eastAsia" w:ascii="宋体" w:hAnsi="宋体" w:cs="宋体"/>
          <w:bCs/>
          <w:color w:val="auto"/>
          <w:sz w:val="24"/>
          <w:highlight w:val="none"/>
        </w:rPr>
        <w:t>投标服务的</w:t>
      </w:r>
      <w:r>
        <w:rPr>
          <w:rFonts w:hint="eastAsia" w:ascii="宋体" w:hAnsi="宋体" w:cs="宋体"/>
          <w:bCs/>
          <w:snapToGrid w:val="0"/>
          <w:color w:val="auto"/>
          <w:sz w:val="24"/>
          <w:highlight w:val="none"/>
        </w:rPr>
        <w:t>技术指标、参数等存在实质性偏离</w:t>
      </w:r>
      <w:r>
        <w:rPr>
          <w:rFonts w:hint="eastAsia" w:ascii="宋体" w:hAnsi="宋体" w:cs="宋体"/>
          <w:bCs/>
          <w:color w:val="auto"/>
          <w:sz w:val="24"/>
          <w:highlight w:val="none"/>
        </w:rPr>
        <w:t>（评标委员会一致认定）</w:t>
      </w:r>
      <w:r>
        <w:rPr>
          <w:rFonts w:hint="eastAsia" w:ascii="宋体" w:hAnsi="宋体" w:cs="宋体"/>
          <w:bCs/>
          <w:snapToGrid w:val="0"/>
          <w:color w:val="auto"/>
          <w:sz w:val="24"/>
          <w:highlight w:val="none"/>
        </w:rPr>
        <w:t>的；</w:t>
      </w:r>
    </w:p>
    <w:p w14:paraId="6ED3839D">
      <w:pPr>
        <w:spacing w:line="44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31.15未满足招标文件中打“</w:t>
      </w:r>
      <w:r>
        <w:rPr>
          <w:rFonts w:hint="eastAsia" w:ascii="宋体" w:hAnsi="宋体" w:cs="宋体"/>
          <w:color w:val="auto"/>
          <w:sz w:val="24"/>
          <w:highlight w:val="none"/>
        </w:rPr>
        <w:t>▲</w:t>
      </w:r>
      <w:r>
        <w:rPr>
          <w:rFonts w:hint="eastAsia" w:ascii="宋体" w:hAnsi="宋体" w:cs="宋体"/>
          <w:bCs/>
          <w:snapToGrid w:val="0"/>
          <w:color w:val="auto"/>
          <w:sz w:val="24"/>
          <w:highlight w:val="none"/>
        </w:rPr>
        <w:t>”条款的；</w:t>
      </w:r>
    </w:p>
    <w:p w14:paraId="365C132A">
      <w:pPr>
        <w:spacing w:line="44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31.16</w:t>
      </w:r>
      <w:r>
        <w:rPr>
          <w:rFonts w:hint="eastAsia" w:ascii="宋体" w:hAnsi="宋体" w:cs="宋体"/>
          <w:bCs/>
          <w:snapToGrid w:val="0"/>
          <w:color w:val="auto"/>
          <w:kern w:val="0"/>
          <w:sz w:val="24"/>
          <w:highlight w:val="none"/>
        </w:rPr>
        <w:t>不符合法律、法规和招标文件规定的其他实质</w:t>
      </w:r>
      <w:r>
        <w:rPr>
          <w:rFonts w:hint="eastAsia" w:ascii="宋体" w:hAnsi="宋体" w:cs="宋体"/>
          <w:bCs/>
          <w:snapToGrid w:val="0"/>
          <w:color w:val="auto"/>
          <w:sz w:val="24"/>
          <w:highlight w:val="none"/>
        </w:rPr>
        <w:t>性要求</w:t>
      </w:r>
      <w:r>
        <w:rPr>
          <w:rFonts w:hint="eastAsia" w:ascii="宋体" w:hAnsi="宋体" w:cs="宋体"/>
          <w:bCs/>
          <w:color w:val="auto"/>
          <w:sz w:val="24"/>
          <w:highlight w:val="none"/>
        </w:rPr>
        <w:t>（评标委员会一致认定）</w:t>
      </w:r>
      <w:r>
        <w:rPr>
          <w:rFonts w:hint="eastAsia" w:ascii="宋体" w:hAnsi="宋体" w:cs="宋体"/>
          <w:bCs/>
          <w:snapToGrid w:val="0"/>
          <w:color w:val="auto"/>
          <w:sz w:val="24"/>
          <w:highlight w:val="none"/>
        </w:rPr>
        <w:t>的；</w:t>
      </w:r>
    </w:p>
    <w:p w14:paraId="1D605F6F">
      <w:pPr>
        <w:spacing w:line="440" w:lineRule="exact"/>
        <w:ind w:firstLine="470" w:firstLineChars="196"/>
        <w:rPr>
          <w:rFonts w:ascii="宋体" w:hAnsi="宋体" w:cs="宋体"/>
          <w:bCs/>
          <w:snapToGrid w:val="0"/>
          <w:color w:val="auto"/>
          <w:sz w:val="24"/>
          <w:highlight w:val="none"/>
        </w:rPr>
      </w:pPr>
      <w:r>
        <w:rPr>
          <w:rFonts w:hint="eastAsia" w:ascii="宋体" w:hAnsi="宋体" w:cs="宋体"/>
          <w:bCs/>
          <w:snapToGrid w:val="0"/>
          <w:color w:val="auto"/>
          <w:sz w:val="24"/>
          <w:highlight w:val="none"/>
        </w:rPr>
        <w:t>31.17二分之一以上的评委认为供应商报价明显高于市场平均价的；</w:t>
      </w:r>
    </w:p>
    <w:p w14:paraId="4880ED36">
      <w:pPr>
        <w:snapToGrid w:val="0"/>
        <w:spacing w:line="460" w:lineRule="exact"/>
        <w:ind w:firstLine="480" w:firstLineChars="200"/>
        <w:rPr>
          <w:rFonts w:ascii="宋体" w:hAnsi="宋体" w:cs="宋体"/>
          <w:bCs/>
          <w:color w:val="auto"/>
          <w:sz w:val="24"/>
          <w:highlight w:val="none"/>
        </w:rPr>
      </w:pPr>
      <w:r>
        <w:rPr>
          <w:rFonts w:hint="eastAsia" w:ascii="宋体" w:hAnsi="宋体" w:cs="宋体"/>
          <w:bCs/>
          <w:snapToGrid w:val="0"/>
          <w:color w:val="auto"/>
          <w:sz w:val="24"/>
          <w:highlight w:val="none"/>
        </w:rPr>
        <w:t>31.18</w:t>
      </w:r>
      <w:r>
        <w:rPr>
          <w:rFonts w:hint="eastAsia" w:ascii="宋体" w:hAnsi="宋体" w:cs="宋体"/>
          <w:bCs/>
          <w:color w:val="auto"/>
          <w:sz w:val="24"/>
          <w:highlight w:val="none"/>
        </w:rPr>
        <w:t>评标委员会认为投标人的报价明显低于其他通过符合性审查投标人的报价，有可能影响产品质量或者不能诚信履约，且不能在评标现场合理的时间内证明其报价合理性的；</w:t>
      </w:r>
    </w:p>
    <w:p w14:paraId="28F6A04C">
      <w:pPr>
        <w:snapToGrid w:val="0"/>
        <w:spacing w:line="460" w:lineRule="exact"/>
        <w:ind w:firstLine="480" w:firstLineChars="200"/>
        <w:rPr>
          <w:rFonts w:ascii="宋体" w:hAnsi="宋体" w:cs="宋体"/>
          <w:bCs/>
          <w:color w:val="auto"/>
          <w:sz w:val="24"/>
          <w:highlight w:val="none"/>
        </w:rPr>
      </w:pPr>
      <w:r>
        <w:rPr>
          <w:rFonts w:hint="eastAsia" w:ascii="宋体" w:hAnsi="宋体" w:cs="宋体"/>
          <w:bCs/>
          <w:snapToGrid w:val="0"/>
          <w:color w:val="auto"/>
          <w:sz w:val="24"/>
          <w:highlight w:val="none"/>
        </w:rPr>
        <w:t>31.19</w:t>
      </w:r>
      <w:r>
        <w:rPr>
          <w:rFonts w:hint="eastAsia" w:ascii="宋体" w:hAnsi="宋体" w:cs="宋体"/>
          <w:bCs/>
          <w:color w:val="auto"/>
          <w:sz w:val="24"/>
          <w:highlight w:val="none"/>
        </w:rPr>
        <w:t>投标文件含有采购人不能接受的附加条件的；</w:t>
      </w:r>
    </w:p>
    <w:p w14:paraId="256A6B0F">
      <w:pPr>
        <w:snapToGrid w:val="0"/>
        <w:spacing w:line="46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31.20</w:t>
      </w:r>
      <w:r>
        <w:rPr>
          <w:rFonts w:hint="eastAsia" w:ascii="宋体" w:hAnsi="宋体" w:cs="宋体"/>
          <w:bCs/>
          <w:color w:val="auto"/>
          <w:sz w:val="24"/>
          <w:highlight w:val="none"/>
        </w:rPr>
        <w:t>投标人被视为串通投标的；</w:t>
      </w:r>
    </w:p>
    <w:p w14:paraId="33FE7550">
      <w:pPr>
        <w:spacing w:line="44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31.21投标产品为进口产品且未经</w:t>
      </w:r>
      <w:r>
        <w:rPr>
          <w:rFonts w:hint="eastAsia" w:ascii="宋体" w:hAnsi="宋体" w:cs="宋体"/>
          <w:bCs/>
          <w:color w:val="auto"/>
          <w:sz w:val="24"/>
          <w:highlight w:val="none"/>
        </w:rPr>
        <w:t>批准</w:t>
      </w:r>
      <w:r>
        <w:rPr>
          <w:rFonts w:hint="eastAsia" w:ascii="宋体" w:hAnsi="宋体" w:cs="宋体"/>
          <w:bCs/>
          <w:snapToGrid w:val="0"/>
          <w:color w:val="auto"/>
          <w:sz w:val="24"/>
          <w:highlight w:val="none"/>
        </w:rPr>
        <w:t>的；</w:t>
      </w:r>
    </w:p>
    <w:p w14:paraId="45483589">
      <w:pPr>
        <w:spacing w:line="40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31.22评标委员会按照规定对投标文件的计算错误进行修正后的报价，投标人不予确认的；</w:t>
      </w:r>
    </w:p>
    <w:p w14:paraId="5BC61AE9">
      <w:pPr>
        <w:spacing w:line="40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31.23招标需求中要求提供的产品属于政府强制采购节能品目的（详见《关于印发节能产品政府采购品目清单的通知》财库〔2019〕19号），投标人未提供认证证书或证书发布平台的投标产品认证证书查询截图的；</w:t>
      </w:r>
    </w:p>
    <w:p w14:paraId="73ACF1D7">
      <w:pPr>
        <w:spacing w:line="400" w:lineRule="exact"/>
        <w:ind w:firstLine="480" w:firstLineChars="200"/>
        <w:rPr>
          <w:rFonts w:ascii="宋体" w:hAnsi="宋体" w:cs="宋体"/>
          <w:bCs/>
          <w:snapToGrid w:val="0"/>
          <w:color w:val="auto"/>
          <w:sz w:val="24"/>
          <w:highlight w:val="none"/>
        </w:rPr>
      </w:pPr>
      <w:r>
        <w:rPr>
          <w:rFonts w:hint="eastAsia" w:ascii="宋体" w:hAnsi="宋体" w:cs="宋体"/>
          <w:bCs/>
          <w:snapToGrid w:val="0"/>
          <w:color w:val="auto"/>
          <w:sz w:val="24"/>
          <w:highlight w:val="none"/>
        </w:rPr>
        <w:t>31.24法律、法规、规章及省级以上规范性文件等规定的其他情形。</w:t>
      </w:r>
    </w:p>
    <w:p w14:paraId="37668CA4">
      <w:pPr>
        <w:spacing w:line="400" w:lineRule="exact"/>
        <w:ind w:firstLine="480" w:firstLineChars="200"/>
        <w:rPr>
          <w:rFonts w:ascii="宋体" w:hAnsi="宋体" w:cs="宋体"/>
          <w:bCs/>
          <w:snapToGrid w:val="0"/>
          <w:color w:val="auto"/>
          <w:sz w:val="24"/>
          <w:highlight w:val="none"/>
        </w:rPr>
      </w:pPr>
    </w:p>
    <w:p w14:paraId="09FB091D">
      <w:pPr>
        <w:numPr>
          <w:ilvl w:val="0"/>
          <w:numId w:val="11"/>
        </w:numPr>
        <w:spacing w:line="400" w:lineRule="exact"/>
        <w:jc w:val="center"/>
        <w:outlineLvl w:val="1"/>
        <w:rPr>
          <w:rFonts w:ascii="宋体" w:hAnsi="宋体" w:cs="宋体"/>
          <w:b/>
          <w:color w:val="auto"/>
          <w:sz w:val="32"/>
          <w:szCs w:val="32"/>
          <w:highlight w:val="none"/>
        </w:rPr>
      </w:pPr>
      <w:bookmarkStart w:id="57" w:name="_Toc36641145"/>
      <w:bookmarkStart w:id="58" w:name="_Toc36454321"/>
      <w:r>
        <w:rPr>
          <w:rFonts w:hint="eastAsia" w:ascii="宋体" w:hAnsi="宋体" w:cs="宋体"/>
          <w:b/>
          <w:color w:val="auto"/>
          <w:sz w:val="32"/>
          <w:szCs w:val="32"/>
          <w:highlight w:val="none"/>
        </w:rPr>
        <w:t>合同的授予</w:t>
      </w:r>
      <w:bookmarkEnd w:id="57"/>
      <w:bookmarkEnd w:id="58"/>
    </w:p>
    <w:p w14:paraId="379A3AC9">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32.授予合同的依据</w:t>
      </w:r>
    </w:p>
    <w:p w14:paraId="5B1537A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32.1采购人和采购代理机构签发的中标通知书；</w:t>
      </w:r>
    </w:p>
    <w:p w14:paraId="605C283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32.2招标文件、招标文件的修改及补充文件；</w:t>
      </w:r>
    </w:p>
    <w:p w14:paraId="1CD2048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32.3投标文件和询标时投标人做出的澄清、说明、纠正、承诺；</w:t>
      </w:r>
    </w:p>
    <w:p w14:paraId="2B25904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32.4《中华人民共和国民法典》的规定。</w:t>
      </w:r>
    </w:p>
    <w:p w14:paraId="4CDF3D54">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33.签署合同的要求</w:t>
      </w:r>
    </w:p>
    <w:p w14:paraId="6A45C87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33.1采购人与中标供应商按照中标通知书的规定时间、地点签订书面合同；</w:t>
      </w:r>
    </w:p>
    <w:p w14:paraId="68C6367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33.2签订合同的时间必须在自中标通知书发出之日起三十日内；</w:t>
      </w:r>
    </w:p>
    <w:p w14:paraId="5439FE6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33.3所签订的合同内容不得对招标文件和中标供应商的投标文件作实质性修改；</w:t>
      </w:r>
    </w:p>
    <w:p w14:paraId="5CADF929">
      <w:pPr>
        <w:spacing w:line="400" w:lineRule="exact"/>
        <w:ind w:left="2" w:leftChars="1" w:firstLine="480" w:firstLineChars="200"/>
        <w:jc w:val="left"/>
        <w:rPr>
          <w:rFonts w:ascii="宋体" w:hAnsi="宋体" w:cs="宋体"/>
          <w:color w:val="auto"/>
          <w:spacing w:val="-4"/>
          <w:sz w:val="24"/>
          <w:highlight w:val="none"/>
        </w:rPr>
      </w:pPr>
      <w:r>
        <w:rPr>
          <w:rFonts w:hint="eastAsia" w:ascii="宋体" w:hAnsi="宋体" w:cs="宋体"/>
          <w:color w:val="auto"/>
          <w:sz w:val="24"/>
          <w:highlight w:val="none"/>
        </w:rPr>
        <w:t>33.4采</w:t>
      </w:r>
      <w:r>
        <w:rPr>
          <w:rFonts w:hint="eastAsia" w:ascii="宋体" w:hAnsi="宋体" w:cs="宋体"/>
          <w:color w:val="auto"/>
          <w:spacing w:val="-4"/>
          <w:sz w:val="24"/>
          <w:highlight w:val="none"/>
        </w:rPr>
        <w:t>购人不得向中标供应商提出任何不合理的要求，作为签订合同的条件，不得与中标供应商私下订立背离合同实质性内容的协议；</w:t>
      </w:r>
    </w:p>
    <w:p w14:paraId="0A84041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33.5自采购合同签订之日起七个工作日内，将采购合同副本送采购代理机构一份备案。</w:t>
      </w:r>
    </w:p>
    <w:p w14:paraId="1EAF2917">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34.中标通知书</w:t>
      </w:r>
    </w:p>
    <w:p w14:paraId="39E864D6">
      <w:pPr>
        <w:spacing w:line="4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34.1确定中标供应商后，采购人和采购代理机构将发出中标通知书，通知中标的投标人其投标被接受。</w:t>
      </w:r>
    </w:p>
    <w:p w14:paraId="5DE3F9B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34.2中标通知书为双方签订合同的依据；</w:t>
      </w:r>
    </w:p>
    <w:p w14:paraId="25FBBCF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34.3中标供应商应根据中标通知书中规定的时间内，由法定代表人或其授权代理人与采购人签订合同。</w:t>
      </w:r>
    </w:p>
    <w:p w14:paraId="35A5C0E4">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35.履约保证金</w:t>
      </w:r>
    </w:p>
    <w:p w14:paraId="0C82051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本项目不收取履约保证金</w:t>
      </w:r>
    </w:p>
    <w:p w14:paraId="396EF547">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36.合同签订</w:t>
      </w:r>
    </w:p>
    <w:p w14:paraId="2EBE3BEF">
      <w:pPr>
        <w:spacing w:line="400" w:lineRule="exact"/>
        <w:ind w:firstLine="500"/>
        <w:rPr>
          <w:rFonts w:ascii="宋体" w:hAnsi="宋体" w:cs="宋体"/>
          <w:color w:val="auto"/>
          <w:sz w:val="24"/>
          <w:highlight w:val="none"/>
        </w:rPr>
      </w:pPr>
      <w:r>
        <w:rPr>
          <w:rFonts w:hint="eastAsia" w:ascii="宋体" w:hAnsi="宋体" w:cs="宋体"/>
          <w:color w:val="auto"/>
          <w:sz w:val="24"/>
          <w:highlight w:val="none"/>
        </w:rPr>
        <w:t>36.1</w:t>
      </w:r>
      <w:r>
        <w:rPr>
          <w:rFonts w:hint="eastAsia" w:ascii="宋体" w:hAnsi="宋体" w:cs="宋体"/>
          <w:snapToGrid w:val="0"/>
          <w:color w:val="auto"/>
          <w:sz w:val="24"/>
          <w:highlight w:val="none"/>
        </w:rPr>
        <w:t>采购人与中标供应商将根据《中华人民共和国</w:t>
      </w:r>
      <w:r>
        <w:rPr>
          <w:rFonts w:hint="eastAsia" w:ascii="宋体" w:hAnsi="宋体" w:cs="宋体"/>
          <w:color w:val="auto"/>
          <w:sz w:val="24"/>
          <w:highlight w:val="none"/>
        </w:rPr>
        <w:t>民法典</w:t>
      </w:r>
      <w:r>
        <w:rPr>
          <w:rFonts w:hint="eastAsia" w:ascii="宋体" w:hAnsi="宋体" w:cs="宋体"/>
          <w:snapToGrid w:val="0"/>
          <w:color w:val="auto"/>
          <w:sz w:val="24"/>
          <w:highlight w:val="none"/>
        </w:rPr>
        <w:t>》的规定，依据招标文件和中标供应商的投标文件签订书面合同。</w:t>
      </w:r>
    </w:p>
    <w:p w14:paraId="17D5557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 采购人如不与中标供应商订立合同，或者采购人、中标供应商订立背离合同实质性内容的协议，由政府有关部门责令改正，同时依法承担相应法律责任；</w:t>
      </w:r>
    </w:p>
    <w:p w14:paraId="7A05E6C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36.3中标供应商如不按规定与采购人订立合同，则采购人废除授标，给采购人造成损失的还应当予以赔偿，同时依法承担相应法律责任。</w:t>
      </w:r>
    </w:p>
    <w:p w14:paraId="3C520167">
      <w:pPr>
        <w:spacing w:line="400" w:lineRule="exact"/>
        <w:ind w:firstLine="500"/>
        <w:rPr>
          <w:rFonts w:ascii="宋体" w:hAnsi="宋体" w:cs="宋体"/>
          <w:color w:val="auto"/>
          <w:sz w:val="24"/>
          <w:highlight w:val="none"/>
        </w:rPr>
      </w:pPr>
      <w:r>
        <w:rPr>
          <w:rFonts w:hint="eastAsia" w:ascii="宋体" w:hAnsi="宋体" w:cs="宋体"/>
          <w:color w:val="auto"/>
          <w:sz w:val="24"/>
          <w:highlight w:val="none"/>
        </w:rPr>
        <w:t>36.4 中标供应商应当按照合同约定履行义务，完成中标项目各项工作，不得将中标项目违法转让（转包）给他人；</w:t>
      </w:r>
    </w:p>
    <w:p w14:paraId="294708DA">
      <w:pPr>
        <w:spacing w:line="400" w:lineRule="exact"/>
        <w:ind w:firstLine="500"/>
        <w:rPr>
          <w:rFonts w:ascii="宋体" w:hAnsi="宋体" w:cs="宋体"/>
          <w:color w:val="auto"/>
          <w:sz w:val="24"/>
          <w:highlight w:val="none"/>
        </w:rPr>
      </w:pPr>
      <w:r>
        <w:rPr>
          <w:rFonts w:hint="eastAsia" w:ascii="宋体" w:hAnsi="宋体" w:cs="宋体"/>
          <w:color w:val="auto"/>
          <w:sz w:val="24"/>
          <w:highlight w:val="none"/>
        </w:rPr>
        <w:t>36.5如果中标供应商未能遵守本须知第34.3条的规定，则可取消其中标资格。</w:t>
      </w:r>
    </w:p>
    <w:p w14:paraId="4182F828">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37.“绿贷通”、“政采贷”</w:t>
      </w:r>
    </w:p>
    <w:p w14:paraId="460AF66D">
      <w:pPr>
        <w:spacing w:line="400" w:lineRule="exact"/>
        <w:ind w:firstLine="500"/>
        <w:rPr>
          <w:rFonts w:ascii="宋体" w:hAnsi="宋体" w:cs="宋体"/>
          <w:color w:val="auto"/>
          <w:sz w:val="24"/>
          <w:highlight w:val="none"/>
        </w:rPr>
      </w:pPr>
      <w:r>
        <w:rPr>
          <w:rFonts w:hint="eastAsia" w:ascii="宋体" w:hAnsi="宋体" w:cs="宋体"/>
          <w:color w:val="auto"/>
          <w:sz w:val="24"/>
          <w:highlight w:val="none"/>
        </w:rPr>
        <w:t>为有效破解当前中中小企业面临的“融资难、融资贵”困局，充分发挥好政府采购扶持中小企业发展的政策功能，本项目中标供应商可凭中标通知书等材料至“绿贷通平台”网页（</w:t>
      </w:r>
      <w:r>
        <w:rPr>
          <w:rFonts w:hint="eastAsia" w:ascii="宋体" w:hAnsi="宋体" w:cs="宋体"/>
          <w:color w:val="auto"/>
          <w:kern w:val="0"/>
          <w:sz w:val="24"/>
          <w:highlight w:val="none"/>
        </w:rPr>
        <w:t>https://lvdt.huzldt.com</w:t>
      </w:r>
      <w:r>
        <w:rPr>
          <w:rFonts w:hint="eastAsia" w:ascii="宋体" w:hAnsi="宋体" w:cs="宋体"/>
          <w:color w:val="auto"/>
          <w:sz w:val="24"/>
          <w:highlight w:val="none"/>
        </w:rPr>
        <w:t>）或“政采贷”平台网页（www.zcygov.cn）申请相关融资产品。具体操作方式可在“绿贷通”或“政采贷”平台网站查询，也可向“绿贷通”或“政采贷”平台电话咨询（“绿贷通”联系电话：0572-2392590、“政采贷”联系电话：0572-2151055、18698580797）。</w:t>
      </w:r>
    </w:p>
    <w:p w14:paraId="69DA9024">
      <w:pPr>
        <w:pStyle w:val="2"/>
        <w:ind w:firstLine="280"/>
        <w:rPr>
          <w:rFonts w:ascii="宋体" w:hAnsi="宋体" w:cs="宋体"/>
          <w:color w:val="auto"/>
          <w:highlight w:val="none"/>
        </w:rPr>
      </w:pPr>
    </w:p>
    <w:p w14:paraId="5A755825">
      <w:pPr>
        <w:numPr>
          <w:ilvl w:val="0"/>
          <w:numId w:val="11"/>
        </w:numPr>
        <w:spacing w:line="400" w:lineRule="exact"/>
        <w:jc w:val="center"/>
        <w:outlineLvl w:val="1"/>
        <w:rPr>
          <w:rFonts w:ascii="宋体" w:hAnsi="宋体" w:cs="宋体"/>
          <w:b/>
          <w:color w:val="auto"/>
          <w:sz w:val="32"/>
          <w:szCs w:val="32"/>
          <w:highlight w:val="none"/>
        </w:rPr>
      </w:pPr>
      <w:bookmarkStart w:id="59" w:name="_Toc36641146"/>
      <w:bookmarkStart w:id="60" w:name="_Toc36454322"/>
      <w:r>
        <w:rPr>
          <w:rFonts w:hint="eastAsia" w:ascii="宋体" w:hAnsi="宋体" w:cs="宋体"/>
          <w:b/>
          <w:color w:val="auto"/>
          <w:sz w:val="32"/>
          <w:szCs w:val="32"/>
          <w:highlight w:val="none"/>
        </w:rPr>
        <w:t>质疑</w:t>
      </w:r>
      <w:bookmarkEnd w:id="59"/>
      <w:bookmarkEnd w:id="60"/>
    </w:p>
    <w:p w14:paraId="3D02B9C7">
      <w:pPr>
        <w:spacing w:line="400" w:lineRule="exact"/>
        <w:rPr>
          <w:rFonts w:ascii="宋体" w:hAnsi="宋体" w:cs="宋体"/>
          <w:b/>
          <w:color w:val="auto"/>
          <w:sz w:val="24"/>
          <w:highlight w:val="none"/>
        </w:rPr>
      </w:pPr>
      <w:r>
        <w:rPr>
          <w:rFonts w:hint="eastAsia" w:ascii="宋体" w:hAnsi="宋体" w:cs="宋体"/>
          <w:b/>
          <w:color w:val="auto"/>
          <w:sz w:val="24"/>
          <w:highlight w:val="none"/>
        </w:rPr>
        <w:t>38.质疑</w:t>
      </w:r>
    </w:p>
    <w:p w14:paraId="5A9AE865">
      <w:pPr>
        <w:spacing w:line="400" w:lineRule="exact"/>
        <w:ind w:firstLine="499"/>
        <w:rPr>
          <w:rFonts w:ascii="宋体" w:hAnsi="宋体" w:cs="宋体"/>
          <w:color w:val="auto"/>
          <w:sz w:val="24"/>
          <w:highlight w:val="none"/>
        </w:rPr>
      </w:pPr>
      <w:r>
        <w:rPr>
          <w:rFonts w:hint="eastAsia" w:ascii="宋体" w:hAnsi="宋体" w:cs="宋体"/>
          <w:color w:val="auto"/>
          <w:sz w:val="24"/>
          <w:highlight w:val="none"/>
        </w:rPr>
        <w:t>38.1 供应商认为招标文件、采购过程、中标或者成交结果使自己的权益受到损害的，可以在知道或者应知其权益受到损害之日起7个工作日内，以书面形式向采购人或采购代理机构提出质疑。</w:t>
      </w:r>
    </w:p>
    <w:p w14:paraId="5F841CF5">
      <w:pPr>
        <w:spacing w:line="400" w:lineRule="exact"/>
        <w:ind w:firstLine="500"/>
        <w:rPr>
          <w:rFonts w:ascii="宋体" w:hAnsi="宋体" w:cs="宋体"/>
          <w:color w:val="auto"/>
          <w:sz w:val="24"/>
          <w:highlight w:val="none"/>
        </w:rPr>
      </w:pPr>
      <w:r>
        <w:rPr>
          <w:rFonts w:hint="eastAsia" w:ascii="宋体" w:hAnsi="宋体" w:cs="宋体"/>
          <w:color w:val="auto"/>
          <w:sz w:val="24"/>
          <w:highlight w:val="none"/>
        </w:rPr>
        <w:t>38.2对招标文件第二章招标需求的质疑由采购人接收并负责答复，其他质疑由采购代理机构接收并负责答复。</w:t>
      </w:r>
    </w:p>
    <w:p w14:paraId="33040D9F">
      <w:pPr>
        <w:spacing w:line="400" w:lineRule="exact"/>
        <w:ind w:firstLine="500"/>
        <w:rPr>
          <w:rFonts w:ascii="宋体" w:hAnsi="宋体" w:cs="宋体"/>
          <w:color w:val="auto"/>
          <w:sz w:val="24"/>
          <w:highlight w:val="none"/>
        </w:rPr>
      </w:pPr>
      <w:r>
        <w:rPr>
          <w:rFonts w:hint="eastAsia" w:ascii="宋体" w:hAnsi="宋体" w:cs="宋体"/>
          <w:color w:val="auto"/>
          <w:sz w:val="24"/>
          <w:highlight w:val="none"/>
        </w:rPr>
        <w:t>38.3 供应商须在法定质疑期内一次性提出针对同一采购程序环节的质疑，否则采购人或采购代理机构有权拒绝第一次质疑以外其他所有质疑。</w:t>
      </w:r>
    </w:p>
    <w:p w14:paraId="68515662">
      <w:pPr>
        <w:spacing w:line="400" w:lineRule="exact"/>
        <w:ind w:firstLine="500"/>
        <w:rPr>
          <w:rFonts w:ascii="宋体" w:hAnsi="宋体" w:cs="宋体"/>
          <w:color w:val="auto"/>
          <w:sz w:val="24"/>
          <w:highlight w:val="none"/>
        </w:rPr>
      </w:pPr>
      <w:r>
        <w:rPr>
          <w:rFonts w:hint="eastAsia" w:ascii="宋体" w:hAnsi="宋体" w:cs="宋体"/>
          <w:color w:val="auto"/>
          <w:sz w:val="24"/>
          <w:highlight w:val="none"/>
        </w:rPr>
        <w:t>38.4质疑人可以采取直接递交、传真或邮寄方式提交质疑函。以其他方式提出的质疑，采购人或采购代理机构将不予接受。</w:t>
      </w:r>
    </w:p>
    <w:p w14:paraId="6026A8C7">
      <w:pPr>
        <w:spacing w:line="400" w:lineRule="exact"/>
        <w:ind w:firstLine="500"/>
        <w:rPr>
          <w:rFonts w:ascii="宋体" w:hAnsi="宋体" w:cs="宋体"/>
          <w:color w:val="auto"/>
          <w:sz w:val="24"/>
          <w:highlight w:val="none"/>
        </w:rPr>
      </w:pPr>
      <w:r>
        <w:rPr>
          <w:rFonts w:hint="eastAsia" w:ascii="宋体" w:hAnsi="宋体" w:cs="宋体"/>
          <w:color w:val="auto"/>
          <w:sz w:val="24"/>
          <w:highlight w:val="none"/>
        </w:rPr>
        <w:t>以传真方式送达质疑函的，质疑人应当及时将质疑函原件送达采购人或采购代理机构。</w:t>
      </w:r>
    </w:p>
    <w:p w14:paraId="3CF80DFB">
      <w:pPr>
        <w:spacing w:line="400" w:lineRule="exact"/>
        <w:ind w:firstLine="500"/>
        <w:rPr>
          <w:rFonts w:ascii="宋体" w:hAnsi="宋体" w:cs="宋体"/>
          <w:color w:val="auto"/>
          <w:highlight w:val="none"/>
        </w:rPr>
      </w:pPr>
      <w:r>
        <w:rPr>
          <w:rFonts w:hint="eastAsia" w:ascii="宋体" w:hAnsi="宋体" w:cs="宋体"/>
          <w:color w:val="auto"/>
          <w:sz w:val="24"/>
          <w:highlight w:val="none"/>
        </w:rPr>
        <w:t>38.5质疑函须采用财政部发布的政府采购供应商质疑函范本</w:t>
      </w:r>
      <w:r>
        <w:rPr>
          <w:rFonts w:hint="eastAsia" w:ascii="宋体" w:hAnsi="宋体" w:cs="宋体"/>
          <w:snapToGrid w:val="0"/>
          <w:color w:val="auto"/>
          <w:sz w:val="24"/>
          <w:highlight w:val="none"/>
        </w:rPr>
        <w:t>（参考样式可从</w:t>
      </w:r>
      <w:r>
        <w:rPr>
          <w:rFonts w:hint="eastAsia" w:ascii="宋体" w:hAnsi="宋体" w:cs="宋体"/>
          <w:color w:val="auto"/>
          <w:kern w:val="0"/>
          <w:sz w:val="24"/>
          <w:highlight w:val="none"/>
        </w:rPr>
        <w:t>“湖州市公共资源交易信息网-&gt;资料下载-&gt;采购资料下载”栏目下载）</w:t>
      </w:r>
      <w:r>
        <w:rPr>
          <w:rFonts w:hint="eastAsia" w:ascii="宋体" w:hAnsi="宋体" w:cs="宋体"/>
          <w:color w:val="auto"/>
          <w:sz w:val="24"/>
          <w:highlight w:val="none"/>
        </w:rPr>
        <w:t>，否则采购人或采购代理机构有权要求质疑人修改正后重新提出。</w:t>
      </w:r>
    </w:p>
    <w:p w14:paraId="0B273E59">
      <w:pPr>
        <w:kinsoku w:val="0"/>
        <w:overflowPunct w:val="0"/>
        <w:spacing w:before="26" w:after="120" w:line="400" w:lineRule="exact"/>
        <w:ind w:right="102"/>
        <w:rPr>
          <w:rFonts w:ascii="宋体" w:hAnsi="宋体" w:cs="宋体"/>
          <w:color w:val="auto"/>
          <w:sz w:val="24"/>
          <w:highlight w:val="none"/>
        </w:rPr>
      </w:pPr>
    </w:p>
    <w:p w14:paraId="26CFC5CC">
      <w:pPr>
        <w:numPr>
          <w:ilvl w:val="0"/>
          <w:numId w:val="11"/>
        </w:numPr>
        <w:spacing w:line="400" w:lineRule="exac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履约验收</w:t>
      </w:r>
    </w:p>
    <w:p w14:paraId="2613E410">
      <w:pPr>
        <w:adjustRightInd w:val="0"/>
        <w:snapToGrid w:val="0"/>
        <w:spacing w:line="400" w:lineRule="exact"/>
        <w:ind w:firstLine="420"/>
        <w:rPr>
          <w:rFonts w:ascii="宋体" w:hAnsi="宋体" w:cs="宋体"/>
          <w:color w:val="auto"/>
          <w:highlight w:val="none"/>
        </w:rPr>
        <w:sectPr>
          <w:footerReference r:id="rId11" w:type="first"/>
          <w:headerReference r:id="rId7" w:type="default"/>
          <w:footerReference r:id="rId9" w:type="default"/>
          <w:headerReference r:id="rId8" w:type="even"/>
          <w:footerReference r:id="rId10" w:type="even"/>
          <w:pgSz w:w="11906" w:h="16838"/>
          <w:pgMar w:top="1440" w:right="1701" w:bottom="1440" w:left="1701" w:header="851" w:footer="992" w:gutter="0"/>
          <w:cols w:space="720" w:num="1"/>
          <w:titlePg/>
          <w:docGrid w:type="linesAndChars" w:linePitch="312" w:charSpace="0"/>
        </w:sectPr>
      </w:pPr>
      <w:r>
        <w:rPr>
          <w:rFonts w:hint="eastAsia" w:ascii="宋体" w:hAnsi="宋体" w:cs="宋体"/>
          <w:color w:val="auto"/>
          <w:sz w:val="24"/>
          <w:highlight w:val="none"/>
        </w:rPr>
        <w:t>39.本项目采购人或其委托的采购代理机构将严格按照政府采购相关法律法规）的要求进行验收。</w:t>
      </w:r>
    </w:p>
    <w:p w14:paraId="1A55F8F2">
      <w:pPr>
        <w:spacing w:line="480" w:lineRule="exact"/>
        <w:jc w:val="center"/>
        <w:rPr>
          <w:rFonts w:ascii="宋体" w:hAnsi="宋体" w:cs="宋体"/>
          <w:b/>
          <w:color w:val="auto"/>
          <w:sz w:val="36"/>
          <w:szCs w:val="36"/>
          <w:highlight w:val="none"/>
        </w:rPr>
      </w:pPr>
      <w:bookmarkStart w:id="61" w:name="_Toc11931"/>
      <w:r>
        <w:rPr>
          <w:rFonts w:hint="eastAsia" w:ascii="宋体" w:hAnsi="宋体" w:cs="宋体"/>
          <w:b/>
          <w:color w:val="auto"/>
          <w:sz w:val="36"/>
          <w:szCs w:val="36"/>
          <w:highlight w:val="none"/>
        </w:rPr>
        <w:t>第二章 采购需求</w:t>
      </w:r>
    </w:p>
    <w:p w14:paraId="6411BA13">
      <w:pPr>
        <w:spacing w:line="480" w:lineRule="exact"/>
        <w:rPr>
          <w:rFonts w:ascii="宋体" w:hAnsi="宋体" w:cs="宋体"/>
          <w:color w:val="auto"/>
          <w:sz w:val="24"/>
          <w:highlight w:val="none"/>
        </w:rPr>
      </w:pPr>
      <w:r>
        <w:rPr>
          <w:rFonts w:hint="eastAsia" w:ascii="宋体" w:hAnsi="宋体" w:cs="宋体"/>
          <w:b/>
          <w:bCs/>
          <w:color w:val="auto"/>
          <w:sz w:val="24"/>
          <w:highlight w:val="none"/>
        </w:rPr>
        <w:t>一、项目名称：</w:t>
      </w:r>
      <w:r>
        <w:rPr>
          <w:rFonts w:hint="eastAsia" w:ascii="宋体" w:hAnsi="宋体" w:cs="宋体"/>
          <w:color w:val="auto"/>
          <w:sz w:val="24"/>
          <w:highlight w:val="none"/>
        </w:rPr>
        <w:t>2024年滨湖街道城市小区生活垃圾精准分类项目</w:t>
      </w:r>
    </w:p>
    <w:p w14:paraId="03D41919">
      <w:pPr>
        <w:spacing w:line="480" w:lineRule="exact"/>
        <w:rPr>
          <w:rFonts w:ascii="宋体" w:hAnsi="宋体" w:cs="宋体"/>
          <w:color w:val="auto"/>
          <w:sz w:val="24"/>
          <w:highlight w:val="none"/>
        </w:rPr>
      </w:pPr>
      <w:r>
        <w:rPr>
          <w:rFonts w:hint="eastAsia" w:ascii="宋体" w:hAnsi="宋体" w:cs="宋体"/>
          <w:b/>
          <w:bCs/>
          <w:color w:val="auto"/>
          <w:sz w:val="24"/>
          <w:highlight w:val="none"/>
        </w:rPr>
        <w:t>二、采购单位：</w:t>
      </w:r>
      <w:r>
        <w:rPr>
          <w:rFonts w:hint="eastAsia" w:ascii="宋体" w:hAnsi="宋体" w:cs="宋体"/>
          <w:color w:val="auto"/>
          <w:sz w:val="24"/>
          <w:highlight w:val="none"/>
        </w:rPr>
        <w:t>湖州市人民政府滨湖街道办事处</w:t>
      </w:r>
    </w:p>
    <w:p w14:paraId="0003A618">
      <w:pPr>
        <w:spacing w:line="480" w:lineRule="exact"/>
        <w:rPr>
          <w:rFonts w:ascii="宋体" w:hAnsi="宋体" w:cs="宋体"/>
          <w:b/>
          <w:bCs/>
          <w:color w:val="auto"/>
          <w:sz w:val="24"/>
          <w:highlight w:val="none"/>
        </w:rPr>
      </w:pPr>
      <w:r>
        <w:rPr>
          <w:rFonts w:hint="eastAsia" w:ascii="宋体" w:hAnsi="宋体" w:cs="宋体"/>
          <w:b/>
          <w:bCs/>
          <w:color w:val="auto"/>
          <w:sz w:val="24"/>
          <w:highlight w:val="none"/>
        </w:rPr>
        <w:t>三、项目预算：</w:t>
      </w:r>
    </w:p>
    <w:p w14:paraId="27D224C1">
      <w:pPr>
        <w:spacing w:line="480" w:lineRule="exact"/>
        <w:rPr>
          <w:rFonts w:ascii="宋体" w:hAnsi="宋体" w:cs="宋体"/>
          <w:color w:val="auto"/>
          <w:sz w:val="24"/>
          <w:highlight w:val="none"/>
        </w:rPr>
      </w:pPr>
      <w:r>
        <w:rPr>
          <w:rFonts w:hint="eastAsia" w:ascii="宋体" w:hAnsi="宋体" w:cs="宋体"/>
          <w:color w:val="auto"/>
          <w:sz w:val="24"/>
          <w:highlight w:val="none"/>
        </w:rPr>
        <w:t>标项一：2890180元（50元/户/年+30000元/站点/年或310元/户/年，预算常住户数合计7722户）</w:t>
      </w:r>
    </w:p>
    <w:p w14:paraId="708540EE">
      <w:pPr>
        <w:spacing w:line="480" w:lineRule="exact"/>
        <w:rPr>
          <w:rFonts w:ascii="宋体" w:hAnsi="宋体" w:cs="宋体"/>
          <w:color w:val="auto"/>
          <w:sz w:val="24"/>
          <w:highlight w:val="none"/>
        </w:rPr>
      </w:pPr>
      <w:r>
        <w:rPr>
          <w:rFonts w:hint="eastAsia" w:ascii="宋体" w:hAnsi="宋体" w:cs="宋体"/>
          <w:color w:val="auto"/>
          <w:sz w:val="24"/>
          <w:highlight w:val="none"/>
        </w:rPr>
        <w:t>标项二：1771010元（50元/户/年+30000元/站点/年或310元/户/年，预算常住户数合计4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01户）</w:t>
      </w:r>
    </w:p>
    <w:p w14:paraId="7DDFB2E6">
      <w:pPr>
        <w:pStyle w:val="11"/>
        <w:numPr>
          <w:ilvl w:val="0"/>
          <w:numId w:val="14"/>
        </w:numPr>
        <w:tabs>
          <w:tab w:val="left" w:pos="8100"/>
        </w:tabs>
        <w:spacing w:line="480" w:lineRule="exact"/>
        <w:outlineLvl w:val="1"/>
        <w:rPr>
          <w:rFonts w:hAnsi="宋体" w:cs="宋体"/>
          <w:b/>
          <w:color w:val="auto"/>
          <w:sz w:val="24"/>
          <w:szCs w:val="24"/>
          <w:highlight w:val="none"/>
        </w:rPr>
      </w:pPr>
      <w:r>
        <w:rPr>
          <w:rFonts w:hint="eastAsia" w:hAnsi="宋体" w:cs="宋体"/>
          <w:b/>
          <w:color w:val="auto"/>
          <w:sz w:val="24"/>
          <w:szCs w:val="24"/>
          <w:highlight w:val="none"/>
        </w:rPr>
        <w:t>服务内容及要求：</w:t>
      </w:r>
    </w:p>
    <w:p w14:paraId="7EA26209">
      <w:pPr>
        <w:pStyle w:val="11"/>
        <w:tabs>
          <w:tab w:val="left" w:pos="8100"/>
        </w:tabs>
        <w:spacing w:line="480" w:lineRule="exact"/>
        <w:outlineLvl w:val="1"/>
        <w:rPr>
          <w:rFonts w:hAnsi="宋体" w:cs="宋体"/>
          <w:b/>
          <w:color w:val="auto"/>
          <w:sz w:val="24"/>
          <w:szCs w:val="24"/>
          <w:highlight w:val="none"/>
        </w:rPr>
      </w:pPr>
      <w:r>
        <w:rPr>
          <w:rFonts w:hint="eastAsia" w:hAnsi="宋体" w:cs="宋体"/>
          <w:b/>
          <w:color w:val="auto"/>
          <w:sz w:val="24"/>
          <w:szCs w:val="24"/>
          <w:highlight w:val="none"/>
        </w:rPr>
        <w:t>标项一：</w:t>
      </w:r>
    </w:p>
    <w:p w14:paraId="27C356C5">
      <w:pPr>
        <w:pStyle w:val="11"/>
        <w:tabs>
          <w:tab w:val="left" w:pos="8100"/>
        </w:tabs>
        <w:spacing w:line="480" w:lineRule="exact"/>
        <w:outlineLvl w:val="1"/>
        <w:rPr>
          <w:rFonts w:hAnsi="宋体" w:cs="宋体"/>
          <w:b/>
          <w:color w:val="auto"/>
          <w:sz w:val="24"/>
          <w:szCs w:val="24"/>
          <w:highlight w:val="none"/>
        </w:rPr>
      </w:pPr>
      <w:r>
        <w:rPr>
          <w:rFonts w:hint="eastAsia" w:hAnsi="宋体" w:cs="宋体"/>
          <w:b/>
          <w:color w:val="auto"/>
          <w:sz w:val="24"/>
          <w:szCs w:val="24"/>
          <w:highlight w:val="none"/>
        </w:rPr>
        <w:t>（一）居民小区生活垃圾分类情况</w:t>
      </w:r>
    </w:p>
    <w:tbl>
      <w:tblPr>
        <w:tblStyle w:val="22"/>
        <w:tblW w:w="10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526"/>
        <w:gridCol w:w="1526"/>
        <w:gridCol w:w="957"/>
        <w:gridCol w:w="990"/>
        <w:gridCol w:w="825"/>
        <w:gridCol w:w="2273"/>
        <w:gridCol w:w="1211"/>
      </w:tblGrid>
      <w:tr w14:paraId="3CBF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29" w:type="dxa"/>
            <w:vAlign w:val="center"/>
          </w:tcPr>
          <w:p w14:paraId="2D8A50D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526" w:type="dxa"/>
            <w:vAlign w:val="center"/>
          </w:tcPr>
          <w:p w14:paraId="2F222C38">
            <w:pPr>
              <w:jc w:val="center"/>
              <w:rPr>
                <w:rFonts w:ascii="宋体" w:hAnsi="宋体" w:cs="宋体"/>
                <w:b/>
                <w:bCs/>
                <w:color w:val="auto"/>
                <w:sz w:val="24"/>
                <w:highlight w:val="none"/>
              </w:rPr>
            </w:pPr>
            <w:r>
              <w:rPr>
                <w:rFonts w:hint="eastAsia" w:ascii="宋体" w:hAnsi="宋体" w:cs="宋体"/>
                <w:b/>
                <w:bCs/>
                <w:color w:val="auto"/>
                <w:sz w:val="24"/>
                <w:highlight w:val="none"/>
              </w:rPr>
              <w:t>所属社区</w:t>
            </w:r>
          </w:p>
        </w:tc>
        <w:tc>
          <w:tcPr>
            <w:tcW w:w="1526" w:type="dxa"/>
            <w:vAlign w:val="center"/>
          </w:tcPr>
          <w:p w14:paraId="02B0D220">
            <w:pPr>
              <w:jc w:val="center"/>
              <w:rPr>
                <w:rFonts w:ascii="宋体" w:hAnsi="宋体" w:cs="宋体"/>
                <w:b/>
                <w:bCs/>
                <w:color w:val="auto"/>
                <w:sz w:val="24"/>
                <w:highlight w:val="none"/>
              </w:rPr>
            </w:pPr>
            <w:r>
              <w:rPr>
                <w:rFonts w:hint="eastAsia" w:ascii="宋体" w:hAnsi="宋体" w:cs="宋体"/>
                <w:b/>
                <w:bCs/>
                <w:color w:val="auto"/>
                <w:sz w:val="24"/>
                <w:highlight w:val="none"/>
              </w:rPr>
              <w:t>小区名称</w:t>
            </w:r>
          </w:p>
        </w:tc>
        <w:tc>
          <w:tcPr>
            <w:tcW w:w="957" w:type="dxa"/>
            <w:vAlign w:val="center"/>
          </w:tcPr>
          <w:p w14:paraId="454075FF">
            <w:pPr>
              <w:jc w:val="center"/>
              <w:rPr>
                <w:rFonts w:ascii="宋体" w:hAnsi="宋体" w:cs="宋体"/>
                <w:b/>
                <w:bCs/>
                <w:color w:val="auto"/>
                <w:sz w:val="24"/>
                <w:highlight w:val="none"/>
              </w:rPr>
            </w:pPr>
            <w:r>
              <w:rPr>
                <w:rFonts w:hint="eastAsia" w:ascii="宋体" w:hAnsi="宋体" w:cs="宋体"/>
                <w:b/>
                <w:bCs/>
                <w:color w:val="auto"/>
                <w:sz w:val="24"/>
                <w:highlight w:val="none"/>
              </w:rPr>
              <w:t>建成户数</w:t>
            </w:r>
          </w:p>
        </w:tc>
        <w:tc>
          <w:tcPr>
            <w:tcW w:w="990" w:type="dxa"/>
            <w:vAlign w:val="center"/>
          </w:tcPr>
          <w:p w14:paraId="272E30FA">
            <w:pPr>
              <w:jc w:val="center"/>
              <w:rPr>
                <w:rFonts w:ascii="宋体" w:hAnsi="宋体" w:cs="宋体"/>
                <w:b/>
                <w:bCs/>
                <w:color w:val="auto"/>
                <w:sz w:val="24"/>
                <w:highlight w:val="none"/>
              </w:rPr>
            </w:pPr>
            <w:r>
              <w:rPr>
                <w:rFonts w:hint="eastAsia" w:ascii="宋体" w:hAnsi="宋体" w:cs="宋体"/>
                <w:b/>
                <w:bCs/>
                <w:color w:val="auto"/>
                <w:sz w:val="24"/>
                <w:highlight w:val="none"/>
              </w:rPr>
              <w:t>常住户数</w:t>
            </w:r>
          </w:p>
        </w:tc>
        <w:tc>
          <w:tcPr>
            <w:tcW w:w="825" w:type="dxa"/>
            <w:vAlign w:val="center"/>
          </w:tcPr>
          <w:p w14:paraId="38F9903C">
            <w:pPr>
              <w:jc w:val="center"/>
              <w:rPr>
                <w:rFonts w:ascii="宋体" w:hAnsi="宋体" w:cs="宋体"/>
                <w:b/>
                <w:bCs/>
                <w:color w:val="auto"/>
                <w:sz w:val="24"/>
                <w:highlight w:val="none"/>
              </w:rPr>
            </w:pPr>
            <w:r>
              <w:rPr>
                <w:rFonts w:hint="eastAsia" w:ascii="宋体" w:hAnsi="宋体" w:cs="宋体"/>
                <w:b/>
                <w:bCs/>
                <w:color w:val="auto"/>
                <w:sz w:val="24"/>
                <w:highlight w:val="none"/>
              </w:rPr>
              <w:t>点位</w:t>
            </w:r>
          </w:p>
        </w:tc>
        <w:tc>
          <w:tcPr>
            <w:tcW w:w="2273" w:type="dxa"/>
            <w:vAlign w:val="center"/>
          </w:tcPr>
          <w:p w14:paraId="1B4EAFA6">
            <w:pPr>
              <w:jc w:val="center"/>
              <w:rPr>
                <w:rFonts w:ascii="宋体" w:hAnsi="宋体" w:cs="宋体"/>
                <w:b/>
                <w:bCs/>
                <w:color w:val="auto"/>
                <w:sz w:val="24"/>
                <w:highlight w:val="none"/>
              </w:rPr>
            </w:pPr>
            <w:r>
              <w:rPr>
                <w:rFonts w:hint="eastAsia" w:ascii="宋体" w:hAnsi="宋体" w:cs="宋体"/>
                <w:b/>
                <w:bCs/>
                <w:color w:val="auto"/>
                <w:sz w:val="24"/>
                <w:highlight w:val="none"/>
              </w:rPr>
              <w:t>最高限价</w:t>
            </w:r>
          </w:p>
        </w:tc>
        <w:tc>
          <w:tcPr>
            <w:tcW w:w="1211" w:type="dxa"/>
            <w:vAlign w:val="center"/>
          </w:tcPr>
          <w:p w14:paraId="308EFA0C">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采购预算</w:t>
            </w:r>
          </w:p>
        </w:tc>
      </w:tr>
      <w:tr w14:paraId="7BB6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29" w:type="dxa"/>
            <w:vAlign w:val="center"/>
          </w:tcPr>
          <w:p w14:paraId="08BDEE55">
            <w:pPr>
              <w:jc w:val="center"/>
              <w:rPr>
                <w:rFonts w:ascii="宋体" w:hAnsi="宋体" w:cs="宋体"/>
                <w:color w:val="auto"/>
                <w:sz w:val="24"/>
                <w:highlight w:val="none"/>
              </w:rPr>
            </w:pPr>
            <w:r>
              <w:rPr>
                <w:rFonts w:hint="eastAsia" w:ascii="宋体" w:hAnsi="宋体" w:cs="宋体"/>
                <w:color w:val="auto"/>
                <w:sz w:val="24"/>
                <w:highlight w:val="none"/>
              </w:rPr>
              <w:t>1</w:t>
            </w:r>
          </w:p>
        </w:tc>
        <w:tc>
          <w:tcPr>
            <w:tcW w:w="1526" w:type="dxa"/>
            <w:vAlign w:val="center"/>
          </w:tcPr>
          <w:p w14:paraId="7583F1A3">
            <w:pPr>
              <w:jc w:val="center"/>
              <w:rPr>
                <w:rFonts w:ascii="宋体" w:hAnsi="宋体" w:cs="宋体"/>
                <w:color w:val="auto"/>
                <w:sz w:val="24"/>
                <w:highlight w:val="none"/>
              </w:rPr>
            </w:pPr>
            <w:r>
              <w:rPr>
                <w:rFonts w:hint="eastAsia" w:ascii="宋体" w:hAnsi="宋体" w:cs="宋体"/>
                <w:color w:val="auto"/>
                <w:sz w:val="24"/>
                <w:highlight w:val="none"/>
              </w:rPr>
              <w:t>浮霞社区</w:t>
            </w:r>
          </w:p>
        </w:tc>
        <w:tc>
          <w:tcPr>
            <w:tcW w:w="1526" w:type="dxa"/>
            <w:vAlign w:val="center"/>
          </w:tcPr>
          <w:p w14:paraId="0A82078F">
            <w:pPr>
              <w:jc w:val="center"/>
              <w:rPr>
                <w:rFonts w:ascii="宋体" w:hAnsi="宋体" w:cs="宋体"/>
                <w:color w:val="auto"/>
                <w:sz w:val="24"/>
                <w:highlight w:val="none"/>
              </w:rPr>
            </w:pPr>
            <w:r>
              <w:rPr>
                <w:rFonts w:hint="eastAsia" w:ascii="宋体" w:hAnsi="宋体" w:cs="宋体"/>
                <w:color w:val="auto"/>
                <w:sz w:val="24"/>
                <w:highlight w:val="none"/>
              </w:rPr>
              <w:t>印湖璟园</w:t>
            </w:r>
          </w:p>
        </w:tc>
        <w:tc>
          <w:tcPr>
            <w:tcW w:w="957" w:type="dxa"/>
            <w:vAlign w:val="center"/>
          </w:tcPr>
          <w:p w14:paraId="4C4C9D7A">
            <w:pPr>
              <w:jc w:val="center"/>
              <w:rPr>
                <w:rFonts w:ascii="宋体" w:hAnsi="宋体" w:cs="宋体"/>
                <w:color w:val="auto"/>
                <w:sz w:val="24"/>
                <w:highlight w:val="none"/>
              </w:rPr>
            </w:pPr>
            <w:r>
              <w:rPr>
                <w:rFonts w:hint="eastAsia" w:ascii="宋体" w:hAnsi="宋体" w:cs="宋体"/>
                <w:color w:val="auto"/>
                <w:sz w:val="24"/>
                <w:highlight w:val="none"/>
              </w:rPr>
              <w:t>716</w:t>
            </w:r>
          </w:p>
        </w:tc>
        <w:tc>
          <w:tcPr>
            <w:tcW w:w="990" w:type="dxa"/>
            <w:vAlign w:val="center"/>
          </w:tcPr>
          <w:p w14:paraId="505DC444">
            <w:pPr>
              <w:jc w:val="center"/>
              <w:rPr>
                <w:rFonts w:ascii="宋体" w:hAnsi="宋体" w:cs="宋体"/>
                <w:color w:val="auto"/>
                <w:sz w:val="24"/>
                <w:highlight w:val="none"/>
              </w:rPr>
            </w:pPr>
            <w:r>
              <w:rPr>
                <w:rFonts w:hint="eastAsia" w:ascii="宋体" w:hAnsi="宋体" w:cs="宋体"/>
                <w:color w:val="auto"/>
                <w:sz w:val="24"/>
                <w:highlight w:val="none"/>
              </w:rPr>
              <w:t>644</w:t>
            </w:r>
          </w:p>
        </w:tc>
        <w:tc>
          <w:tcPr>
            <w:tcW w:w="825" w:type="dxa"/>
            <w:vAlign w:val="center"/>
          </w:tcPr>
          <w:p w14:paraId="15D9AC5F">
            <w:pPr>
              <w:jc w:val="center"/>
              <w:rPr>
                <w:rFonts w:ascii="宋体" w:hAnsi="宋体" w:cs="宋体"/>
                <w:color w:val="auto"/>
                <w:sz w:val="24"/>
                <w:highlight w:val="none"/>
              </w:rPr>
            </w:pPr>
            <w:r>
              <w:rPr>
                <w:rFonts w:hint="eastAsia" w:ascii="宋体" w:hAnsi="宋体" w:cs="宋体"/>
                <w:color w:val="auto"/>
                <w:sz w:val="24"/>
                <w:highlight w:val="none"/>
              </w:rPr>
              <w:t>2</w:t>
            </w:r>
          </w:p>
        </w:tc>
        <w:tc>
          <w:tcPr>
            <w:tcW w:w="2273" w:type="dxa"/>
            <w:vAlign w:val="center"/>
          </w:tcPr>
          <w:p w14:paraId="4667513A">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3CA9CB22">
            <w:pPr>
              <w:jc w:val="center"/>
              <w:rPr>
                <w:rFonts w:ascii="宋体" w:hAnsi="宋体" w:cs="宋体"/>
                <w:color w:val="auto"/>
                <w:sz w:val="24"/>
                <w:highlight w:val="none"/>
              </w:rPr>
            </w:pPr>
            <w:r>
              <w:rPr>
                <w:rFonts w:hint="eastAsia" w:ascii="宋体" w:hAnsi="宋体" w:cs="宋体"/>
                <w:color w:val="auto"/>
                <w:sz w:val="24"/>
                <w:highlight w:val="none"/>
              </w:rPr>
              <w:t>199640</w:t>
            </w:r>
          </w:p>
        </w:tc>
      </w:tr>
      <w:tr w14:paraId="3554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29" w:type="dxa"/>
            <w:vAlign w:val="center"/>
          </w:tcPr>
          <w:p w14:paraId="0CAD372C">
            <w:pPr>
              <w:jc w:val="center"/>
              <w:rPr>
                <w:rFonts w:ascii="宋体" w:hAnsi="宋体" w:cs="宋体"/>
                <w:color w:val="auto"/>
                <w:sz w:val="24"/>
                <w:highlight w:val="none"/>
              </w:rPr>
            </w:pPr>
            <w:r>
              <w:rPr>
                <w:rFonts w:hint="eastAsia" w:ascii="宋体" w:hAnsi="宋体" w:cs="宋体"/>
                <w:color w:val="auto"/>
                <w:sz w:val="24"/>
                <w:highlight w:val="none"/>
              </w:rPr>
              <w:t>2</w:t>
            </w:r>
          </w:p>
        </w:tc>
        <w:tc>
          <w:tcPr>
            <w:tcW w:w="1526" w:type="dxa"/>
            <w:vAlign w:val="center"/>
          </w:tcPr>
          <w:p w14:paraId="26771D70">
            <w:pPr>
              <w:jc w:val="center"/>
              <w:rPr>
                <w:rFonts w:ascii="宋体" w:hAnsi="宋体" w:cs="宋体"/>
                <w:color w:val="auto"/>
                <w:sz w:val="24"/>
                <w:highlight w:val="none"/>
              </w:rPr>
            </w:pPr>
            <w:r>
              <w:rPr>
                <w:rFonts w:hint="eastAsia" w:ascii="宋体" w:hAnsi="宋体" w:cs="宋体"/>
                <w:color w:val="auto"/>
                <w:sz w:val="24"/>
                <w:highlight w:val="none"/>
              </w:rPr>
              <w:t>浮霞社区</w:t>
            </w:r>
          </w:p>
        </w:tc>
        <w:tc>
          <w:tcPr>
            <w:tcW w:w="1526" w:type="dxa"/>
            <w:vAlign w:val="center"/>
          </w:tcPr>
          <w:p w14:paraId="6E7EE190">
            <w:pPr>
              <w:jc w:val="center"/>
              <w:rPr>
                <w:rFonts w:ascii="宋体" w:hAnsi="宋体" w:cs="宋体"/>
                <w:color w:val="auto"/>
                <w:sz w:val="24"/>
                <w:highlight w:val="none"/>
              </w:rPr>
            </w:pPr>
            <w:r>
              <w:rPr>
                <w:rFonts w:hint="eastAsia" w:ascii="宋体" w:hAnsi="宋体" w:cs="宋体"/>
                <w:color w:val="auto"/>
                <w:sz w:val="24"/>
                <w:highlight w:val="none"/>
              </w:rPr>
              <w:t>水沐雅园</w:t>
            </w:r>
          </w:p>
        </w:tc>
        <w:tc>
          <w:tcPr>
            <w:tcW w:w="957" w:type="dxa"/>
            <w:vAlign w:val="center"/>
          </w:tcPr>
          <w:p w14:paraId="28A4DD5F">
            <w:pPr>
              <w:jc w:val="center"/>
              <w:rPr>
                <w:rFonts w:ascii="宋体" w:hAnsi="宋体" w:cs="宋体"/>
                <w:color w:val="auto"/>
                <w:sz w:val="24"/>
                <w:highlight w:val="none"/>
              </w:rPr>
            </w:pPr>
            <w:r>
              <w:rPr>
                <w:rFonts w:hint="eastAsia" w:ascii="宋体" w:hAnsi="宋体" w:cs="宋体"/>
                <w:color w:val="auto"/>
                <w:sz w:val="24"/>
                <w:highlight w:val="none"/>
              </w:rPr>
              <w:t>246</w:t>
            </w:r>
          </w:p>
        </w:tc>
        <w:tc>
          <w:tcPr>
            <w:tcW w:w="990" w:type="dxa"/>
            <w:vAlign w:val="center"/>
          </w:tcPr>
          <w:p w14:paraId="2E7D9546">
            <w:pPr>
              <w:jc w:val="center"/>
              <w:rPr>
                <w:rFonts w:ascii="宋体" w:hAnsi="宋体" w:cs="宋体"/>
                <w:color w:val="auto"/>
                <w:sz w:val="24"/>
                <w:highlight w:val="none"/>
              </w:rPr>
            </w:pPr>
            <w:r>
              <w:rPr>
                <w:rFonts w:hint="eastAsia" w:ascii="宋体" w:hAnsi="宋体" w:cs="宋体"/>
                <w:color w:val="auto"/>
                <w:sz w:val="24"/>
                <w:highlight w:val="none"/>
              </w:rPr>
              <w:t>221</w:t>
            </w:r>
          </w:p>
        </w:tc>
        <w:tc>
          <w:tcPr>
            <w:tcW w:w="825" w:type="dxa"/>
            <w:vAlign w:val="center"/>
          </w:tcPr>
          <w:p w14:paraId="023363E4">
            <w:pPr>
              <w:jc w:val="center"/>
              <w:rPr>
                <w:rFonts w:ascii="宋体" w:hAnsi="宋体" w:cs="宋体"/>
                <w:color w:val="auto"/>
                <w:sz w:val="24"/>
                <w:highlight w:val="none"/>
              </w:rPr>
            </w:pPr>
            <w:r>
              <w:rPr>
                <w:rFonts w:hint="eastAsia" w:ascii="宋体" w:hAnsi="宋体" w:cs="宋体"/>
                <w:color w:val="auto"/>
                <w:sz w:val="24"/>
                <w:highlight w:val="none"/>
              </w:rPr>
              <w:t>1</w:t>
            </w:r>
          </w:p>
        </w:tc>
        <w:tc>
          <w:tcPr>
            <w:tcW w:w="2273" w:type="dxa"/>
            <w:vAlign w:val="center"/>
          </w:tcPr>
          <w:p w14:paraId="3504A85E">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01712B47">
            <w:pPr>
              <w:jc w:val="center"/>
              <w:rPr>
                <w:rFonts w:ascii="宋体" w:hAnsi="宋体" w:cs="宋体"/>
                <w:color w:val="auto"/>
                <w:sz w:val="24"/>
                <w:highlight w:val="none"/>
              </w:rPr>
            </w:pPr>
            <w:r>
              <w:rPr>
                <w:rFonts w:hint="eastAsia" w:ascii="宋体" w:hAnsi="宋体" w:cs="宋体"/>
                <w:color w:val="auto"/>
                <w:sz w:val="24"/>
                <w:highlight w:val="none"/>
              </w:rPr>
              <w:t>68510</w:t>
            </w:r>
          </w:p>
        </w:tc>
      </w:tr>
      <w:tr w14:paraId="1E8B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29" w:type="dxa"/>
            <w:vAlign w:val="center"/>
          </w:tcPr>
          <w:p w14:paraId="7A3C595E">
            <w:pPr>
              <w:jc w:val="center"/>
              <w:rPr>
                <w:rFonts w:ascii="宋体" w:hAnsi="宋体" w:cs="宋体"/>
                <w:color w:val="auto"/>
                <w:sz w:val="24"/>
                <w:highlight w:val="none"/>
              </w:rPr>
            </w:pPr>
            <w:r>
              <w:rPr>
                <w:rFonts w:hint="eastAsia" w:ascii="宋体" w:hAnsi="宋体" w:cs="宋体"/>
                <w:color w:val="auto"/>
                <w:sz w:val="24"/>
                <w:highlight w:val="none"/>
              </w:rPr>
              <w:t>3</w:t>
            </w:r>
          </w:p>
        </w:tc>
        <w:tc>
          <w:tcPr>
            <w:tcW w:w="1526" w:type="dxa"/>
            <w:vAlign w:val="center"/>
          </w:tcPr>
          <w:p w14:paraId="19BE0BF4">
            <w:pPr>
              <w:jc w:val="center"/>
              <w:rPr>
                <w:rFonts w:ascii="宋体" w:hAnsi="宋体" w:cs="宋体"/>
                <w:color w:val="auto"/>
                <w:sz w:val="24"/>
                <w:highlight w:val="none"/>
              </w:rPr>
            </w:pPr>
            <w:r>
              <w:rPr>
                <w:rFonts w:hint="eastAsia" w:ascii="宋体" w:hAnsi="宋体" w:cs="宋体"/>
                <w:color w:val="auto"/>
                <w:sz w:val="24"/>
                <w:highlight w:val="none"/>
              </w:rPr>
              <w:t>浮霞社区</w:t>
            </w:r>
          </w:p>
        </w:tc>
        <w:tc>
          <w:tcPr>
            <w:tcW w:w="1526" w:type="dxa"/>
            <w:vAlign w:val="center"/>
          </w:tcPr>
          <w:p w14:paraId="5139CCA9">
            <w:pPr>
              <w:jc w:val="center"/>
              <w:rPr>
                <w:rFonts w:ascii="宋体" w:hAnsi="宋体" w:cs="宋体"/>
                <w:color w:val="auto"/>
                <w:sz w:val="24"/>
                <w:highlight w:val="none"/>
              </w:rPr>
            </w:pPr>
            <w:r>
              <w:rPr>
                <w:rFonts w:hint="eastAsia" w:ascii="宋体" w:hAnsi="宋体" w:cs="宋体"/>
                <w:color w:val="auto"/>
                <w:sz w:val="24"/>
                <w:highlight w:val="none"/>
              </w:rPr>
              <w:t>御湖天誉</w:t>
            </w:r>
          </w:p>
        </w:tc>
        <w:tc>
          <w:tcPr>
            <w:tcW w:w="957" w:type="dxa"/>
            <w:vAlign w:val="center"/>
          </w:tcPr>
          <w:p w14:paraId="2755E9B8">
            <w:pPr>
              <w:jc w:val="center"/>
              <w:rPr>
                <w:rFonts w:ascii="宋体" w:hAnsi="宋体" w:cs="宋体"/>
                <w:color w:val="auto"/>
                <w:sz w:val="24"/>
                <w:highlight w:val="none"/>
              </w:rPr>
            </w:pPr>
            <w:r>
              <w:rPr>
                <w:rFonts w:hint="eastAsia" w:ascii="宋体" w:hAnsi="宋体" w:cs="宋体"/>
                <w:color w:val="auto"/>
                <w:sz w:val="24"/>
                <w:highlight w:val="none"/>
              </w:rPr>
              <w:t>996</w:t>
            </w:r>
          </w:p>
        </w:tc>
        <w:tc>
          <w:tcPr>
            <w:tcW w:w="990" w:type="dxa"/>
            <w:vAlign w:val="center"/>
          </w:tcPr>
          <w:p w14:paraId="3F70D4FC">
            <w:pPr>
              <w:jc w:val="center"/>
              <w:rPr>
                <w:rFonts w:ascii="宋体" w:hAnsi="宋体" w:cs="宋体"/>
                <w:color w:val="auto"/>
                <w:sz w:val="24"/>
                <w:highlight w:val="none"/>
              </w:rPr>
            </w:pPr>
            <w:r>
              <w:rPr>
                <w:rFonts w:hint="eastAsia" w:ascii="宋体" w:hAnsi="宋体" w:cs="宋体"/>
                <w:color w:val="auto"/>
                <w:sz w:val="24"/>
                <w:highlight w:val="none"/>
              </w:rPr>
              <w:t>896</w:t>
            </w:r>
          </w:p>
        </w:tc>
        <w:tc>
          <w:tcPr>
            <w:tcW w:w="825" w:type="dxa"/>
            <w:vAlign w:val="center"/>
          </w:tcPr>
          <w:p w14:paraId="2862485F">
            <w:pPr>
              <w:jc w:val="center"/>
              <w:rPr>
                <w:rFonts w:ascii="宋体" w:hAnsi="宋体" w:cs="宋体"/>
                <w:color w:val="auto"/>
                <w:sz w:val="24"/>
                <w:highlight w:val="none"/>
              </w:rPr>
            </w:pPr>
            <w:r>
              <w:rPr>
                <w:rFonts w:hint="eastAsia" w:ascii="宋体" w:hAnsi="宋体" w:cs="宋体"/>
                <w:color w:val="auto"/>
                <w:sz w:val="24"/>
                <w:highlight w:val="none"/>
              </w:rPr>
              <w:t>3</w:t>
            </w:r>
          </w:p>
        </w:tc>
        <w:tc>
          <w:tcPr>
            <w:tcW w:w="2273" w:type="dxa"/>
            <w:vAlign w:val="center"/>
          </w:tcPr>
          <w:p w14:paraId="20019502">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5B2E1E62">
            <w:pPr>
              <w:jc w:val="center"/>
              <w:rPr>
                <w:rFonts w:ascii="宋体" w:hAnsi="宋体" w:cs="宋体"/>
                <w:color w:val="auto"/>
                <w:sz w:val="24"/>
                <w:highlight w:val="none"/>
              </w:rPr>
            </w:pPr>
            <w:r>
              <w:rPr>
                <w:rFonts w:hint="eastAsia" w:ascii="宋体" w:hAnsi="宋体" w:cs="宋体"/>
                <w:color w:val="auto"/>
                <w:sz w:val="24"/>
                <w:highlight w:val="none"/>
              </w:rPr>
              <w:t>277760</w:t>
            </w:r>
          </w:p>
        </w:tc>
      </w:tr>
      <w:tr w14:paraId="4C08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29" w:type="dxa"/>
            <w:vAlign w:val="center"/>
          </w:tcPr>
          <w:p w14:paraId="1872550E">
            <w:pPr>
              <w:jc w:val="center"/>
              <w:rPr>
                <w:rFonts w:ascii="宋体" w:hAnsi="宋体" w:cs="宋体"/>
                <w:color w:val="auto"/>
                <w:sz w:val="24"/>
                <w:highlight w:val="none"/>
              </w:rPr>
            </w:pPr>
            <w:r>
              <w:rPr>
                <w:rFonts w:hint="eastAsia" w:ascii="宋体" w:hAnsi="宋体" w:cs="宋体"/>
                <w:color w:val="auto"/>
                <w:sz w:val="24"/>
                <w:highlight w:val="none"/>
              </w:rPr>
              <w:t>4</w:t>
            </w:r>
          </w:p>
        </w:tc>
        <w:tc>
          <w:tcPr>
            <w:tcW w:w="1526" w:type="dxa"/>
            <w:vAlign w:val="center"/>
          </w:tcPr>
          <w:p w14:paraId="6D376C02">
            <w:pPr>
              <w:jc w:val="center"/>
              <w:rPr>
                <w:rFonts w:ascii="宋体" w:hAnsi="宋体" w:cs="宋体"/>
                <w:color w:val="auto"/>
                <w:sz w:val="24"/>
                <w:highlight w:val="none"/>
              </w:rPr>
            </w:pPr>
            <w:r>
              <w:rPr>
                <w:rFonts w:hint="eastAsia" w:ascii="宋体" w:hAnsi="宋体" w:cs="宋体"/>
                <w:color w:val="auto"/>
                <w:sz w:val="24"/>
                <w:highlight w:val="none"/>
              </w:rPr>
              <w:t>浮霞社区</w:t>
            </w:r>
          </w:p>
        </w:tc>
        <w:tc>
          <w:tcPr>
            <w:tcW w:w="1526" w:type="dxa"/>
            <w:vAlign w:val="center"/>
          </w:tcPr>
          <w:p w14:paraId="457723D2">
            <w:pPr>
              <w:jc w:val="center"/>
              <w:rPr>
                <w:rFonts w:ascii="宋体" w:hAnsi="宋体" w:cs="宋体"/>
                <w:color w:val="auto"/>
                <w:sz w:val="24"/>
                <w:highlight w:val="none"/>
              </w:rPr>
            </w:pPr>
            <w:r>
              <w:rPr>
                <w:rFonts w:hint="eastAsia" w:ascii="宋体" w:hAnsi="宋体" w:cs="宋体"/>
                <w:color w:val="auto"/>
                <w:sz w:val="24"/>
                <w:highlight w:val="none"/>
              </w:rPr>
              <w:t>星月湾</w:t>
            </w:r>
          </w:p>
        </w:tc>
        <w:tc>
          <w:tcPr>
            <w:tcW w:w="957" w:type="dxa"/>
            <w:vAlign w:val="center"/>
          </w:tcPr>
          <w:p w14:paraId="460076E5">
            <w:pPr>
              <w:jc w:val="center"/>
              <w:rPr>
                <w:rFonts w:ascii="宋体" w:hAnsi="宋体" w:cs="宋体"/>
                <w:color w:val="auto"/>
                <w:sz w:val="24"/>
                <w:highlight w:val="none"/>
              </w:rPr>
            </w:pPr>
            <w:r>
              <w:rPr>
                <w:rFonts w:hint="eastAsia" w:ascii="宋体" w:hAnsi="宋体" w:cs="宋体"/>
                <w:color w:val="auto"/>
                <w:sz w:val="24"/>
                <w:highlight w:val="none"/>
              </w:rPr>
              <w:t>902</w:t>
            </w:r>
          </w:p>
        </w:tc>
        <w:tc>
          <w:tcPr>
            <w:tcW w:w="990" w:type="dxa"/>
            <w:vAlign w:val="center"/>
          </w:tcPr>
          <w:p w14:paraId="51F13E6B">
            <w:pPr>
              <w:jc w:val="center"/>
              <w:rPr>
                <w:rFonts w:ascii="宋体" w:hAnsi="宋体" w:cs="宋体"/>
                <w:color w:val="auto"/>
                <w:sz w:val="24"/>
                <w:highlight w:val="none"/>
              </w:rPr>
            </w:pPr>
            <w:r>
              <w:rPr>
                <w:rFonts w:hint="eastAsia" w:ascii="宋体" w:hAnsi="宋体" w:cs="宋体"/>
                <w:color w:val="auto"/>
                <w:sz w:val="24"/>
                <w:highlight w:val="none"/>
              </w:rPr>
              <w:t>811</w:t>
            </w:r>
          </w:p>
        </w:tc>
        <w:tc>
          <w:tcPr>
            <w:tcW w:w="825" w:type="dxa"/>
            <w:vAlign w:val="center"/>
          </w:tcPr>
          <w:p w14:paraId="1AEAB893">
            <w:pPr>
              <w:jc w:val="center"/>
              <w:rPr>
                <w:rFonts w:ascii="宋体" w:hAnsi="宋体" w:cs="宋体"/>
                <w:color w:val="auto"/>
                <w:sz w:val="24"/>
                <w:highlight w:val="none"/>
              </w:rPr>
            </w:pPr>
            <w:r>
              <w:rPr>
                <w:rFonts w:hint="eastAsia" w:ascii="宋体" w:hAnsi="宋体" w:cs="宋体"/>
                <w:color w:val="auto"/>
                <w:sz w:val="24"/>
                <w:highlight w:val="none"/>
              </w:rPr>
              <w:t>3</w:t>
            </w:r>
          </w:p>
        </w:tc>
        <w:tc>
          <w:tcPr>
            <w:tcW w:w="2273" w:type="dxa"/>
            <w:vAlign w:val="center"/>
          </w:tcPr>
          <w:p w14:paraId="146D1B16">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2350326D">
            <w:pPr>
              <w:jc w:val="center"/>
              <w:rPr>
                <w:rFonts w:ascii="宋体" w:hAnsi="宋体" w:cs="宋体"/>
                <w:color w:val="auto"/>
                <w:sz w:val="24"/>
                <w:highlight w:val="none"/>
              </w:rPr>
            </w:pPr>
            <w:r>
              <w:rPr>
                <w:rFonts w:hint="eastAsia" w:ascii="宋体" w:hAnsi="宋体" w:cs="宋体"/>
                <w:color w:val="auto"/>
                <w:sz w:val="24"/>
                <w:highlight w:val="none"/>
              </w:rPr>
              <w:t>251410</w:t>
            </w:r>
          </w:p>
        </w:tc>
      </w:tr>
      <w:tr w14:paraId="2E0B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55446EBD">
            <w:pPr>
              <w:jc w:val="center"/>
              <w:rPr>
                <w:rFonts w:ascii="宋体" w:hAnsi="宋体" w:cs="宋体"/>
                <w:color w:val="auto"/>
                <w:sz w:val="24"/>
                <w:highlight w:val="none"/>
              </w:rPr>
            </w:pPr>
            <w:r>
              <w:rPr>
                <w:rFonts w:hint="eastAsia" w:ascii="宋体" w:hAnsi="宋体" w:cs="宋体"/>
                <w:color w:val="auto"/>
                <w:sz w:val="24"/>
                <w:highlight w:val="none"/>
              </w:rPr>
              <w:t>5</w:t>
            </w:r>
          </w:p>
        </w:tc>
        <w:tc>
          <w:tcPr>
            <w:tcW w:w="1526" w:type="dxa"/>
            <w:vAlign w:val="center"/>
          </w:tcPr>
          <w:p w14:paraId="33D21C19">
            <w:pPr>
              <w:jc w:val="center"/>
              <w:rPr>
                <w:rFonts w:ascii="宋体" w:hAnsi="宋体" w:cs="宋体"/>
                <w:color w:val="auto"/>
                <w:sz w:val="24"/>
                <w:highlight w:val="none"/>
              </w:rPr>
            </w:pPr>
            <w:r>
              <w:rPr>
                <w:rFonts w:hint="eastAsia" w:ascii="宋体" w:hAnsi="宋体" w:cs="宋体"/>
                <w:color w:val="auto"/>
                <w:sz w:val="24"/>
                <w:highlight w:val="none"/>
              </w:rPr>
              <w:t>丘城社区</w:t>
            </w:r>
          </w:p>
        </w:tc>
        <w:tc>
          <w:tcPr>
            <w:tcW w:w="1526" w:type="dxa"/>
            <w:vAlign w:val="center"/>
          </w:tcPr>
          <w:p w14:paraId="6FA4B446">
            <w:pPr>
              <w:jc w:val="center"/>
              <w:rPr>
                <w:rFonts w:ascii="宋体" w:hAnsi="宋体" w:cs="宋体"/>
                <w:color w:val="auto"/>
                <w:sz w:val="24"/>
                <w:highlight w:val="none"/>
              </w:rPr>
            </w:pPr>
            <w:r>
              <w:rPr>
                <w:rFonts w:hint="eastAsia" w:ascii="宋体" w:hAnsi="宋体" w:cs="宋体"/>
                <w:color w:val="auto"/>
                <w:sz w:val="24"/>
                <w:highlight w:val="none"/>
              </w:rPr>
              <w:t>山水人家</w:t>
            </w:r>
          </w:p>
        </w:tc>
        <w:tc>
          <w:tcPr>
            <w:tcW w:w="957" w:type="dxa"/>
            <w:vAlign w:val="center"/>
          </w:tcPr>
          <w:p w14:paraId="45BF5809">
            <w:pPr>
              <w:jc w:val="center"/>
              <w:rPr>
                <w:rFonts w:ascii="宋体" w:hAnsi="宋体" w:cs="宋体"/>
                <w:color w:val="auto"/>
                <w:sz w:val="24"/>
                <w:highlight w:val="none"/>
              </w:rPr>
            </w:pPr>
            <w:r>
              <w:rPr>
                <w:rFonts w:hint="eastAsia" w:ascii="宋体" w:hAnsi="宋体" w:cs="宋体"/>
                <w:color w:val="auto"/>
                <w:sz w:val="24"/>
                <w:highlight w:val="none"/>
              </w:rPr>
              <w:t>186</w:t>
            </w:r>
          </w:p>
        </w:tc>
        <w:tc>
          <w:tcPr>
            <w:tcW w:w="990" w:type="dxa"/>
            <w:vAlign w:val="center"/>
          </w:tcPr>
          <w:p w14:paraId="5BB119B9">
            <w:pPr>
              <w:jc w:val="center"/>
              <w:rPr>
                <w:rFonts w:ascii="宋体" w:hAnsi="宋体" w:cs="宋体"/>
                <w:color w:val="auto"/>
                <w:sz w:val="24"/>
                <w:highlight w:val="none"/>
              </w:rPr>
            </w:pPr>
            <w:r>
              <w:rPr>
                <w:rFonts w:hint="eastAsia" w:ascii="宋体" w:hAnsi="宋体" w:cs="宋体"/>
                <w:color w:val="auto"/>
                <w:sz w:val="24"/>
                <w:highlight w:val="none"/>
              </w:rPr>
              <w:t>167</w:t>
            </w:r>
          </w:p>
        </w:tc>
        <w:tc>
          <w:tcPr>
            <w:tcW w:w="825" w:type="dxa"/>
            <w:vAlign w:val="center"/>
          </w:tcPr>
          <w:p w14:paraId="270965A2">
            <w:pPr>
              <w:jc w:val="center"/>
              <w:rPr>
                <w:rFonts w:ascii="宋体" w:hAnsi="宋体" w:cs="宋体"/>
                <w:color w:val="auto"/>
                <w:sz w:val="24"/>
                <w:highlight w:val="none"/>
              </w:rPr>
            </w:pPr>
            <w:r>
              <w:rPr>
                <w:rFonts w:hint="eastAsia" w:ascii="宋体" w:hAnsi="宋体" w:cs="宋体"/>
                <w:color w:val="auto"/>
                <w:sz w:val="24"/>
                <w:highlight w:val="none"/>
              </w:rPr>
              <w:t>4</w:t>
            </w:r>
          </w:p>
        </w:tc>
        <w:tc>
          <w:tcPr>
            <w:tcW w:w="2273" w:type="dxa"/>
            <w:vAlign w:val="center"/>
          </w:tcPr>
          <w:p w14:paraId="53928DC6">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32A6BC06">
            <w:pPr>
              <w:jc w:val="center"/>
              <w:rPr>
                <w:rFonts w:ascii="宋体" w:hAnsi="宋体" w:cs="宋体"/>
                <w:color w:val="auto"/>
                <w:sz w:val="24"/>
                <w:highlight w:val="none"/>
              </w:rPr>
            </w:pPr>
            <w:r>
              <w:rPr>
                <w:rFonts w:hint="eastAsia" w:ascii="宋体" w:hAnsi="宋体" w:cs="宋体"/>
                <w:color w:val="auto"/>
                <w:sz w:val="24"/>
                <w:highlight w:val="none"/>
              </w:rPr>
              <w:t>128350</w:t>
            </w:r>
          </w:p>
        </w:tc>
      </w:tr>
      <w:tr w14:paraId="6AB1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77B46D32">
            <w:pPr>
              <w:jc w:val="center"/>
              <w:rPr>
                <w:rFonts w:ascii="宋体" w:hAnsi="宋体" w:cs="宋体"/>
                <w:color w:val="auto"/>
                <w:sz w:val="24"/>
                <w:highlight w:val="none"/>
              </w:rPr>
            </w:pPr>
            <w:r>
              <w:rPr>
                <w:rFonts w:hint="eastAsia" w:ascii="宋体" w:hAnsi="宋体" w:cs="宋体"/>
                <w:color w:val="auto"/>
                <w:sz w:val="24"/>
                <w:highlight w:val="none"/>
              </w:rPr>
              <w:t>6</w:t>
            </w:r>
          </w:p>
        </w:tc>
        <w:tc>
          <w:tcPr>
            <w:tcW w:w="1526" w:type="dxa"/>
            <w:vAlign w:val="center"/>
          </w:tcPr>
          <w:p w14:paraId="53E5ECE1">
            <w:pPr>
              <w:jc w:val="center"/>
              <w:rPr>
                <w:rFonts w:ascii="宋体" w:hAnsi="宋体" w:cs="宋体"/>
                <w:color w:val="auto"/>
                <w:sz w:val="24"/>
                <w:highlight w:val="none"/>
              </w:rPr>
            </w:pPr>
            <w:r>
              <w:rPr>
                <w:rFonts w:hint="eastAsia" w:ascii="宋体" w:hAnsi="宋体" w:cs="宋体"/>
                <w:color w:val="auto"/>
                <w:sz w:val="24"/>
                <w:highlight w:val="none"/>
              </w:rPr>
              <w:t>丘城社区</w:t>
            </w:r>
          </w:p>
        </w:tc>
        <w:tc>
          <w:tcPr>
            <w:tcW w:w="1526" w:type="dxa"/>
            <w:vAlign w:val="center"/>
          </w:tcPr>
          <w:p w14:paraId="4AC4ACC7">
            <w:pPr>
              <w:jc w:val="center"/>
              <w:rPr>
                <w:rFonts w:ascii="宋体" w:hAnsi="宋体" w:cs="宋体"/>
                <w:color w:val="auto"/>
                <w:sz w:val="24"/>
                <w:highlight w:val="none"/>
              </w:rPr>
            </w:pPr>
            <w:r>
              <w:rPr>
                <w:rFonts w:hint="eastAsia" w:ascii="宋体" w:hAnsi="宋体" w:cs="宋体"/>
                <w:color w:val="auto"/>
                <w:sz w:val="24"/>
                <w:highlight w:val="none"/>
              </w:rPr>
              <w:t>半岛领邸</w:t>
            </w:r>
          </w:p>
        </w:tc>
        <w:tc>
          <w:tcPr>
            <w:tcW w:w="957" w:type="dxa"/>
            <w:vAlign w:val="center"/>
          </w:tcPr>
          <w:p w14:paraId="6342B2C5">
            <w:pPr>
              <w:jc w:val="center"/>
              <w:rPr>
                <w:rFonts w:ascii="宋体" w:hAnsi="宋体" w:cs="宋体"/>
                <w:color w:val="auto"/>
                <w:sz w:val="24"/>
                <w:highlight w:val="none"/>
              </w:rPr>
            </w:pPr>
            <w:r>
              <w:rPr>
                <w:rFonts w:hint="eastAsia" w:ascii="宋体" w:hAnsi="宋体" w:cs="宋体"/>
                <w:color w:val="auto"/>
                <w:sz w:val="24"/>
                <w:highlight w:val="none"/>
              </w:rPr>
              <w:t>166</w:t>
            </w:r>
          </w:p>
        </w:tc>
        <w:tc>
          <w:tcPr>
            <w:tcW w:w="990" w:type="dxa"/>
            <w:vAlign w:val="center"/>
          </w:tcPr>
          <w:p w14:paraId="42539527">
            <w:pPr>
              <w:jc w:val="center"/>
              <w:rPr>
                <w:rFonts w:ascii="宋体" w:hAnsi="宋体" w:cs="宋体"/>
                <w:color w:val="auto"/>
                <w:sz w:val="24"/>
                <w:highlight w:val="none"/>
              </w:rPr>
            </w:pPr>
            <w:r>
              <w:rPr>
                <w:rFonts w:hint="eastAsia" w:ascii="宋体" w:hAnsi="宋体" w:cs="宋体"/>
                <w:color w:val="auto"/>
                <w:sz w:val="24"/>
                <w:highlight w:val="none"/>
              </w:rPr>
              <w:t>149</w:t>
            </w:r>
          </w:p>
        </w:tc>
        <w:tc>
          <w:tcPr>
            <w:tcW w:w="825" w:type="dxa"/>
            <w:vAlign w:val="center"/>
          </w:tcPr>
          <w:p w14:paraId="67D3E0C5">
            <w:pPr>
              <w:jc w:val="center"/>
              <w:rPr>
                <w:rFonts w:ascii="宋体" w:hAnsi="宋体" w:cs="宋体"/>
                <w:color w:val="auto"/>
                <w:sz w:val="24"/>
                <w:highlight w:val="none"/>
              </w:rPr>
            </w:pPr>
            <w:r>
              <w:rPr>
                <w:rFonts w:hint="eastAsia" w:ascii="宋体" w:hAnsi="宋体" w:cs="宋体"/>
                <w:color w:val="auto"/>
                <w:sz w:val="24"/>
                <w:highlight w:val="none"/>
              </w:rPr>
              <w:t>3</w:t>
            </w:r>
          </w:p>
        </w:tc>
        <w:tc>
          <w:tcPr>
            <w:tcW w:w="2273" w:type="dxa"/>
            <w:vAlign w:val="center"/>
          </w:tcPr>
          <w:p w14:paraId="767BB370">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6DF1E102">
            <w:pPr>
              <w:jc w:val="center"/>
              <w:rPr>
                <w:rFonts w:ascii="宋体" w:hAnsi="宋体" w:cs="宋体"/>
                <w:color w:val="auto"/>
                <w:sz w:val="24"/>
                <w:highlight w:val="none"/>
              </w:rPr>
            </w:pPr>
            <w:r>
              <w:rPr>
                <w:rFonts w:hint="eastAsia" w:ascii="宋体" w:hAnsi="宋体" w:cs="宋体"/>
                <w:color w:val="auto"/>
                <w:sz w:val="24"/>
                <w:highlight w:val="none"/>
              </w:rPr>
              <w:t>97450</w:t>
            </w:r>
          </w:p>
        </w:tc>
      </w:tr>
      <w:tr w14:paraId="23E7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29" w:type="dxa"/>
            <w:vAlign w:val="center"/>
          </w:tcPr>
          <w:p w14:paraId="5BE19B66">
            <w:pPr>
              <w:jc w:val="center"/>
              <w:rPr>
                <w:rFonts w:ascii="宋体" w:hAnsi="宋体" w:cs="宋体"/>
                <w:color w:val="auto"/>
                <w:sz w:val="24"/>
                <w:highlight w:val="none"/>
              </w:rPr>
            </w:pPr>
            <w:r>
              <w:rPr>
                <w:rFonts w:hint="eastAsia" w:ascii="宋体" w:hAnsi="宋体" w:cs="宋体"/>
                <w:color w:val="auto"/>
                <w:sz w:val="24"/>
                <w:highlight w:val="none"/>
              </w:rPr>
              <w:t>7</w:t>
            </w:r>
          </w:p>
        </w:tc>
        <w:tc>
          <w:tcPr>
            <w:tcW w:w="1526" w:type="dxa"/>
            <w:vAlign w:val="center"/>
          </w:tcPr>
          <w:p w14:paraId="50C39F9F">
            <w:pPr>
              <w:jc w:val="center"/>
              <w:rPr>
                <w:rFonts w:ascii="宋体" w:hAnsi="宋体" w:cs="宋体"/>
                <w:color w:val="auto"/>
                <w:sz w:val="24"/>
                <w:highlight w:val="none"/>
              </w:rPr>
            </w:pPr>
            <w:r>
              <w:rPr>
                <w:rFonts w:hint="eastAsia" w:ascii="宋体" w:hAnsi="宋体" w:cs="宋体"/>
                <w:color w:val="auto"/>
                <w:sz w:val="24"/>
                <w:highlight w:val="none"/>
              </w:rPr>
              <w:t>丘城社区</w:t>
            </w:r>
          </w:p>
        </w:tc>
        <w:tc>
          <w:tcPr>
            <w:tcW w:w="1526" w:type="dxa"/>
            <w:vAlign w:val="center"/>
          </w:tcPr>
          <w:p w14:paraId="5302A86F">
            <w:pPr>
              <w:jc w:val="center"/>
              <w:rPr>
                <w:rFonts w:ascii="宋体" w:hAnsi="宋体" w:cs="宋体"/>
                <w:color w:val="auto"/>
                <w:sz w:val="24"/>
                <w:highlight w:val="none"/>
              </w:rPr>
            </w:pPr>
            <w:r>
              <w:rPr>
                <w:rFonts w:hint="eastAsia" w:ascii="宋体" w:hAnsi="宋体" w:cs="宋体"/>
                <w:color w:val="auto"/>
                <w:sz w:val="24"/>
                <w:highlight w:val="none"/>
              </w:rPr>
              <w:t>望月湾</w:t>
            </w:r>
          </w:p>
        </w:tc>
        <w:tc>
          <w:tcPr>
            <w:tcW w:w="957" w:type="dxa"/>
            <w:vAlign w:val="center"/>
          </w:tcPr>
          <w:p w14:paraId="7A4A367C">
            <w:pPr>
              <w:jc w:val="center"/>
              <w:rPr>
                <w:rFonts w:ascii="宋体" w:hAnsi="宋体" w:cs="宋体"/>
                <w:color w:val="auto"/>
                <w:sz w:val="24"/>
                <w:highlight w:val="none"/>
              </w:rPr>
            </w:pPr>
            <w:r>
              <w:rPr>
                <w:rFonts w:hint="eastAsia" w:ascii="宋体" w:hAnsi="宋体" w:cs="宋体"/>
                <w:color w:val="auto"/>
                <w:sz w:val="24"/>
                <w:highlight w:val="none"/>
              </w:rPr>
              <w:t>455</w:t>
            </w:r>
          </w:p>
        </w:tc>
        <w:tc>
          <w:tcPr>
            <w:tcW w:w="990" w:type="dxa"/>
            <w:vAlign w:val="center"/>
          </w:tcPr>
          <w:p w14:paraId="72AB864A">
            <w:pPr>
              <w:jc w:val="center"/>
              <w:rPr>
                <w:rFonts w:ascii="宋体" w:hAnsi="宋体" w:cs="宋体"/>
                <w:color w:val="auto"/>
                <w:sz w:val="24"/>
                <w:highlight w:val="none"/>
              </w:rPr>
            </w:pPr>
            <w:r>
              <w:rPr>
                <w:rFonts w:hint="eastAsia" w:ascii="宋体" w:hAnsi="宋体" w:cs="宋体"/>
                <w:color w:val="auto"/>
                <w:sz w:val="24"/>
                <w:highlight w:val="none"/>
              </w:rPr>
              <w:t>400</w:t>
            </w:r>
          </w:p>
        </w:tc>
        <w:tc>
          <w:tcPr>
            <w:tcW w:w="825" w:type="dxa"/>
            <w:vAlign w:val="center"/>
          </w:tcPr>
          <w:p w14:paraId="1401BCD0">
            <w:pPr>
              <w:jc w:val="center"/>
              <w:rPr>
                <w:rFonts w:ascii="宋体" w:hAnsi="宋体" w:cs="宋体"/>
                <w:color w:val="auto"/>
                <w:sz w:val="24"/>
                <w:highlight w:val="none"/>
              </w:rPr>
            </w:pPr>
            <w:r>
              <w:rPr>
                <w:rFonts w:hint="eastAsia" w:ascii="宋体" w:hAnsi="宋体" w:cs="宋体"/>
                <w:color w:val="auto"/>
                <w:sz w:val="24"/>
                <w:highlight w:val="none"/>
              </w:rPr>
              <w:t>3</w:t>
            </w:r>
          </w:p>
        </w:tc>
        <w:tc>
          <w:tcPr>
            <w:tcW w:w="2273" w:type="dxa"/>
            <w:vAlign w:val="center"/>
          </w:tcPr>
          <w:p w14:paraId="08296FFE">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539CF9BE">
            <w:pPr>
              <w:jc w:val="center"/>
              <w:rPr>
                <w:rFonts w:ascii="宋体" w:hAnsi="宋体" w:cs="宋体"/>
                <w:color w:val="auto"/>
                <w:sz w:val="24"/>
                <w:highlight w:val="none"/>
              </w:rPr>
            </w:pPr>
            <w:r>
              <w:rPr>
                <w:rFonts w:hint="eastAsia" w:ascii="宋体" w:hAnsi="宋体" w:cs="宋体"/>
                <w:color w:val="auto"/>
                <w:sz w:val="24"/>
                <w:highlight w:val="none"/>
              </w:rPr>
              <w:t>124000</w:t>
            </w:r>
          </w:p>
        </w:tc>
      </w:tr>
      <w:tr w14:paraId="540B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3DC7B9AB">
            <w:pPr>
              <w:jc w:val="center"/>
              <w:rPr>
                <w:rFonts w:ascii="宋体" w:hAnsi="宋体" w:cs="宋体"/>
                <w:color w:val="auto"/>
                <w:sz w:val="24"/>
                <w:highlight w:val="none"/>
              </w:rPr>
            </w:pPr>
            <w:r>
              <w:rPr>
                <w:rFonts w:hint="eastAsia" w:ascii="宋体" w:hAnsi="宋体" w:cs="宋体"/>
                <w:color w:val="auto"/>
                <w:sz w:val="24"/>
                <w:highlight w:val="none"/>
              </w:rPr>
              <w:t>8</w:t>
            </w:r>
          </w:p>
        </w:tc>
        <w:tc>
          <w:tcPr>
            <w:tcW w:w="1526" w:type="dxa"/>
            <w:vAlign w:val="center"/>
          </w:tcPr>
          <w:p w14:paraId="18326716">
            <w:pPr>
              <w:jc w:val="center"/>
              <w:rPr>
                <w:rFonts w:ascii="宋体" w:hAnsi="宋体" w:cs="宋体"/>
                <w:color w:val="auto"/>
                <w:sz w:val="24"/>
                <w:highlight w:val="none"/>
              </w:rPr>
            </w:pPr>
            <w:r>
              <w:rPr>
                <w:rFonts w:hint="eastAsia" w:ascii="宋体" w:hAnsi="宋体" w:cs="宋体"/>
                <w:color w:val="auto"/>
                <w:sz w:val="24"/>
                <w:highlight w:val="none"/>
              </w:rPr>
              <w:t>阳光假日社区</w:t>
            </w:r>
          </w:p>
        </w:tc>
        <w:tc>
          <w:tcPr>
            <w:tcW w:w="1526" w:type="dxa"/>
            <w:vAlign w:val="center"/>
          </w:tcPr>
          <w:p w14:paraId="4D3472FE">
            <w:pPr>
              <w:jc w:val="center"/>
              <w:rPr>
                <w:rFonts w:ascii="宋体" w:hAnsi="宋体" w:cs="宋体"/>
                <w:color w:val="auto"/>
                <w:sz w:val="24"/>
                <w:highlight w:val="none"/>
              </w:rPr>
            </w:pPr>
            <w:r>
              <w:rPr>
                <w:rFonts w:hint="eastAsia" w:ascii="宋体" w:hAnsi="宋体" w:cs="宋体"/>
                <w:color w:val="auto"/>
                <w:sz w:val="24"/>
                <w:highlight w:val="none"/>
              </w:rPr>
              <w:t>阳光假日一期</w:t>
            </w:r>
          </w:p>
        </w:tc>
        <w:tc>
          <w:tcPr>
            <w:tcW w:w="957" w:type="dxa"/>
            <w:vAlign w:val="center"/>
          </w:tcPr>
          <w:p w14:paraId="41F23577">
            <w:pPr>
              <w:jc w:val="center"/>
              <w:rPr>
                <w:rFonts w:ascii="宋体" w:hAnsi="宋体" w:cs="宋体"/>
                <w:color w:val="auto"/>
                <w:sz w:val="24"/>
                <w:highlight w:val="none"/>
              </w:rPr>
            </w:pPr>
            <w:r>
              <w:rPr>
                <w:rFonts w:hint="eastAsia" w:ascii="宋体" w:hAnsi="宋体" w:cs="宋体"/>
                <w:color w:val="auto"/>
                <w:sz w:val="24"/>
                <w:highlight w:val="none"/>
              </w:rPr>
              <w:t>219</w:t>
            </w:r>
          </w:p>
        </w:tc>
        <w:tc>
          <w:tcPr>
            <w:tcW w:w="990" w:type="dxa"/>
            <w:vAlign w:val="center"/>
          </w:tcPr>
          <w:p w14:paraId="006AC83F">
            <w:pPr>
              <w:jc w:val="center"/>
              <w:rPr>
                <w:rFonts w:ascii="宋体" w:hAnsi="宋体" w:cs="宋体"/>
                <w:color w:val="auto"/>
                <w:sz w:val="24"/>
                <w:highlight w:val="none"/>
              </w:rPr>
            </w:pPr>
            <w:r>
              <w:rPr>
                <w:rFonts w:hint="eastAsia" w:ascii="宋体" w:hAnsi="宋体" w:cs="宋体"/>
                <w:color w:val="auto"/>
                <w:sz w:val="24"/>
                <w:highlight w:val="none"/>
              </w:rPr>
              <w:t>219</w:t>
            </w:r>
          </w:p>
        </w:tc>
        <w:tc>
          <w:tcPr>
            <w:tcW w:w="825" w:type="dxa"/>
            <w:vAlign w:val="center"/>
          </w:tcPr>
          <w:p w14:paraId="3C45E795">
            <w:pPr>
              <w:jc w:val="center"/>
              <w:rPr>
                <w:rFonts w:ascii="宋体" w:hAnsi="宋体" w:cs="宋体"/>
                <w:color w:val="auto"/>
                <w:sz w:val="24"/>
                <w:highlight w:val="none"/>
              </w:rPr>
            </w:pPr>
            <w:r>
              <w:rPr>
                <w:rFonts w:hint="eastAsia" w:ascii="宋体" w:hAnsi="宋体" w:cs="宋体"/>
                <w:color w:val="auto"/>
                <w:sz w:val="24"/>
                <w:highlight w:val="none"/>
              </w:rPr>
              <w:t>4</w:t>
            </w:r>
          </w:p>
        </w:tc>
        <w:tc>
          <w:tcPr>
            <w:tcW w:w="2273" w:type="dxa"/>
            <w:vAlign w:val="center"/>
          </w:tcPr>
          <w:p w14:paraId="2EE7E384">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2674A3F8">
            <w:pPr>
              <w:jc w:val="center"/>
              <w:rPr>
                <w:rFonts w:ascii="宋体" w:hAnsi="宋体" w:cs="宋体"/>
                <w:color w:val="auto"/>
                <w:sz w:val="24"/>
                <w:highlight w:val="none"/>
              </w:rPr>
            </w:pPr>
            <w:r>
              <w:rPr>
                <w:rFonts w:hint="eastAsia" w:ascii="宋体" w:hAnsi="宋体" w:cs="宋体"/>
                <w:color w:val="auto"/>
                <w:sz w:val="24"/>
                <w:highlight w:val="none"/>
              </w:rPr>
              <w:t>130950</w:t>
            </w:r>
          </w:p>
        </w:tc>
      </w:tr>
      <w:tr w14:paraId="2961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1D201800">
            <w:pPr>
              <w:jc w:val="center"/>
              <w:rPr>
                <w:rFonts w:ascii="宋体" w:hAnsi="宋体" w:cs="宋体"/>
                <w:color w:val="auto"/>
                <w:sz w:val="24"/>
                <w:highlight w:val="none"/>
              </w:rPr>
            </w:pPr>
            <w:r>
              <w:rPr>
                <w:rFonts w:hint="eastAsia" w:ascii="宋体" w:hAnsi="宋体" w:cs="宋体"/>
                <w:color w:val="auto"/>
                <w:sz w:val="24"/>
                <w:highlight w:val="none"/>
              </w:rPr>
              <w:t>9</w:t>
            </w:r>
          </w:p>
        </w:tc>
        <w:tc>
          <w:tcPr>
            <w:tcW w:w="1526" w:type="dxa"/>
            <w:vAlign w:val="center"/>
          </w:tcPr>
          <w:p w14:paraId="7B33A003">
            <w:pPr>
              <w:jc w:val="center"/>
              <w:rPr>
                <w:rFonts w:ascii="宋体" w:hAnsi="宋体" w:cs="宋体"/>
                <w:color w:val="auto"/>
                <w:sz w:val="24"/>
                <w:highlight w:val="none"/>
              </w:rPr>
            </w:pPr>
            <w:r>
              <w:rPr>
                <w:rFonts w:hint="eastAsia" w:ascii="宋体" w:hAnsi="宋体" w:cs="宋体"/>
                <w:color w:val="auto"/>
                <w:sz w:val="24"/>
                <w:highlight w:val="none"/>
              </w:rPr>
              <w:t>阳光假日社区</w:t>
            </w:r>
          </w:p>
        </w:tc>
        <w:tc>
          <w:tcPr>
            <w:tcW w:w="1526" w:type="dxa"/>
            <w:vAlign w:val="center"/>
          </w:tcPr>
          <w:p w14:paraId="1FE7DC70">
            <w:pPr>
              <w:jc w:val="center"/>
              <w:rPr>
                <w:rFonts w:ascii="宋体" w:hAnsi="宋体" w:cs="宋体"/>
                <w:color w:val="auto"/>
                <w:sz w:val="24"/>
                <w:highlight w:val="none"/>
              </w:rPr>
            </w:pPr>
            <w:r>
              <w:rPr>
                <w:rFonts w:hint="eastAsia" w:ascii="宋体" w:hAnsi="宋体" w:cs="宋体"/>
                <w:color w:val="auto"/>
                <w:sz w:val="24"/>
                <w:highlight w:val="none"/>
              </w:rPr>
              <w:t>阳光假日二期</w:t>
            </w:r>
          </w:p>
        </w:tc>
        <w:tc>
          <w:tcPr>
            <w:tcW w:w="957" w:type="dxa"/>
            <w:vAlign w:val="center"/>
          </w:tcPr>
          <w:p w14:paraId="03D5A39B">
            <w:pPr>
              <w:jc w:val="center"/>
              <w:rPr>
                <w:rFonts w:ascii="宋体" w:hAnsi="宋体" w:cs="宋体"/>
                <w:color w:val="auto"/>
                <w:sz w:val="24"/>
                <w:highlight w:val="none"/>
              </w:rPr>
            </w:pPr>
            <w:r>
              <w:rPr>
                <w:rFonts w:hint="eastAsia" w:ascii="宋体" w:hAnsi="宋体" w:cs="宋体"/>
                <w:color w:val="auto"/>
                <w:sz w:val="24"/>
                <w:highlight w:val="none"/>
              </w:rPr>
              <w:t>1389</w:t>
            </w:r>
          </w:p>
        </w:tc>
        <w:tc>
          <w:tcPr>
            <w:tcW w:w="990" w:type="dxa"/>
            <w:vAlign w:val="center"/>
          </w:tcPr>
          <w:p w14:paraId="4AB2D849">
            <w:pPr>
              <w:jc w:val="center"/>
              <w:rPr>
                <w:rFonts w:ascii="宋体" w:hAnsi="宋体" w:cs="宋体"/>
                <w:color w:val="auto"/>
                <w:sz w:val="24"/>
                <w:highlight w:val="none"/>
              </w:rPr>
            </w:pPr>
            <w:r>
              <w:rPr>
                <w:rFonts w:hint="eastAsia" w:ascii="宋体" w:hAnsi="宋体" w:cs="宋体"/>
                <w:color w:val="auto"/>
                <w:sz w:val="24"/>
                <w:highlight w:val="none"/>
              </w:rPr>
              <w:t>1130</w:t>
            </w:r>
          </w:p>
        </w:tc>
        <w:tc>
          <w:tcPr>
            <w:tcW w:w="825" w:type="dxa"/>
            <w:vAlign w:val="center"/>
          </w:tcPr>
          <w:p w14:paraId="5D851B1E">
            <w:pPr>
              <w:jc w:val="center"/>
              <w:rPr>
                <w:rFonts w:ascii="宋体" w:hAnsi="宋体" w:cs="宋体"/>
                <w:color w:val="auto"/>
                <w:sz w:val="24"/>
                <w:highlight w:val="none"/>
              </w:rPr>
            </w:pPr>
            <w:r>
              <w:rPr>
                <w:rFonts w:hint="eastAsia" w:ascii="宋体" w:hAnsi="宋体" w:cs="宋体"/>
                <w:color w:val="auto"/>
                <w:sz w:val="24"/>
                <w:highlight w:val="none"/>
              </w:rPr>
              <w:t>12</w:t>
            </w:r>
          </w:p>
        </w:tc>
        <w:tc>
          <w:tcPr>
            <w:tcW w:w="2273" w:type="dxa"/>
            <w:vAlign w:val="center"/>
          </w:tcPr>
          <w:p w14:paraId="2548136D">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00FA1D11">
            <w:pPr>
              <w:jc w:val="center"/>
              <w:rPr>
                <w:rFonts w:ascii="宋体" w:hAnsi="宋体" w:cs="宋体"/>
                <w:color w:val="auto"/>
                <w:sz w:val="24"/>
                <w:highlight w:val="none"/>
              </w:rPr>
            </w:pPr>
            <w:r>
              <w:rPr>
                <w:rFonts w:hint="eastAsia" w:ascii="宋体" w:hAnsi="宋体" w:cs="宋体"/>
                <w:color w:val="auto"/>
                <w:sz w:val="24"/>
                <w:highlight w:val="none"/>
              </w:rPr>
              <w:t>350300</w:t>
            </w:r>
          </w:p>
        </w:tc>
      </w:tr>
      <w:tr w14:paraId="2E48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29" w:type="dxa"/>
            <w:vAlign w:val="center"/>
          </w:tcPr>
          <w:p w14:paraId="00E4899C">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526" w:type="dxa"/>
            <w:vAlign w:val="center"/>
          </w:tcPr>
          <w:p w14:paraId="79589355">
            <w:pPr>
              <w:jc w:val="center"/>
              <w:rPr>
                <w:rFonts w:ascii="宋体" w:hAnsi="宋体" w:cs="宋体"/>
                <w:color w:val="auto"/>
                <w:sz w:val="24"/>
                <w:highlight w:val="none"/>
              </w:rPr>
            </w:pPr>
            <w:r>
              <w:rPr>
                <w:rFonts w:hint="eastAsia" w:ascii="宋体" w:hAnsi="宋体" w:cs="宋体"/>
                <w:color w:val="auto"/>
                <w:sz w:val="24"/>
                <w:highlight w:val="none"/>
              </w:rPr>
              <w:t>横塘桥村</w:t>
            </w:r>
          </w:p>
        </w:tc>
        <w:tc>
          <w:tcPr>
            <w:tcW w:w="1526" w:type="dxa"/>
            <w:vAlign w:val="center"/>
          </w:tcPr>
          <w:p w14:paraId="64A83098">
            <w:pPr>
              <w:jc w:val="center"/>
              <w:rPr>
                <w:rFonts w:ascii="宋体" w:hAnsi="宋体" w:cs="宋体"/>
                <w:color w:val="auto"/>
                <w:sz w:val="24"/>
                <w:highlight w:val="none"/>
              </w:rPr>
            </w:pPr>
            <w:r>
              <w:rPr>
                <w:rFonts w:hint="eastAsia" w:ascii="宋体" w:hAnsi="宋体" w:cs="宋体"/>
                <w:color w:val="auto"/>
                <w:sz w:val="24"/>
                <w:highlight w:val="none"/>
              </w:rPr>
              <w:t>梅东A区</w:t>
            </w:r>
          </w:p>
        </w:tc>
        <w:tc>
          <w:tcPr>
            <w:tcW w:w="957" w:type="dxa"/>
            <w:vAlign w:val="center"/>
          </w:tcPr>
          <w:p w14:paraId="00584E7A">
            <w:pPr>
              <w:jc w:val="center"/>
              <w:rPr>
                <w:rFonts w:ascii="宋体" w:hAnsi="宋体" w:cs="宋体"/>
                <w:color w:val="auto"/>
                <w:sz w:val="24"/>
                <w:highlight w:val="none"/>
              </w:rPr>
            </w:pPr>
            <w:r>
              <w:rPr>
                <w:rFonts w:hint="eastAsia" w:ascii="宋体" w:hAnsi="宋体" w:cs="宋体"/>
                <w:color w:val="auto"/>
                <w:sz w:val="24"/>
                <w:highlight w:val="none"/>
              </w:rPr>
              <w:t>436</w:t>
            </w:r>
          </w:p>
        </w:tc>
        <w:tc>
          <w:tcPr>
            <w:tcW w:w="990" w:type="dxa"/>
            <w:vAlign w:val="center"/>
          </w:tcPr>
          <w:p w14:paraId="3ADBB3C2">
            <w:pPr>
              <w:jc w:val="center"/>
              <w:rPr>
                <w:rFonts w:ascii="宋体" w:hAnsi="宋体" w:cs="宋体"/>
                <w:color w:val="auto"/>
                <w:sz w:val="24"/>
                <w:highlight w:val="none"/>
              </w:rPr>
            </w:pPr>
            <w:r>
              <w:rPr>
                <w:rFonts w:hint="eastAsia" w:ascii="宋体" w:hAnsi="宋体" w:cs="宋体"/>
                <w:color w:val="auto"/>
                <w:sz w:val="24"/>
                <w:highlight w:val="none"/>
              </w:rPr>
              <w:t>436</w:t>
            </w:r>
          </w:p>
        </w:tc>
        <w:tc>
          <w:tcPr>
            <w:tcW w:w="825" w:type="dxa"/>
            <w:vAlign w:val="center"/>
          </w:tcPr>
          <w:p w14:paraId="06C58770">
            <w:pPr>
              <w:jc w:val="center"/>
              <w:rPr>
                <w:rFonts w:ascii="宋体" w:hAnsi="宋体" w:cs="宋体"/>
                <w:color w:val="auto"/>
                <w:sz w:val="24"/>
                <w:highlight w:val="none"/>
              </w:rPr>
            </w:pPr>
            <w:r>
              <w:rPr>
                <w:rFonts w:hint="eastAsia" w:ascii="宋体" w:hAnsi="宋体" w:cs="宋体"/>
                <w:color w:val="auto"/>
                <w:sz w:val="24"/>
                <w:highlight w:val="none"/>
              </w:rPr>
              <w:t>6</w:t>
            </w:r>
          </w:p>
        </w:tc>
        <w:tc>
          <w:tcPr>
            <w:tcW w:w="2273" w:type="dxa"/>
            <w:vAlign w:val="center"/>
          </w:tcPr>
          <w:p w14:paraId="26D939DD">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5DF321E5">
            <w:pPr>
              <w:jc w:val="center"/>
              <w:rPr>
                <w:rFonts w:ascii="宋体" w:hAnsi="宋体" w:cs="宋体"/>
                <w:color w:val="auto"/>
                <w:sz w:val="24"/>
                <w:highlight w:val="none"/>
              </w:rPr>
            </w:pPr>
            <w:r>
              <w:rPr>
                <w:rFonts w:hint="eastAsia" w:ascii="宋体" w:hAnsi="宋体" w:cs="宋体"/>
                <w:color w:val="auto"/>
                <w:sz w:val="24"/>
                <w:highlight w:val="none"/>
              </w:rPr>
              <w:t>135160</w:t>
            </w:r>
          </w:p>
        </w:tc>
      </w:tr>
      <w:tr w14:paraId="6F90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29" w:type="dxa"/>
            <w:vAlign w:val="center"/>
          </w:tcPr>
          <w:p w14:paraId="5DCA3FDD">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526" w:type="dxa"/>
            <w:vAlign w:val="center"/>
          </w:tcPr>
          <w:p w14:paraId="00BDF753">
            <w:pPr>
              <w:jc w:val="center"/>
              <w:rPr>
                <w:rFonts w:ascii="宋体" w:hAnsi="宋体" w:cs="宋体"/>
                <w:color w:val="auto"/>
                <w:sz w:val="24"/>
                <w:highlight w:val="none"/>
              </w:rPr>
            </w:pPr>
            <w:r>
              <w:rPr>
                <w:rFonts w:hint="eastAsia" w:ascii="宋体" w:hAnsi="宋体" w:cs="宋体"/>
                <w:color w:val="auto"/>
                <w:sz w:val="24"/>
                <w:highlight w:val="none"/>
              </w:rPr>
              <w:t>小梅村</w:t>
            </w:r>
          </w:p>
        </w:tc>
        <w:tc>
          <w:tcPr>
            <w:tcW w:w="1526" w:type="dxa"/>
            <w:vAlign w:val="center"/>
          </w:tcPr>
          <w:p w14:paraId="2E761197">
            <w:pPr>
              <w:jc w:val="center"/>
              <w:rPr>
                <w:rFonts w:ascii="宋体" w:hAnsi="宋体" w:cs="宋体"/>
                <w:color w:val="auto"/>
                <w:sz w:val="24"/>
                <w:highlight w:val="none"/>
              </w:rPr>
            </w:pPr>
            <w:r>
              <w:rPr>
                <w:rFonts w:hint="eastAsia" w:ascii="宋体" w:hAnsi="宋体" w:cs="宋体"/>
                <w:color w:val="auto"/>
                <w:sz w:val="24"/>
                <w:highlight w:val="none"/>
              </w:rPr>
              <w:t>梅东B区</w:t>
            </w:r>
          </w:p>
        </w:tc>
        <w:tc>
          <w:tcPr>
            <w:tcW w:w="957" w:type="dxa"/>
            <w:vAlign w:val="center"/>
          </w:tcPr>
          <w:p w14:paraId="3363EF00">
            <w:pPr>
              <w:jc w:val="center"/>
              <w:rPr>
                <w:rFonts w:ascii="宋体" w:hAnsi="宋体" w:cs="宋体"/>
                <w:color w:val="auto"/>
                <w:sz w:val="24"/>
                <w:highlight w:val="none"/>
              </w:rPr>
            </w:pPr>
            <w:r>
              <w:rPr>
                <w:rFonts w:hint="eastAsia" w:ascii="宋体" w:hAnsi="宋体" w:cs="宋体"/>
                <w:color w:val="auto"/>
                <w:sz w:val="24"/>
                <w:highlight w:val="none"/>
              </w:rPr>
              <w:t>330</w:t>
            </w:r>
          </w:p>
        </w:tc>
        <w:tc>
          <w:tcPr>
            <w:tcW w:w="990" w:type="dxa"/>
            <w:vAlign w:val="center"/>
          </w:tcPr>
          <w:p w14:paraId="709838C9">
            <w:pPr>
              <w:jc w:val="center"/>
              <w:rPr>
                <w:rFonts w:ascii="宋体" w:hAnsi="宋体" w:cs="宋体"/>
                <w:color w:val="auto"/>
                <w:sz w:val="24"/>
                <w:highlight w:val="none"/>
              </w:rPr>
            </w:pPr>
            <w:r>
              <w:rPr>
                <w:rFonts w:hint="eastAsia" w:ascii="宋体" w:hAnsi="宋体" w:cs="宋体"/>
                <w:color w:val="auto"/>
                <w:sz w:val="24"/>
                <w:highlight w:val="none"/>
              </w:rPr>
              <w:t>300</w:t>
            </w:r>
          </w:p>
        </w:tc>
        <w:tc>
          <w:tcPr>
            <w:tcW w:w="825" w:type="dxa"/>
            <w:vAlign w:val="center"/>
          </w:tcPr>
          <w:p w14:paraId="489614E3">
            <w:pPr>
              <w:jc w:val="center"/>
              <w:rPr>
                <w:rFonts w:ascii="宋体" w:hAnsi="宋体" w:cs="宋体"/>
                <w:color w:val="auto"/>
                <w:sz w:val="24"/>
                <w:highlight w:val="none"/>
              </w:rPr>
            </w:pPr>
            <w:r>
              <w:rPr>
                <w:rFonts w:hint="eastAsia" w:ascii="宋体" w:hAnsi="宋体" w:cs="宋体"/>
                <w:color w:val="auto"/>
                <w:sz w:val="24"/>
                <w:highlight w:val="none"/>
              </w:rPr>
              <w:t>4</w:t>
            </w:r>
          </w:p>
        </w:tc>
        <w:tc>
          <w:tcPr>
            <w:tcW w:w="2273" w:type="dxa"/>
            <w:vAlign w:val="center"/>
          </w:tcPr>
          <w:p w14:paraId="72DFEDC7">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3668EBDC">
            <w:pPr>
              <w:jc w:val="center"/>
              <w:rPr>
                <w:rFonts w:ascii="宋体" w:hAnsi="宋体" w:cs="宋体"/>
                <w:color w:val="auto"/>
                <w:sz w:val="24"/>
                <w:highlight w:val="none"/>
              </w:rPr>
            </w:pPr>
            <w:r>
              <w:rPr>
                <w:rFonts w:hint="eastAsia" w:ascii="宋体" w:hAnsi="宋体" w:cs="宋体"/>
                <w:color w:val="auto"/>
                <w:sz w:val="24"/>
                <w:highlight w:val="none"/>
              </w:rPr>
              <w:t>93000</w:t>
            </w:r>
          </w:p>
        </w:tc>
      </w:tr>
      <w:tr w14:paraId="5C18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69ED856B">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526" w:type="dxa"/>
            <w:vAlign w:val="center"/>
          </w:tcPr>
          <w:p w14:paraId="0A3D812F">
            <w:pPr>
              <w:jc w:val="center"/>
              <w:rPr>
                <w:rFonts w:ascii="宋体" w:hAnsi="宋体" w:cs="宋体"/>
                <w:color w:val="auto"/>
                <w:sz w:val="24"/>
                <w:highlight w:val="none"/>
              </w:rPr>
            </w:pPr>
            <w:r>
              <w:rPr>
                <w:rFonts w:hint="eastAsia" w:ascii="宋体" w:hAnsi="宋体" w:cs="宋体"/>
                <w:color w:val="auto"/>
                <w:sz w:val="24"/>
                <w:highlight w:val="none"/>
              </w:rPr>
              <w:t>莫家田社区</w:t>
            </w:r>
          </w:p>
        </w:tc>
        <w:tc>
          <w:tcPr>
            <w:tcW w:w="1526" w:type="dxa"/>
            <w:vAlign w:val="center"/>
          </w:tcPr>
          <w:p w14:paraId="3E704BBB">
            <w:pPr>
              <w:jc w:val="center"/>
              <w:rPr>
                <w:rFonts w:ascii="宋体" w:hAnsi="宋体" w:cs="宋体"/>
                <w:color w:val="auto"/>
                <w:sz w:val="24"/>
                <w:highlight w:val="none"/>
              </w:rPr>
            </w:pPr>
            <w:r>
              <w:rPr>
                <w:rFonts w:hint="eastAsia" w:ascii="宋体" w:hAnsi="宋体" w:cs="宋体"/>
                <w:color w:val="auto"/>
                <w:sz w:val="24"/>
                <w:highlight w:val="none"/>
              </w:rPr>
              <w:t>梅东C区</w:t>
            </w:r>
          </w:p>
        </w:tc>
        <w:tc>
          <w:tcPr>
            <w:tcW w:w="957" w:type="dxa"/>
            <w:vAlign w:val="center"/>
          </w:tcPr>
          <w:p w14:paraId="32FC95EB">
            <w:pPr>
              <w:jc w:val="center"/>
              <w:rPr>
                <w:rFonts w:ascii="宋体" w:hAnsi="宋体" w:cs="宋体"/>
                <w:color w:val="auto"/>
                <w:sz w:val="24"/>
                <w:highlight w:val="none"/>
              </w:rPr>
            </w:pPr>
            <w:r>
              <w:rPr>
                <w:rFonts w:hint="eastAsia" w:ascii="宋体" w:hAnsi="宋体" w:cs="宋体"/>
                <w:color w:val="auto"/>
                <w:sz w:val="24"/>
                <w:highlight w:val="none"/>
              </w:rPr>
              <w:t>114</w:t>
            </w:r>
          </w:p>
        </w:tc>
        <w:tc>
          <w:tcPr>
            <w:tcW w:w="990" w:type="dxa"/>
            <w:vAlign w:val="center"/>
          </w:tcPr>
          <w:p w14:paraId="69830297">
            <w:pPr>
              <w:jc w:val="center"/>
              <w:rPr>
                <w:rFonts w:ascii="宋体" w:hAnsi="宋体" w:cs="宋体"/>
                <w:color w:val="auto"/>
                <w:sz w:val="24"/>
                <w:highlight w:val="none"/>
              </w:rPr>
            </w:pPr>
            <w:r>
              <w:rPr>
                <w:rFonts w:hint="eastAsia" w:ascii="宋体" w:hAnsi="宋体" w:cs="宋体"/>
                <w:color w:val="auto"/>
                <w:sz w:val="24"/>
                <w:highlight w:val="none"/>
              </w:rPr>
              <w:t>114</w:t>
            </w:r>
          </w:p>
        </w:tc>
        <w:tc>
          <w:tcPr>
            <w:tcW w:w="825" w:type="dxa"/>
            <w:vAlign w:val="center"/>
          </w:tcPr>
          <w:p w14:paraId="3FA61A1F">
            <w:pPr>
              <w:jc w:val="center"/>
              <w:rPr>
                <w:rFonts w:ascii="宋体" w:hAnsi="宋体" w:cs="宋体"/>
                <w:color w:val="auto"/>
                <w:sz w:val="24"/>
                <w:highlight w:val="none"/>
              </w:rPr>
            </w:pPr>
            <w:r>
              <w:rPr>
                <w:rFonts w:hint="eastAsia" w:ascii="宋体" w:hAnsi="宋体" w:cs="宋体"/>
                <w:color w:val="auto"/>
                <w:sz w:val="24"/>
                <w:highlight w:val="none"/>
              </w:rPr>
              <w:t>2</w:t>
            </w:r>
          </w:p>
        </w:tc>
        <w:tc>
          <w:tcPr>
            <w:tcW w:w="2273" w:type="dxa"/>
            <w:vAlign w:val="center"/>
          </w:tcPr>
          <w:p w14:paraId="57C0553D">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10B5E7E1">
            <w:pPr>
              <w:jc w:val="center"/>
              <w:rPr>
                <w:rFonts w:ascii="宋体" w:hAnsi="宋体" w:cs="宋体"/>
                <w:color w:val="auto"/>
                <w:sz w:val="24"/>
                <w:highlight w:val="none"/>
              </w:rPr>
            </w:pPr>
            <w:r>
              <w:rPr>
                <w:rFonts w:hint="eastAsia" w:ascii="宋体" w:hAnsi="宋体" w:cs="宋体"/>
                <w:color w:val="auto"/>
                <w:sz w:val="24"/>
                <w:highlight w:val="none"/>
              </w:rPr>
              <w:t>65700</w:t>
            </w:r>
          </w:p>
        </w:tc>
      </w:tr>
      <w:tr w14:paraId="0282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40C9BFA5">
            <w:pPr>
              <w:jc w:val="center"/>
              <w:rPr>
                <w:rFonts w:ascii="宋体" w:hAnsi="宋体" w:cs="宋体"/>
                <w:color w:val="auto"/>
                <w:sz w:val="24"/>
                <w:highlight w:val="none"/>
              </w:rPr>
            </w:pPr>
            <w:r>
              <w:rPr>
                <w:rFonts w:hint="eastAsia" w:ascii="宋体" w:hAnsi="宋体" w:cs="宋体"/>
                <w:color w:val="auto"/>
                <w:sz w:val="24"/>
                <w:highlight w:val="none"/>
              </w:rPr>
              <w:t>13</w:t>
            </w:r>
          </w:p>
        </w:tc>
        <w:tc>
          <w:tcPr>
            <w:tcW w:w="1526" w:type="dxa"/>
            <w:vAlign w:val="center"/>
          </w:tcPr>
          <w:p w14:paraId="7BB21C73">
            <w:pPr>
              <w:jc w:val="center"/>
              <w:rPr>
                <w:rFonts w:ascii="宋体" w:hAnsi="宋体" w:cs="宋体"/>
                <w:color w:val="auto"/>
                <w:sz w:val="24"/>
                <w:highlight w:val="none"/>
              </w:rPr>
            </w:pPr>
            <w:r>
              <w:rPr>
                <w:rFonts w:hint="eastAsia" w:ascii="宋体" w:hAnsi="宋体" w:cs="宋体"/>
                <w:color w:val="auto"/>
                <w:sz w:val="24"/>
                <w:highlight w:val="none"/>
              </w:rPr>
              <w:t>莫家田社区</w:t>
            </w:r>
          </w:p>
        </w:tc>
        <w:tc>
          <w:tcPr>
            <w:tcW w:w="1526" w:type="dxa"/>
            <w:vAlign w:val="center"/>
          </w:tcPr>
          <w:p w14:paraId="1EE27956">
            <w:pPr>
              <w:jc w:val="center"/>
              <w:rPr>
                <w:rFonts w:ascii="宋体" w:hAnsi="宋体" w:cs="宋体"/>
                <w:color w:val="auto"/>
                <w:sz w:val="24"/>
                <w:highlight w:val="none"/>
              </w:rPr>
            </w:pPr>
            <w:r>
              <w:rPr>
                <w:rFonts w:hint="eastAsia" w:ascii="宋体" w:hAnsi="宋体" w:cs="宋体"/>
                <w:color w:val="auto"/>
                <w:sz w:val="24"/>
                <w:highlight w:val="none"/>
              </w:rPr>
              <w:t>梅东D区</w:t>
            </w:r>
          </w:p>
        </w:tc>
        <w:tc>
          <w:tcPr>
            <w:tcW w:w="957" w:type="dxa"/>
            <w:vAlign w:val="center"/>
          </w:tcPr>
          <w:p w14:paraId="205484CF">
            <w:pPr>
              <w:jc w:val="center"/>
              <w:rPr>
                <w:rFonts w:ascii="宋体" w:hAnsi="宋体" w:cs="宋体"/>
                <w:color w:val="auto"/>
                <w:sz w:val="24"/>
                <w:highlight w:val="none"/>
              </w:rPr>
            </w:pPr>
            <w:r>
              <w:rPr>
                <w:rFonts w:hint="eastAsia" w:ascii="宋体" w:hAnsi="宋体" w:cs="宋体"/>
                <w:color w:val="auto"/>
                <w:sz w:val="24"/>
                <w:highlight w:val="none"/>
              </w:rPr>
              <w:t>470</w:t>
            </w:r>
          </w:p>
        </w:tc>
        <w:tc>
          <w:tcPr>
            <w:tcW w:w="990" w:type="dxa"/>
            <w:vAlign w:val="center"/>
          </w:tcPr>
          <w:p w14:paraId="440BE33A">
            <w:pPr>
              <w:jc w:val="center"/>
              <w:rPr>
                <w:rFonts w:ascii="宋体" w:hAnsi="宋体" w:cs="宋体"/>
                <w:color w:val="auto"/>
                <w:sz w:val="24"/>
                <w:highlight w:val="none"/>
              </w:rPr>
            </w:pPr>
            <w:r>
              <w:rPr>
                <w:rFonts w:hint="eastAsia" w:ascii="宋体" w:hAnsi="宋体" w:cs="宋体"/>
                <w:color w:val="auto"/>
                <w:sz w:val="24"/>
                <w:highlight w:val="none"/>
              </w:rPr>
              <w:t>470</w:t>
            </w:r>
          </w:p>
        </w:tc>
        <w:tc>
          <w:tcPr>
            <w:tcW w:w="825" w:type="dxa"/>
            <w:vAlign w:val="center"/>
          </w:tcPr>
          <w:p w14:paraId="6495F12E">
            <w:pPr>
              <w:jc w:val="center"/>
              <w:rPr>
                <w:rFonts w:ascii="宋体" w:hAnsi="宋体" w:cs="宋体"/>
                <w:color w:val="auto"/>
                <w:sz w:val="24"/>
                <w:highlight w:val="none"/>
              </w:rPr>
            </w:pPr>
            <w:r>
              <w:rPr>
                <w:rFonts w:hint="eastAsia" w:ascii="宋体" w:hAnsi="宋体" w:cs="宋体"/>
                <w:color w:val="auto"/>
                <w:sz w:val="24"/>
                <w:highlight w:val="none"/>
              </w:rPr>
              <w:t>6</w:t>
            </w:r>
          </w:p>
        </w:tc>
        <w:tc>
          <w:tcPr>
            <w:tcW w:w="2273" w:type="dxa"/>
            <w:vAlign w:val="center"/>
          </w:tcPr>
          <w:p w14:paraId="398FF765">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75435391">
            <w:pPr>
              <w:jc w:val="center"/>
              <w:rPr>
                <w:rFonts w:ascii="宋体" w:hAnsi="宋体" w:cs="宋体"/>
                <w:color w:val="auto"/>
                <w:sz w:val="24"/>
                <w:highlight w:val="none"/>
              </w:rPr>
            </w:pPr>
            <w:r>
              <w:rPr>
                <w:rFonts w:hint="eastAsia" w:ascii="宋体" w:hAnsi="宋体" w:cs="宋体"/>
                <w:color w:val="auto"/>
                <w:sz w:val="24"/>
                <w:highlight w:val="none"/>
              </w:rPr>
              <w:t>145700</w:t>
            </w:r>
          </w:p>
        </w:tc>
      </w:tr>
      <w:tr w14:paraId="45D4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29" w:type="dxa"/>
            <w:vAlign w:val="center"/>
          </w:tcPr>
          <w:p w14:paraId="65B1D12C">
            <w:pPr>
              <w:jc w:val="center"/>
              <w:rPr>
                <w:rFonts w:ascii="宋体" w:hAnsi="宋体" w:cs="宋体"/>
                <w:color w:val="auto"/>
                <w:sz w:val="24"/>
                <w:highlight w:val="none"/>
              </w:rPr>
            </w:pPr>
            <w:r>
              <w:rPr>
                <w:rFonts w:hint="eastAsia" w:ascii="宋体" w:hAnsi="宋体" w:cs="宋体"/>
                <w:color w:val="auto"/>
                <w:sz w:val="24"/>
                <w:highlight w:val="none"/>
              </w:rPr>
              <w:t>14</w:t>
            </w:r>
          </w:p>
        </w:tc>
        <w:tc>
          <w:tcPr>
            <w:tcW w:w="1526" w:type="dxa"/>
            <w:vAlign w:val="center"/>
          </w:tcPr>
          <w:p w14:paraId="57FD9FBD">
            <w:pPr>
              <w:jc w:val="center"/>
              <w:rPr>
                <w:rFonts w:ascii="宋体" w:hAnsi="宋体" w:cs="宋体"/>
                <w:color w:val="auto"/>
                <w:sz w:val="24"/>
                <w:highlight w:val="none"/>
              </w:rPr>
            </w:pPr>
            <w:r>
              <w:rPr>
                <w:rFonts w:hint="eastAsia" w:ascii="宋体" w:hAnsi="宋体" w:cs="宋体"/>
                <w:color w:val="auto"/>
                <w:sz w:val="24"/>
                <w:highlight w:val="none"/>
              </w:rPr>
              <w:t>黄龙洞村</w:t>
            </w:r>
          </w:p>
        </w:tc>
        <w:tc>
          <w:tcPr>
            <w:tcW w:w="1526" w:type="dxa"/>
            <w:vAlign w:val="center"/>
          </w:tcPr>
          <w:p w14:paraId="071254AC">
            <w:pPr>
              <w:jc w:val="center"/>
              <w:rPr>
                <w:rFonts w:ascii="宋体" w:hAnsi="宋体" w:cs="宋体"/>
                <w:color w:val="auto"/>
                <w:sz w:val="24"/>
                <w:highlight w:val="none"/>
              </w:rPr>
            </w:pPr>
            <w:r>
              <w:rPr>
                <w:rFonts w:hint="eastAsia" w:ascii="宋体" w:hAnsi="宋体" w:cs="宋体"/>
                <w:color w:val="auto"/>
                <w:sz w:val="24"/>
                <w:highlight w:val="none"/>
              </w:rPr>
              <w:t>黄龙花园</w:t>
            </w:r>
          </w:p>
        </w:tc>
        <w:tc>
          <w:tcPr>
            <w:tcW w:w="957" w:type="dxa"/>
            <w:vAlign w:val="center"/>
          </w:tcPr>
          <w:p w14:paraId="6B4D3A36">
            <w:pPr>
              <w:jc w:val="center"/>
              <w:rPr>
                <w:rFonts w:ascii="宋体" w:hAnsi="宋体" w:cs="宋体"/>
                <w:color w:val="auto"/>
                <w:sz w:val="24"/>
                <w:highlight w:val="none"/>
              </w:rPr>
            </w:pPr>
            <w:r>
              <w:rPr>
                <w:rFonts w:hint="eastAsia" w:ascii="宋体" w:hAnsi="宋体" w:cs="宋体"/>
                <w:color w:val="auto"/>
                <w:sz w:val="24"/>
                <w:highlight w:val="none"/>
              </w:rPr>
              <w:t>400</w:t>
            </w:r>
          </w:p>
        </w:tc>
        <w:tc>
          <w:tcPr>
            <w:tcW w:w="990" w:type="dxa"/>
            <w:vAlign w:val="center"/>
          </w:tcPr>
          <w:p w14:paraId="772B081A">
            <w:pPr>
              <w:jc w:val="center"/>
              <w:rPr>
                <w:rFonts w:ascii="宋体" w:hAnsi="宋体" w:cs="宋体"/>
                <w:color w:val="auto"/>
                <w:sz w:val="24"/>
                <w:highlight w:val="none"/>
              </w:rPr>
            </w:pPr>
            <w:r>
              <w:rPr>
                <w:rFonts w:hint="eastAsia" w:ascii="宋体" w:hAnsi="宋体" w:cs="宋体"/>
                <w:color w:val="auto"/>
                <w:sz w:val="24"/>
                <w:highlight w:val="none"/>
              </w:rPr>
              <w:t>400</w:t>
            </w:r>
          </w:p>
        </w:tc>
        <w:tc>
          <w:tcPr>
            <w:tcW w:w="825" w:type="dxa"/>
            <w:vAlign w:val="center"/>
          </w:tcPr>
          <w:p w14:paraId="54C2BEFF">
            <w:pPr>
              <w:jc w:val="center"/>
              <w:rPr>
                <w:rFonts w:ascii="宋体" w:hAnsi="宋体" w:cs="宋体"/>
                <w:color w:val="auto"/>
                <w:sz w:val="24"/>
                <w:highlight w:val="none"/>
              </w:rPr>
            </w:pPr>
            <w:r>
              <w:rPr>
                <w:rFonts w:hint="eastAsia" w:ascii="宋体" w:hAnsi="宋体" w:cs="宋体"/>
                <w:color w:val="auto"/>
                <w:sz w:val="24"/>
                <w:highlight w:val="none"/>
              </w:rPr>
              <w:t>2</w:t>
            </w:r>
          </w:p>
        </w:tc>
        <w:tc>
          <w:tcPr>
            <w:tcW w:w="2273" w:type="dxa"/>
            <w:vAlign w:val="center"/>
          </w:tcPr>
          <w:p w14:paraId="6D3FF199">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211" w:type="dxa"/>
            <w:vAlign w:val="center"/>
          </w:tcPr>
          <w:p w14:paraId="0AEE98D9">
            <w:pPr>
              <w:jc w:val="center"/>
              <w:rPr>
                <w:rFonts w:ascii="宋体" w:hAnsi="宋体" w:cs="宋体"/>
                <w:color w:val="auto"/>
                <w:sz w:val="24"/>
                <w:highlight w:val="none"/>
              </w:rPr>
            </w:pPr>
            <w:r>
              <w:rPr>
                <w:rFonts w:hint="eastAsia" w:ascii="宋体" w:hAnsi="宋体" w:cs="宋体"/>
                <w:color w:val="auto"/>
                <w:sz w:val="24"/>
                <w:highlight w:val="none"/>
              </w:rPr>
              <w:t>124000</w:t>
            </w:r>
          </w:p>
        </w:tc>
      </w:tr>
      <w:tr w14:paraId="47E9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5139856B">
            <w:pPr>
              <w:jc w:val="center"/>
              <w:rPr>
                <w:rFonts w:ascii="宋体" w:hAnsi="宋体" w:cs="宋体"/>
                <w:color w:val="auto"/>
                <w:sz w:val="24"/>
                <w:highlight w:val="none"/>
              </w:rPr>
            </w:pPr>
            <w:r>
              <w:rPr>
                <w:rFonts w:hint="eastAsia" w:ascii="宋体" w:hAnsi="宋体" w:cs="宋体"/>
                <w:color w:val="auto"/>
                <w:sz w:val="24"/>
                <w:highlight w:val="none"/>
              </w:rPr>
              <w:t>15</w:t>
            </w:r>
          </w:p>
        </w:tc>
        <w:tc>
          <w:tcPr>
            <w:tcW w:w="1526" w:type="dxa"/>
            <w:vAlign w:val="center"/>
          </w:tcPr>
          <w:p w14:paraId="23E50685">
            <w:pPr>
              <w:jc w:val="center"/>
              <w:rPr>
                <w:rFonts w:ascii="宋体" w:hAnsi="宋体" w:cs="宋体"/>
                <w:color w:val="auto"/>
                <w:sz w:val="24"/>
                <w:highlight w:val="none"/>
              </w:rPr>
            </w:pPr>
            <w:r>
              <w:rPr>
                <w:rFonts w:hint="eastAsia" w:ascii="宋体" w:hAnsi="宋体" w:cs="宋体"/>
                <w:color w:val="auto"/>
                <w:sz w:val="24"/>
                <w:highlight w:val="none"/>
              </w:rPr>
              <w:t>黄龙洞村</w:t>
            </w:r>
          </w:p>
        </w:tc>
        <w:tc>
          <w:tcPr>
            <w:tcW w:w="1526" w:type="dxa"/>
            <w:vAlign w:val="center"/>
          </w:tcPr>
          <w:p w14:paraId="0BBD9414">
            <w:pPr>
              <w:jc w:val="center"/>
              <w:rPr>
                <w:rFonts w:ascii="宋体" w:hAnsi="宋体" w:cs="宋体"/>
                <w:color w:val="auto"/>
                <w:sz w:val="24"/>
                <w:highlight w:val="none"/>
              </w:rPr>
            </w:pPr>
            <w:r>
              <w:rPr>
                <w:rFonts w:hint="eastAsia" w:ascii="宋体" w:hAnsi="宋体" w:cs="宋体"/>
                <w:color w:val="auto"/>
                <w:sz w:val="24"/>
                <w:highlight w:val="none"/>
              </w:rPr>
              <w:t>渔湾新村</w:t>
            </w:r>
          </w:p>
        </w:tc>
        <w:tc>
          <w:tcPr>
            <w:tcW w:w="957" w:type="dxa"/>
            <w:vAlign w:val="center"/>
          </w:tcPr>
          <w:p w14:paraId="66736D48">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990" w:type="dxa"/>
            <w:vAlign w:val="center"/>
          </w:tcPr>
          <w:p w14:paraId="059E49F2">
            <w:pPr>
              <w:jc w:val="center"/>
              <w:rPr>
                <w:rFonts w:ascii="宋体" w:hAnsi="宋体" w:cs="宋体"/>
                <w:color w:val="auto"/>
                <w:sz w:val="24"/>
                <w:highlight w:val="none"/>
              </w:rPr>
            </w:pPr>
            <w:r>
              <w:rPr>
                <w:rFonts w:hint="eastAsia" w:ascii="宋体" w:hAnsi="宋体" w:cs="宋体"/>
                <w:color w:val="auto"/>
                <w:sz w:val="24"/>
                <w:highlight w:val="none"/>
              </w:rPr>
              <w:t>120</w:t>
            </w:r>
          </w:p>
        </w:tc>
        <w:tc>
          <w:tcPr>
            <w:tcW w:w="825" w:type="dxa"/>
            <w:vAlign w:val="center"/>
          </w:tcPr>
          <w:p w14:paraId="12FD2E5B">
            <w:pPr>
              <w:jc w:val="center"/>
              <w:rPr>
                <w:rFonts w:ascii="宋体" w:hAnsi="宋体" w:cs="宋体"/>
                <w:color w:val="auto"/>
                <w:sz w:val="24"/>
                <w:highlight w:val="none"/>
              </w:rPr>
            </w:pPr>
            <w:r>
              <w:rPr>
                <w:rFonts w:hint="eastAsia" w:ascii="宋体" w:hAnsi="宋体" w:cs="宋体"/>
                <w:color w:val="auto"/>
                <w:sz w:val="24"/>
                <w:highlight w:val="none"/>
              </w:rPr>
              <w:t>2</w:t>
            </w:r>
          </w:p>
        </w:tc>
        <w:tc>
          <w:tcPr>
            <w:tcW w:w="2273" w:type="dxa"/>
            <w:vAlign w:val="center"/>
          </w:tcPr>
          <w:p w14:paraId="37D47280">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1875490D">
            <w:pPr>
              <w:jc w:val="center"/>
              <w:rPr>
                <w:rFonts w:ascii="宋体" w:hAnsi="宋体" w:cs="宋体"/>
                <w:color w:val="auto"/>
                <w:sz w:val="24"/>
                <w:highlight w:val="none"/>
              </w:rPr>
            </w:pPr>
            <w:r>
              <w:rPr>
                <w:rFonts w:hint="eastAsia" w:ascii="宋体" w:hAnsi="宋体" w:cs="宋体"/>
                <w:color w:val="auto"/>
                <w:sz w:val="24"/>
                <w:highlight w:val="none"/>
              </w:rPr>
              <w:t>66000</w:t>
            </w:r>
          </w:p>
        </w:tc>
      </w:tr>
      <w:tr w14:paraId="0706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2EEEDCAB">
            <w:pPr>
              <w:jc w:val="center"/>
              <w:rPr>
                <w:rFonts w:ascii="宋体" w:hAnsi="宋体" w:cs="宋体"/>
                <w:color w:val="auto"/>
                <w:sz w:val="24"/>
                <w:highlight w:val="none"/>
              </w:rPr>
            </w:pPr>
            <w:r>
              <w:rPr>
                <w:rFonts w:hint="eastAsia" w:ascii="宋体" w:hAnsi="宋体" w:cs="宋体"/>
                <w:color w:val="auto"/>
                <w:sz w:val="24"/>
                <w:highlight w:val="none"/>
              </w:rPr>
              <w:t>16</w:t>
            </w:r>
          </w:p>
        </w:tc>
        <w:tc>
          <w:tcPr>
            <w:tcW w:w="1526" w:type="dxa"/>
            <w:vAlign w:val="center"/>
          </w:tcPr>
          <w:p w14:paraId="0831CE5D">
            <w:pPr>
              <w:jc w:val="center"/>
              <w:rPr>
                <w:rFonts w:ascii="宋体" w:hAnsi="宋体" w:cs="宋体"/>
                <w:color w:val="auto"/>
                <w:sz w:val="24"/>
                <w:highlight w:val="none"/>
              </w:rPr>
            </w:pPr>
            <w:r>
              <w:rPr>
                <w:rFonts w:hint="eastAsia" w:ascii="宋体" w:hAnsi="宋体" w:cs="宋体"/>
                <w:color w:val="auto"/>
                <w:sz w:val="24"/>
                <w:highlight w:val="none"/>
              </w:rPr>
              <w:t>丘城社区</w:t>
            </w:r>
          </w:p>
        </w:tc>
        <w:tc>
          <w:tcPr>
            <w:tcW w:w="1526" w:type="dxa"/>
            <w:vAlign w:val="center"/>
          </w:tcPr>
          <w:p w14:paraId="49EC2F33">
            <w:pPr>
              <w:jc w:val="center"/>
              <w:rPr>
                <w:rFonts w:ascii="宋体" w:hAnsi="宋体" w:cs="宋体"/>
                <w:color w:val="auto"/>
                <w:sz w:val="24"/>
                <w:highlight w:val="none"/>
              </w:rPr>
            </w:pPr>
            <w:r>
              <w:rPr>
                <w:rFonts w:hint="eastAsia" w:ascii="宋体" w:hAnsi="宋体" w:cs="宋体"/>
                <w:color w:val="auto"/>
                <w:sz w:val="24"/>
                <w:highlight w:val="none"/>
              </w:rPr>
              <w:t>太湖兰庭</w:t>
            </w:r>
          </w:p>
        </w:tc>
        <w:tc>
          <w:tcPr>
            <w:tcW w:w="957" w:type="dxa"/>
            <w:vAlign w:val="center"/>
          </w:tcPr>
          <w:p w14:paraId="70D5FF95">
            <w:pPr>
              <w:jc w:val="center"/>
              <w:rPr>
                <w:rFonts w:ascii="宋体" w:hAnsi="宋体" w:cs="宋体"/>
                <w:color w:val="auto"/>
                <w:sz w:val="24"/>
                <w:highlight w:val="none"/>
              </w:rPr>
            </w:pPr>
            <w:r>
              <w:rPr>
                <w:rFonts w:hint="eastAsia" w:ascii="宋体" w:hAnsi="宋体" w:cs="宋体"/>
                <w:color w:val="auto"/>
                <w:sz w:val="24"/>
                <w:highlight w:val="none"/>
              </w:rPr>
              <w:t>135</w:t>
            </w:r>
          </w:p>
        </w:tc>
        <w:tc>
          <w:tcPr>
            <w:tcW w:w="990" w:type="dxa"/>
            <w:vAlign w:val="center"/>
          </w:tcPr>
          <w:p w14:paraId="5F1590BA">
            <w:pPr>
              <w:jc w:val="center"/>
              <w:rPr>
                <w:rFonts w:ascii="宋体" w:hAnsi="宋体" w:cs="宋体"/>
                <w:color w:val="auto"/>
                <w:sz w:val="24"/>
                <w:highlight w:val="none"/>
              </w:rPr>
            </w:pPr>
            <w:r>
              <w:rPr>
                <w:rFonts w:hint="eastAsia" w:ascii="宋体" w:hAnsi="宋体" w:cs="宋体"/>
                <w:color w:val="auto"/>
                <w:sz w:val="24"/>
                <w:highlight w:val="none"/>
              </w:rPr>
              <w:t>121</w:t>
            </w:r>
          </w:p>
        </w:tc>
        <w:tc>
          <w:tcPr>
            <w:tcW w:w="825" w:type="dxa"/>
            <w:vAlign w:val="center"/>
          </w:tcPr>
          <w:p w14:paraId="4342BA4C">
            <w:pPr>
              <w:jc w:val="center"/>
              <w:rPr>
                <w:rFonts w:ascii="宋体" w:hAnsi="宋体" w:cs="宋体"/>
                <w:color w:val="auto"/>
                <w:sz w:val="24"/>
                <w:highlight w:val="none"/>
              </w:rPr>
            </w:pPr>
            <w:r>
              <w:rPr>
                <w:rFonts w:hint="eastAsia" w:ascii="宋体" w:hAnsi="宋体" w:cs="宋体"/>
                <w:color w:val="auto"/>
                <w:sz w:val="24"/>
                <w:highlight w:val="none"/>
              </w:rPr>
              <w:t>3</w:t>
            </w:r>
          </w:p>
        </w:tc>
        <w:tc>
          <w:tcPr>
            <w:tcW w:w="2273" w:type="dxa"/>
            <w:vAlign w:val="center"/>
          </w:tcPr>
          <w:p w14:paraId="7DDFF0EF">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5051571C">
            <w:pPr>
              <w:jc w:val="center"/>
              <w:rPr>
                <w:rFonts w:ascii="宋体" w:hAnsi="宋体" w:cs="宋体"/>
                <w:color w:val="auto"/>
                <w:sz w:val="24"/>
                <w:highlight w:val="none"/>
              </w:rPr>
            </w:pPr>
            <w:r>
              <w:rPr>
                <w:rFonts w:hint="eastAsia" w:ascii="宋体" w:hAnsi="宋体" w:cs="宋体"/>
                <w:color w:val="auto"/>
                <w:sz w:val="24"/>
                <w:highlight w:val="none"/>
              </w:rPr>
              <w:t>96050</w:t>
            </w:r>
          </w:p>
        </w:tc>
      </w:tr>
      <w:tr w14:paraId="641E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3CDE66D3">
            <w:pPr>
              <w:jc w:val="center"/>
              <w:rPr>
                <w:rFonts w:ascii="宋体" w:hAnsi="宋体" w:cs="宋体"/>
                <w:color w:val="auto"/>
                <w:sz w:val="24"/>
                <w:highlight w:val="none"/>
              </w:rPr>
            </w:pPr>
            <w:r>
              <w:rPr>
                <w:rFonts w:hint="eastAsia" w:ascii="宋体" w:hAnsi="宋体" w:cs="宋体"/>
                <w:color w:val="auto"/>
                <w:sz w:val="24"/>
                <w:highlight w:val="none"/>
              </w:rPr>
              <w:t>17</w:t>
            </w:r>
          </w:p>
        </w:tc>
        <w:tc>
          <w:tcPr>
            <w:tcW w:w="1526" w:type="dxa"/>
            <w:vAlign w:val="center"/>
          </w:tcPr>
          <w:p w14:paraId="51A28C35">
            <w:pPr>
              <w:jc w:val="center"/>
              <w:rPr>
                <w:rFonts w:ascii="宋体" w:hAnsi="宋体" w:cs="宋体"/>
                <w:color w:val="auto"/>
                <w:sz w:val="24"/>
                <w:highlight w:val="none"/>
              </w:rPr>
            </w:pPr>
            <w:r>
              <w:rPr>
                <w:rFonts w:hint="eastAsia" w:ascii="宋体" w:hAnsi="宋体" w:cs="宋体"/>
                <w:color w:val="auto"/>
                <w:sz w:val="24"/>
                <w:highlight w:val="none"/>
              </w:rPr>
              <w:t>丘城社区</w:t>
            </w:r>
          </w:p>
        </w:tc>
        <w:tc>
          <w:tcPr>
            <w:tcW w:w="1526" w:type="dxa"/>
            <w:vAlign w:val="center"/>
          </w:tcPr>
          <w:p w14:paraId="3B14739D">
            <w:pPr>
              <w:jc w:val="center"/>
              <w:rPr>
                <w:rFonts w:ascii="宋体" w:hAnsi="宋体" w:cs="宋体"/>
                <w:color w:val="auto"/>
                <w:sz w:val="24"/>
                <w:highlight w:val="none"/>
              </w:rPr>
            </w:pPr>
            <w:r>
              <w:rPr>
                <w:rFonts w:hint="eastAsia" w:ascii="宋体" w:hAnsi="宋体" w:cs="宋体"/>
                <w:color w:val="auto"/>
                <w:sz w:val="24"/>
                <w:highlight w:val="none"/>
              </w:rPr>
              <w:t>华萃庭院</w:t>
            </w:r>
          </w:p>
        </w:tc>
        <w:tc>
          <w:tcPr>
            <w:tcW w:w="957" w:type="dxa"/>
            <w:vAlign w:val="center"/>
          </w:tcPr>
          <w:p w14:paraId="215094B8">
            <w:pPr>
              <w:jc w:val="center"/>
              <w:rPr>
                <w:rFonts w:ascii="宋体" w:hAnsi="宋体" w:cs="宋体"/>
                <w:color w:val="auto"/>
                <w:sz w:val="24"/>
                <w:highlight w:val="none"/>
              </w:rPr>
            </w:pPr>
            <w:r>
              <w:rPr>
                <w:rFonts w:hint="eastAsia" w:ascii="宋体" w:hAnsi="宋体" w:cs="宋体"/>
                <w:color w:val="auto"/>
                <w:sz w:val="24"/>
                <w:highlight w:val="none"/>
              </w:rPr>
              <w:t>614</w:t>
            </w:r>
          </w:p>
        </w:tc>
        <w:tc>
          <w:tcPr>
            <w:tcW w:w="990" w:type="dxa"/>
            <w:vAlign w:val="center"/>
          </w:tcPr>
          <w:p w14:paraId="0985387B">
            <w:pPr>
              <w:jc w:val="center"/>
              <w:rPr>
                <w:rFonts w:ascii="宋体" w:hAnsi="宋体" w:cs="宋体"/>
                <w:color w:val="auto"/>
                <w:sz w:val="24"/>
                <w:highlight w:val="none"/>
              </w:rPr>
            </w:pPr>
            <w:r>
              <w:rPr>
                <w:rFonts w:hint="eastAsia" w:ascii="宋体" w:hAnsi="宋体" w:cs="宋体"/>
                <w:color w:val="auto"/>
                <w:sz w:val="24"/>
                <w:highlight w:val="none"/>
              </w:rPr>
              <w:t>491</w:t>
            </w:r>
          </w:p>
        </w:tc>
        <w:tc>
          <w:tcPr>
            <w:tcW w:w="825" w:type="dxa"/>
            <w:vAlign w:val="center"/>
          </w:tcPr>
          <w:p w14:paraId="6D5F72EC">
            <w:pPr>
              <w:jc w:val="center"/>
              <w:rPr>
                <w:rFonts w:ascii="宋体" w:hAnsi="宋体" w:cs="宋体"/>
                <w:color w:val="auto"/>
                <w:sz w:val="24"/>
                <w:highlight w:val="none"/>
              </w:rPr>
            </w:pPr>
            <w:r>
              <w:rPr>
                <w:rFonts w:hint="eastAsia" w:ascii="宋体" w:hAnsi="宋体" w:cs="宋体"/>
                <w:color w:val="auto"/>
                <w:sz w:val="24"/>
                <w:highlight w:val="none"/>
              </w:rPr>
              <w:t>5</w:t>
            </w:r>
          </w:p>
        </w:tc>
        <w:tc>
          <w:tcPr>
            <w:tcW w:w="2273" w:type="dxa"/>
            <w:vAlign w:val="center"/>
          </w:tcPr>
          <w:p w14:paraId="5C273FDA">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422A9F9D">
            <w:pPr>
              <w:jc w:val="center"/>
              <w:rPr>
                <w:rFonts w:ascii="宋体" w:hAnsi="宋体" w:cs="宋体"/>
                <w:color w:val="auto"/>
                <w:sz w:val="24"/>
                <w:highlight w:val="none"/>
              </w:rPr>
            </w:pPr>
            <w:r>
              <w:rPr>
                <w:rFonts w:hint="eastAsia" w:ascii="宋体" w:hAnsi="宋体" w:cs="宋体"/>
                <w:color w:val="auto"/>
                <w:sz w:val="24"/>
                <w:highlight w:val="none"/>
              </w:rPr>
              <w:t>174550</w:t>
            </w:r>
          </w:p>
        </w:tc>
      </w:tr>
      <w:tr w14:paraId="4F35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104565CC">
            <w:pPr>
              <w:jc w:val="center"/>
              <w:rPr>
                <w:rFonts w:ascii="宋体" w:hAnsi="宋体" w:cs="宋体"/>
                <w:color w:val="auto"/>
                <w:sz w:val="24"/>
                <w:highlight w:val="none"/>
              </w:rPr>
            </w:pPr>
            <w:r>
              <w:rPr>
                <w:rFonts w:hint="eastAsia" w:ascii="宋体" w:hAnsi="宋体" w:cs="宋体"/>
                <w:color w:val="auto"/>
                <w:sz w:val="24"/>
                <w:highlight w:val="none"/>
              </w:rPr>
              <w:t>18</w:t>
            </w:r>
          </w:p>
        </w:tc>
        <w:tc>
          <w:tcPr>
            <w:tcW w:w="1526" w:type="dxa"/>
            <w:vAlign w:val="center"/>
          </w:tcPr>
          <w:p w14:paraId="54F9D97E">
            <w:pPr>
              <w:jc w:val="center"/>
              <w:rPr>
                <w:rFonts w:ascii="宋体" w:hAnsi="宋体" w:cs="宋体"/>
                <w:color w:val="auto"/>
                <w:sz w:val="24"/>
                <w:highlight w:val="none"/>
              </w:rPr>
            </w:pPr>
            <w:r>
              <w:rPr>
                <w:rFonts w:hint="eastAsia" w:ascii="宋体" w:hAnsi="宋体" w:cs="宋体"/>
                <w:color w:val="auto"/>
                <w:sz w:val="24"/>
                <w:highlight w:val="none"/>
              </w:rPr>
              <w:t>丘城社区</w:t>
            </w:r>
          </w:p>
        </w:tc>
        <w:tc>
          <w:tcPr>
            <w:tcW w:w="1526" w:type="dxa"/>
            <w:vAlign w:val="center"/>
          </w:tcPr>
          <w:p w14:paraId="3F21FA48">
            <w:pPr>
              <w:jc w:val="center"/>
              <w:rPr>
                <w:rFonts w:ascii="宋体" w:hAnsi="宋体" w:cs="宋体"/>
                <w:color w:val="auto"/>
                <w:sz w:val="24"/>
                <w:highlight w:val="none"/>
              </w:rPr>
            </w:pPr>
            <w:r>
              <w:rPr>
                <w:rFonts w:hint="eastAsia" w:ascii="宋体" w:hAnsi="宋体" w:cs="宋体"/>
                <w:color w:val="auto"/>
                <w:sz w:val="24"/>
                <w:highlight w:val="none"/>
              </w:rPr>
              <w:t>天玺别墅</w:t>
            </w:r>
          </w:p>
        </w:tc>
        <w:tc>
          <w:tcPr>
            <w:tcW w:w="957" w:type="dxa"/>
            <w:vAlign w:val="center"/>
          </w:tcPr>
          <w:p w14:paraId="50F671DD">
            <w:pPr>
              <w:jc w:val="center"/>
              <w:rPr>
                <w:rFonts w:ascii="宋体" w:hAnsi="宋体" w:cs="宋体"/>
                <w:color w:val="auto"/>
                <w:sz w:val="24"/>
                <w:highlight w:val="none"/>
              </w:rPr>
            </w:pPr>
            <w:r>
              <w:rPr>
                <w:rFonts w:hint="eastAsia" w:ascii="宋体" w:hAnsi="宋体" w:cs="宋体"/>
                <w:color w:val="auto"/>
                <w:sz w:val="24"/>
                <w:highlight w:val="none"/>
              </w:rPr>
              <w:t>276</w:t>
            </w:r>
          </w:p>
        </w:tc>
        <w:tc>
          <w:tcPr>
            <w:tcW w:w="990" w:type="dxa"/>
            <w:vAlign w:val="center"/>
          </w:tcPr>
          <w:p w14:paraId="643F8671">
            <w:pPr>
              <w:jc w:val="center"/>
              <w:rPr>
                <w:rFonts w:ascii="宋体" w:hAnsi="宋体" w:cs="宋体"/>
                <w:color w:val="auto"/>
                <w:sz w:val="24"/>
                <w:highlight w:val="none"/>
              </w:rPr>
            </w:pPr>
            <w:r>
              <w:rPr>
                <w:rFonts w:hint="eastAsia" w:ascii="宋体" w:hAnsi="宋体" w:cs="宋体"/>
                <w:color w:val="auto"/>
                <w:sz w:val="24"/>
                <w:highlight w:val="none"/>
              </w:rPr>
              <w:t>255</w:t>
            </w:r>
          </w:p>
        </w:tc>
        <w:tc>
          <w:tcPr>
            <w:tcW w:w="825" w:type="dxa"/>
            <w:vAlign w:val="center"/>
          </w:tcPr>
          <w:p w14:paraId="28F81D06">
            <w:pPr>
              <w:jc w:val="center"/>
              <w:rPr>
                <w:rFonts w:ascii="宋体" w:hAnsi="宋体" w:cs="宋体"/>
                <w:color w:val="auto"/>
                <w:sz w:val="24"/>
                <w:highlight w:val="none"/>
              </w:rPr>
            </w:pPr>
            <w:r>
              <w:rPr>
                <w:rFonts w:hint="eastAsia" w:ascii="宋体" w:hAnsi="宋体" w:cs="宋体"/>
                <w:color w:val="auto"/>
                <w:sz w:val="24"/>
                <w:highlight w:val="none"/>
              </w:rPr>
              <w:t xml:space="preserve">3 </w:t>
            </w:r>
          </w:p>
        </w:tc>
        <w:tc>
          <w:tcPr>
            <w:tcW w:w="2273" w:type="dxa"/>
            <w:vAlign w:val="center"/>
          </w:tcPr>
          <w:p w14:paraId="73F53991">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53FF4B0B">
            <w:pPr>
              <w:jc w:val="center"/>
              <w:rPr>
                <w:rFonts w:ascii="宋体" w:hAnsi="宋体" w:cs="宋体"/>
                <w:color w:val="auto"/>
                <w:sz w:val="24"/>
                <w:highlight w:val="none"/>
              </w:rPr>
            </w:pPr>
            <w:r>
              <w:rPr>
                <w:rFonts w:hint="eastAsia" w:ascii="宋体" w:hAnsi="宋体" w:cs="宋体"/>
                <w:color w:val="auto"/>
                <w:sz w:val="24"/>
                <w:highlight w:val="none"/>
              </w:rPr>
              <w:t>102750</w:t>
            </w:r>
          </w:p>
        </w:tc>
      </w:tr>
      <w:tr w14:paraId="180C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29" w:type="dxa"/>
            <w:vAlign w:val="center"/>
          </w:tcPr>
          <w:p w14:paraId="5623C4B7">
            <w:pPr>
              <w:jc w:val="center"/>
              <w:rPr>
                <w:rFonts w:ascii="宋体" w:hAnsi="宋体" w:cs="宋体"/>
                <w:color w:val="auto"/>
                <w:sz w:val="24"/>
                <w:highlight w:val="none"/>
              </w:rPr>
            </w:pPr>
            <w:r>
              <w:rPr>
                <w:rFonts w:hint="eastAsia" w:ascii="宋体" w:hAnsi="宋体" w:cs="宋体"/>
                <w:color w:val="auto"/>
                <w:sz w:val="24"/>
                <w:highlight w:val="none"/>
              </w:rPr>
              <w:t>19</w:t>
            </w:r>
          </w:p>
        </w:tc>
        <w:tc>
          <w:tcPr>
            <w:tcW w:w="1526" w:type="dxa"/>
            <w:vAlign w:val="center"/>
          </w:tcPr>
          <w:p w14:paraId="656E25F6">
            <w:pPr>
              <w:jc w:val="center"/>
              <w:rPr>
                <w:rFonts w:ascii="宋体" w:hAnsi="宋体" w:cs="宋体"/>
                <w:color w:val="auto"/>
                <w:sz w:val="24"/>
                <w:highlight w:val="none"/>
              </w:rPr>
            </w:pPr>
            <w:r>
              <w:rPr>
                <w:rFonts w:hint="eastAsia" w:ascii="宋体" w:hAnsi="宋体" w:cs="宋体"/>
                <w:color w:val="auto"/>
                <w:sz w:val="24"/>
                <w:highlight w:val="none"/>
              </w:rPr>
              <w:t>湖滨村</w:t>
            </w:r>
          </w:p>
        </w:tc>
        <w:tc>
          <w:tcPr>
            <w:tcW w:w="1526" w:type="dxa"/>
            <w:vAlign w:val="center"/>
          </w:tcPr>
          <w:p w14:paraId="51022653">
            <w:pPr>
              <w:jc w:val="center"/>
              <w:rPr>
                <w:rFonts w:ascii="宋体" w:hAnsi="宋体" w:cs="宋体"/>
                <w:color w:val="auto"/>
                <w:sz w:val="24"/>
                <w:highlight w:val="none"/>
              </w:rPr>
            </w:pPr>
            <w:r>
              <w:rPr>
                <w:rFonts w:hint="eastAsia" w:ascii="宋体" w:hAnsi="宋体" w:cs="宋体"/>
                <w:color w:val="auto"/>
                <w:sz w:val="24"/>
                <w:highlight w:val="none"/>
              </w:rPr>
              <w:t>湖滨新村</w:t>
            </w:r>
          </w:p>
        </w:tc>
        <w:tc>
          <w:tcPr>
            <w:tcW w:w="957" w:type="dxa"/>
            <w:vAlign w:val="center"/>
          </w:tcPr>
          <w:p w14:paraId="7E5A53FE">
            <w:pPr>
              <w:jc w:val="center"/>
              <w:rPr>
                <w:rFonts w:ascii="宋体" w:hAnsi="宋体" w:cs="宋体"/>
                <w:color w:val="auto"/>
                <w:sz w:val="24"/>
                <w:highlight w:val="none"/>
              </w:rPr>
            </w:pPr>
            <w:r>
              <w:rPr>
                <w:rFonts w:hint="eastAsia" w:ascii="宋体" w:hAnsi="宋体" w:cs="宋体"/>
                <w:color w:val="auto"/>
                <w:sz w:val="24"/>
                <w:highlight w:val="none"/>
              </w:rPr>
              <w:t>378</w:t>
            </w:r>
          </w:p>
        </w:tc>
        <w:tc>
          <w:tcPr>
            <w:tcW w:w="990" w:type="dxa"/>
            <w:vAlign w:val="center"/>
          </w:tcPr>
          <w:p w14:paraId="3FE355EA">
            <w:pPr>
              <w:jc w:val="center"/>
              <w:rPr>
                <w:rFonts w:ascii="宋体" w:hAnsi="宋体" w:cs="宋体"/>
                <w:color w:val="auto"/>
                <w:sz w:val="24"/>
                <w:highlight w:val="none"/>
              </w:rPr>
            </w:pPr>
            <w:r>
              <w:rPr>
                <w:rFonts w:hint="eastAsia" w:ascii="宋体" w:hAnsi="宋体" w:cs="宋体"/>
                <w:color w:val="auto"/>
                <w:sz w:val="24"/>
                <w:highlight w:val="none"/>
              </w:rPr>
              <w:t>378</w:t>
            </w:r>
          </w:p>
        </w:tc>
        <w:tc>
          <w:tcPr>
            <w:tcW w:w="825" w:type="dxa"/>
            <w:vAlign w:val="center"/>
          </w:tcPr>
          <w:p w14:paraId="3F0A6950">
            <w:pPr>
              <w:jc w:val="center"/>
              <w:rPr>
                <w:rFonts w:ascii="宋体" w:hAnsi="宋体" w:cs="宋体"/>
                <w:color w:val="auto"/>
                <w:sz w:val="24"/>
                <w:highlight w:val="none"/>
              </w:rPr>
            </w:pPr>
            <w:r>
              <w:rPr>
                <w:rFonts w:hint="eastAsia" w:ascii="宋体" w:hAnsi="宋体" w:cs="宋体"/>
                <w:color w:val="auto"/>
                <w:sz w:val="24"/>
                <w:highlight w:val="none"/>
              </w:rPr>
              <w:t>8</w:t>
            </w:r>
          </w:p>
        </w:tc>
        <w:tc>
          <w:tcPr>
            <w:tcW w:w="2273" w:type="dxa"/>
            <w:vAlign w:val="center"/>
          </w:tcPr>
          <w:p w14:paraId="4AC0D5ED">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211" w:type="dxa"/>
            <w:vAlign w:val="center"/>
          </w:tcPr>
          <w:p w14:paraId="75309B97">
            <w:pPr>
              <w:jc w:val="center"/>
              <w:rPr>
                <w:rFonts w:ascii="宋体" w:hAnsi="宋体" w:cs="宋体"/>
                <w:color w:val="auto"/>
                <w:sz w:val="24"/>
                <w:highlight w:val="none"/>
              </w:rPr>
            </w:pPr>
            <w:r>
              <w:rPr>
                <w:rFonts w:hint="eastAsia" w:ascii="宋体" w:hAnsi="宋体" w:cs="宋体"/>
                <w:color w:val="auto"/>
                <w:sz w:val="24"/>
                <w:highlight w:val="none"/>
              </w:rPr>
              <w:t>258900</w:t>
            </w:r>
          </w:p>
        </w:tc>
      </w:tr>
      <w:tr w14:paraId="1783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081" w:type="dxa"/>
            <w:gridSpan w:val="3"/>
            <w:vAlign w:val="center"/>
          </w:tcPr>
          <w:p w14:paraId="4B456C2C">
            <w:pPr>
              <w:jc w:val="center"/>
              <w:rPr>
                <w:rFonts w:ascii="宋体" w:hAnsi="宋体" w:cs="宋体"/>
                <w:b/>
                <w:bCs/>
                <w:color w:val="auto"/>
                <w:sz w:val="24"/>
                <w:highlight w:val="none"/>
              </w:rPr>
            </w:pPr>
            <w:r>
              <w:rPr>
                <w:rFonts w:hint="eastAsia" w:ascii="宋体" w:hAnsi="宋体" w:cs="宋体"/>
                <w:b/>
                <w:bCs/>
                <w:color w:val="auto"/>
                <w:sz w:val="24"/>
                <w:highlight w:val="none"/>
              </w:rPr>
              <w:t>合计</w:t>
            </w:r>
          </w:p>
        </w:tc>
        <w:tc>
          <w:tcPr>
            <w:tcW w:w="957" w:type="dxa"/>
            <w:vAlign w:val="center"/>
          </w:tcPr>
          <w:p w14:paraId="31C0F52C">
            <w:pPr>
              <w:jc w:val="center"/>
              <w:rPr>
                <w:rFonts w:ascii="宋体" w:hAnsi="宋体" w:cs="宋体"/>
                <w:b/>
                <w:bCs/>
                <w:color w:val="auto"/>
                <w:sz w:val="24"/>
                <w:highlight w:val="none"/>
              </w:rPr>
            </w:pPr>
            <w:r>
              <w:rPr>
                <w:rFonts w:hint="eastAsia" w:ascii="宋体" w:hAnsi="宋体" w:cs="宋体"/>
                <w:b/>
                <w:bCs/>
                <w:color w:val="auto"/>
                <w:sz w:val="24"/>
                <w:highlight w:val="none"/>
              </w:rPr>
              <w:t>8548</w:t>
            </w:r>
          </w:p>
        </w:tc>
        <w:tc>
          <w:tcPr>
            <w:tcW w:w="990" w:type="dxa"/>
            <w:vAlign w:val="center"/>
          </w:tcPr>
          <w:p w14:paraId="55F3197B">
            <w:pPr>
              <w:jc w:val="center"/>
              <w:rPr>
                <w:rFonts w:ascii="宋体" w:hAnsi="宋体" w:cs="宋体"/>
                <w:b/>
                <w:bCs/>
                <w:color w:val="auto"/>
                <w:sz w:val="24"/>
                <w:highlight w:val="none"/>
              </w:rPr>
            </w:pPr>
            <w:r>
              <w:rPr>
                <w:rFonts w:hint="eastAsia" w:ascii="宋体" w:hAnsi="宋体" w:cs="宋体"/>
                <w:b/>
                <w:bCs/>
                <w:color w:val="auto"/>
                <w:sz w:val="24"/>
                <w:highlight w:val="none"/>
              </w:rPr>
              <w:t>7722</w:t>
            </w:r>
          </w:p>
        </w:tc>
        <w:tc>
          <w:tcPr>
            <w:tcW w:w="825" w:type="dxa"/>
            <w:vAlign w:val="center"/>
          </w:tcPr>
          <w:p w14:paraId="5D195B35">
            <w:pPr>
              <w:jc w:val="center"/>
              <w:rPr>
                <w:rFonts w:ascii="宋体" w:hAnsi="宋体" w:cs="宋体"/>
                <w:b/>
                <w:bCs/>
                <w:color w:val="auto"/>
                <w:sz w:val="24"/>
                <w:highlight w:val="none"/>
              </w:rPr>
            </w:pPr>
            <w:r>
              <w:rPr>
                <w:rFonts w:hint="eastAsia" w:ascii="宋体" w:hAnsi="宋体" w:cs="宋体"/>
                <w:b/>
                <w:bCs/>
                <w:color w:val="auto"/>
                <w:sz w:val="24"/>
                <w:highlight w:val="none"/>
              </w:rPr>
              <w:t>76</w:t>
            </w:r>
          </w:p>
        </w:tc>
        <w:tc>
          <w:tcPr>
            <w:tcW w:w="2273" w:type="dxa"/>
            <w:vAlign w:val="center"/>
          </w:tcPr>
          <w:p w14:paraId="62B67738">
            <w:pPr>
              <w:jc w:val="center"/>
              <w:rPr>
                <w:rFonts w:ascii="宋体" w:hAnsi="宋体" w:cs="宋体"/>
                <w:b/>
                <w:bCs/>
                <w:color w:val="auto"/>
                <w:sz w:val="24"/>
                <w:highlight w:val="none"/>
              </w:rPr>
            </w:pPr>
            <w:r>
              <w:rPr>
                <w:rFonts w:hint="eastAsia" w:ascii="宋体" w:hAnsi="宋体" w:cs="宋体"/>
                <w:b/>
                <w:bCs/>
                <w:color w:val="auto"/>
                <w:sz w:val="24"/>
                <w:highlight w:val="none"/>
              </w:rPr>
              <w:t>/</w:t>
            </w:r>
          </w:p>
        </w:tc>
        <w:tc>
          <w:tcPr>
            <w:tcW w:w="1211" w:type="dxa"/>
            <w:vAlign w:val="center"/>
          </w:tcPr>
          <w:p w14:paraId="4DA96F76">
            <w:pPr>
              <w:jc w:val="center"/>
              <w:rPr>
                <w:rFonts w:ascii="宋体" w:hAnsi="宋体" w:cs="宋体"/>
                <w:color w:val="auto"/>
                <w:sz w:val="24"/>
                <w:highlight w:val="none"/>
              </w:rPr>
            </w:pPr>
            <w:r>
              <w:rPr>
                <w:rFonts w:hint="eastAsia" w:ascii="宋体" w:hAnsi="宋体" w:cs="宋体"/>
                <w:b/>
                <w:bCs/>
                <w:color w:val="auto"/>
                <w:sz w:val="24"/>
                <w:highlight w:val="none"/>
              </w:rPr>
              <w:t>2890180</w:t>
            </w:r>
          </w:p>
        </w:tc>
      </w:tr>
    </w:tbl>
    <w:p w14:paraId="35A3B77E">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（二）分类模式：全智能模式</w:t>
      </w:r>
    </w:p>
    <w:p w14:paraId="74087543">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采取定时定点投放形式实施管理（上午6:30-09:00，下午18:00-21:30，投放时间安排街道可根据实际情况要求中标单位做出相应调整，节假日及法定假日应视情况延长时间增加运输频次。各点位设置垃圾分类工作人员，中标单位按街道要求落实）。</w:t>
      </w:r>
    </w:p>
    <w:p w14:paraId="27856CE7">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小区不超过300户左右，距离不超过100米建设一个分类投放驿站（驿站建设或提升改造按街道标准执行）。</w:t>
      </w:r>
    </w:p>
    <w:p w14:paraId="03FF85AF">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有条件的村社配置智能可回收站若干，细分可回收物。</w:t>
      </w:r>
    </w:p>
    <w:p w14:paraId="4DFF8934">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有条件的村社配置智能积分兑换机若干台，并完成后续对居民注册使用的培训。</w:t>
      </w:r>
    </w:p>
    <w:p w14:paraId="3C47A0A8">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每个点位配置数字化监管及智能交互设备，具有24小时智能监管功能（能够智能识别垃圾落地、垃圾混投等违规投放，违规行为智能抓拍推送，并提供数据分析服务），具有可自定义的语音提醒及广播，以及垃圾分类现场问答功能。</w:t>
      </w:r>
    </w:p>
    <w:p w14:paraId="71EC744C">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确保每个点位均实现湖州市垃圾分类智慧监管平台数据接入融合，每个全智能投放驿站的配套设备需满足市级监管平台相关要求（参考）。</w:t>
      </w:r>
    </w:p>
    <w:p w14:paraId="7F4407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垃圾分类智能投放驿站设施标准：可概括为“三通一排二具备”：1.“三通”：通水，可盥洗用设施。通电，语音提示、照明、LED显示屏、智能箱体等设备用电。通网络；可连通监控平台、摄像头等通讯功能设施的网络。2.“一排”：设置污水纳管设施。3.“二</w:t>
      </w:r>
      <w:r>
        <w:rPr>
          <w:rFonts w:hint="eastAsia" w:ascii="宋体" w:hAnsi="宋体" w:cs="宋体"/>
          <w:color w:val="auto"/>
          <w:sz w:val="24"/>
          <w:highlight w:val="none"/>
        </w:rPr>
        <w:t>具备”:（1）具备称重功能，驿站智能设备须具有易腐垃圾、其他垃圾、可回收物称重设施。（2）具备可接入市大数据垃圾分类平台、垃圾分类积分等平台数据的端口，可数据显示，数据输出等功能。</w:t>
      </w:r>
    </w:p>
    <w:p w14:paraId="1C357AA5">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bidi="ar"/>
        </w:rPr>
        <w:t xml:space="preserve">视频设备压缩编解码和音频编解码应符合 GB/T28181-2011 附录 E 的相关要求，视频编码应支持 H.264、H.265、SVAC 或 MPEG-4 视频编码标准,音 频 编 解 码 标 准应支持 G.711 或 G.723.1 或 G.729 音频编码标准。 </w:t>
      </w:r>
    </w:p>
    <w:p w14:paraId="6DE300C9">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本项目采取生活垃圾分类—收集—清运处置模式，精准分类后的易腐垃圾清运工作由中标单位负责，必须做到日产日清，要求每天投放时间后完成驿站保洁，并将易腐垃圾清运至各小区接驳点。可回收物采取定点定时或预约的方式回收，并做好台账登记；有害垃圾由中标单位设置有害垃圾暂存点，在市环卫清运前由中标单位妥善保管，并建立详细工作台账。小区内，易腐垃圾、可回收物及有害垃圾容器及相关设施由中标单位负责日常管理和维护。</w:t>
      </w:r>
    </w:p>
    <w:p w14:paraId="49D5FB76">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小区生活垃圾分类参与率、准确率、日投放率达到市考核要求。</w:t>
      </w:r>
    </w:p>
    <w:p w14:paraId="45912E56">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每个小区设大件垃圾中转站，围挡高度不低于2米，内设大件垃圾、园林垃圾、装修垃圾堆放点，并做好区域划分。</w:t>
      </w:r>
    </w:p>
    <w:p w14:paraId="302959EF">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每个小区每个楼道配置一块宣传牌（包含宣传及成果展示）并由中标单位每月更新，定期开展垃圾分类宣传活动，形式不定。</w:t>
      </w:r>
    </w:p>
    <w:p w14:paraId="205E81E8">
      <w:pPr>
        <w:pStyle w:val="34"/>
        <w:numPr>
          <w:ilvl w:val="0"/>
          <w:numId w:val="15"/>
        </w:numPr>
        <w:spacing w:before="120" w:line="360" w:lineRule="auto"/>
        <w:ind w:firstLine="480"/>
        <w:rPr>
          <w:rFonts w:cs="宋体"/>
          <w:b/>
          <w:bCs/>
          <w:color w:val="auto"/>
          <w:szCs w:val="24"/>
          <w:highlight w:val="none"/>
        </w:rPr>
      </w:pPr>
      <w:r>
        <w:rPr>
          <w:rFonts w:hint="eastAsia" w:cs="宋体"/>
          <w:color w:val="auto"/>
          <w:szCs w:val="24"/>
          <w:highlight w:val="none"/>
        </w:rPr>
        <w:t xml:space="preserve">分类驿站设施设备及分类相关设施设备，日常清洁、管理和维护均由中标单位负责。  </w:t>
      </w:r>
    </w:p>
    <w:p w14:paraId="725C8FBB">
      <w:pPr>
        <w:pStyle w:val="34"/>
        <w:numPr>
          <w:ilvl w:val="0"/>
          <w:numId w:val="15"/>
        </w:numPr>
        <w:spacing w:before="120" w:line="360" w:lineRule="auto"/>
        <w:ind w:firstLine="480"/>
        <w:rPr>
          <w:rFonts w:cs="宋体"/>
          <w:color w:val="auto"/>
          <w:szCs w:val="24"/>
          <w:highlight w:val="none"/>
        </w:rPr>
      </w:pPr>
      <w:r>
        <w:rPr>
          <w:rFonts w:hint="eastAsia" w:cs="宋体"/>
          <w:color w:val="auto"/>
          <w:szCs w:val="24"/>
          <w:highlight w:val="none"/>
        </w:rPr>
        <w:t>为响应市分类办加快物业参与分类服务布局，根据街道的具体情况，经向街道申请并经街道同意后，在分类稳定的小区逐步将分类工作移交愿意从事垃圾分类的物业，而原运营商则将根据服务内容支付该部分的费用给物业。在分类服务商将分类工作移交物业后，运营商除了将劳务运营部分交付给物业外，仍需承担以下职责：</w:t>
      </w:r>
    </w:p>
    <w:p w14:paraId="596E37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1）在项目前期落地工作，小区的前期规划、基础建设、硬件改造升级、氛围布置等筹备工作；</w:t>
      </w:r>
    </w:p>
    <w:p w14:paraId="47976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2）对于已交付的小区运营服务商仍需完成大型宣教活动、对物业进行新条例、模式及工作不足处培训；</w:t>
      </w:r>
    </w:p>
    <w:p w14:paraId="617B1C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3）通过信息平台由运营服务商完成所有小区的台账和宣传资料，并通过彩虹宣教系统，为物业发出指令工单，物业对居民进行精准宣教；</w:t>
      </w:r>
    </w:p>
    <w:p w14:paraId="316EDE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4）定期对物业的分类工作进行指导，协助物业完成市、区、街道的考核；</w:t>
      </w:r>
    </w:p>
    <w:p w14:paraId="1A69C859">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5）需制定应急方案，建立应急队伍，对物业突然撤场，填补短时间内的社区分类运营工作，实现无缝衔接，直至新的物业交接为止。</w:t>
      </w:r>
    </w:p>
    <w:p w14:paraId="5C1CA9D3">
      <w:pPr>
        <w:spacing w:line="360" w:lineRule="auto"/>
        <w:rPr>
          <w:rFonts w:ascii="宋体" w:hAnsi="宋体" w:cs="宋体"/>
          <w:color w:val="auto"/>
          <w:sz w:val="24"/>
          <w:highlight w:val="none"/>
        </w:rPr>
      </w:pPr>
      <w:r>
        <w:rPr>
          <w:rFonts w:hint="eastAsia" w:ascii="宋体" w:hAnsi="宋体" w:cs="宋体"/>
          <w:b/>
          <w:bCs/>
          <w:color w:val="auto"/>
          <w:sz w:val="24"/>
          <w:highlight w:val="none"/>
        </w:rPr>
        <w:t>（三）、设备需求清单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7"/>
        <w:gridCol w:w="659"/>
        <w:gridCol w:w="697"/>
        <w:gridCol w:w="4525"/>
      </w:tblGrid>
      <w:tr w14:paraId="2264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Header/>
          <w:jc w:val="center"/>
        </w:trPr>
        <w:tc>
          <w:tcPr>
            <w:tcW w:w="2497" w:type="dxa"/>
            <w:shd w:val="clear" w:color="auto" w:fill="BFBFBF"/>
            <w:vAlign w:val="center"/>
          </w:tcPr>
          <w:p w14:paraId="258F5BD6">
            <w:pPr>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59" w:type="dxa"/>
            <w:shd w:val="clear" w:color="auto" w:fill="BFBFBF"/>
            <w:vAlign w:val="center"/>
          </w:tcPr>
          <w:p w14:paraId="15413D71">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697" w:type="dxa"/>
            <w:shd w:val="clear" w:color="auto" w:fill="BFBFBF"/>
            <w:vAlign w:val="center"/>
          </w:tcPr>
          <w:p w14:paraId="6554FC18">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4525" w:type="dxa"/>
            <w:shd w:val="clear" w:color="auto" w:fill="BFBFBF"/>
            <w:vAlign w:val="center"/>
          </w:tcPr>
          <w:p w14:paraId="0563F695">
            <w:pPr>
              <w:jc w:val="center"/>
              <w:rPr>
                <w:rFonts w:ascii="宋体" w:hAnsi="宋体" w:cs="宋体"/>
                <w:b/>
                <w:bCs/>
                <w:color w:val="auto"/>
                <w:sz w:val="24"/>
                <w:highlight w:val="none"/>
              </w:rPr>
            </w:pPr>
            <w:r>
              <w:rPr>
                <w:rFonts w:hint="eastAsia" w:ascii="宋体" w:hAnsi="宋体" w:cs="宋体"/>
                <w:b/>
                <w:bCs/>
                <w:color w:val="auto"/>
                <w:sz w:val="24"/>
                <w:highlight w:val="none"/>
              </w:rPr>
              <w:t>配置原则</w:t>
            </w:r>
          </w:p>
        </w:tc>
      </w:tr>
      <w:tr w14:paraId="743E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2497" w:type="dxa"/>
            <w:vAlign w:val="center"/>
          </w:tcPr>
          <w:p w14:paraId="62D7F8BA">
            <w:pPr>
              <w:jc w:val="center"/>
              <w:rPr>
                <w:rFonts w:ascii="宋体" w:hAnsi="宋体" w:cs="宋体"/>
                <w:b/>
                <w:bCs/>
                <w:color w:val="auto"/>
                <w:sz w:val="24"/>
                <w:highlight w:val="none"/>
              </w:rPr>
            </w:pPr>
            <w:r>
              <w:rPr>
                <w:rFonts w:hint="eastAsia" w:ascii="宋体" w:hAnsi="宋体" w:cs="宋体"/>
                <w:b/>
                <w:bCs/>
                <w:color w:val="auto"/>
                <w:sz w:val="24"/>
                <w:highlight w:val="none"/>
              </w:rPr>
              <w:t>新增智能分类</w:t>
            </w:r>
          </w:p>
          <w:p w14:paraId="7E1C19EB">
            <w:pPr>
              <w:jc w:val="center"/>
              <w:rPr>
                <w:rFonts w:ascii="宋体" w:hAnsi="宋体" w:cs="宋体"/>
                <w:b/>
                <w:bCs/>
                <w:color w:val="auto"/>
                <w:sz w:val="24"/>
                <w:highlight w:val="none"/>
              </w:rPr>
            </w:pPr>
            <w:r>
              <w:rPr>
                <w:rFonts w:hint="eastAsia" w:ascii="宋体" w:hAnsi="宋体" w:cs="宋体"/>
                <w:b/>
                <w:bCs/>
                <w:color w:val="auto"/>
                <w:sz w:val="24"/>
                <w:highlight w:val="none"/>
              </w:rPr>
              <w:t>投放驿站</w:t>
            </w:r>
          </w:p>
        </w:tc>
        <w:tc>
          <w:tcPr>
            <w:tcW w:w="659" w:type="dxa"/>
            <w:vAlign w:val="center"/>
          </w:tcPr>
          <w:p w14:paraId="705315F0">
            <w:pPr>
              <w:jc w:val="center"/>
              <w:rPr>
                <w:rFonts w:ascii="宋体" w:hAnsi="宋体" w:cs="宋体"/>
                <w:b/>
                <w:bCs/>
                <w:color w:val="auto"/>
                <w:sz w:val="24"/>
                <w:highlight w:val="none"/>
              </w:rPr>
            </w:pPr>
            <w:r>
              <w:rPr>
                <w:rFonts w:hint="eastAsia" w:ascii="宋体" w:hAnsi="宋体" w:cs="宋体"/>
                <w:b/>
                <w:bCs/>
                <w:color w:val="auto"/>
                <w:sz w:val="24"/>
                <w:highlight w:val="none"/>
              </w:rPr>
              <w:t>座</w:t>
            </w:r>
          </w:p>
        </w:tc>
        <w:tc>
          <w:tcPr>
            <w:tcW w:w="697" w:type="dxa"/>
            <w:vAlign w:val="center"/>
          </w:tcPr>
          <w:p w14:paraId="397887C6">
            <w:pPr>
              <w:jc w:val="center"/>
              <w:rPr>
                <w:rFonts w:ascii="宋体" w:hAnsi="宋体" w:cs="宋体"/>
                <w:b/>
                <w:bCs/>
                <w:color w:val="auto"/>
                <w:sz w:val="24"/>
                <w:highlight w:val="none"/>
              </w:rPr>
            </w:pPr>
            <w:r>
              <w:rPr>
                <w:rFonts w:hint="eastAsia" w:ascii="宋体" w:hAnsi="宋体" w:cs="宋体"/>
                <w:b/>
                <w:bCs/>
                <w:color w:val="auto"/>
                <w:sz w:val="24"/>
                <w:highlight w:val="none"/>
              </w:rPr>
              <w:t>&gt;8</w:t>
            </w:r>
          </w:p>
        </w:tc>
        <w:tc>
          <w:tcPr>
            <w:tcW w:w="4525" w:type="dxa"/>
            <w:vAlign w:val="center"/>
          </w:tcPr>
          <w:p w14:paraId="2D444A59">
            <w:pPr>
              <w:rPr>
                <w:rFonts w:ascii="宋体" w:hAnsi="宋体" w:cs="宋体"/>
                <w:b/>
                <w:bCs/>
                <w:color w:val="auto"/>
                <w:sz w:val="24"/>
                <w:highlight w:val="none"/>
              </w:rPr>
            </w:pPr>
            <w:r>
              <w:rPr>
                <w:rFonts w:hint="eastAsia" w:ascii="宋体" w:hAnsi="宋体" w:cs="宋体"/>
                <w:b/>
                <w:bCs/>
                <w:color w:val="auto"/>
                <w:sz w:val="24"/>
                <w:highlight w:val="none"/>
              </w:rPr>
              <w:t>水、电、网络费用由中标单位承担</w:t>
            </w:r>
          </w:p>
        </w:tc>
      </w:tr>
      <w:tr w14:paraId="126F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2497" w:type="dxa"/>
            <w:vAlign w:val="center"/>
          </w:tcPr>
          <w:p w14:paraId="4C1F9273">
            <w:pPr>
              <w:jc w:val="center"/>
              <w:rPr>
                <w:rFonts w:ascii="宋体" w:hAnsi="宋体" w:cs="宋体"/>
                <w:b/>
                <w:bCs/>
                <w:color w:val="auto"/>
                <w:sz w:val="24"/>
                <w:highlight w:val="none"/>
              </w:rPr>
            </w:pPr>
            <w:r>
              <w:rPr>
                <w:rFonts w:hint="eastAsia" w:ascii="宋体" w:hAnsi="宋体" w:cs="宋体"/>
                <w:b/>
                <w:bCs/>
                <w:color w:val="auto"/>
                <w:sz w:val="24"/>
                <w:highlight w:val="none"/>
              </w:rPr>
              <w:t>原驿站硬件提升</w:t>
            </w:r>
          </w:p>
        </w:tc>
        <w:tc>
          <w:tcPr>
            <w:tcW w:w="659" w:type="dxa"/>
            <w:vAlign w:val="center"/>
          </w:tcPr>
          <w:p w14:paraId="03DFCF95">
            <w:pPr>
              <w:jc w:val="center"/>
              <w:rPr>
                <w:rFonts w:ascii="宋体" w:hAnsi="宋体" w:cs="宋体"/>
                <w:b/>
                <w:bCs/>
                <w:color w:val="auto"/>
                <w:sz w:val="24"/>
                <w:highlight w:val="none"/>
              </w:rPr>
            </w:pPr>
            <w:r>
              <w:rPr>
                <w:rFonts w:hint="eastAsia" w:ascii="宋体" w:hAnsi="宋体" w:cs="宋体"/>
                <w:b/>
                <w:bCs/>
                <w:color w:val="auto"/>
                <w:sz w:val="24"/>
                <w:highlight w:val="none"/>
              </w:rPr>
              <w:t>座</w:t>
            </w:r>
          </w:p>
        </w:tc>
        <w:tc>
          <w:tcPr>
            <w:tcW w:w="697" w:type="dxa"/>
            <w:vAlign w:val="center"/>
          </w:tcPr>
          <w:p w14:paraId="323A9A8E">
            <w:pPr>
              <w:jc w:val="center"/>
              <w:rPr>
                <w:rFonts w:ascii="宋体" w:hAnsi="宋体" w:cs="宋体"/>
                <w:b/>
                <w:bCs/>
                <w:color w:val="auto"/>
                <w:sz w:val="24"/>
                <w:highlight w:val="none"/>
              </w:rPr>
            </w:pPr>
            <w:r>
              <w:rPr>
                <w:rFonts w:hint="eastAsia" w:ascii="宋体" w:hAnsi="宋体" w:cs="宋体"/>
                <w:b/>
                <w:bCs/>
                <w:color w:val="auto"/>
                <w:sz w:val="24"/>
                <w:highlight w:val="none"/>
              </w:rPr>
              <w:t>&gt;76</w:t>
            </w:r>
          </w:p>
        </w:tc>
        <w:tc>
          <w:tcPr>
            <w:tcW w:w="4525" w:type="dxa"/>
            <w:vAlign w:val="center"/>
          </w:tcPr>
          <w:p w14:paraId="32F25291">
            <w:pPr>
              <w:rPr>
                <w:rFonts w:ascii="宋体" w:hAnsi="宋体" w:cs="宋体"/>
                <w:b/>
                <w:bCs/>
                <w:color w:val="auto"/>
                <w:sz w:val="24"/>
                <w:highlight w:val="none"/>
              </w:rPr>
            </w:pPr>
            <w:r>
              <w:rPr>
                <w:rFonts w:hint="eastAsia" w:ascii="宋体" w:hAnsi="宋体" w:cs="宋体"/>
                <w:b/>
                <w:bCs/>
                <w:color w:val="auto"/>
                <w:sz w:val="24"/>
                <w:highlight w:val="none"/>
              </w:rPr>
              <w:t>包含13个非智能点位，63个智能点位</w:t>
            </w:r>
          </w:p>
        </w:tc>
      </w:tr>
      <w:tr w14:paraId="61BE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349AA123">
            <w:pPr>
              <w:jc w:val="center"/>
              <w:rPr>
                <w:rFonts w:ascii="宋体" w:hAnsi="宋体" w:cs="宋体"/>
                <w:color w:val="auto"/>
                <w:sz w:val="24"/>
                <w:highlight w:val="none"/>
              </w:rPr>
            </w:pPr>
            <w:r>
              <w:rPr>
                <w:rFonts w:hint="eastAsia" w:ascii="宋体" w:hAnsi="宋体" w:cs="宋体"/>
                <w:color w:val="auto"/>
                <w:sz w:val="24"/>
                <w:highlight w:val="none"/>
              </w:rPr>
              <w:t>智能可回收物回收站</w:t>
            </w:r>
          </w:p>
        </w:tc>
        <w:tc>
          <w:tcPr>
            <w:tcW w:w="659" w:type="dxa"/>
            <w:vAlign w:val="center"/>
          </w:tcPr>
          <w:p w14:paraId="6F072501">
            <w:pPr>
              <w:jc w:val="center"/>
              <w:rPr>
                <w:rFonts w:ascii="宋体" w:hAnsi="宋体" w:cs="宋体"/>
                <w:color w:val="auto"/>
                <w:sz w:val="24"/>
                <w:highlight w:val="none"/>
              </w:rPr>
            </w:pPr>
            <w:r>
              <w:rPr>
                <w:rFonts w:hint="eastAsia" w:ascii="宋体" w:hAnsi="宋体" w:cs="宋体"/>
                <w:color w:val="auto"/>
                <w:sz w:val="24"/>
                <w:highlight w:val="none"/>
              </w:rPr>
              <w:t>座</w:t>
            </w:r>
          </w:p>
        </w:tc>
        <w:tc>
          <w:tcPr>
            <w:tcW w:w="697" w:type="dxa"/>
            <w:vAlign w:val="center"/>
          </w:tcPr>
          <w:p w14:paraId="751283FF">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31C7703E">
            <w:pPr>
              <w:rPr>
                <w:rFonts w:ascii="宋体" w:hAnsi="宋体" w:cs="宋体"/>
                <w:color w:val="auto"/>
                <w:sz w:val="24"/>
                <w:highlight w:val="none"/>
              </w:rPr>
            </w:pPr>
            <w:r>
              <w:rPr>
                <w:rFonts w:hint="eastAsia" w:ascii="宋体" w:hAnsi="宋体" w:cs="宋体"/>
                <w:color w:val="auto"/>
                <w:sz w:val="24"/>
                <w:highlight w:val="none"/>
              </w:rPr>
              <w:t>按照业主实际需求配置</w:t>
            </w:r>
          </w:p>
        </w:tc>
      </w:tr>
      <w:tr w14:paraId="44DA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2497" w:type="dxa"/>
            <w:vAlign w:val="center"/>
          </w:tcPr>
          <w:p w14:paraId="44B7B192">
            <w:pPr>
              <w:jc w:val="center"/>
              <w:rPr>
                <w:rFonts w:ascii="宋体" w:hAnsi="宋体" w:cs="宋体"/>
                <w:color w:val="auto"/>
                <w:sz w:val="24"/>
                <w:highlight w:val="none"/>
              </w:rPr>
            </w:pPr>
            <w:r>
              <w:rPr>
                <w:rFonts w:hint="eastAsia" w:ascii="宋体" w:hAnsi="宋体" w:cs="宋体"/>
                <w:color w:val="auto"/>
                <w:sz w:val="24"/>
                <w:highlight w:val="none"/>
              </w:rPr>
              <w:t>智能积分兑换机</w:t>
            </w:r>
          </w:p>
        </w:tc>
        <w:tc>
          <w:tcPr>
            <w:tcW w:w="659" w:type="dxa"/>
            <w:vAlign w:val="center"/>
          </w:tcPr>
          <w:p w14:paraId="171A77BC">
            <w:pPr>
              <w:jc w:val="center"/>
              <w:rPr>
                <w:rFonts w:ascii="宋体" w:hAnsi="宋体" w:cs="宋体"/>
                <w:color w:val="auto"/>
                <w:sz w:val="24"/>
                <w:highlight w:val="none"/>
              </w:rPr>
            </w:pPr>
            <w:r>
              <w:rPr>
                <w:rFonts w:hint="eastAsia" w:ascii="宋体" w:hAnsi="宋体" w:cs="宋体"/>
                <w:color w:val="auto"/>
                <w:sz w:val="24"/>
                <w:highlight w:val="none"/>
              </w:rPr>
              <w:t>台</w:t>
            </w:r>
          </w:p>
        </w:tc>
        <w:tc>
          <w:tcPr>
            <w:tcW w:w="697" w:type="dxa"/>
            <w:vAlign w:val="center"/>
          </w:tcPr>
          <w:p w14:paraId="10B74B91">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47530190">
            <w:pPr>
              <w:rPr>
                <w:rFonts w:ascii="宋体" w:hAnsi="宋体" w:cs="宋体"/>
                <w:color w:val="auto"/>
                <w:sz w:val="24"/>
                <w:highlight w:val="none"/>
              </w:rPr>
            </w:pPr>
            <w:r>
              <w:rPr>
                <w:rFonts w:hint="eastAsia" w:ascii="宋体" w:hAnsi="宋体" w:cs="宋体"/>
                <w:color w:val="auto"/>
                <w:sz w:val="24"/>
                <w:highlight w:val="none"/>
              </w:rPr>
              <w:t>按照业主实际需求配置，或组织线下定期兑换</w:t>
            </w:r>
          </w:p>
        </w:tc>
      </w:tr>
      <w:tr w14:paraId="4E45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565EC201">
            <w:pPr>
              <w:jc w:val="center"/>
              <w:rPr>
                <w:rFonts w:ascii="宋体" w:hAnsi="宋体" w:cs="宋体"/>
                <w:color w:val="auto"/>
                <w:sz w:val="24"/>
                <w:highlight w:val="none"/>
              </w:rPr>
            </w:pPr>
            <w:r>
              <w:rPr>
                <w:rFonts w:hint="eastAsia" w:ascii="宋体" w:hAnsi="宋体" w:cs="宋体"/>
                <w:color w:val="auto"/>
                <w:sz w:val="24"/>
                <w:highlight w:val="none"/>
              </w:rPr>
              <w:t>数字化监管智能人机交互设备</w:t>
            </w:r>
          </w:p>
        </w:tc>
        <w:tc>
          <w:tcPr>
            <w:tcW w:w="659" w:type="dxa"/>
            <w:vAlign w:val="center"/>
          </w:tcPr>
          <w:p w14:paraId="4E5F40A1">
            <w:pPr>
              <w:jc w:val="center"/>
              <w:rPr>
                <w:rFonts w:ascii="宋体" w:hAnsi="宋体" w:cs="宋体"/>
                <w:color w:val="auto"/>
                <w:sz w:val="24"/>
                <w:highlight w:val="none"/>
              </w:rPr>
            </w:pPr>
            <w:r>
              <w:rPr>
                <w:rFonts w:hint="eastAsia" w:ascii="宋体" w:hAnsi="宋体" w:cs="宋体"/>
                <w:color w:val="auto"/>
                <w:sz w:val="24"/>
                <w:highlight w:val="none"/>
              </w:rPr>
              <w:t>台</w:t>
            </w:r>
          </w:p>
        </w:tc>
        <w:tc>
          <w:tcPr>
            <w:tcW w:w="697" w:type="dxa"/>
            <w:vAlign w:val="center"/>
          </w:tcPr>
          <w:p w14:paraId="13E3B647">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45BC8A12">
            <w:pPr>
              <w:rPr>
                <w:rFonts w:ascii="宋体" w:hAnsi="宋体" w:cs="宋体"/>
                <w:color w:val="auto"/>
                <w:sz w:val="24"/>
                <w:highlight w:val="none"/>
              </w:rPr>
            </w:pPr>
            <w:r>
              <w:rPr>
                <w:rFonts w:hint="eastAsia" w:ascii="宋体" w:hAnsi="宋体" w:cs="宋体"/>
                <w:color w:val="auto"/>
                <w:sz w:val="24"/>
                <w:highlight w:val="none"/>
              </w:rPr>
              <w:t>按照小区实际驿站配置</w:t>
            </w:r>
          </w:p>
        </w:tc>
      </w:tr>
      <w:tr w14:paraId="7FD1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182BA5CA">
            <w:pPr>
              <w:jc w:val="center"/>
              <w:rPr>
                <w:rFonts w:ascii="宋体" w:hAnsi="宋体" w:cs="宋体"/>
                <w:color w:val="auto"/>
                <w:sz w:val="24"/>
                <w:highlight w:val="none"/>
              </w:rPr>
            </w:pPr>
            <w:r>
              <w:rPr>
                <w:rFonts w:hint="eastAsia" w:ascii="宋体" w:hAnsi="宋体" w:cs="宋体"/>
                <w:color w:val="auto"/>
                <w:sz w:val="24"/>
                <w:highlight w:val="none"/>
              </w:rPr>
              <w:t>洗手台</w:t>
            </w:r>
          </w:p>
        </w:tc>
        <w:tc>
          <w:tcPr>
            <w:tcW w:w="659" w:type="dxa"/>
            <w:vAlign w:val="center"/>
          </w:tcPr>
          <w:p w14:paraId="7D5AB614">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66343564">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0267F936">
            <w:pPr>
              <w:rPr>
                <w:rFonts w:ascii="宋体" w:hAnsi="宋体" w:cs="宋体"/>
                <w:color w:val="auto"/>
                <w:sz w:val="24"/>
                <w:highlight w:val="none"/>
              </w:rPr>
            </w:pPr>
            <w:r>
              <w:rPr>
                <w:rFonts w:hint="eastAsia" w:ascii="宋体" w:hAnsi="宋体" w:cs="宋体"/>
                <w:color w:val="auto"/>
                <w:sz w:val="24"/>
                <w:highlight w:val="none"/>
              </w:rPr>
              <w:t>按照小区实际驿站配置</w:t>
            </w:r>
          </w:p>
        </w:tc>
      </w:tr>
      <w:tr w14:paraId="5059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20BD8F08">
            <w:pPr>
              <w:jc w:val="center"/>
              <w:rPr>
                <w:rFonts w:ascii="宋体" w:hAnsi="宋体" w:cs="宋体"/>
                <w:color w:val="auto"/>
                <w:sz w:val="24"/>
                <w:highlight w:val="none"/>
              </w:rPr>
            </w:pPr>
            <w:r>
              <w:rPr>
                <w:rFonts w:hint="eastAsia" w:ascii="宋体" w:hAnsi="宋体" w:cs="宋体"/>
                <w:color w:val="auto"/>
                <w:sz w:val="24"/>
                <w:highlight w:val="none"/>
              </w:rPr>
              <w:t>有毒有害箱</w:t>
            </w:r>
          </w:p>
        </w:tc>
        <w:tc>
          <w:tcPr>
            <w:tcW w:w="659" w:type="dxa"/>
            <w:vAlign w:val="center"/>
          </w:tcPr>
          <w:p w14:paraId="1C337B9A">
            <w:pPr>
              <w:jc w:val="center"/>
              <w:rPr>
                <w:rFonts w:ascii="宋体" w:hAnsi="宋体" w:cs="宋体"/>
                <w:color w:val="auto"/>
                <w:sz w:val="24"/>
                <w:highlight w:val="none"/>
              </w:rPr>
            </w:pPr>
            <w:r>
              <w:rPr>
                <w:rFonts w:hint="eastAsia" w:ascii="宋体" w:hAnsi="宋体" w:cs="宋体"/>
                <w:color w:val="auto"/>
                <w:sz w:val="24"/>
                <w:highlight w:val="none"/>
              </w:rPr>
              <w:t>台</w:t>
            </w:r>
          </w:p>
        </w:tc>
        <w:tc>
          <w:tcPr>
            <w:tcW w:w="697" w:type="dxa"/>
            <w:vAlign w:val="center"/>
          </w:tcPr>
          <w:p w14:paraId="5A5CB6C3">
            <w:pPr>
              <w:jc w:val="center"/>
              <w:rPr>
                <w:rFonts w:ascii="宋体" w:hAnsi="宋体" w:cs="宋体"/>
                <w:color w:val="auto"/>
                <w:sz w:val="24"/>
                <w:highlight w:val="none"/>
              </w:rPr>
            </w:pPr>
            <w:r>
              <w:rPr>
                <w:rFonts w:hint="eastAsia" w:ascii="宋体" w:hAnsi="宋体" w:cs="宋体"/>
                <w:color w:val="auto"/>
                <w:sz w:val="24"/>
                <w:highlight w:val="none"/>
              </w:rPr>
              <w:t>19</w:t>
            </w:r>
          </w:p>
        </w:tc>
        <w:tc>
          <w:tcPr>
            <w:tcW w:w="4525" w:type="dxa"/>
            <w:vAlign w:val="center"/>
          </w:tcPr>
          <w:p w14:paraId="50B174E6">
            <w:pPr>
              <w:rPr>
                <w:rFonts w:ascii="宋体" w:hAnsi="宋体" w:cs="宋体"/>
                <w:color w:val="auto"/>
                <w:sz w:val="24"/>
                <w:highlight w:val="none"/>
              </w:rPr>
            </w:pPr>
            <w:r>
              <w:rPr>
                <w:rFonts w:hint="eastAsia" w:ascii="宋体" w:hAnsi="宋体" w:cs="宋体"/>
                <w:color w:val="auto"/>
                <w:sz w:val="24"/>
                <w:highlight w:val="none"/>
              </w:rPr>
              <w:t>在可回收物回收站设置</w:t>
            </w:r>
          </w:p>
        </w:tc>
      </w:tr>
      <w:tr w14:paraId="4CE1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2F7BF510">
            <w:pPr>
              <w:jc w:val="center"/>
              <w:rPr>
                <w:rFonts w:ascii="宋体" w:hAnsi="宋体" w:cs="宋体"/>
                <w:color w:val="auto"/>
                <w:sz w:val="24"/>
                <w:highlight w:val="none"/>
              </w:rPr>
            </w:pPr>
            <w:r>
              <w:rPr>
                <w:rFonts w:hint="eastAsia" w:ascii="宋体" w:hAnsi="宋体" w:cs="宋体"/>
                <w:color w:val="auto"/>
                <w:sz w:val="24"/>
                <w:highlight w:val="none"/>
              </w:rPr>
              <w:t>智能投放卡</w:t>
            </w:r>
          </w:p>
        </w:tc>
        <w:tc>
          <w:tcPr>
            <w:tcW w:w="659" w:type="dxa"/>
            <w:vAlign w:val="center"/>
          </w:tcPr>
          <w:p w14:paraId="7F5A303C">
            <w:pPr>
              <w:jc w:val="center"/>
              <w:rPr>
                <w:rFonts w:ascii="宋体" w:hAnsi="宋体" w:cs="宋体"/>
                <w:color w:val="auto"/>
                <w:sz w:val="24"/>
                <w:highlight w:val="none"/>
              </w:rPr>
            </w:pPr>
            <w:r>
              <w:rPr>
                <w:rFonts w:hint="eastAsia" w:ascii="宋体" w:hAnsi="宋体" w:cs="宋体"/>
                <w:color w:val="auto"/>
                <w:sz w:val="24"/>
                <w:highlight w:val="none"/>
              </w:rPr>
              <w:t>张</w:t>
            </w:r>
          </w:p>
        </w:tc>
        <w:tc>
          <w:tcPr>
            <w:tcW w:w="697" w:type="dxa"/>
            <w:vAlign w:val="center"/>
          </w:tcPr>
          <w:p w14:paraId="79A00567">
            <w:pPr>
              <w:jc w:val="center"/>
              <w:rPr>
                <w:rFonts w:ascii="宋体" w:hAnsi="宋体" w:cs="宋体"/>
                <w:color w:val="auto"/>
                <w:sz w:val="24"/>
                <w:highlight w:val="none"/>
              </w:rPr>
            </w:pPr>
            <w:r>
              <w:rPr>
                <w:rFonts w:hint="eastAsia" w:ascii="宋体" w:hAnsi="宋体" w:cs="宋体"/>
                <w:color w:val="auto"/>
                <w:sz w:val="24"/>
                <w:highlight w:val="none"/>
              </w:rPr>
              <w:t>7722</w:t>
            </w:r>
          </w:p>
        </w:tc>
        <w:tc>
          <w:tcPr>
            <w:tcW w:w="4525" w:type="dxa"/>
            <w:vAlign w:val="center"/>
          </w:tcPr>
          <w:p w14:paraId="5F2AF1AB">
            <w:pPr>
              <w:rPr>
                <w:rFonts w:ascii="宋体" w:hAnsi="宋体" w:cs="宋体"/>
                <w:color w:val="auto"/>
                <w:sz w:val="24"/>
                <w:highlight w:val="none"/>
              </w:rPr>
            </w:pPr>
            <w:r>
              <w:rPr>
                <w:rFonts w:hint="eastAsia" w:ascii="宋体" w:hAnsi="宋体" w:cs="宋体"/>
                <w:color w:val="auto"/>
                <w:sz w:val="24"/>
                <w:highlight w:val="none"/>
              </w:rPr>
              <w:t>每户一张</w:t>
            </w:r>
          </w:p>
        </w:tc>
      </w:tr>
      <w:tr w14:paraId="6612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0B44EBFD">
            <w:pPr>
              <w:jc w:val="center"/>
              <w:rPr>
                <w:rFonts w:ascii="宋体" w:hAnsi="宋体" w:cs="宋体"/>
                <w:color w:val="auto"/>
                <w:sz w:val="24"/>
                <w:highlight w:val="none"/>
              </w:rPr>
            </w:pPr>
            <w:r>
              <w:rPr>
                <w:rFonts w:hint="eastAsia" w:ascii="宋体" w:hAnsi="宋体" w:cs="宋体"/>
                <w:color w:val="auto"/>
                <w:sz w:val="24"/>
                <w:highlight w:val="none"/>
              </w:rPr>
              <w:t>宣传手册</w:t>
            </w:r>
          </w:p>
        </w:tc>
        <w:tc>
          <w:tcPr>
            <w:tcW w:w="659" w:type="dxa"/>
            <w:vAlign w:val="center"/>
          </w:tcPr>
          <w:p w14:paraId="155C7CEF">
            <w:pPr>
              <w:jc w:val="center"/>
              <w:rPr>
                <w:rFonts w:ascii="宋体" w:hAnsi="宋体" w:cs="宋体"/>
                <w:color w:val="auto"/>
                <w:sz w:val="24"/>
                <w:highlight w:val="none"/>
              </w:rPr>
            </w:pPr>
            <w:r>
              <w:rPr>
                <w:rFonts w:hint="eastAsia" w:ascii="宋体" w:hAnsi="宋体" w:cs="宋体"/>
                <w:color w:val="auto"/>
                <w:sz w:val="24"/>
                <w:highlight w:val="none"/>
              </w:rPr>
              <w:t>张</w:t>
            </w:r>
          </w:p>
        </w:tc>
        <w:tc>
          <w:tcPr>
            <w:tcW w:w="697" w:type="dxa"/>
            <w:vAlign w:val="center"/>
          </w:tcPr>
          <w:p w14:paraId="5A4CA88C">
            <w:pPr>
              <w:jc w:val="center"/>
              <w:rPr>
                <w:rFonts w:ascii="宋体" w:hAnsi="宋体" w:cs="宋体"/>
                <w:color w:val="auto"/>
                <w:sz w:val="24"/>
                <w:highlight w:val="none"/>
              </w:rPr>
            </w:pPr>
            <w:r>
              <w:rPr>
                <w:rFonts w:hint="eastAsia" w:ascii="宋体" w:hAnsi="宋体" w:cs="宋体"/>
                <w:color w:val="auto"/>
                <w:sz w:val="24"/>
                <w:highlight w:val="none"/>
              </w:rPr>
              <w:t>7722</w:t>
            </w:r>
          </w:p>
        </w:tc>
        <w:tc>
          <w:tcPr>
            <w:tcW w:w="4525" w:type="dxa"/>
            <w:vAlign w:val="center"/>
          </w:tcPr>
          <w:p w14:paraId="2823360E">
            <w:pPr>
              <w:rPr>
                <w:rFonts w:ascii="宋体" w:hAnsi="宋体" w:cs="宋体"/>
                <w:color w:val="auto"/>
                <w:sz w:val="24"/>
                <w:highlight w:val="none"/>
              </w:rPr>
            </w:pPr>
            <w:r>
              <w:rPr>
                <w:rFonts w:hint="eastAsia" w:ascii="宋体" w:hAnsi="宋体" w:cs="宋体"/>
                <w:color w:val="auto"/>
                <w:sz w:val="24"/>
                <w:highlight w:val="none"/>
              </w:rPr>
              <w:t>按宣传要求印制，至少每户一册</w:t>
            </w:r>
          </w:p>
        </w:tc>
      </w:tr>
      <w:tr w14:paraId="37C1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07BD2A78">
            <w:pPr>
              <w:jc w:val="center"/>
              <w:rPr>
                <w:rFonts w:ascii="宋体" w:hAnsi="宋体" w:cs="宋体"/>
                <w:color w:val="auto"/>
                <w:sz w:val="24"/>
                <w:highlight w:val="none"/>
              </w:rPr>
            </w:pPr>
            <w:r>
              <w:rPr>
                <w:rFonts w:hint="eastAsia" w:ascii="宋体" w:hAnsi="宋体" w:cs="宋体"/>
                <w:color w:val="auto"/>
                <w:sz w:val="24"/>
                <w:highlight w:val="none"/>
              </w:rPr>
              <w:t>楼道宣传牌</w:t>
            </w:r>
          </w:p>
        </w:tc>
        <w:tc>
          <w:tcPr>
            <w:tcW w:w="659" w:type="dxa"/>
            <w:vAlign w:val="center"/>
          </w:tcPr>
          <w:p w14:paraId="3161E09E">
            <w:pPr>
              <w:jc w:val="center"/>
              <w:rPr>
                <w:rFonts w:ascii="宋体" w:hAnsi="宋体" w:cs="宋体"/>
                <w:color w:val="auto"/>
                <w:sz w:val="24"/>
                <w:highlight w:val="none"/>
              </w:rPr>
            </w:pPr>
            <w:r>
              <w:rPr>
                <w:rFonts w:hint="eastAsia" w:ascii="宋体" w:hAnsi="宋体" w:cs="宋体"/>
                <w:color w:val="auto"/>
                <w:sz w:val="24"/>
                <w:highlight w:val="none"/>
              </w:rPr>
              <w:t>张</w:t>
            </w:r>
          </w:p>
        </w:tc>
        <w:tc>
          <w:tcPr>
            <w:tcW w:w="697" w:type="dxa"/>
            <w:vAlign w:val="center"/>
          </w:tcPr>
          <w:p w14:paraId="083148E6">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71187F80">
            <w:pPr>
              <w:rPr>
                <w:rFonts w:ascii="宋体" w:hAnsi="宋体" w:cs="宋体"/>
                <w:color w:val="auto"/>
                <w:sz w:val="24"/>
                <w:highlight w:val="none"/>
              </w:rPr>
            </w:pPr>
            <w:r>
              <w:rPr>
                <w:rFonts w:hint="eastAsia" w:ascii="宋体" w:hAnsi="宋体" w:cs="宋体"/>
                <w:color w:val="auto"/>
                <w:sz w:val="24"/>
                <w:highlight w:val="none"/>
              </w:rPr>
              <w:t>每个小区每个楼道配置一个，内容包括垃圾分类宣传、成果展示、五员一长公示等</w:t>
            </w:r>
          </w:p>
        </w:tc>
      </w:tr>
      <w:tr w14:paraId="448D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1A2C6A8A">
            <w:pPr>
              <w:jc w:val="center"/>
              <w:rPr>
                <w:rFonts w:ascii="宋体" w:hAnsi="宋体" w:cs="宋体"/>
                <w:b/>
                <w:bCs/>
                <w:color w:val="auto"/>
                <w:sz w:val="24"/>
                <w:highlight w:val="none"/>
              </w:rPr>
            </w:pPr>
            <w:r>
              <w:rPr>
                <w:rFonts w:hint="eastAsia" w:ascii="宋体" w:hAnsi="宋体" w:cs="宋体"/>
                <w:b/>
                <w:bCs/>
                <w:color w:val="auto"/>
                <w:sz w:val="24"/>
                <w:highlight w:val="none"/>
              </w:rPr>
              <w:t>智能积分秤</w:t>
            </w:r>
          </w:p>
        </w:tc>
        <w:tc>
          <w:tcPr>
            <w:tcW w:w="659" w:type="dxa"/>
            <w:vAlign w:val="center"/>
          </w:tcPr>
          <w:p w14:paraId="71FBDA09">
            <w:pPr>
              <w:jc w:val="center"/>
              <w:rPr>
                <w:rFonts w:ascii="宋体" w:hAnsi="宋体" w:cs="宋体"/>
                <w:b/>
                <w:bCs/>
                <w:color w:val="auto"/>
                <w:sz w:val="24"/>
                <w:highlight w:val="none"/>
              </w:rPr>
            </w:pPr>
            <w:r>
              <w:rPr>
                <w:rFonts w:hint="eastAsia" w:ascii="宋体" w:hAnsi="宋体" w:cs="宋体"/>
                <w:b/>
                <w:bCs/>
                <w:color w:val="auto"/>
                <w:sz w:val="24"/>
                <w:highlight w:val="none"/>
              </w:rPr>
              <w:t>台</w:t>
            </w:r>
          </w:p>
        </w:tc>
        <w:tc>
          <w:tcPr>
            <w:tcW w:w="697" w:type="dxa"/>
            <w:vAlign w:val="center"/>
          </w:tcPr>
          <w:p w14:paraId="56BFCBC8">
            <w:pPr>
              <w:jc w:val="center"/>
              <w:rPr>
                <w:rFonts w:ascii="宋体" w:hAnsi="宋体" w:cs="宋体"/>
                <w:b/>
                <w:bCs/>
                <w:color w:val="auto"/>
                <w:sz w:val="24"/>
                <w:highlight w:val="none"/>
              </w:rPr>
            </w:pPr>
            <w:r>
              <w:rPr>
                <w:rFonts w:hint="eastAsia" w:ascii="宋体" w:hAnsi="宋体" w:cs="宋体"/>
                <w:b/>
                <w:bCs/>
                <w:color w:val="auto"/>
                <w:sz w:val="24"/>
                <w:highlight w:val="none"/>
              </w:rPr>
              <w:t>若干</w:t>
            </w:r>
          </w:p>
        </w:tc>
        <w:tc>
          <w:tcPr>
            <w:tcW w:w="4525" w:type="dxa"/>
            <w:vAlign w:val="center"/>
          </w:tcPr>
          <w:p w14:paraId="2545E782">
            <w:pPr>
              <w:rPr>
                <w:rFonts w:ascii="宋体" w:hAnsi="宋体" w:cs="宋体"/>
                <w:b/>
                <w:bCs/>
                <w:color w:val="auto"/>
                <w:sz w:val="24"/>
                <w:highlight w:val="none"/>
              </w:rPr>
            </w:pPr>
            <w:r>
              <w:rPr>
                <w:rFonts w:hint="eastAsia" w:ascii="宋体" w:hAnsi="宋体" w:cs="宋体"/>
                <w:b/>
                <w:bCs/>
                <w:color w:val="auto"/>
                <w:sz w:val="24"/>
                <w:highlight w:val="none"/>
              </w:rPr>
              <w:t>智能驿站配备智能秤，精准记录居民投放各类垃圾数据。</w:t>
            </w:r>
          </w:p>
        </w:tc>
      </w:tr>
      <w:tr w14:paraId="2610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467EDF62">
            <w:pPr>
              <w:jc w:val="center"/>
              <w:rPr>
                <w:rFonts w:ascii="宋体" w:hAnsi="宋体" w:cs="宋体"/>
                <w:color w:val="auto"/>
                <w:sz w:val="24"/>
                <w:highlight w:val="none"/>
              </w:rPr>
            </w:pPr>
            <w:r>
              <w:rPr>
                <w:rFonts w:hint="eastAsia" w:ascii="宋体" w:hAnsi="宋体" w:cs="宋体"/>
                <w:color w:val="auto"/>
                <w:sz w:val="24"/>
                <w:highlight w:val="none"/>
              </w:rPr>
              <w:t>240L易腐垃圾桶</w:t>
            </w:r>
          </w:p>
        </w:tc>
        <w:tc>
          <w:tcPr>
            <w:tcW w:w="659" w:type="dxa"/>
            <w:vAlign w:val="center"/>
          </w:tcPr>
          <w:p w14:paraId="29B9C370">
            <w:pPr>
              <w:jc w:val="center"/>
              <w:rPr>
                <w:rFonts w:ascii="宋体" w:hAnsi="宋体" w:cs="宋体"/>
                <w:color w:val="auto"/>
                <w:sz w:val="24"/>
                <w:highlight w:val="none"/>
              </w:rPr>
            </w:pPr>
            <w:r>
              <w:rPr>
                <w:rFonts w:hint="eastAsia" w:ascii="宋体" w:hAnsi="宋体" w:cs="宋体"/>
                <w:color w:val="auto"/>
                <w:sz w:val="24"/>
                <w:highlight w:val="none"/>
              </w:rPr>
              <w:t>组</w:t>
            </w:r>
          </w:p>
        </w:tc>
        <w:tc>
          <w:tcPr>
            <w:tcW w:w="697" w:type="dxa"/>
            <w:vAlign w:val="center"/>
          </w:tcPr>
          <w:p w14:paraId="0CE2FCCB">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3D54BC5D">
            <w:pPr>
              <w:rPr>
                <w:rFonts w:ascii="宋体" w:hAnsi="宋体" w:cs="宋体"/>
                <w:color w:val="auto"/>
                <w:sz w:val="24"/>
                <w:highlight w:val="none"/>
              </w:rPr>
            </w:pPr>
            <w:r>
              <w:rPr>
                <w:rFonts w:hint="eastAsia" w:ascii="宋体" w:hAnsi="宋体" w:cs="宋体"/>
                <w:color w:val="auto"/>
                <w:sz w:val="24"/>
                <w:highlight w:val="none"/>
              </w:rPr>
              <w:t>用于智能分类箱，根据运营实际配置</w:t>
            </w:r>
          </w:p>
        </w:tc>
      </w:tr>
      <w:tr w14:paraId="20D2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29A540B5">
            <w:pPr>
              <w:jc w:val="center"/>
              <w:rPr>
                <w:rFonts w:ascii="宋体" w:hAnsi="宋体" w:cs="宋体"/>
                <w:color w:val="auto"/>
                <w:sz w:val="24"/>
                <w:highlight w:val="none"/>
              </w:rPr>
            </w:pPr>
            <w:r>
              <w:rPr>
                <w:rFonts w:hint="eastAsia" w:ascii="宋体" w:hAnsi="宋体" w:cs="宋体"/>
                <w:color w:val="auto"/>
                <w:sz w:val="24"/>
                <w:highlight w:val="none"/>
              </w:rPr>
              <w:t>入户易腐垃圾圾桶（10L）</w:t>
            </w:r>
          </w:p>
        </w:tc>
        <w:tc>
          <w:tcPr>
            <w:tcW w:w="659" w:type="dxa"/>
            <w:vAlign w:val="center"/>
          </w:tcPr>
          <w:p w14:paraId="7979A261">
            <w:pPr>
              <w:jc w:val="center"/>
              <w:rPr>
                <w:rFonts w:ascii="宋体" w:hAnsi="宋体" w:cs="宋体"/>
                <w:color w:val="auto"/>
                <w:sz w:val="24"/>
                <w:highlight w:val="none"/>
              </w:rPr>
            </w:pPr>
            <w:r>
              <w:rPr>
                <w:rFonts w:hint="eastAsia" w:ascii="宋体" w:hAnsi="宋体" w:cs="宋体"/>
                <w:color w:val="auto"/>
                <w:sz w:val="24"/>
                <w:highlight w:val="none"/>
              </w:rPr>
              <w:t>只</w:t>
            </w:r>
          </w:p>
        </w:tc>
        <w:tc>
          <w:tcPr>
            <w:tcW w:w="697" w:type="dxa"/>
            <w:vAlign w:val="center"/>
          </w:tcPr>
          <w:p w14:paraId="3ADA5AE7">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342BE0FD">
            <w:pPr>
              <w:rPr>
                <w:rFonts w:ascii="宋体" w:hAnsi="宋体" w:cs="宋体"/>
                <w:color w:val="auto"/>
                <w:sz w:val="24"/>
                <w:highlight w:val="none"/>
              </w:rPr>
            </w:pPr>
            <w:r>
              <w:rPr>
                <w:rFonts w:hint="eastAsia" w:ascii="宋体" w:hAnsi="宋体" w:cs="宋体"/>
                <w:color w:val="auto"/>
                <w:sz w:val="24"/>
                <w:highlight w:val="none"/>
              </w:rPr>
              <w:t>未发放小区每户发放1只</w:t>
            </w:r>
          </w:p>
        </w:tc>
      </w:tr>
      <w:tr w14:paraId="7A34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5FA8A876">
            <w:pPr>
              <w:jc w:val="center"/>
              <w:rPr>
                <w:rFonts w:ascii="宋体" w:hAnsi="宋体" w:cs="宋体"/>
                <w:color w:val="auto"/>
                <w:sz w:val="24"/>
                <w:highlight w:val="none"/>
              </w:rPr>
            </w:pPr>
            <w:r>
              <w:rPr>
                <w:rFonts w:hint="eastAsia" w:ascii="宋体" w:hAnsi="宋体" w:cs="宋体"/>
                <w:color w:val="auto"/>
                <w:sz w:val="24"/>
                <w:highlight w:val="none"/>
              </w:rPr>
              <w:t>可回收物宣传 指示牌</w:t>
            </w:r>
          </w:p>
        </w:tc>
        <w:tc>
          <w:tcPr>
            <w:tcW w:w="659" w:type="dxa"/>
            <w:vAlign w:val="center"/>
          </w:tcPr>
          <w:p w14:paraId="17817A7C">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7E7DFA08">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28CBDE26">
            <w:pPr>
              <w:rPr>
                <w:rFonts w:ascii="宋体" w:hAnsi="宋体" w:cs="宋体"/>
                <w:color w:val="auto"/>
                <w:sz w:val="24"/>
                <w:highlight w:val="none"/>
              </w:rPr>
            </w:pPr>
            <w:r>
              <w:rPr>
                <w:rFonts w:hint="eastAsia" w:ascii="宋体" w:hAnsi="宋体" w:cs="宋体"/>
                <w:color w:val="auto"/>
                <w:sz w:val="24"/>
                <w:highlight w:val="none"/>
              </w:rPr>
              <w:t>每个驿站配置一个</w:t>
            </w:r>
          </w:p>
        </w:tc>
      </w:tr>
      <w:tr w14:paraId="6D1B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55865146">
            <w:pPr>
              <w:jc w:val="center"/>
              <w:rPr>
                <w:rFonts w:ascii="宋体" w:hAnsi="宋体" w:cs="宋体"/>
                <w:color w:val="auto"/>
                <w:sz w:val="24"/>
                <w:highlight w:val="none"/>
              </w:rPr>
            </w:pPr>
            <w:r>
              <w:rPr>
                <w:rFonts w:hint="eastAsia" w:ascii="宋体" w:hAnsi="宋体" w:cs="宋体"/>
                <w:color w:val="auto"/>
                <w:sz w:val="24"/>
                <w:highlight w:val="none"/>
              </w:rPr>
              <w:t>监督公示栏</w:t>
            </w:r>
          </w:p>
        </w:tc>
        <w:tc>
          <w:tcPr>
            <w:tcW w:w="659" w:type="dxa"/>
            <w:vAlign w:val="center"/>
          </w:tcPr>
          <w:p w14:paraId="3ADA61A8">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52010E54">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4660D2C9">
            <w:pPr>
              <w:rPr>
                <w:rFonts w:ascii="宋体" w:hAnsi="宋体" w:cs="宋体"/>
                <w:color w:val="auto"/>
                <w:sz w:val="24"/>
                <w:highlight w:val="none"/>
              </w:rPr>
            </w:pPr>
            <w:r>
              <w:rPr>
                <w:rFonts w:hint="eastAsia" w:ascii="宋体" w:hAnsi="宋体" w:cs="宋体"/>
                <w:color w:val="auto"/>
                <w:sz w:val="24"/>
                <w:highlight w:val="none"/>
              </w:rPr>
              <w:t>每个小区2个（户分成绩公示和分类设施设备分布图及宣传）</w:t>
            </w:r>
          </w:p>
        </w:tc>
      </w:tr>
      <w:tr w14:paraId="3A42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00EA5CB4">
            <w:pPr>
              <w:jc w:val="center"/>
              <w:rPr>
                <w:rFonts w:ascii="宋体" w:hAnsi="宋体" w:cs="宋体"/>
                <w:b/>
                <w:bCs/>
                <w:color w:val="auto"/>
                <w:sz w:val="24"/>
                <w:highlight w:val="none"/>
              </w:rPr>
            </w:pPr>
            <w:r>
              <w:rPr>
                <w:rFonts w:hint="eastAsia" w:ascii="宋体" w:hAnsi="宋体" w:cs="宋体"/>
                <w:b/>
                <w:bCs/>
                <w:color w:val="auto"/>
                <w:sz w:val="24"/>
                <w:highlight w:val="none"/>
              </w:rPr>
              <w:t>彩色电子显示屏</w:t>
            </w:r>
          </w:p>
        </w:tc>
        <w:tc>
          <w:tcPr>
            <w:tcW w:w="659" w:type="dxa"/>
            <w:vAlign w:val="center"/>
          </w:tcPr>
          <w:p w14:paraId="54F9CD2E">
            <w:pPr>
              <w:jc w:val="center"/>
              <w:rPr>
                <w:rFonts w:ascii="宋体" w:hAnsi="宋体" w:cs="宋体"/>
                <w:b/>
                <w:bCs/>
                <w:color w:val="auto"/>
                <w:sz w:val="24"/>
                <w:highlight w:val="none"/>
              </w:rPr>
            </w:pPr>
            <w:r>
              <w:rPr>
                <w:rFonts w:hint="eastAsia" w:ascii="宋体" w:hAnsi="宋体" w:cs="宋体"/>
                <w:b/>
                <w:bCs/>
                <w:color w:val="auto"/>
                <w:sz w:val="24"/>
                <w:highlight w:val="none"/>
              </w:rPr>
              <w:t>个</w:t>
            </w:r>
          </w:p>
        </w:tc>
        <w:tc>
          <w:tcPr>
            <w:tcW w:w="697" w:type="dxa"/>
            <w:vAlign w:val="center"/>
          </w:tcPr>
          <w:p w14:paraId="2C037FB5">
            <w:pPr>
              <w:jc w:val="center"/>
              <w:rPr>
                <w:rFonts w:ascii="宋体" w:hAnsi="宋体" w:cs="宋体"/>
                <w:b/>
                <w:bCs/>
                <w:color w:val="auto"/>
                <w:sz w:val="24"/>
                <w:highlight w:val="none"/>
              </w:rPr>
            </w:pPr>
            <w:r>
              <w:rPr>
                <w:rFonts w:hint="eastAsia" w:ascii="宋体" w:hAnsi="宋体" w:cs="宋体"/>
                <w:b/>
                <w:bCs/>
                <w:color w:val="auto"/>
                <w:sz w:val="24"/>
                <w:highlight w:val="none"/>
              </w:rPr>
              <w:t>若干</w:t>
            </w:r>
          </w:p>
        </w:tc>
        <w:tc>
          <w:tcPr>
            <w:tcW w:w="4525" w:type="dxa"/>
            <w:vAlign w:val="center"/>
          </w:tcPr>
          <w:p w14:paraId="134E3F0B">
            <w:pPr>
              <w:rPr>
                <w:rFonts w:ascii="宋体" w:hAnsi="宋体" w:cs="宋体"/>
                <w:b/>
                <w:bCs/>
                <w:color w:val="auto"/>
                <w:sz w:val="24"/>
                <w:highlight w:val="none"/>
              </w:rPr>
            </w:pPr>
            <w:r>
              <w:rPr>
                <w:rFonts w:hint="eastAsia" w:ascii="宋体" w:hAnsi="宋体" w:cs="宋体"/>
                <w:b/>
                <w:bCs/>
                <w:color w:val="auto"/>
                <w:sz w:val="24"/>
                <w:highlight w:val="none"/>
              </w:rPr>
              <w:t>按村社实际需求配置，显示屏可滚动播放居民每日后台数据及分类红黑榜展示</w:t>
            </w:r>
          </w:p>
        </w:tc>
      </w:tr>
      <w:tr w14:paraId="59ED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2497" w:type="dxa"/>
            <w:vAlign w:val="center"/>
          </w:tcPr>
          <w:p w14:paraId="76757EB1">
            <w:pPr>
              <w:jc w:val="center"/>
              <w:rPr>
                <w:rFonts w:ascii="宋体" w:hAnsi="宋体" w:cs="宋体"/>
                <w:color w:val="auto"/>
                <w:sz w:val="24"/>
                <w:highlight w:val="none"/>
              </w:rPr>
            </w:pPr>
            <w:r>
              <w:rPr>
                <w:rFonts w:hint="eastAsia" w:ascii="宋体" w:hAnsi="宋体" w:cs="宋体"/>
                <w:color w:val="auto"/>
                <w:sz w:val="24"/>
                <w:highlight w:val="none"/>
              </w:rPr>
              <w:t>大件垃圾中转站</w:t>
            </w:r>
          </w:p>
        </w:tc>
        <w:tc>
          <w:tcPr>
            <w:tcW w:w="659" w:type="dxa"/>
            <w:vAlign w:val="center"/>
          </w:tcPr>
          <w:p w14:paraId="2B02F0D1">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5AB72AAE">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20527982">
            <w:pPr>
              <w:rPr>
                <w:rFonts w:ascii="宋体" w:hAnsi="宋体" w:cs="宋体"/>
                <w:color w:val="auto"/>
                <w:sz w:val="24"/>
                <w:highlight w:val="none"/>
              </w:rPr>
            </w:pPr>
            <w:r>
              <w:rPr>
                <w:rFonts w:hint="eastAsia" w:ascii="宋体" w:hAnsi="宋体" w:cs="宋体"/>
                <w:color w:val="auto"/>
                <w:sz w:val="24"/>
                <w:highlight w:val="none"/>
              </w:rPr>
              <w:t>原则上每个小区配一处，可根据实际情况调整</w:t>
            </w:r>
          </w:p>
        </w:tc>
      </w:tr>
      <w:tr w14:paraId="3238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497" w:type="dxa"/>
            <w:vAlign w:val="center"/>
          </w:tcPr>
          <w:p w14:paraId="78F864AB">
            <w:pPr>
              <w:jc w:val="center"/>
              <w:rPr>
                <w:rFonts w:ascii="宋体" w:hAnsi="宋体" w:cs="宋体"/>
                <w:color w:val="auto"/>
                <w:sz w:val="24"/>
                <w:highlight w:val="none"/>
              </w:rPr>
            </w:pPr>
            <w:r>
              <w:rPr>
                <w:rFonts w:hint="eastAsia" w:ascii="宋体" w:hAnsi="宋体" w:cs="宋体"/>
                <w:color w:val="auto"/>
                <w:sz w:val="24"/>
                <w:highlight w:val="none"/>
              </w:rPr>
              <w:t>其他垃圾接驳点</w:t>
            </w:r>
          </w:p>
        </w:tc>
        <w:tc>
          <w:tcPr>
            <w:tcW w:w="659" w:type="dxa"/>
            <w:vAlign w:val="center"/>
          </w:tcPr>
          <w:p w14:paraId="74927FF7">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5B420629">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13366984">
            <w:pPr>
              <w:rPr>
                <w:rFonts w:ascii="宋体" w:hAnsi="宋体" w:cs="宋体"/>
                <w:b/>
                <w:color w:val="auto"/>
                <w:sz w:val="24"/>
                <w:highlight w:val="none"/>
              </w:rPr>
            </w:pPr>
            <w:r>
              <w:rPr>
                <w:rFonts w:hint="eastAsia" w:ascii="宋体" w:hAnsi="宋体" w:cs="宋体"/>
                <w:color w:val="auto"/>
                <w:sz w:val="24"/>
                <w:highlight w:val="none"/>
              </w:rPr>
              <w:t>原则上每个小区配一处，可根据实际情况调整</w:t>
            </w:r>
          </w:p>
        </w:tc>
      </w:tr>
      <w:tr w14:paraId="71BC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8378" w:type="dxa"/>
            <w:gridSpan w:val="4"/>
            <w:vAlign w:val="center"/>
          </w:tcPr>
          <w:p w14:paraId="3A8970BA">
            <w:pPr>
              <w:rPr>
                <w:rFonts w:ascii="宋体" w:hAnsi="宋体" w:cs="宋体"/>
                <w:color w:val="auto"/>
                <w:sz w:val="24"/>
                <w:highlight w:val="none"/>
              </w:rPr>
            </w:pPr>
            <w:r>
              <w:rPr>
                <w:rFonts w:hint="eastAsia" w:ascii="宋体" w:hAnsi="宋体" w:cs="宋体"/>
                <w:color w:val="auto"/>
                <w:sz w:val="24"/>
                <w:highlight w:val="none"/>
              </w:rPr>
              <w:t>注：包含但不仅限于上述设备，若上级部门有新要求，则中标单位需无偿配合属地街道配置相关设备。</w:t>
            </w:r>
          </w:p>
        </w:tc>
      </w:tr>
    </w:tbl>
    <w:p w14:paraId="34746251">
      <w:pPr>
        <w:rPr>
          <w:rFonts w:ascii="宋体" w:hAnsi="宋体" w:cs="宋体"/>
          <w:b/>
          <w:bCs/>
          <w:color w:val="auto"/>
          <w:sz w:val="24"/>
          <w:highlight w:val="none"/>
        </w:rPr>
      </w:pPr>
    </w:p>
    <w:p w14:paraId="1AD1C9D8">
      <w:pPr>
        <w:rPr>
          <w:rFonts w:ascii="宋体" w:hAnsi="宋体" w:cs="宋体"/>
          <w:b/>
          <w:bCs/>
          <w:color w:val="auto"/>
          <w:sz w:val="24"/>
          <w:highlight w:val="none"/>
        </w:rPr>
      </w:pPr>
      <w:r>
        <w:rPr>
          <w:rFonts w:hint="eastAsia" w:ascii="宋体" w:hAnsi="宋体" w:cs="宋体"/>
          <w:b/>
          <w:bCs/>
          <w:color w:val="auto"/>
          <w:sz w:val="24"/>
          <w:highlight w:val="none"/>
        </w:rPr>
        <w:t>（四）收运车辆需求清单</w:t>
      </w:r>
    </w:p>
    <w:p w14:paraId="4C5CCA16">
      <w:pPr>
        <w:rPr>
          <w:rFonts w:ascii="宋体" w:hAnsi="宋体" w:cs="宋体"/>
          <w:b/>
          <w:bCs/>
          <w:color w:val="auto"/>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1302"/>
        <w:gridCol w:w="1741"/>
        <w:gridCol w:w="2377"/>
      </w:tblGrid>
      <w:tr w14:paraId="7A5A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917" w:type="dxa"/>
            <w:shd w:val="clear" w:color="auto" w:fill="BFBFBF"/>
            <w:vAlign w:val="center"/>
          </w:tcPr>
          <w:p w14:paraId="2B34C9E2">
            <w:pPr>
              <w:jc w:val="center"/>
              <w:rPr>
                <w:rFonts w:ascii="宋体" w:hAnsi="宋体" w:cs="宋体"/>
                <w:b/>
                <w:bCs/>
                <w:color w:val="auto"/>
                <w:sz w:val="24"/>
                <w:highlight w:val="none"/>
              </w:rPr>
            </w:pPr>
            <w:r>
              <w:rPr>
                <w:rFonts w:hint="eastAsia" w:ascii="宋体" w:hAnsi="宋体" w:cs="宋体"/>
                <w:b/>
                <w:bCs/>
                <w:color w:val="auto"/>
                <w:sz w:val="24"/>
                <w:highlight w:val="none"/>
              </w:rPr>
              <w:t>车辆名称</w:t>
            </w:r>
          </w:p>
        </w:tc>
        <w:tc>
          <w:tcPr>
            <w:tcW w:w="1302" w:type="dxa"/>
            <w:shd w:val="clear" w:color="auto" w:fill="BFBFBF"/>
            <w:vAlign w:val="center"/>
          </w:tcPr>
          <w:p w14:paraId="71DD90A3">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1741" w:type="dxa"/>
            <w:shd w:val="clear" w:color="auto" w:fill="BFBFBF"/>
            <w:vAlign w:val="center"/>
          </w:tcPr>
          <w:p w14:paraId="49172FA2">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2377" w:type="dxa"/>
            <w:shd w:val="clear" w:color="auto" w:fill="BFBFBF"/>
            <w:vAlign w:val="center"/>
          </w:tcPr>
          <w:p w14:paraId="7743ED48">
            <w:pPr>
              <w:jc w:val="center"/>
              <w:rPr>
                <w:rFonts w:ascii="宋体" w:hAnsi="宋体" w:cs="宋体"/>
                <w:b/>
                <w:bCs/>
                <w:color w:val="auto"/>
                <w:sz w:val="24"/>
                <w:highlight w:val="none"/>
              </w:rPr>
            </w:pPr>
            <w:r>
              <w:rPr>
                <w:rFonts w:hint="eastAsia" w:ascii="宋体" w:hAnsi="宋体" w:cs="宋体"/>
                <w:b/>
                <w:bCs/>
                <w:color w:val="auto"/>
                <w:sz w:val="24"/>
                <w:highlight w:val="none"/>
              </w:rPr>
              <w:t>配置原则</w:t>
            </w:r>
          </w:p>
        </w:tc>
      </w:tr>
      <w:tr w14:paraId="0CAD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917" w:type="dxa"/>
            <w:vAlign w:val="center"/>
          </w:tcPr>
          <w:p w14:paraId="0F8552FF">
            <w:pPr>
              <w:jc w:val="center"/>
              <w:rPr>
                <w:rFonts w:ascii="宋体" w:hAnsi="宋体" w:cs="宋体"/>
                <w:color w:val="auto"/>
                <w:sz w:val="24"/>
                <w:highlight w:val="none"/>
              </w:rPr>
            </w:pPr>
            <w:r>
              <w:rPr>
                <w:rFonts w:hint="eastAsia" w:ascii="宋体" w:hAnsi="宋体" w:cs="宋体"/>
                <w:color w:val="auto"/>
                <w:sz w:val="24"/>
                <w:highlight w:val="none"/>
              </w:rPr>
              <w:t>小区内短驳车</w:t>
            </w:r>
          </w:p>
        </w:tc>
        <w:tc>
          <w:tcPr>
            <w:tcW w:w="1302" w:type="dxa"/>
            <w:vAlign w:val="center"/>
          </w:tcPr>
          <w:p w14:paraId="570B2A87">
            <w:pPr>
              <w:jc w:val="center"/>
              <w:rPr>
                <w:rFonts w:ascii="宋体" w:hAnsi="宋体" w:cs="宋体"/>
                <w:color w:val="auto"/>
                <w:sz w:val="24"/>
                <w:highlight w:val="none"/>
              </w:rPr>
            </w:pPr>
            <w:r>
              <w:rPr>
                <w:rFonts w:hint="eastAsia" w:ascii="宋体" w:hAnsi="宋体" w:cs="宋体"/>
                <w:color w:val="auto"/>
                <w:sz w:val="24"/>
                <w:highlight w:val="none"/>
              </w:rPr>
              <w:t>辆</w:t>
            </w:r>
          </w:p>
        </w:tc>
        <w:tc>
          <w:tcPr>
            <w:tcW w:w="1741" w:type="dxa"/>
            <w:vAlign w:val="center"/>
          </w:tcPr>
          <w:p w14:paraId="0AFDC16B">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2377" w:type="dxa"/>
            <w:vAlign w:val="center"/>
          </w:tcPr>
          <w:p w14:paraId="77A7742B">
            <w:pPr>
              <w:jc w:val="center"/>
              <w:rPr>
                <w:rFonts w:ascii="宋体" w:hAnsi="宋体" w:cs="宋体"/>
                <w:color w:val="auto"/>
                <w:sz w:val="24"/>
                <w:highlight w:val="none"/>
              </w:rPr>
            </w:pPr>
            <w:r>
              <w:rPr>
                <w:rFonts w:hint="eastAsia" w:ascii="宋体" w:hAnsi="宋体" w:cs="宋体"/>
                <w:color w:val="auto"/>
                <w:sz w:val="24"/>
                <w:highlight w:val="none"/>
              </w:rPr>
              <w:t>满足运营需求即可</w:t>
            </w:r>
          </w:p>
        </w:tc>
      </w:tr>
      <w:tr w14:paraId="6A8D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2917" w:type="dxa"/>
            <w:vAlign w:val="center"/>
          </w:tcPr>
          <w:p w14:paraId="239B1E15">
            <w:pPr>
              <w:jc w:val="center"/>
              <w:rPr>
                <w:rFonts w:ascii="宋体" w:hAnsi="宋体" w:cs="宋体"/>
                <w:color w:val="auto"/>
                <w:sz w:val="24"/>
                <w:highlight w:val="none"/>
              </w:rPr>
            </w:pPr>
            <w:r>
              <w:rPr>
                <w:rFonts w:hint="eastAsia" w:ascii="宋体" w:hAnsi="宋体" w:cs="宋体"/>
                <w:color w:val="auto"/>
                <w:sz w:val="24"/>
                <w:highlight w:val="none"/>
              </w:rPr>
              <w:t>可回收专用车</w:t>
            </w:r>
          </w:p>
        </w:tc>
        <w:tc>
          <w:tcPr>
            <w:tcW w:w="1302" w:type="dxa"/>
            <w:vAlign w:val="center"/>
          </w:tcPr>
          <w:p w14:paraId="5D792BCD">
            <w:pPr>
              <w:jc w:val="center"/>
              <w:rPr>
                <w:rFonts w:ascii="宋体" w:hAnsi="宋体" w:cs="宋体"/>
                <w:color w:val="auto"/>
                <w:sz w:val="24"/>
                <w:highlight w:val="none"/>
              </w:rPr>
            </w:pPr>
            <w:r>
              <w:rPr>
                <w:rFonts w:hint="eastAsia" w:ascii="宋体" w:hAnsi="宋体" w:cs="宋体"/>
                <w:color w:val="auto"/>
                <w:sz w:val="24"/>
                <w:highlight w:val="none"/>
              </w:rPr>
              <w:t>辆</w:t>
            </w:r>
          </w:p>
        </w:tc>
        <w:tc>
          <w:tcPr>
            <w:tcW w:w="1741" w:type="dxa"/>
            <w:vAlign w:val="center"/>
          </w:tcPr>
          <w:p w14:paraId="1EABD12F">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2377" w:type="dxa"/>
            <w:vAlign w:val="center"/>
          </w:tcPr>
          <w:p w14:paraId="2C0C713B">
            <w:pPr>
              <w:jc w:val="center"/>
              <w:rPr>
                <w:rFonts w:ascii="宋体" w:hAnsi="宋体" w:cs="宋体"/>
                <w:color w:val="auto"/>
                <w:sz w:val="24"/>
                <w:highlight w:val="none"/>
              </w:rPr>
            </w:pPr>
            <w:r>
              <w:rPr>
                <w:rFonts w:hint="eastAsia" w:ascii="宋体" w:hAnsi="宋体" w:cs="宋体"/>
                <w:color w:val="auto"/>
                <w:sz w:val="24"/>
                <w:highlight w:val="none"/>
              </w:rPr>
              <w:t>满足运营需求即可</w:t>
            </w:r>
          </w:p>
        </w:tc>
      </w:tr>
    </w:tbl>
    <w:p w14:paraId="0F9306E3">
      <w:pPr>
        <w:rPr>
          <w:rFonts w:ascii="宋体" w:hAnsi="宋体" w:cs="宋体"/>
          <w:b/>
          <w:bCs/>
          <w:color w:val="auto"/>
          <w:sz w:val="24"/>
          <w:highlight w:val="none"/>
        </w:rPr>
      </w:pPr>
    </w:p>
    <w:p w14:paraId="603B10A5">
      <w:pPr>
        <w:rPr>
          <w:rFonts w:ascii="宋体" w:hAnsi="宋体" w:cs="宋体"/>
          <w:b/>
          <w:bCs/>
          <w:color w:val="auto"/>
          <w:sz w:val="24"/>
          <w:highlight w:val="none"/>
        </w:rPr>
      </w:pPr>
    </w:p>
    <w:p w14:paraId="0B7FD013">
      <w:pPr>
        <w:rPr>
          <w:rFonts w:ascii="宋体" w:hAnsi="宋体" w:cs="宋体"/>
          <w:b/>
          <w:bCs/>
          <w:color w:val="auto"/>
          <w:sz w:val="24"/>
          <w:highlight w:val="none"/>
        </w:rPr>
      </w:pPr>
      <w:r>
        <w:rPr>
          <w:rFonts w:hint="eastAsia" w:ascii="宋体" w:hAnsi="宋体" w:cs="宋体"/>
          <w:b/>
          <w:bCs/>
          <w:color w:val="auto"/>
          <w:sz w:val="24"/>
          <w:highlight w:val="none"/>
        </w:rPr>
        <w:t>（五）运营需求清单</w:t>
      </w:r>
    </w:p>
    <w:p w14:paraId="4AE8A212">
      <w:pPr>
        <w:rPr>
          <w:rFonts w:ascii="宋体" w:hAnsi="宋体" w:cs="宋体"/>
          <w:b/>
          <w:bCs/>
          <w:color w:val="auto"/>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4"/>
        <w:gridCol w:w="945"/>
        <w:gridCol w:w="967"/>
        <w:gridCol w:w="4435"/>
      </w:tblGrid>
      <w:tr w14:paraId="45F7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954" w:type="dxa"/>
            <w:shd w:val="clear" w:color="auto" w:fill="BFBFBF"/>
            <w:vAlign w:val="center"/>
          </w:tcPr>
          <w:p w14:paraId="356E7F28">
            <w:pPr>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945" w:type="dxa"/>
            <w:shd w:val="clear" w:color="auto" w:fill="BFBFBF"/>
            <w:vAlign w:val="center"/>
          </w:tcPr>
          <w:p w14:paraId="2A33363A">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967" w:type="dxa"/>
            <w:shd w:val="clear" w:color="auto" w:fill="BFBFBF"/>
            <w:vAlign w:val="center"/>
          </w:tcPr>
          <w:p w14:paraId="2E6EF69F">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4435" w:type="dxa"/>
            <w:shd w:val="clear" w:color="auto" w:fill="BFBFBF"/>
            <w:vAlign w:val="center"/>
          </w:tcPr>
          <w:p w14:paraId="7FB9AB75">
            <w:pPr>
              <w:jc w:val="center"/>
              <w:rPr>
                <w:rFonts w:ascii="宋体" w:hAnsi="宋体" w:cs="宋体"/>
                <w:b/>
                <w:bCs/>
                <w:color w:val="auto"/>
                <w:sz w:val="24"/>
                <w:highlight w:val="none"/>
              </w:rPr>
            </w:pPr>
            <w:r>
              <w:rPr>
                <w:rFonts w:hint="eastAsia" w:ascii="宋体" w:hAnsi="宋体" w:cs="宋体"/>
                <w:b/>
                <w:bCs/>
                <w:color w:val="auto"/>
                <w:sz w:val="24"/>
                <w:highlight w:val="none"/>
              </w:rPr>
              <w:t>配置原则</w:t>
            </w:r>
          </w:p>
        </w:tc>
      </w:tr>
      <w:tr w14:paraId="696A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4A0B2786">
            <w:pPr>
              <w:jc w:val="center"/>
              <w:rPr>
                <w:rFonts w:ascii="宋体" w:hAnsi="宋体" w:cs="宋体"/>
                <w:color w:val="auto"/>
                <w:sz w:val="24"/>
                <w:highlight w:val="none"/>
              </w:rPr>
            </w:pPr>
            <w:r>
              <w:rPr>
                <w:rFonts w:hint="eastAsia" w:ascii="宋体" w:hAnsi="宋体" w:cs="宋体"/>
                <w:color w:val="auto"/>
                <w:sz w:val="24"/>
                <w:highlight w:val="none"/>
              </w:rPr>
              <w:t>管理软件平台</w:t>
            </w:r>
          </w:p>
        </w:tc>
        <w:tc>
          <w:tcPr>
            <w:tcW w:w="945" w:type="dxa"/>
            <w:vAlign w:val="center"/>
          </w:tcPr>
          <w:p w14:paraId="3513F30D">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967" w:type="dxa"/>
            <w:vAlign w:val="center"/>
          </w:tcPr>
          <w:p w14:paraId="1628CDB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435" w:type="dxa"/>
          </w:tcPr>
          <w:p w14:paraId="294E1124">
            <w:pPr>
              <w:pStyle w:val="34"/>
              <w:spacing w:before="120" w:line="360" w:lineRule="auto"/>
              <w:rPr>
                <w:rFonts w:cs="宋体"/>
                <w:color w:val="auto"/>
                <w:szCs w:val="24"/>
                <w:highlight w:val="none"/>
              </w:rPr>
            </w:pPr>
            <w:r>
              <w:rPr>
                <w:rFonts w:hint="eastAsia" w:cs="宋体"/>
                <w:color w:val="auto"/>
                <w:szCs w:val="24"/>
                <w:highlight w:val="none"/>
              </w:rPr>
              <w:t>实现湖州市垃圾分类智慧监管平台数据接入融合、每个全智能投放驿站的配套设备需满足市级监管平台相关要求</w:t>
            </w:r>
          </w:p>
        </w:tc>
      </w:tr>
      <w:tr w14:paraId="398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571F0E42">
            <w:pPr>
              <w:jc w:val="center"/>
              <w:rPr>
                <w:rFonts w:ascii="宋体" w:hAnsi="宋体" w:cs="宋体"/>
                <w:color w:val="auto"/>
                <w:sz w:val="24"/>
                <w:highlight w:val="none"/>
              </w:rPr>
            </w:pPr>
            <w:r>
              <w:rPr>
                <w:rFonts w:hint="eastAsia" w:ascii="宋体" w:hAnsi="宋体" w:cs="宋体"/>
                <w:color w:val="auto"/>
                <w:sz w:val="24"/>
                <w:highlight w:val="none"/>
              </w:rPr>
              <w:t>积分奖励</w:t>
            </w:r>
          </w:p>
        </w:tc>
        <w:tc>
          <w:tcPr>
            <w:tcW w:w="945" w:type="dxa"/>
            <w:vAlign w:val="center"/>
          </w:tcPr>
          <w:p w14:paraId="46D7C3DC">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967" w:type="dxa"/>
            <w:vAlign w:val="center"/>
          </w:tcPr>
          <w:p w14:paraId="45F783CF">
            <w:pPr>
              <w:ind w:right="200"/>
              <w:jc w:val="center"/>
              <w:rPr>
                <w:rFonts w:ascii="宋体" w:hAnsi="宋体" w:cs="宋体"/>
                <w:color w:val="auto"/>
                <w:sz w:val="24"/>
                <w:highlight w:val="none"/>
              </w:rPr>
            </w:pPr>
            <w:r>
              <w:rPr>
                <w:rFonts w:hint="eastAsia" w:ascii="宋体" w:hAnsi="宋体" w:cs="宋体"/>
                <w:color w:val="auto"/>
                <w:sz w:val="24"/>
                <w:highlight w:val="none"/>
              </w:rPr>
              <w:t>1</w:t>
            </w:r>
          </w:p>
        </w:tc>
        <w:tc>
          <w:tcPr>
            <w:tcW w:w="4435" w:type="dxa"/>
          </w:tcPr>
          <w:p w14:paraId="7D176154">
            <w:pPr>
              <w:rPr>
                <w:rFonts w:ascii="宋体" w:hAnsi="宋体" w:cs="宋体"/>
                <w:color w:val="auto"/>
                <w:sz w:val="24"/>
                <w:highlight w:val="none"/>
              </w:rPr>
            </w:pPr>
            <w:r>
              <w:rPr>
                <w:rFonts w:hint="eastAsia" w:ascii="宋体" w:hAnsi="宋体" w:cs="宋体"/>
                <w:color w:val="auto"/>
                <w:sz w:val="24"/>
                <w:highlight w:val="none"/>
              </w:rPr>
              <w:t>每正确投放易腐垃圾每天每户3个积分，价值人民币0.3元</w:t>
            </w:r>
          </w:p>
        </w:tc>
      </w:tr>
      <w:tr w14:paraId="3434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48883248">
            <w:pPr>
              <w:jc w:val="center"/>
              <w:rPr>
                <w:rFonts w:ascii="宋体" w:hAnsi="宋体" w:cs="宋体"/>
                <w:color w:val="auto"/>
                <w:sz w:val="24"/>
                <w:highlight w:val="none"/>
              </w:rPr>
            </w:pPr>
            <w:r>
              <w:rPr>
                <w:rFonts w:hint="eastAsia" w:ascii="宋体" w:hAnsi="宋体" w:cs="宋体"/>
                <w:color w:val="auto"/>
                <w:sz w:val="24"/>
                <w:highlight w:val="none"/>
              </w:rPr>
              <w:t>入户宣传</w:t>
            </w:r>
          </w:p>
        </w:tc>
        <w:tc>
          <w:tcPr>
            <w:tcW w:w="945" w:type="dxa"/>
            <w:vAlign w:val="center"/>
          </w:tcPr>
          <w:p w14:paraId="13974A5C">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967" w:type="dxa"/>
            <w:vAlign w:val="center"/>
          </w:tcPr>
          <w:p w14:paraId="2DB17F74">
            <w:pPr>
              <w:ind w:right="200"/>
              <w:jc w:val="center"/>
              <w:rPr>
                <w:rFonts w:ascii="宋体" w:hAnsi="宋体" w:cs="宋体"/>
                <w:color w:val="auto"/>
                <w:sz w:val="24"/>
                <w:highlight w:val="none"/>
              </w:rPr>
            </w:pPr>
            <w:r>
              <w:rPr>
                <w:rFonts w:hint="eastAsia" w:ascii="宋体" w:hAnsi="宋体" w:cs="宋体"/>
                <w:color w:val="auto"/>
                <w:sz w:val="24"/>
                <w:highlight w:val="none"/>
              </w:rPr>
              <w:t>1</w:t>
            </w:r>
          </w:p>
        </w:tc>
        <w:tc>
          <w:tcPr>
            <w:tcW w:w="4435" w:type="dxa"/>
          </w:tcPr>
          <w:p w14:paraId="4095C31C">
            <w:pPr>
              <w:rPr>
                <w:rFonts w:ascii="宋体" w:hAnsi="宋体" w:cs="宋体"/>
                <w:color w:val="auto"/>
                <w:sz w:val="24"/>
                <w:highlight w:val="none"/>
              </w:rPr>
            </w:pPr>
            <w:r>
              <w:rPr>
                <w:rFonts w:hint="eastAsia" w:ascii="宋体" w:hAnsi="宋体" w:cs="宋体"/>
                <w:color w:val="auto"/>
                <w:sz w:val="24"/>
                <w:highlight w:val="none"/>
              </w:rPr>
              <w:t>全部住户 100%的上门垃圾分类宣讲、发放分类倡议书，要求入户宣传每户有业主签字清单</w:t>
            </w:r>
          </w:p>
        </w:tc>
      </w:tr>
      <w:tr w14:paraId="2601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085A2352">
            <w:pPr>
              <w:jc w:val="center"/>
              <w:rPr>
                <w:rFonts w:ascii="宋体" w:hAnsi="宋体" w:cs="宋体"/>
                <w:color w:val="auto"/>
                <w:sz w:val="24"/>
                <w:highlight w:val="none"/>
              </w:rPr>
            </w:pPr>
            <w:r>
              <w:rPr>
                <w:rFonts w:hint="eastAsia" w:ascii="宋体" w:hAnsi="宋体" w:cs="宋体"/>
                <w:color w:val="auto"/>
                <w:sz w:val="24"/>
                <w:highlight w:val="none"/>
              </w:rPr>
              <w:t>大型宣传活动</w:t>
            </w:r>
          </w:p>
        </w:tc>
        <w:tc>
          <w:tcPr>
            <w:tcW w:w="945" w:type="dxa"/>
            <w:vAlign w:val="center"/>
          </w:tcPr>
          <w:p w14:paraId="4407A83D">
            <w:pPr>
              <w:jc w:val="center"/>
              <w:rPr>
                <w:rFonts w:ascii="宋体" w:hAnsi="宋体" w:cs="宋体"/>
                <w:color w:val="auto"/>
                <w:sz w:val="24"/>
                <w:highlight w:val="none"/>
              </w:rPr>
            </w:pPr>
            <w:r>
              <w:rPr>
                <w:rFonts w:hint="eastAsia" w:ascii="宋体" w:hAnsi="宋体" w:cs="宋体"/>
                <w:color w:val="auto"/>
                <w:sz w:val="24"/>
                <w:highlight w:val="none"/>
              </w:rPr>
              <w:t>场</w:t>
            </w:r>
          </w:p>
        </w:tc>
        <w:tc>
          <w:tcPr>
            <w:tcW w:w="967" w:type="dxa"/>
            <w:vAlign w:val="center"/>
          </w:tcPr>
          <w:p w14:paraId="3490AF36">
            <w:pPr>
              <w:jc w:val="center"/>
              <w:rPr>
                <w:rFonts w:ascii="宋体" w:hAnsi="宋体" w:cs="宋体"/>
                <w:color w:val="auto"/>
                <w:sz w:val="24"/>
                <w:highlight w:val="none"/>
              </w:rPr>
            </w:pPr>
            <w:r>
              <w:rPr>
                <w:rFonts w:hint="eastAsia" w:ascii="宋体" w:hAnsi="宋体" w:cs="宋体"/>
                <w:color w:val="auto"/>
                <w:sz w:val="24"/>
                <w:highlight w:val="none"/>
              </w:rPr>
              <w:t>4</w:t>
            </w:r>
          </w:p>
        </w:tc>
        <w:tc>
          <w:tcPr>
            <w:tcW w:w="4435" w:type="dxa"/>
          </w:tcPr>
          <w:p w14:paraId="39828A13">
            <w:pPr>
              <w:rPr>
                <w:rFonts w:ascii="宋体" w:hAnsi="宋体" w:cs="宋体"/>
                <w:color w:val="auto"/>
                <w:sz w:val="24"/>
                <w:highlight w:val="none"/>
              </w:rPr>
            </w:pPr>
            <w:r>
              <w:rPr>
                <w:rFonts w:hint="eastAsia" w:ascii="宋体" w:hAnsi="宋体" w:cs="宋体"/>
                <w:color w:val="auto"/>
                <w:sz w:val="24"/>
                <w:highlight w:val="none"/>
              </w:rPr>
              <w:t>各小区每年四场（含志愿者、礼品等）</w:t>
            </w:r>
          </w:p>
        </w:tc>
      </w:tr>
      <w:tr w14:paraId="3BDC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62697786">
            <w:pPr>
              <w:jc w:val="center"/>
              <w:rPr>
                <w:rFonts w:ascii="宋体" w:hAnsi="宋体" w:cs="宋体"/>
                <w:color w:val="auto"/>
                <w:sz w:val="24"/>
                <w:highlight w:val="none"/>
              </w:rPr>
            </w:pPr>
            <w:r>
              <w:rPr>
                <w:rFonts w:hint="eastAsia" w:ascii="宋体" w:hAnsi="宋体" w:cs="宋体"/>
                <w:color w:val="auto"/>
                <w:sz w:val="24"/>
                <w:highlight w:val="none"/>
              </w:rPr>
              <w:t>每月小型宣传活动</w:t>
            </w:r>
          </w:p>
        </w:tc>
        <w:tc>
          <w:tcPr>
            <w:tcW w:w="945" w:type="dxa"/>
            <w:vAlign w:val="center"/>
          </w:tcPr>
          <w:p w14:paraId="7EC1366C">
            <w:pPr>
              <w:jc w:val="center"/>
              <w:rPr>
                <w:rFonts w:ascii="宋体" w:hAnsi="宋体" w:cs="宋体"/>
                <w:color w:val="auto"/>
                <w:sz w:val="24"/>
                <w:highlight w:val="none"/>
              </w:rPr>
            </w:pPr>
            <w:r>
              <w:rPr>
                <w:rFonts w:hint="eastAsia" w:ascii="宋体" w:hAnsi="宋体" w:cs="宋体"/>
                <w:color w:val="auto"/>
                <w:sz w:val="24"/>
                <w:highlight w:val="none"/>
              </w:rPr>
              <w:t>场</w:t>
            </w:r>
          </w:p>
        </w:tc>
        <w:tc>
          <w:tcPr>
            <w:tcW w:w="967" w:type="dxa"/>
            <w:vAlign w:val="center"/>
          </w:tcPr>
          <w:p w14:paraId="2A03FC97">
            <w:pPr>
              <w:jc w:val="center"/>
              <w:rPr>
                <w:rFonts w:ascii="宋体" w:hAnsi="宋体" w:cs="宋体"/>
                <w:color w:val="auto"/>
                <w:sz w:val="24"/>
                <w:highlight w:val="none"/>
              </w:rPr>
            </w:pPr>
            <w:r>
              <w:rPr>
                <w:rFonts w:hint="eastAsia" w:ascii="宋体" w:hAnsi="宋体" w:cs="宋体"/>
                <w:color w:val="auto"/>
                <w:sz w:val="24"/>
                <w:highlight w:val="none"/>
              </w:rPr>
              <w:t>12</w:t>
            </w:r>
          </w:p>
        </w:tc>
        <w:tc>
          <w:tcPr>
            <w:tcW w:w="4435" w:type="dxa"/>
          </w:tcPr>
          <w:p w14:paraId="31105990">
            <w:pPr>
              <w:rPr>
                <w:rFonts w:ascii="宋体" w:hAnsi="宋体" w:cs="宋体"/>
                <w:color w:val="auto"/>
                <w:sz w:val="24"/>
                <w:highlight w:val="none"/>
              </w:rPr>
            </w:pPr>
            <w:r>
              <w:rPr>
                <w:rFonts w:hint="eastAsia" w:ascii="宋体" w:hAnsi="宋体" w:cs="宋体"/>
                <w:color w:val="auto"/>
                <w:sz w:val="24"/>
                <w:highlight w:val="none"/>
              </w:rPr>
              <w:t>各小区每月一场（每个小型宣传活动根据小区内垃圾分类氛围决定）</w:t>
            </w:r>
          </w:p>
        </w:tc>
      </w:tr>
      <w:tr w14:paraId="7A5D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721B1698">
            <w:pPr>
              <w:jc w:val="center"/>
              <w:rPr>
                <w:rFonts w:ascii="宋体" w:hAnsi="宋体" w:cs="宋体"/>
                <w:color w:val="auto"/>
                <w:sz w:val="24"/>
                <w:highlight w:val="none"/>
              </w:rPr>
            </w:pPr>
            <w:r>
              <w:rPr>
                <w:rFonts w:hint="eastAsia" w:ascii="宋体" w:hAnsi="宋体" w:cs="宋体"/>
                <w:color w:val="auto"/>
                <w:sz w:val="24"/>
                <w:highlight w:val="none"/>
              </w:rPr>
              <w:t>新媒体宣传推广</w:t>
            </w:r>
          </w:p>
        </w:tc>
        <w:tc>
          <w:tcPr>
            <w:tcW w:w="945" w:type="dxa"/>
            <w:vAlign w:val="center"/>
          </w:tcPr>
          <w:p w14:paraId="4C68D478">
            <w:pPr>
              <w:jc w:val="center"/>
              <w:rPr>
                <w:rFonts w:ascii="宋体" w:hAnsi="宋体" w:cs="宋体"/>
                <w:color w:val="auto"/>
                <w:sz w:val="24"/>
                <w:highlight w:val="none"/>
              </w:rPr>
            </w:pPr>
            <w:r>
              <w:rPr>
                <w:rFonts w:hint="eastAsia" w:ascii="宋体" w:hAnsi="宋体" w:cs="宋体"/>
                <w:color w:val="auto"/>
                <w:sz w:val="24"/>
                <w:highlight w:val="none"/>
              </w:rPr>
              <w:t>篇</w:t>
            </w:r>
          </w:p>
        </w:tc>
        <w:tc>
          <w:tcPr>
            <w:tcW w:w="967" w:type="dxa"/>
            <w:vAlign w:val="center"/>
          </w:tcPr>
          <w:p w14:paraId="53D2E3F1">
            <w:pPr>
              <w:jc w:val="center"/>
              <w:rPr>
                <w:rFonts w:ascii="宋体" w:hAnsi="宋体" w:cs="宋体"/>
                <w:color w:val="auto"/>
                <w:sz w:val="24"/>
                <w:highlight w:val="none"/>
                <w:lang w:val="en"/>
              </w:rPr>
            </w:pPr>
            <w:r>
              <w:rPr>
                <w:rFonts w:hint="eastAsia" w:ascii="宋体" w:hAnsi="宋体" w:cs="宋体"/>
                <w:color w:val="auto"/>
                <w:sz w:val="24"/>
                <w:highlight w:val="none"/>
              </w:rPr>
              <w:t>120</w:t>
            </w:r>
          </w:p>
        </w:tc>
        <w:tc>
          <w:tcPr>
            <w:tcW w:w="4435" w:type="dxa"/>
          </w:tcPr>
          <w:p w14:paraId="06CACBC4">
            <w:pPr>
              <w:rPr>
                <w:rFonts w:ascii="宋体" w:hAnsi="宋体" w:cs="宋体"/>
                <w:color w:val="auto"/>
                <w:sz w:val="24"/>
                <w:highlight w:val="none"/>
              </w:rPr>
            </w:pPr>
            <w:r>
              <w:rPr>
                <w:rFonts w:hint="eastAsia" w:ascii="宋体" w:hAnsi="宋体" w:cs="宋体"/>
                <w:color w:val="auto"/>
                <w:sz w:val="24"/>
                <w:highlight w:val="none"/>
              </w:rPr>
              <w:t>市级以上（含市级）媒体文章推送不少于10篇/月</w:t>
            </w:r>
          </w:p>
        </w:tc>
      </w:tr>
      <w:tr w14:paraId="09A1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1E828118">
            <w:pPr>
              <w:jc w:val="center"/>
              <w:rPr>
                <w:rFonts w:ascii="宋体" w:hAnsi="宋体" w:cs="宋体"/>
                <w:color w:val="auto"/>
                <w:sz w:val="24"/>
                <w:highlight w:val="none"/>
              </w:rPr>
            </w:pPr>
            <w:r>
              <w:rPr>
                <w:rFonts w:hint="eastAsia" w:ascii="宋体" w:hAnsi="宋体" w:cs="宋体"/>
                <w:color w:val="auto"/>
                <w:sz w:val="24"/>
                <w:highlight w:val="none"/>
              </w:rPr>
              <w:t>原厂培训</w:t>
            </w:r>
          </w:p>
        </w:tc>
        <w:tc>
          <w:tcPr>
            <w:tcW w:w="945" w:type="dxa"/>
            <w:vAlign w:val="center"/>
          </w:tcPr>
          <w:p w14:paraId="20BC8123">
            <w:pPr>
              <w:jc w:val="center"/>
              <w:rPr>
                <w:rFonts w:ascii="宋体" w:hAnsi="宋体" w:cs="宋体"/>
                <w:color w:val="auto"/>
                <w:sz w:val="24"/>
                <w:highlight w:val="none"/>
              </w:rPr>
            </w:pPr>
            <w:r>
              <w:rPr>
                <w:rFonts w:hint="eastAsia" w:ascii="宋体" w:hAnsi="宋体" w:cs="宋体"/>
                <w:color w:val="auto"/>
                <w:sz w:val="24"/>
                <w:highlight w:val="none"/>
              </w:rPr>
              <w:t>场</w:t>
            </w:r>
          </w:p>
        </w:tc>
        <w:tc>
          <w:tcPr>
            <w:tcW w:w="967" w:type="dxa"/>
            <w:vAlign w:val="center"/>
          </w:tcPr>
          <w:p w14:paraId="4CEB5EF4">
            <w:pPr>
              <w:jc w:val="center"/>
              <w:rPr>
                <w:rFonts w:ascii="宋体" w:hAnsi="宋体" w:cs="宋体"/>
                <w:color w:val="auto"/>
                <w:sz w:val="24"/>
                <w:highlight w:val="none"/>
              </w:rPr>
            </w:pPr>
            <w:r>
              <w:rPr>
                <w:rFonts w:hint="eastAsia" w:ascii="宋体" w:hAnsi="宋体" w:cs="宋体"/>
                <w:color w:val="auto"/>
                <w:sz w:val="24"/>
                <w:highlight w:val="none"/>
              </w:rPr>
              <w:t>4</w:t>
            </w:r>
          </w:p>
        </w:tc>
        <w:tc>
          <w:tcPr>
            <w:tcW w:w="4435" w:type="dxa"/>
          </w:tcPr>
          <w:p w14:paraId="1D3AD032">
            <w:pPr>
              <w:rPr>
                <w:rFonts w:ascii="宋体" w:hAnsi="宋体" w:cs="宋体"/>
                <w:color w:val="auto"/>
                <w:sz w:val="24"/>
                <w:highlight w:val="none"/>
              </w:rPr>
            </w:pPr>
            <w:r>
              <w:rPr>
                <w:rFonts w:hint="eastAsia" w:ascii="宋体" w:hAnsi="宋体" w:cs="宋体"/>
                <w:color w:val="auto"/>
                <w:sz w:val="24"/>
                <w:highlight w:val="none"/>
              </w:rPr>
              <w:t>根据街道实际安排</w:t>
            </w:r>
          </w:p>
        </w:tc>
      </w:tr>
    </w:tbl>
    <w:p w14:paraId="40646715">
      <w:pPr>
        <w:rPr>
          <w:rFonts w:ascii="宋体" w:hAnsi="宋体" w:cs="宋体"/>
          <w:b/>
          <w:bCs/>
          <w:color w:val="auto"/>
          <w:sz w:val="24"/>
          <w:highlight w:val="none"/>
        </w:rPr>
      </w:pPr>
    </w:p>
    <w:p w14:paraId="74F709BB">
      <w:pPr>
        <w:rPr>
          <w:rFonts w:ascii="宋体" w:hAnsi="宋体" w:cs="宋体"/>
          <w:b/>
          <w:bCs/>
          <w:color w:val="auto"/>
          <w:sz w:val="24"/>
          <w:highlight w:val="none"/>
        </w:rPr>
      </w:pPr>
      <w:r>
        <w:rPr>
          <w:rFonts w:hint="eastAsia" w:ascii="宋体" w:hAnsi="宋体" w:cs="宋体"/>
          <w:b/>
          <w:bCs/>
          <w:color w:val="auto"/>
          <w:sz w:val="24"/>
          <w:highlight w:val="none"/>
        </w:rPr>
        <w:t>（六）人员需求</w:t>
      </w:r>
    </w:p>
    <w:p w14:paraId="334D4F75">
      <w:pPr>
        <w:rPr>
          <w:rFonts w:ascii="宋体" w:hAnsi="宋体" w:cs="宋体"/>
          <w:b/>
          <w:bCs/>
          <w:color w:val="auto"/>
          <w:sz w:val="24"/>
          <w:highlight w:val="none"/>
        </w:rPr>
      </w:pPr>
    </w:p>
    <w:tbl>
      <w:tblPr>
        <w:tblStyle w:val="21"/>
        <w:tblW w:w="0" w:type="auto"/>
        <w:jc w:val="center"/>
        <w:tblLayout w:type="fixed"/>
        <w:tblCellMar>
          <w:top w:w="0" w:type="dxa"/>
          <w:left w:w="108" w:type="dxa"/>
          <w:bottom w:w="0" w:type="dxa"/>
          <w:right w:w="108" w:type="dxa"/>
        </w:tblCellMar>
      </w:tblPr>
      <w:tblGrid>
        <w:gridCol w:w="1523"/>
        <w:gridCol w:w="456"/>
        <w:gridCol w:w="740"/>
        <w:gridCol w:w="5498"/>
      </w:tblGrid>
      <w:tr w14:paraId="21FA9C7C">
        <w:tblPrEx>
          <w:tblCellMar>
            <w:top w:w="0" w:type="dxa"/>
            <w:left w:w="108" w:type="dxa"/>
            <w:bottom w:w="0" w:type="dxa"/>
            <w:right w:w="108" w:type="dxa"/>
          </w:tblCellMar>
        </w:tblPrEx>
        <w:trPr>
          <w:trHeight w:val="397" w:hRule="atLeast"/>
          <w:tblHeader/>
          <w:jc w:val="center"/>
        </w:trPr>
        <w:tc>
          <w:tcPr>
            <w:tcW w:w="1523" w:type="dxa"/>
            <w:tcBorders>
              <w:top w:val="single" w:color="auto" w:sz="4" w:space="0"/>
              <w:left w:val="single" w:color="auto" w:sz="4" w:space="0"/>
              <w:bottom w:val="single" w:color="auto" w:sz="4" w:space="0"/>
              <w:right w:val="single" w:color="auto" w:sz="4" w:space="0"/>
            </w:tcBorders>
            <w:shd w:val="clear" w:color="auto" w:fill="BFBFBF"/>
            <w:vAlign w:val="center"/>
          </w:tcPr>
          <w:p w14:paraId="55A3C210">
            <w:pPr>
              <w:jc w:val="center"/>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岗位</w:t>
            </w:r>
          </w:p>
          <w:p w14:paraId="4FAA242A">
            <w:pP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456" w:type="dxa"/>
            <w:tcBorders>
              <w:top w:val="single" w:color="auto" w:sz="4" w:space="0"/>
              <w:left w:val="nil"/>
              <w:bottom w:val="single" w:color="auto" w:sz="4" w:space="0"/>
              <w:right w:val="single" w:color="auto" w:sz="4" w:space="0"/>
            </w:tcBorders>
            <w:shd w:val="clear" w:color="auto" w:fill="BFBFBF"/>
            <w:vAlign w:val="center"/>
          </w:tcPr>
          <w:p w14:paraId="51A65B2E">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740" w:type="dxa"/>
            <w:tcBorders>
              <w:top w:val="single" w:color="auto" w:sz="4" w:space="0"/>
              <w:left w:val="nil"/>
              <w:bottom w:val="single" w:color="auto" w:sz="4" w:space="0"/>
              <w:right w:val="single" w:color="auto" w:sz="4" w:space="0"/>
            </w:tcBorders>
            <w:shd w:val="clear" w:color="auto" w:fill="BFBFBF"/>
            <w:vAlign w:val="center"/>
          </w:tcPr>
          <w:p w14:paraId="3EB33A9E">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5498" w:type="dxa"/>
            <w:tcBorders>
              <w:top w:val="single" w:color="auto" w:sz="4" w:space="0"/>
              <w:left w:val="nil"/>
              <w:bottom w:val="single" w:color="auto" w:sz="4" w:space="0"/>
              <w:right w:val="single" w:color="auto" w:sz="4" w:space="0"/>
            </w:tcBorders>
            <w:shd w:val="clear" w:color="auto" w:fill="BFBFBF"/>
            <w:vAlign w:val="center"/>
          </w:tcPr>
          <w:p w14:paraId="7D8A1FAB">
            <w:pPr>
              <w:jc w:val="center"/>
              <w:rPr>
                <w:rFonts w:ascii="宋体" w:hAnsi="宋体" w:cs="宋体"/>
                <w:b/>
                <w:bCs/>
                <w:color w:val="auto"/>
                <w:sz w:val="24"/>
                <w:highlight w:val="none"/>
              </w:rPr>
            </w:pPr>
            <w:r>
              <w:rPr>
                <w:rFonts w:hint="eastAsia" w:ascii="宋体" w:hAnsi="宋体" w:cs="宋体"/>
                <w:b/>
                <w:bCs/>
                <w:color w:val="auto"/>
                <w:sz w:val="24"/>
                <w:highlight w:val="none"/>
              </w:rPr>
              <w:t>配置原则</w:t>
            </w:r>
          </w:p>
        </w:tc>
      </w:tr>
      <w:tr w14:paraId="74F1B2E6">
        <w:tblPrEx>
          <w:tblCellMar>
            <w:top w:w="0" w:type="dxa"/>
            <w:left w:w="108" w:type="dxa"/>
            <w:bottom w:w="0" w:type="dxa"/>
            <w:right w:w="108" w:type="dxa"/>
          </w:tblCellMar>
        </w:tblPrEx>
        <w:trPr>
          <w:trHeight w:val="465" w:hRule="atLeast"/>
          <w:jc w:val="center"/>
        </w:trPr>
        <w:tc>
          <w:tcPr>
            <w:tcW w:w="1523" w:type="dxa"/>
            <w:tcBorders>
              <w:top w:val="nil"/>
              <w:left w:val="single" w:color="auto" w:sz="4" w:space="0"/>
              <w:bottom w:val="single" w:color="auto" w:sz="4" w:space="0"/>
              <w:right w:val="single" w:color="auto" w:sz="4" w:space="0"/>
            </w:tcBorders>
            <w:vAlign w:val="center"/>
          </w:tcPr>
          <w:p w14:paraId="2212EA94">
            <w:pPr>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456" w:type="dxa"/>
            <w:tcBorders>
              <w:top w:val="nil"/>
              <w:left w:val="nil"/>
              <w:bottom w:val="single" w:color="auto" w:sz="4" w:space="0"/>
              <w:right w:val="single" w:color="auto" w:sz="4" w:space="0"/>
            </w:tcBorders>
            <w:vAlign w:val="center"/>
          </w:tcPr>
          <w:p w14:paraId="3BC5B2C1">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25C89D69">
            <w:pPr>
              <w:jc w:val="center"/>
              <w:rPr>
                <w:rFonts w:ascii="宋体" w:hAnsi="宋体" w:cs="宋体"/>
                <w:color w:val="auto"/>
                <w:sz w:val="24"/>
                <w:highlight w:val="none"/>
              </w:rPr>
            </w:pPr>
            <w:r>
              <w:rPr>
                <w:rFonts w:hint="eastAsia" w:ascii="宋体" w:hAnsi="宋体" w:cs="宋体"/>
                <w:color w:val="auto"/>
                <w:sz w:val="24"/>
                <w:highlight w:val="none"/>
              </w:rPr>
              <w:t>1</w:t>
            </w:r>
          </w:p>
        </w:tc>
        <w:tc>
          <w:tcPr>
            <w:tcW w:w="5498" w:type="dxa"/>
            <w:tcBorders>
              <w:top w:val="nil"/>
              <w:left w:val="nil"/>
              <w:bottom w:val="single" w:color="auto" w:sz="4" w:space="0"/>
              <w:right w:val="single" w:color="auto" w:sz="4" w:space="0"/>
            </w:tcBorders>
            <w:vAlign w:val="center"/>
          </w:tcPr>
          <w:p w14:paraId="535C8796">
            <w:pPr>
              <w:rPr>
                <w:rFonts w:ascii="宋体" w:hAnsi="宋体" w:cs="宋体"/>
                <w:color w:val="auto"/>
                <w:sz w:val="24"/>
                <w:highlight w:val="none"/>
              </w:rPr>
            </w:pPr>
            <w:r>
              <w:rPr>
                <w:rFonts w:hint="eastAsia" w:ascii="宋体" w:hAnsi="宋体" w:cs="宋体"/>
                <w:color w:val="auto"/>
                <w:sz w:val="24"/>
                <w:highlight w:val="none"/>
              </w:rPr>
              <w:t>项目经理按照小区整体运营情况配置、对整个项目负总责、具备相应工作经验。</w:t>
            </w:r>
          </w:p>
        </w:tc>
      </w:tr>
      <w:tr w14:paraId="5CAF3762">
        <w:tblPrEx>
          <w:tblCellMar>
            <w:top w:w="0" w:type="dxa"/>
            <w:left w:w="108" w:type="dxa"/>
            <w:bottom w:w="0" w:type="dxa"/>
            <w:right w:w="108" w:type="dxa"/>
          </w:tblCellMar>
        </w:tblPrEx>
        <w:trPr>
          <w:trHeight w:val="397" w:hRule="atLeast"/>
          <w:jc w:val="center"/>
        </w:trPr>
        <w:tc>
          <w:tcPr>
            <w:tcW w:w="1523" w:type="dxa"/>
            <w:tcBorders>
              <w:top w:val="nil"/>
              <w:left w:val="single" w:color="auto" w:sz="4" w:space="0"/>
              <w:bottom w:val="single" w:color="auto" w:sz="4" w:space="0"/>
              <w:right w:val="single" w:color="auto" w:sz="4" w:space="0"/>
            </w:tcBorders>
            <w:vAlign w:val="center"/>
          </w:tcPr>
          <w:p w14:paraId="6209D039">
            <w:pPr>
              <w:jc w:val="center"/>
              <w:rPr>
                <w:rFonts w:ascii="宋体" w:hAnsi="宋体" w:cs="宋体"/>
                <w:color w:val="auto"/>
                <w:sz w:val="24"/>
                <w:highlight w:val="none"/>
              </w:rPr>
            </w:pPr>
            <w:r>
              <w:rPr>
                <w:rFonts w:hint="eastAsia" w:ascii="宋体" w:hAnsi="宋体" w:cs="宋体"/>
                <w:color w:val="auto"/>
                <w:sz w:val="24"/>
                <w:highlight w:val="none"/>
              </w:rPr>
              <w:t>项目管理员</w:t>
            </w:r>
          </w:p>
        </w:tc>
        <w:tc>
          <w:tcPr>
            <w:tcW w:w="456" w:type="dxa"/>
            <w:tcBorders>
              <w:top w:val="nil"/>
              <w:left w:val="nil"/>
              <w:bottom w:val="single" w:color="auto" w:sz="4" w:space="0"/>
              <w:right w:val="single" w:color="auto" w:sz="4" w:space="0"/>
            </w:tcBorders>
            <w:vAlign w:val="center"/>
          </w:tcPr>
          <w:p w14:paraId="3DD3FF8C">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305206F2">
            <w:pPr>
              <w:jc w:val="center"/>
              <w:rPr>
                <w:rFonts w:ascii="宋体" w:hAnsi="宋体" w:cs="宋体"/>
                <w:color w:val="auto"/>
                <w:sz w:val="24"/>
                <w:highlight w:val="none"/>
              </w:rPr>
            </w:pPr>
            <w:r>
              <w:rPr>
                <w:rFonts w:hint="eastAsia" w:ascii="宋体" w:hAnsi="宋体" w:cs="宋体"/>
                <w:color w:val="auto"/>
                <w:sz w:val="24"/>
                <w:highlight w:val="none"/>
              </w:rPr>
              <w:t>2</w:t>
            </w:r>
          </w:p>
        </w:tc>
        <w:tc>
          <w:tcPr>
            <w:tcW w:w="5498" w:type="dxa"/>
            <w:tcBorders>
              <w:top w:val="nil"/>
              <w:left w:val="nil"/>
              <w:bottom w:val="single" w:color="auto" w:sz="4" w:space="0"/>
              <w:right w:val="single" w:color="auto" w:sz="4" w:space="0"/>
            </w:tcBorders>
            <w:vAlign w:val="center"/>
          </w:tcPr>
          <w:p w14:paraId="234CA447">
            <w:pPr>
              <w:jc w:val="center"/>
              <w:rPr>
                <w:rFonts w:ascii="宋体" w:hAnsi="宋体" w:cs="宋体"/>
                <w:color w:val="auto"/>
                <w:sz w:val="24"/>
                <w:highlight w:val="none"/>
              </w:rPr>
            </w:pPr>
            <w:r>
              <w:rPr>
                <w:rFonts w:hint="eastAsia" w:ascii="宋体" w:hAnsi="宋体" w:cs="宋体"/>
                <w:color w:val="auto"/>
                <w:sz w:val="24"/>
                <w:highlight w:val="none"/>
              </w:rPr>
              <w:t>管理员按照小区整体运营情况配置、要求负责宣传、物资管理、建设和点位管理、台账及数据等管理。</w:t>
            </w:r>
          </w:p>
        </w:tc>
      </w:tr>
      <w:tr w14:paraId="4826D450">
        <w:tblPrEx>
          <w:tblCellMar>
            <w:top w:w="0" w:type="dxa"/>
            <w:left w:w="108" w:type="dxa"/>
            <w:bottom w:w="0" w:type="dxa"/>
            <w:right w:w="108" w:type="dxa"/>
          </w:tblCellMar>
        </w:tblPrEx>
        <w:trPr>
          <w:trHeight w:val="397" w:hRule="atLeast"/>
          <w:jc w:val="center"/>
        </w:trPr>
        <w:tc>
          <w:tcPr>
            <w:tcW w:w="1523" w:type="dxa"/>
            <w:tcBorders>
              <w:top w:val="nil"/>
              <w:left w:val="single" w:color="auto" w:sz="4" w:space="0"/>
              <w:bottom w:val="single" w:color="auto" w:sz="4" w:space="0"/>
              <w:right w:val="single" w:color="auto" w:sz="4" w:space="0"/>
            </w:tcBorders>
            <w:vAlign w:val="center"/>
          </w:tcPr>
          <w:p w14:paraId="701C93E3">
            <w:pPr>
              <w:jc w:val="center"/>
              <w:rPr>
                <w:rFonts w:ascii="宋体" w:hAnsi="宋体" w:cs="宋体"/>
                <w:color w:val="auto"/>
                <w:sz w:val="24"/>
                <w:highlight w:val="none"/>
              </w:rPr>
            </w:pPr>
            <w:r>
              <w:rPr>
                <w:rFonts w:hint="eastAsia" w:ascii="宋体" w:hAnsi="宋体" w:cs="宋体"/>
                <w:color w:val="auto"/>
                <w:sz w:val="24"/>
                <w:highlight w:val="none"/>
              </w:rPr>
              <w:t>质量管理员</w:t>
            </w:r>
          </w:p>
        </w:tc>
        <w:tc>
          <w:tcPr>
            <w:tcW w:w="456" w:type="dxa"/>
            <w:tcBorders>
              <w:top w:val="nil"/>
              <w:left w:val="nil"/>
              <w:bottom w:val="single" w:color="auto" w:sz="4" w:space="0"/>
              <w:right w:val="single" w:color="auto" w:sz="4" w:space="0"/>
            </w:tcBorders>
            <w:vAlign w:val="center"/>
          </w:tcPr>
          <w:p w14:paraId="63D7BBE2">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4A108B07">
            <w:pPr>
              <w:jc w:val="center"/>
              <w:rPr>
                <w:rFonts w:ascii="宋体" w:hAnsi="宋体" w:cs="宋体"/>
                <w:color w:val="auto"/>
                <w:sz w:val="24"/>
                <w:highlight w:val="none"/>
              </w:rPr>
            </w:pPr>
            <w:r>
              <w:rPr>
                <w:rFonts w:hint="eastAsia" w:ascii="宋体" w:hAnsi="宋体" w:cs="宋体"/>
                <w:color w:val="auto"/>
                <w:sz w:val="24"/>
                <w:highlight w:val="none"/>
              </w:rPr>
              <w:t>2</w:t>
            </w:r>
          </w:p>
        </w:tc>
        <w:tc>
          <w:tcPr>
            <w:tcW w:w="5498" w:type="dxa"/>
            <w:tcBorders>
              <w:top w:val="nil"/>
              <w:left w:val="nil"/>
              <w:bottom w:val="single" w:color="auto" w:sz="4" w:space="0"/>
              <w:right w:val="single" w:color="auto" w:sz="4" w:space="0"/>
            </w:tcBorders>
            <w:vAlign w:val="center"/>
          </w:tcPr>
          <w:p w14:paraId="51ED0764">
            <w:pPr>
              <w:rPr>
                <w:rFonts w:ascii="宋体" w:hAnsi="宋体" w:cs="宋体"/>
                <w:color w:val="auto"/>
                <w:sz w:val="24"/>
                <w:highlight w:val="none"/>
              </w:rPr>
            </w:pPr>
            <w:r>
              <w:rPr>
                <w:rFonts w:hint="eastAsia" w:ascii="宋体" w:hAnsi="宋体" w:cs="宋体"/>
                <w:color w:val="auto"/>
                <w:sz w:val="24"/>
                <w:highlight w:val="none"/>
              </w:rPr>
              <w:t>对分类质量进行监督、管理、分析，提出整改措施</w:t>
            </w:r>
          </w:p>
        </w:tc>
      </w:tr>
      <w:tr w14:paraId="63AE5729">
        <w:tblPrEx>
          <w:tblCellMar>
            <w:top w:w="0" w:type="dxa"/>
            <w:left w:w="108" w:type="dxa"/>
            <w:bottom w:w="0" w:type="dxa"/>
            <w:right w:w="108" w:type="dxa"/>
          </w:tblCellMar>
        </w:tblPrEx>
        <w:trPr>
          <w:trHeight w:val="1935" w:hRule="atLeast"/>
          <w:jc w:val="center"/>
        </w:trPr>
        <w:tc>
          <w:tcPr>
            <w:tcW w:w="1523" w:type="dxa"/>
            <w:tcBorders>
              <w:top w:val="nil"/>
              <w:left w:val="single" w:color="auto" w:sz="4" w:space="0"/>
              <w:bottom w:val="single" w:color="auto" w:sz="4" w:space="0"/>
              <w:right w:val="single" w:color="auto" w:sz="4" w:space="0"/>
            </w:tcBorders>
            <w:vAlign w:val="center"/>
          </w:tcPr>
          <w:p w14:paraId="2ED36F72">
            <w:pPr>
              <w:jc w:val="center"/>
              <w:rPr>
                <w:rFonts w:ascii="宋体" w:hAnsi="宋体" w:cs="宋体"/>
                <w:color w:val="auto"/>
                <w:sz w:val="24"/>
                <w:highlight w:val="none"/>
              </w:rPr>
            </w:pPr>
            <w:r>
              <w:rPr>
                <w:rFonts w:hint="eastAsia" w:ascii="宋体" w:hAnsi="宋体" w:cs="宋体"/>
                <w:color w:val="auto"/>
                <w:sz w:val="24"/>
                <w:highlight w:val="none"/>
              </w:rPr>
              <w:t xml:space="preserve">专管员，辅导员 </w:t>
            </w:r>
          </w:p>
        </w:tc>
        <w:tc>
          <w:tcPr>
            <w:tcW w:w="456" w:type="dxa"/>
            <w:tcBorders>
              <w:top w:val="nil"/>
              <w:left w:val="nil"/>
              <w:bottom w:val="single" w:color="auto" w:sz="4" w:space="0"/>
              <w:right w:val="single" w:color="auto" w:sz="4" w:space="0"/>
            </w:tcBorders>
            <w:vAlign w:val="center"/>
          </w:tcPr>
          <w:p w14:paraId="26425808">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5EA980E0">
            <w:pPr>
              <w:jc w:val="center"/>
              <w:rPr>
                <w:rFonts w:ascii="宋体" w:hAnsi="宋体" w:cs="宋体"/>
                <w:color w:val="auto"/>
                <w:sz w:val="24"/>
                <w:highlight w:val="none"/>
              </w:rPr>
            </w:pPr>
            <w:r>
              <w:rPr>
                <w:rFonts w:hint="eastAsia" w:ascii="宋体" w:hAnsi="宋体" w:cs="宋体"/>
                <w:color w:val="auto"/>
                <w:sz w:val="24"/>
                <w:highlight w:val="none"/>
              </w:rPr>
              <w:t>&gt;76</w:t>
            </w:r>
          </w:p>
        </w:tc>
        <w:tc>
          <w:tcPr>
            <w:tcW w:w="5498" w:type="dxa"/>
            <w:tcBorders>
              <w:top w:val="nil"/>
              <w:left w:val="nil"/>
              <w:bottom w:val="single" w:color="auto" w:sz="4" w:space="0"/>
              <w:right w:val="single" w:color="auto" w:sz="4" w:space="0"/>
            </w:tcBorders>
            <w:vAlign w:val="center"/>
          </w:tcPr>
          <w:p w14:paraId="18794B9A">
            <w:pPr>
              <w:rPr>
                <w:rFonts w:ascii="宋体" w:hAnsi="宋体" w:cs="宋体"/>
                <w:color w:val="auto"/>
                <w:sz w:val="24"/>
                <w:highlight w:val="none"/>
              </w:rPr>
            </w:pPr>
            <w:r>
              <w:rPr>
                <w:rFonts w:hint="eastAsia" w:ascii="宋体" w:hAnsi="宋体" w:cs="宋体"/>
                <w:color w:val="auto"/>
                <w:sz w:val="24"/>
                <w:highlight w:val="none"/>
              </w:rPr>
              <w:t>每座投放驿站配置一人，同时负责现场二次分拣，及垃圾桶的清洁工作；管理小区易腐垃圾桶，做好每日登记，熟练操作垃圾分类APP；</w:t>
            </w:r>
          </w:p>
          <w:p w14:paraId="36EEE671">
            <w:pPr>
              <w:rPr>
                <w:rFonts w:ascii="宋体" w:hAnsi="宋体" w:cs="宋体"/>
                <w:color w:val="auto"/>
                <w:sz w:val="24"/>
                <w:highlight w:val="none"/>
              </w:rPr>
            </w:pPr>
            <w:r>
              <w:rPr>
                <w:rFonts w:hint="eastAsia" w:ascii="宋体" w:hAnsi="宋体" w:cs="宋体"/>
                <w:color w:val="auto"/>
                <w:sz w:val="24"/>
                <w:highlight w:val="none"/>
              </w:rPr>
              <w:t>非投放时间段每个小区安排一名值班人员，负责小区内驿站巡检工作，加强巡查，发现驿站内垃圾包及时清理，严禁出现垃圾散落情况。</w:t>
            </w:r>
          </w:p>
        </w:tc>
      </w:tr>
      <w:tr w14:paraId="3F9DCFC8">
        <w:tblPrEx>
          <w:tblCellMar>
            <w:top w:w="0" w:type="dxa"/>
            <w:left w:w="108" w:type="dxa"/>
            <w:bottom w:w="0" w:type="dxa"/>
            <w:right w:w="108" w:type="dxa"/>
          </w:tblCellMar>
        </w:tblPrEx>
        <w:trPr>
          <w:trHeight w:val="397" w:hRule="atLeast"/>
          <w:jc w:val="center"/>
        </w:trPr>
        <w:tc>
          <w:tcPr>
            <w:tcW w:w="1523" w:type="dxa"/>
            <w:tcBorders>
              <w:top w:val="nil"/>
              <w:left w:val="single" w:color="auto" w:sz="4" w:space="0"/>
              <w:bottom w:val="single" w:color="auto" w:sz="4" w:space="0"/>
              <w:right w:val="single" w:color="auto" w:sz="4" w:space="0"/>
            </w:tcBorders>
            <w:vAlign w:val="center"/>
          </w:tcPr>
          <w:p w14:paraId="7928030F">
            <w:pPr>
              <w:jc w:val="center"/>
              <w:rPr>
                <w:rFonts w:ascii="宋体" w:hAnsi="宋体" w:cs="宋体"/>
                <w:color w:val="auto"/>
                <w:sz w:val="24"/>
                <w:highlight w:val="none"/>
              </w:rPr>
            </w:pPr>
            <w:r>
              <w:rPr>
                <w:rFonts w:hint="eastAsia" w:ascii="宋体" w:hAnsi="宋体" w:cs="宋体"/>
                <w:color w:val="auto"/>
                <w:sz w:val="24"/>
                <w:highlight w:val="none"/>
              </w:rPr>
              <w:t>巡检员（环保专员）</w:t>
            </w:r>
          </w:p>
        </w:tc>
        <w:tc>
          <w:tcPr>
            <w:tcW w:w="456" w:type="dxa"/>
            <w:tcBorders>
              <w:top w:val="nil"/>
              <w:left w:val="nil"/>
              <w:bottom w:val="single" w:color="auto" w:sz="4" w:space="0"/>
              <w:right w:val="single" w:color="auto" w:sz="4" w:space="0"/>
            </w:tcBorders>
            <w:vAlign w:val="center"/>
          </w:tcPr>
          <w:p w14:paraId="04E4CA54">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543FB633">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nil"/>
              <w:left w:val="nil"/>
              <w:bottom w:val="single" w:color="auto" w:sz="4" w:space="0"/>
              <w:right w:val="single" w:color="auto" w:sz="4" w:space="0"/>
            </w:tcBorders>
            <w:vAlign w:val="center"/>
          </w:tcPr>
          <w:p w14:paraId="56166089">
            <w:pPr>
              <w:rPr>
                <w:rFonts w:ascii="宋体" w:hAnsi="宋体" w:cs="宋体"/>
                <w:color w:val="auto"/>
                <w:sz w:val="24"/>
                <w:highlight w:val="none"/>
              </w:rPr>
            </w:pPr>
            <w:r>
              <w:rPr>
                <w:rFonts w:hint="eastAsia" w:ascii="宋体" w:hAnsi="宋体" w:cs="宋体"/>
                <w:color w:val="auto"/>
                <w:sz w:val="24"/>
                <w:highlight w:val="none"/>
              </w:rPr>
              <w:t>能够全面掌握小区运营情况、</w:t>
            </w:r>
            <w:r>
              <w:rPr>
                <w:rFonts w:hint="eastAsia" w:ascii="宋体" w:hAnsi="宋体" w:cs="宋体"/>
                <w:color w:val="auto"/>
                <w:kern w:val="0"/>
                <w:sz w:val="24"/>
                <w:highlight w:val="none"/>
              </w:rPr>
              <w:t>每2-4个小区配一人、做好每日登记，熟练操作垃圾分类APP（按实际入住户数配置</w:t>
            </w:r>
          </w:p>
        </w:tc>
      </w:tr>
      <w:tr w14:paraId="7FF1E2AD">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5F78DAE6">
            <w:pPr>
              <w:jc w:val="center"/>
              <w:rPr>
                <w:rFonts w:ascii="宋体" w:hAnsi="宋体" w:cs="宋体"/>
                <w:color w:val="auto"/>
                <w:sz w:val="24"/>
                <w:highlight w:val="none"/>
              </w:rPr>
            </w:pPr>
            <w:r>
              <w:rPr>
                <w:rFonts w:hint="eastAsia" w:ascii="宋体" w:hAnsi="宋体" w:cs="宋体"/>
                <w:color w:val="auto"/>
                <w:sz w:val="24"/>
                <w:highlight w:val="none"/>
              </w:rPr>
              <w:t>可回收</w:t>
            </w:r>
          </w:p>
          <w:p w14:paraId="2923975A">
            <w:pPr>
              <w:jc w:val="center"/>
              <w:rPr>
                <w:rFonts w:ascii="宋体" w:hAnsi="宋体" w:cs="宋体"/>
                <w:color w:val="auto"/>
                <w:sz w:val="24"/>
                <w:highlight w:val="none"/>
              </w:rPr>
            </w:pPr>
            <w:r>
              <w:rPr>
                <w:rFonts w:hint="eastAsia" w:ascii="宋体" w:hAnsi="宋体" w:cs="宋体"/>
                <w:color w:val="auto"/>
                <w:sz w:val="24"/>
                <w:highlight w:val="none"/>
              </w:rPr>
              <w:t>人员</w:t>
            </w:r>
          </w:p>
        </w:tc>
        <w:tc>
          <w:tcPr>
            <w:tcW w:w="456" w:type="dxa"/>
            <w:tcBorders>
              <w:top w:val="single" w:color="auto" w:sz="4" w:space="0"/>
              <w:left w:val="single" w:color="auto" w:sz="4" w:space="0"/>
              <w:bottom w:val="single" w:color="auto" w:sz="4" w:space="0"/>
              <w:right w:val="single" w:color="auto" w:sz="4" w:space="0"/>
            </w:tcBorders>
            <w:vAlign w:val="center"/>
          </w:tcPr>
          <w:p w14:paraId="27ADCB49">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vAlign w:val="center"/>
          </w:tcPr>
          <w:p w14:paraId="5FFC1AFD">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08C7D5F6">
            <w:pPr>
              <w:rPr>
                <w:rFonts w:ascii="宋体" w:hAnsi="宋体" w:cs="宋体"/>
                <w:color w:val="auto"/>
                <w:sz w:val="24"/>
                <w:highlight w:val="none"/>
              </w:rPr>
            </w:pPr>
            <w:r>
              <w:rPr>
                <w:rFonts w:hint="eastAsia" w:ascii="宋体" w:hAnsi="宋体" w:cs="宋体"/>
                <w:color w:val="auto"/>
                <w:sz w:val="24"/>
                <w:highlight w:val="none"/>
              </w:rPr>
              <w:t>配置一台电子秤（带自动称重）进行可回收按照工作方案配置，确保回收活动正常开展、每一辆可回收车配置两个可回收人员</w:t>
            </w:r>
          </w:p>
        </w:tc>
      </w:tr>
      <w:tr w14:paraId="21555248">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54F867D7">
            <w:pPr>
              <w:jc w:val="center"/>
              <w:rPr>
                <w:rFonts w:ascii="宋体" w:hAnsi="宋体" w:cs="宋体"/>
                <w:color w:val="auto"/>
                <w:sz w:val="24"/>
                <w:highlight w:val="none"/>
              </w:rPr>
            </w:pPr>
            <w:r>
              <w:rPr>
                <w:rFonts w:hint="eastAsia" w:ascii="宋体" w:hAnsi="宋体" w:cs="宋体"/>
                <w:color w:val="auto"/>
                <w:sz w:val="24"/>
                <w:highlight w:val="none"/>
              </w:rPr>
              <w:t>宣传培训员</w:t>
            </w:r>
          </w:p>
        </w:tc>
        <w:tc>
          <w:tcPr>
            <w:tcW w:w="456" w:type="dxa"/>
            <w:tcBorders>
              <w:top w:val="single" w:color="auto" w:sz="4" w:space="0"/>
              <w:left w:val="single" w:color="auto" w:sz="4" w:space="0"/>
              <w:bottom w:val="single" w:color="auto" w:sz="4" w:space="0"/>
              <w:right w:val="single" w:color="auto" w:sz="4" w:space="0"/>
            </w:tcBorders>
            <w:vAlign w:val="center"/>
          </w:tcPr>
          <w:p w14:paraId="4492DD29">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vAlign w:val="center"/>
          </w:tcPr>
          <w:p w14:paraId="256E8944">
            <w:pPr>
              <w:jc w:val="center"/>
              <w:rPr>
                <w:rFonts w:ascii="宋体" w:hAnsi="宋体" w:cs="宋体"/>
                <w:b/>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1218508E">
            <w:pPr>
              <w:rPr>
                <w:rFonts w:ascii="宋体" w:hAnsi="宋体" w:cs="宋体"/>
                <w:color w:val="auto"/>
                <w:sz w:val="24"/>
                <w:highlight w:val="none"/>
              </w:rPr>
            </w:pPr>
            <w:r>
              <w:rPr>
                <w:rFonts w:hint="eastAsia" w:ascii="宋体" w:hAnsi="宋体" w:cs="宋体"/>
                <w:color w:val="auto"/>
                <w:sz w:val="24"/>
                <w:highlight w:val="none"/>
              </w:rPr>
              <w:t>对各小区上门辅导员进行培训</w:t>
            </w:r>
          </w:p>
        </w:tc>
      </w:tr>
      <w:tr w14:paraId="77ADC4B2">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40464330">
            <w:pPr>
              <w:jc w:val="center"/>
              <w:rPr>
                <w:rFonts w:ascii="宋体" w:hAnsi="宋体" w:cs="宋体"/>
                <w:color w:val="auto"/>
                <w:sz w:val="24"/>
                <w:highlight w:val="none"/>
              </w:rPr>
            </w:pPr>
            <w:r>
              <w:rPr>
                <w:rFonts w:hint="eastAsia" w:ascii="宋体" w:hAnsi="宋体" w:cs="宋体"/>
                <w:color w:val="auto"/>
                <w:sz w:val="24"/>
                <w:highlight w:val="none"/>
              </w:rPr>
              <w:t>专职积分兑换人员</w:t>
            </w:r>
          </w:p>
        </w:tc>
        <w:tc>
          <w:tcPr>
            <w:tcW w:w="456" w:type="dxa"/>
            <w:tcBorders>
              <w:top w:val="single" w:color="auto" w:sz="4" w:space="0"/>
              <w:left w:val="single" w:color="auto" w:sz="4" w:space="0"/>
              <w:bottom w:val="single" w:color="auto" w:sz="4" w:space="0"/>
              <w:right w:val="single" w:color="auto" w:sz="4" w:space="0"/>
            </w:tcBorders>
            <w:vAlign w:val="center"/>
          </w:tcPr>
          <w:p w14:paraId="01F43DBE">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vAlign w:val="center"/>
          </w:tcPr>
          <w:p w14:paraId="2B9B7F43">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1268685B">
            <w:pPr>
              <w:rPr>
                <w:rFonts w:ascii="宋体" w:hAnsi="宋体" w:cs="宋体"/>
                <w:color w:val="auto"/>
                <w:sz w:val="24"/>
                <w:highlight w:val="none"/>
              </w:rPr>
            </w:pPr>
            <w:r>
              <w:rPr>
                <w:rFonts w:hint="eastAsia" w:ascii="宋体" w:hAnsi="宋体" w:cs="宋体"/>
                <w:color w:val="auto"/>
                <w:sz w:val="24"/>
                <w:highlight w:val="none"/>
              </w:rPr>
              <w:t>能够在规定时间内进行小区积分兑换工作、针对精准分类小区实际需要配置</w:t>
            </w:r>
          </w:p>
        </w:tc>
      </w:tr>
      <w:tr w14:paraId="3EC42B42">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75F3D2FD">
            <w:pPr>
              <w:jc w:val="center"/>
              <w:rPr>
                <w:rFonts w:ascii="宋体" w:hAnsi="宋体" w:cs="宋体"/>
                <w:color w:val="auto"/>
                <w:sz w:val="24"/>
                <w:highlight w:val="none"/>
              </w:rPr>
            </w:pPr>
            <w:r>
              <w:rPr>
                <w:rFonts w:hint="eastAsia" w:ascii="宋体" w:hAnsi="宋体" w:cs="宋体"/>
                <w:color w:val="auto"/>
                <w:sz w:val="24"/>
                <w:highlight w:val="none"/>
              </w:rPr>
              <w:t>上门辅导员</w:t>
            </w:r>
          </w:p>
        </w:tc>
        <w:tc>
          <w:tcPr>
            <w:tcW w:w="456" w:type="dxa"/>
            <w:tcBorders>
              <w:top w:val="single" w:color="auto" w:sz="4" w:space="0"/>
              <w:left w:val="single" w:color="auto" w:sz="4" w:space="0"/>
              <w:bottom w:val="single" w:color="auto" w:sz="4" w:space="0"/>
              <w:right w:val="single" w:color="auto" w:sz="4" w:space="0"/>
            </w:tcBorders>
            <w:vAlign w:val="center"/>
          </w:tcPr>
          <w:p w14:paraId="6B919B27">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740" w:type="dxa"/>
            <w:tcBorders>
              <w:top w:val="single" w:color="auto" w:sz="4" w:space="0"/>
              <w:left w:val="single" w:color="auto" w:sz="4" w:space="0"/>
              <w:bottom w:val="single" w:color="auto" w:sz="4" w:space="0"/>
              <w:right w:val="single" w:color="auto" w:sz="4" w:space="0"/>
            </w:tcBorders>
            <w:vAlign w:val="center"/>
          </w:tcPr>
          <w:p w14:paraId="31408C2A">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53C0DCFA">
            <w:pPr>
              <w:rPr>
                <w:rFonts w:ascii="宋体" w:hAnsi="宋体" w:cs="宋体"/>
                <w:bCs/>
                <w:color w:val="auto"/>
                <w:sz w:val="24"/>
                <w:highlight w:val="none"/>
              </w:rPr>
            </w:pPr>
            <w:r>
              <w:rPr>
                <w:rFonts w:hint="eastAsia" w:ascii="宋体" w:hAnsi="宋体" w:cs="宋体"/>
                <w:bCs/>
                <w:color w:val="auto"/>
                <w:sz w:val="24"/>
                <w:highlight w:val="none"/>
              </w:rPr>
              <w:t>根据实际情况调整，完成上门跟踪辅导，并配合街道开展培训工作</w:t>
            </w:r>
          </w:p>
        </w:tc>
      </w:tr>
      <w:tr w14:paraId="1D43D9E7">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34A4A3A7">
            <w:pPr>
              <w:jc w:val="center"/>
              <w:rPr>
                <w:rFonts w:ascii="宋体" w:hAnsi="宋体" w:cs="宋体"/>
                <w:color w:val="auto"/>
                <w:sz w:val="24"/>
                <w:highlight w:val="none"/>
              </w:rPr>
            </w:pPr>
            <w:r>
              <w:rPr>
                <w:rFonts w:hint="eastAsia" w:ascii="宋体" w:hAnsi="宋体" w:cs="宋体"/>
                <w:color w:val="auto"/>
                <w:sz w:val="24"/>
                <w:highlight w:val="none"/>
              </w:rPr>
              <w:t>短驳员</w:t>
            </w:r>
          </w:p>
        </w:tc>
        <w:tc>
          <w:tcPr>
            <w:tcW w:w="456" w:type="dxa"/>
            <w:tcBorders>
              <w:top w:val="single" w:color="auto" w:sz="4" w:space="0"/>
              <w:left w:val="single" w:color="auto" w:sz="4" w:space="0"/>
              <w:bottom w:val="single" w:color="auto" w:sz="4" w:space="0"/>
              <w:right w:val="single" w:color="auto" w:sz="4" w:space="0"/>
            </w:tcBorders>
            <w:vAlign w:val="center"/>
          </w:tcPr>
          <w:p w14:paraId="09DD5070">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vAlign w:val="center"/>
          </w:tcPr>
          <w:p w14:paraId="46B70F93">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7F6B0AEC">
            <w:pPr>
              <w:rPr>
                <w:rFonts w:ascii="宋体" w:hAnsi="宋体" w:cs="宋体"/>
                <w:color w:val="auto"/>
                <w:sz w:val="24"/>
                <w:highlight w:val="none"/>
              </w:rPr>
            </w:pPr>
            <w:r>
              <w:rPr>
                <w:rFonts w:hint="eastAsia" w:ascii="宋体" w:hAnsi="宋体" w:cs="宋体"/>
                <w:color w:val="auto"/>
                <w:sz w:val="24"/>
                <w:highlight w:val="none"/>
              </w:rPr>
              <w:t>根据工作需要配置，可适当调整</w:t>
            </w:r>
          </w:p>
        </w:tc>
      </w:tr>
      <w:tr w14:paraId="43C1E2E5">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2BE45119">
            <w:pPr>
              <w:jc w:val="center"/>
              <w:rPr>
                <w:rFonts w:ascii="宋体" w:hAnsi="宋体" w:cs="宋体"/>
                <w:color w:val="auto"/>
                <w:sz w:val="24"/>
                <w:highlight w:val="none"/>
              </w:rPr>
            </w:pPr>
            <w:r>
              <w:rPr>
                <w:rFonts w:hint="eastAsia" w:ascii="宋体" w:hAnsi="宋体" w:cs="宋体"/>
                <w:color w:val="auto"/>
                <w:sz w:val="24"/>
                <w:highlight w:val="none"/>
              </w:rPr>
              <w:t>项目文员</w:t>
            </w:r>
          </w:p>
        </w:tc>
        <w:tc>
          <w:tcPr>
            <w:tcW w:w="456" w:type="dxa"/>
            <w:tcBorders>
              <w:top w:val="single" w:color="auto" w:sz="4" w:space="0"/>
              <w:left w:val="single" w:color="auto" w:sz="4" w:space="0"/>
              <w:bottom w:val="single" w:color="auto" w:sz="4" w:space="0"/>
              <w:right w:val="single" w:color="auto" w:sz="4" w:space="0"/>
            </w:tcBorders>
            <w:vAlign w:val="center"/>
          </w:tcPr>
          <w:p w14:paraId="14B3870F">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tcPr>
          <w:p w14:paraId="48630859">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18273F55">
            <w:pPr>
              <w:rPr>
                <w:rFonts w:ascii="宋体" w:hAnsi="宋体" w:cs="宋体"/>
                <w:color w:val="auto"/>
                <w:sz w:val="24"/>
                <w:highlight w:val="none"/>
              </w:rPr>
            </w:pPr>
            <w:r>
              <w:rPr>
                <w:rFonts w:hint="eastAsia" w:ascii="宋体" w:hAnsi="宋体" w:cs="宋体"/>
                <w:color w:val="auto"/>
                <w:sz w:val="24"/>
                <w:highlight w:val="none"/>
              </w:rPr>
              <w:t>要求全面完成街道布置标段内的任务、同时负责小区台账、各类文件、报表、数据的整理。</w:t>
            </w:r>
          </w:p>
        </w:tc>
      </w:tr>
    </w:tbl>
    <w:p w14:paraId="1B748598">
      <w:pPr>
        <w:kinsoku w:val="0"/>
        <w:overflowPunct w:val="0"/>
        <w:spacing w:before="34" w:after="120" w:line="360" w:lineRule="auto"/>
        <w:ind w:right="102"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pacing w:val="-4"/>
          <w:sz w:val="24"/>
          <w:highlight w:val="none"/>
        </w:rPr>
        <w:t>注：（1）中标供应商派遣的人员，年龄必须是</w:t>
      </w:r>
      <w:r>
        <w:rPr>
          <w:rFonts w:hint="eastAsia" w:ascii="宋体" w:hAnsi="宋体" w:cs="宋体"/>
          <w:color w:val="auto"/>
          <w:spacing w:val="-58"/>
          <w:sz w:val="24"/>
          <w:highlight w:val="none"/>
        </w:rPr>
        <w:t xml:space="preserve"> </w:t>
      </w:r>
      <w:r>
        <w:rPr>
          <w:rFonts w:hint="eastAsia" w:ascii="宋体" w:hAnsi="宋体" w:cs="宋体"/>
          <w:color w:val="auto"/>
          <w:sz w:val="24"/>
          <w:highlight w:val="none"/>
        </w:rPr>
        <w:t>18</w:t>
      </w:r>
      <w:r>
        <w:rPr>
          <w:rFonts w:hint="eastAsia" w:ascii="宋体" w:hAnsi="宋体" w:cs="宋体"/>
          <w:color w:val="auto"/>
          <w:spacing w:val="-58"/>
          <w:sz w:val="24"/>
          <w:highlight w:val="none"/>
        </w:rPr>
        <w:t xml:space="preserve"> </w:t>
      </w:r>
      <w:r>
        <w:rPr>
          <w:rFonts w:hint="eastAsia" w:ascii="宋体" w:hAnsi="宋体" w:cs="宋体"/>
          <w:color w:val="auto"/>
          <w:spacing w:val="-6"/>
          <w:sz w:val="24"/>
          <w:highlight w:val="none"/>
        </w:rPr>
        <w:t>周岁以上，65</w:t>
      </w:r>
      <w:r>
        <w:rPr>
          <w:rFonts w:hint="eastAsia" w:ascii="宋体" w:hAnsi="宋体" w:cs="宋体"/>
          <w:color w:val="auto"/>
          <w:spacing w:val="-58"/>
          <w:sz w:val="24"/>
          <w:highlight w:val="none"/>
        </w:rPr>
        <w:t xml:space="preserve"> </w:t>
      </w:r>
      <w:r>
        <w:rPr>
          <w:rFonts w:hint="eastAsia" w:ascii="宋体" w:hAnsi="宋体" w:cs="宋体"/>
          <w:color w:val="auto"/>
          <w:sz w:val="24"/>
          <w:highlight w:val="none"/>
        </w:rPr>
        <w:t>周岁以下能正常作业人员，身体健康，遵纪守法，品行良好。作业人员佩证上岗，作业人员工作期间须穿戴统一的工作服，工作服要求具有明显的公司名称标识，同时具有反光安全服的功能，作业人员工作服须整洁干净。用手清理垃圾时，需戴厚的防刺手套作业。作业期内未穿反光安全服如遇各种意外事故发生由中标单位自行负责，并依照法律法规妥善处理（应按国家要求及时将事故情况书面告知采购人）。</w:t>
      </w:r>
    </w:p>
    <w:p w14:paraId="472D7359">
      <w:pPr>
        <w:kinsoku w:val="0"/>
        <w:overflowPunct w:val="0"/>
        <w:spacing w:before="34" w:after="120" w:line="360" w:lineRule="auto"/>
        <w:ind w:right="102"/>
        <w:rPr>
          <w:rFonts w:ascii="宋体" w:hAnsi="宋体" w:cs="宋体"/>
          <w:color w:val="auto"/>
          <w:sz w:val="24"/>
          <w:highlight w:val="none"/>
        </w:rPr>
      </w:pPr>
      <w:r>
        <w:rPr>
          <w:rFonts w:hint="eastAsia" w:ascii="宋体" w:hAnsi="宋体" w:cs="宋体"/>
          <w:color w:val="auto"/>
          <w:sz w:val="24"/>
          <w:highlight w:val="none"/>
        </w:rPr>
        <w:t>（2）以上工作人员的意外保险等保险费用由中标供应商承担。中标供应商必须为作业人员购买意外人身保险等提供相关证书，并报采购人备案。</w:t>
      </w:r>
    </w:p>
    <w:p w14:paraId="5694DC0D">
      <w:pPr>
        <w:kinsoku w:val="0"/>
        <w:overflowPunct w:val="0"/>
        <w:spacing w:before="34" w:after="120" w:line="360" w:lineRule="auto"/>
        <w:ind w:right="102"/>
        <w:rPr>
          <w:rFonts w:ascii="宋体" w:hAnsi="宋体" w:cs="宋体"/>
          <w:color w:val="auto"/>
          <w:sz w:val="24"/>
          <w:highlight w:val="none"/>
        </w:rPr>
      </w:pPr>
      <w:r>
        <w:rPr>
          <w:rFonts w:hint="eastAsia" w:ascii="宋体" w:hAnsi="宋体" w:cs="宋体"/>
          <w:color w:val="auto"/>
          <w:sz w:val="24"/>
          <w:highlight w:val="none"/>
        </w:rPr>
        <w:t>（3）管理人员及保洁人员在作业时应严格遵守劳动纪律，遵守安全操作规程，确</w:t>
      </w:r>
      <w:r>
        <w:rPr>
          <w:rFonts w:hint="eastAsia" w:ascii="宋体" w:hAnsi="宋体" w:cs="宋体"/>
          <w:color w:val="auto"/>
          <w:spacing w:val="-2"/>
          <w:sz w:val="24"/>
          <w:highlight w:val="none"/>
        </w:rPr>
        <w:t>保安全。发生各种意外事故均由中标供应商自己依照法律法规妥善处理，采购人</w:t>
      </w:r>
      <w:r>
        <w:rPr>
          <w:rFonts w:hint="eastAsia" w:ascii="宋体" w:hAnsi="宋体" w:cs="宋体"/>
          <w:color w:val="auto"/>
          <w:sz w:val="24"/>
          <w:highlight w:val="none"/>
        </w:rPr>
        <w:t>不承担任何法律责任。</w:t>
      </w:r>
    </w:p>
    <w:p w14:paraId="542374AE">
      <w:pPr>
        <w:kinsoku w:val="0"/>
        <w:overflowPunct w:val="0"/>
        <w:spacing w:before="34" w:after="120" w:line="360" w:lineRule="auto"/>
        <w:ind w:right="102"/>
        <w:rPr>
          <w:rFonts w:ascii="宋体" w:hAnsi="宋体" w:cs="宋体"/>
          <w:color w:val="auto"/>
          <w:spacing w:val="-2"/>
          <w:sz w:val="24"/>
          <w:highlight w:val="none"/>
        </w:rPr>
      </w:pPr>
      <w:r>
        <w:rPr>
          <w:rFonts w:hint="eastAsia" w:ascii="宋体" w:hAnsi="宋体" w:cs="宋体"/>
          <w:color w:val="auto"/>
          <w:spacing w:val="-2"/>
          <w:sz w:val="24"/>
          <w:highlight w:val="none"/>
        </w:rPr>
        <w:t>（4）人员配置数量，中标单位根据实际工作需要可做适当调整，但必须满足垃圾分类质量标准及清运时间要求，整个项目是一个整体，不能拆包分包。</w:t>
      </w:r>
    </w:p>
    <w:p w14:paraId="41694671">
      <w:pPr>
        <w:pStyle w:val="2"/>
        <w:ind w:firstLine="241"/>
        <w:rPr>
          <w:rFonts w:ascii="宋体" w:hAnsi="宋体" w:cs="宋体"/>
          <w:b/>
          <w:color w:val="auto"/>
          <w:sz w:val="24"/>
          <w:szCs w:val="24"/>
          <w:highlight w:val="none"/>
        </w:rPr>
      </w:pPr>
      <w:r>
        <w:rPr>
          <w:rFonts w:hint="eastAsia" w:ascii="宋体" w:hAnsi="宋体" w:cs="宋体"/>
          <w:b/>
          <w:color w:val="auto"/>
          <w:sz w:val="24"/>
          <w:szCs w:val="24"/>
          <w:highlight w:val="none"/>
        </w:rPr>
        <w:t>（七）数据信息存储要求</w:t>
      </w:r>
    </w:p>
    <w:p w14:paraId="23E58237">
      <w:pPr>
        <w:pStyle w:val="2"/>
        <w:spacing w:line="360" w:lineRule="auto"/>
        <w:ind w:firstLine="240"/>
        <w:rPr>
          <w:rFonts w:ascii="宋体" w:hAnsi="宋体" w:cs="宋体"/>
          <w:color w:val="auto"/>
          <w:sz w:val="24"/>
          <w:szCs w:val="24"/>
          <w:highlight w:val="none"/>
        </w:rPr>
      </w:pPr>
      <w:r>
        <w:rPr>
          <w:rFonts w:hint="eastAsia" w:ascii="宋体" w:hAnsi="宋体" w:cs="宋体"/>
          <w:color w:val="auto"/>
          <w:sz w:val="24"/>
          <w:szCs w:val="24"/>
          <w:highlight w:val="none"/>
        </w:rPr>
        <w:t>为保护居民、用户个人信息安全，凡涉及居民、用户个人信息的相关设备，各设备运营商需要有自己的数据存储服务器，禁止使用设备原厂数据存储服务器，后续各运营商需将数据迁入市或区指定保存位置。</w:t>
      </w:r>
    </w:p>
    <w:p w14:paraId="0EDAEEFF">
      <w:pPr>
        <w:pStyle w:val="11"/>
        <w:tabs>
          <w:tab w:val="left" w:pos="8100"/>
        </w:tabs>
        <w:spacing w:line="480" w:lineRule="exact"/>
        <w:outlineLvl w:val="1"/>
        <w:rPr>
          <w:rFonts w:hAnsi="宋体" w:cs="宋体"/>
          <w:b/>
          <w:color w:val="auto"/>
          <w:sz w:val="24"/>
          <w:szCs w:val="24"/>
          <w:highlight w:val="none"/>
        </w:rPr>
      </w:pPr>
      <w:r>
        <w:rPr>
          <w:rFonts w:hint="eastAsia" w:hAnsi="宋体" w:cs="宋体"/>
          <w:b/>
          <w:color w:val="auto"/>
          <w:sz w:val="24"/>
          <w:szCs w:val="24"/>
          <w:highlight w:val="none"/>
        </w:rPr>
        <w:t>标项二：</w:t>
      </w:r>
    </w:p>
    <w:p w14:paraId="7EBC9598">
      <w:pPr>
        <w:pStyle w:val="11"/>
        <w:numPr>
          <w:ilvl w:val="0"/>
          <w:numId w:val="16"/>
        </w:numPr>
        <w:tabs>
          <w:tab w:val="left" w:pos="8100"/>
        </w:tabs>
        <w:spacing w:line="480" w:lineRule="exact"/>
        <w:outlineLvl w:val="1"/>
        <w:rPr>
          <w:rFonts w:hAnsi="宋体" w:cs="宋体"/>
          <w:b/>
          <w:color w:val="auto"/>
          <w:sz w:val="24"/>
          <w:szCs w:val="24"/>
          <w:highlight w:val="none"/>
        </w:rPr>
      </w:pPr>
      <w:r>
        <w:rPr>
          <w:rFonts w:hint="eastAsia" w:hAnsi="宋体" w:cs="宋体"/>
          <w:b/>
          <w:color w:val="auto"/>
          <w:sz w:val="24"/>
          <w:szCs w:val="24"/>
          <w:highlight w:val="none"/>
        </w:rPr>
        <w:t>居民小区生活垃圾分类情况</w:t>
      </w:r>
    </w:p>
    <w:tbl>
      <w:tblPr>
        <w:tblStyle w:val="22"/>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68"/>
        <w:gridCol w:w="1191"/>
        <w:gridCol w:w="1058"/>
        <w:gridCol w:w="851"/>
        <w:gridCol w:w="796"/>
        <w:gridCol w:w="2338"/>
        <w:gridCol w:w="1319"/>
      </w:tblGrid>
      <w:tr w14:paraId="4B9F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55" w:type="dxa"/>
            <w:vAlign w:val="center"/>
          </w:tcPr>
          <w:p w14:paraId="7E8B3C5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668" w:type="dxa"/>
            <w:vAlign w:val="center"/>
          </w:tcPr>
          <w:p w14:paraId="490B1029">
            <w:pPr>
              <w:jc w:val="center"/>
              <w:rPr>
                <w:rFonts w:ascii="宋体" w:hAnsi="宋体" w:cs="宋体"/>
                <w:b/>
                <w:bCs/>
                <w:color w:val="auto"/>
                <w:sz w:val="24"/>
                <w:highlight w:val="none"/>
              </w:rPr>
            </w:pPr>
            <w:r>
              <w:rPr>
                <w:rFonts w:hint="eastAsia" w:ascii="宋体" w:hAnsi="宋体" w:cs="宋体"/>
                <w:b/>
                <w:bCs/>
                <w:color w:val="auto"/>
                <w:sz w:val="24"/>
                <w:highlight w:val="none"/>
              </w:rPr>
              <w:t>所属社区</w:t>
            </w:r>
          </w:p>
        </w:tc>
        <w:tc>
          <w:tcPr>
            <w:tcW w:w="1191" w:type="dxa"/>
            <w:vAlign w:val="center"/>
          </w:tcPr>
          <w:p w14:paraId="0E62336E">
            <w:pPr>
              <w:jc w:val="center"/>
              <w:rPr>
                <w:rFonts w:ascii="宋体" w:hAnsi="宋体" w:cs="宋体"/>
                <w:b/>
                <w:bCs/>
                <w:color w:val="auto"/>
                <w:sz w:val="24"/>
                <w:highlight w:val="none"/>
              </w:rPr>
            </w:pPr>
            <w:r>
              <w:rPr>
                <w:rFonts w:hint="eastAsia" w:ascii="宋体" w:hAnsi="宋体" w:cs="宋体"/>
                <w:b/>
                <w:bCs/>
                <w:color w:val="auto"/>
                <w:sz w:val="24"/>
                <w:highlight w:val="none"/>
              </w:rPr>
              <w:t>小区名称</w:t>
            </w:r>
          </w:p>
        </w:tc>
        <w:tc>
          <w:tcPr>
            <w:tcW w:w="1058" w:type="dxa"/>
            <w:vAlign w:val="center"/>
          </w:tcPr>
          <w:p w14:paraId="5CABB0BB">
            <w:pPr>
              <w:jc w:val="center"/>
              <w:rPr>
                <w:rFonts w:ascii="宋体" w:hAnsi="宋体" w:cs="宋体"/>
                <w:b/>
                <w:bCs/>
                <w:color w:val="auto"/>
                <w:sz w:val="24"/>
                <w:highlight w:val="none"/>
              </w:rPr>
            </w:pPr>
            <w:r>
              <w:rPr>
                <w:rFonts w:hint="eastAsia" w:ascii="宋体" w:hAnsi="宋体" w:cs="宋体"/>
                <w:b/>
                <w:bCs/>
                <w:color w:val="auto"/>
                <w:sz w:val="24"/>
                <w:highlight w:val="none"/>
              </w:rPr>
              <w:t>建成户数</w:t>
            </w:r>
          </w:p>
        </w:tc>
        <w:tc>
          <w:tcPr>
            <w:tcW w:w="851" w:type="dxa"/>
            <w:vAlign w:val="center"/>
          </w:tcPr>
          <w:p w14:paraId="1164A94F">
            <w:pPr>
              <w:jc w:val="center"/>
              <w:rPr>
                <w:rFonts w:ascii="宋体" w:hAnsi="宋体" w:cs="宋体"/>
                <w:b/>
                <w:bCs/>
                <w:color w:val="auto"/>
                <w:sz w:val="24"/>
                <w:highlight w:val="none"/>
              </w:rPr>
            </w:pPr>
            <w:r>
              <w:rPr>
                <w:rFonts w:hint="eastAsia" w:ascii="宋体" w:hAnsi="宋体" w:cs="宋体"/>
                <w:b/>
                <w:bCs/>
                <w:color w:val="auto"/>
                <w:sz w:val="24"/>
                <w:highlight w:val="none"/>
              </w:rPr>
              <w:t>常住户数</w:t>
            </w:r>
          </w:p>
        </w:tc>
        <w:tc>
          <w:tcPr>
            <w:tcW w:w="796" w:type="dxa"/>
            <w:vAlign w:val="center"/>
          </w:tcPr>
          <w:p w14:paraId="7F1AB59A">
            <w:pPr>
              <w:jc w:val="center"/>
              <w:rPr>
                <w:rFonts w:ascii="宋体" w:hAnsi="宋体" w:cs="宋体"/>
                <w:b/>
                <w:bCs/>
                <w:color w:val="auto"/>
                <w:sz w:val="24"/>
                <w:highlight w:val="none"/>
              </w:rPr>
            </w:pPr>
            <w:r>
              <w:rPr>
                <w:rFonts w:hint="eastAsia" w:ascii="宋体" w:hAnsi="宋体" w:cs="宋体"/>
                <w:b/>
                <w:bCs/>
                <w:color w:val="auto"/>
                <w:sz w:val="24"/>
                <w:highlight w:val="none"/>
              </w:rPr>
              <w:t>点位</w:t>
            </w:r>
          </w:p>
        </w:tc>
        <w:tc>
          <w:tcPr>
            <w:tcW w:w="2338" w:type="dxa"/>
            <w:vAlign w:val="center"/>
          </w:tcPr>
          <w:p w14:paraId="1DA13842">
            <w:pPr>
              <w:jc w:val="center"/>
              <w:rPr>
                <w:rFonts w:ascii="宋体" w:hAnsi="宋体" w:cs="宋体"/>
                <w:b/>
                <w:bCs/>
                <w:color w:val="auto"/>
                <w:sz w:val="24"/>
                <w:highlight w:val="none"/>
              </w:rPr>
            </w:pPr>
            <w:r>
              <w:rPr>
                <w:rFonts w:hint="eastAsia"/>
                <w:b/>
                <w:bCs/>
                <w:color w:val="auto"/>
                <w:sz w:val="24"/>
                <w:highlight w:val="none"/>
              </w:rPr>
              <w:t>最高限价</w:t>
            </w:r>
          </w:p>
        </w:tc>
        <w:tc>
          <w:tcPr>
            <w:tcW w:w="1319" w:type="dxa"/>
            <w:vAlign w:val="center"/>
          </w:tcPr>
          <w:p w14:paraId="78FE0E41">
            <w:pPr>
              <w:spacing w:line="400" w:lineRule="exact"/>
              <w:jc w:val="center"/>
              <w:rPr>
                <w:rFonts w:ascii="宋体" w:hAnsi="宋体" w:cs="宋体"/>
                <w:b/>
                <w:bCs/>
                <w:color w:val="auto"/>
                <w:sz w:val="24"/>
                <w:highlight w:val="none"/>
              </w:rPr>
            </w:pPr>
            <w:r>
              <w:rPr>
                <w:rFonts w:hint="eastAsia"/>
                <w:b/>
                <w:bCs/>
                <w:color w:val="auto"/>
                <w:sz w:val="24"/>
                <w:highlight w:val="none"/>
              </w:rPr>
              <w:t>采购预算</w:t>
            </w:r>
          </w:p>
        </w:tc>
      </w:tr>
      <w:tr w14:paraId="765A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3994EB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68" w:type="dxa"/>
            <w:vAlign w:val="center"/>
          </w:tcPr>
          <w:p w14:paraId="2466C134">
            <w:pPr>
              <w:jc w:val="center"/>
              <w:rPr>
                <w:rFonts w:ascii="宋体" w:hAnsi="宋体" w:cs="宋体"/>
                <w:color w:val="auto"/>
                <w:sz w:val="24"/>
                <w:highlight w:val="none"/>
              </w:rPr>
            </w:pPr>
            <w:r>
              <w:rPr>
                <w:rFonts w:hint="eastAsia" w:ascii="宋体" w:hAnsi="宋体" w:cs="宋体"/>
                <w:color w:val="auto"/>
                <w:sz w:val="24"/>
                <w:highlight w:val="none"/>
              </w:rPr>
              <w:t>阳光假日社区</w:t>
            </w:r>
          </w:p>
        </w:tc>
        <w:tc>
          <w:tcPr>
            <w:tcW w:w="1191" w:type="dxa"/>
            <w:vAlign w:val="center"/>
          </w:tcPr>
          <w:p w14:paraId="554ADC5E">
            <w:pPr>
              <w:jc w:val="center"/>
              <w:rPr>
                <w:rFonts w:ascii="宋体" w:hAnsi="宋体" w:cs="宋体"/>
                <w:color w:val="auto"/>
                <w:sz w:val="24"/>
                <w:highlight w:val="none"/>
              </w:rPr>
            </w:pPr>
            <w:r>
              <w:rPr>
                <w:rFonts w:hint="eastAsia" w:ascii="宋体" w:hAnsi="宋体" w:cs="宋体"/>
                <w:color w:val="auto"/>
                <w:sz w:val="24"/>
                <w:highlight w:val="none"/>
              </w:rPr>
              <w:t>首创逸景</w:t>
            </w:r>
          </w:p>
        </w:tc>
        <w:tc>
          <w:tcPr>
            <w:tcW w:w="1058" w:type="dxa"/>
            <w:vAlign w:val="center"/>
          </w:tcPr>
          <w:p w14:paraId="4501070E">
            <w:pPr>
              <w:jc w:val="center"/>
              <w:rPr>
                <w:rFonts w:ascii="宋体" w:hAnsi="宋体" w:cs="宋体"/>
                <w:color w:val="auto"/>
                <w:sz w:val="24"/>
                <w:highlight w:val="none"/>
              </w:rPr>
            </w:pPr>
            <w:r>
              <w:rPr>
                <w:rFonts w:hint="eastAsia" w:ascii="宋体" w:hAnsi="宋体" w:cs="宋体"/>
                <w:color w:val="auto"/>
                <w:sz w:val="24"/>
                <w:highlight w:val="none"/>
              </w:rPr>
              <w:t>208</w:t>
            </w:r>
          </w:p>
        </w:tc>
        <w:tc>
          <w:tcPr>
            <w:tcW w:w="851" w:type="dxa"/>
            <w:vAlign w:val="center"/>
          </w:tcPr>
          <w:p w14:paraId="6302C338">
            <w:pPr>
              <w:jc w:val="center"/>
              <w:rPr>
                <w:rFonts w:ascii="宋体" w:hAnsi="宋体" w:cs="宋体"/>
                <w:color w:val="auto"/>
                <w:sz w:val="24"/>
                <w:highlight w:val="none"/>
              </w:rPr>
            </w:pPr>
            <w:r>
              <w:rPr>
                <w:rFonts w:hint="eastAsia" w:ascii="宋体" w:hAnsi="宋体" w:cs="宋体"/>
                <w:color w:val="auto"/>
                <w:sz w:val="24"/>
                <w:highlight w:val="none"/>
              </w:rPr>
              <w:t>187</w:t>
            </w:r>
          </w:p>
        </w:tc>
        <w:tc>
          <w:tcPr>
            <w:tcW w:w="796" w:type="dxa"/>
            <w:vAlign w:val="center"/>
          </w:tcPr>
          <w:p w14:paraId="6FA3F5BB">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38" w:type="dxa"/>
            <w:vAlign w:val="center"/>
          </w:tcPr>
          <w:p w14:paraId="7F4B4556">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319" w:type="dxa"/>
            <w:vAlign w:val="center"/>
          </w:tcPr>
          <w:p w14:paraId="5A53A969">
            <w:pPr>
              <w:jc w:val="center"/>
              <w:rPr>
                <w:rFonts w:ascii="宋体" w:hAnsi="宋体" w:cs="宋体"/>
                <w:color w:val="auto"/>
                <w:sz w:val="24"/>
                <w:highlight w:val="none"/>
              </w:rPr>
            </w:pPr>
            <w:r>
              <w:rPr>
                <w:rFonts w:hint="eastAsia" w:ascii="宋体" w:hAnsi="宋体" w:cs="宋体"/>
                <w:color w:val="auto"/>
                <w:sz w:val="24"/>
                <w:highlight w:val="none"/>
              </w:rPr>
              <w:t>99350</w:t>
            </w:r>
          </w:p>
        </w:tc>
      </w:tr>
      <w:tr w14:paraId="2BE4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26B37108">
            <w:pPr>
              <w:jc w:val="center"/>
              <w:rPr>
                <w:rFonts w:ascii="宋体" w:hAnsi="宋体" w:cs="宋体"/>
                <w:color w:val="auto"/>
                <w:sz w:val="24"/>
                <w:highlight w:val="none"/>
              </w:rPr>
            </w:pPr>
            <w:r>
              <w:rPr>
                <w:rFonts w:hint="eastAsia" w:ascii="宋体" w:hAnsi="宋体" w:cs="宋体"/>
                <w:color w:val="auto"/>
                <w:sz w:val="24"/>
                <w:highlight w:val="none"/>
              </w:rPr>
              <w:t>2</w:t>
            </w:r>
          </w:p>
        </w:tc>
        <w:tc>
          <w:tcPr>
            <w:tcW w:w="1668" w:type="dxa"/>
            <w:vAlign w:val="center"/>
          </w:tcPr>
          <w:p w14:paraId="43571A1D">
            <w:pPr>
              <w:jc w:val="center"/>
              <w:rPr>
                <w:rFonts w:ascii="宋体" w:hAnsi="宋体" w:cs="宋体"/>
                <w:color w:val="auto"/>
                <w:sz w:val="24"/>
                <w:highlight w:val="none"/>
              </w:rPr>
            </w:pPr>
            <w:r>
              <w:rPr>
                <w:rFonts w:hint="eastAsia" w:ascii="宋体" w:hAnsi="宋体" w:cs="宋体"/>
                <w:color w:val="auto"/>
                <w:sz w:val="24"/>
                <w:highlight w:val="none"/>
              </w:rPr>
              <w:t>阳光假日社区</w:t>
            </w:r>
          </w:p>
        </w:tc>
        <w:tc>
          <w:tcPr>
            <w:tcW w:w="1191" w:type="dxa"/>
            <w:vAlign w:val="center"/>
          </w:tcPr>
          <w:p w14:paraId="42355350">
            <w:pPr>
              <w:jc w:val="center"/>
              <w:rPr>
                <w:rFonts w:ascii="宋体" w:hAnsi="宋体" w:cs="宋体"/>
                <w:color w:val="auto"/>
                <w:sz w:val="24"/>
                <w:highlight w:val="none"/>
              </w:rPr>
            </w:pPr>
            <w:r>
              <w:rPr>
                <w:rFonts w:hint="eastAsia" w:ascii="宋体" w:hAnsi="宋体" w:cs="宋体"/>
                <w:color w:val="auto"/>
                <w:sz w:val="24"/>
                <w:highlight w:val="none"/>
              </w:rPr>
              <w:t>九月洋房</w:t>
            </w:r>
          </w:p>
        </w:tc>
        <w:tc>
          <w:tcPr>
            <w:tcW w:w="1058" w:type="dxa"/>
            <w:vAlign w:val="center"/>
          </w:tcPr>
          <w:p w14:paraId="79B62B1F">
            <w:pPr>
              <w:jc w:val="center"/>
              <w:rPr>
                <w:rFonts w:ascii="宋体" w:hAnsi="宋体" w:cs="宋体"/>
                <w:color w:val="auto"/>
                <w:sz w:val="24"/>
                <w:highlight w:val="none"/>
              </w:rPr>
            </w:pPr>
            <w:r>
              <w:rPr>
                <w:rFonts w:hint="eastAsia" w:ascii="宋体" w:hAnsi="宋体" w:cs="宋体"/>
                <w:color w:val="auto"/>
                <w:sz w:val="24"/>
                <w:highlight w:val="none"/>
              </w:rPr>
              <w:t>553</w:t>
            </w:r>
          </w:p>
        </w:tc>
        <w:tc>
          <w:tcPr>
            <w:tcW w:w="851" w:type="dxa"/>
            <w:vAlign w:val="center"/>
          </w:tcPr>
          <w:p w14:paraId="76ECADD3">
            <w:pPr>
              <w:jc w:val="center"/>
              <w:rPr>
                <w:rFonts w:ascii="宋体" w:hAnsi="宋体" w:cs="宋体"/>
                <w:color w:val="auto"/>
                <w:sz w:val="24"/>
                <w:highlight w:val="none"/>
              </w:rPr>
            </w:pPr>
            <w:r>
              <w:rPr>
                <w:rFonts w:hint="eastAsia" w:ascii="宋体" w:hAnsi="宋体" w:cs="宋体"/>
                <w:color w:val="auto"/>
                <w:sz w:val="24"/>
                <w:highlight w:val="none"/>
              </w:rPr>
              <w:t>497</w:t>
            </w:r>
          </w:p>
        </w:tc>
        <w:tc>
          <w:tcPr>
            <w:tcW w:w="796" w:type="dxa"/>
            <w:vAlign w:val="center"/>
          </w:tcPr>
          <w:p w14:paraId="511D28ED">
            <w:pPr>
              <w:jc w:val="center"/>
              <w:rPr>
                <w:rFonts w:ascii="宋体" w:hAnsi="宋体" w:cs="宋体"/>
                <w:color w:val="auto"/>
                <w:sz w:val="24"/>
                <w:highlight w:val="none"/>
              </w:rPr>
            </w:pPr>
            <w:r>
              <w:rPr>
                <w:rFonts w:hint="eastAsia" w:ascii="宋体" w:hAnsi="宋体" w:cs="宋体"/>
                <w:color w:val="auto"/>
                <w:sz w:val="24"/>
                <w:highlight w:val="none"/>
              </w:rPr>
              <w:t>2</w:t>
            </w:r>
          </w:p>
        </w:tc>
        <w:tc>
          <w:tcPr>
            <w:tcW w:w="2338" w:type="dxa"/>
            <w:vAlign w:val="center"/>
          </w:tcPr>
          <w:p w14:paraId="6A12341E">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319" w:type="dxa"/>
            <w:vAlign w:val="center"/>
          </w:tcPr>
          <w:p w14:paraId="5DF587A4">
            <w:pPr>
              <w:jc w:val="center"/>
              <w:rPr>
                <w:rFonts w:ascii="宋体" w:hAnsi="宋体" w:cs="宋体"/>
                <w:color w:val="auto"/>
                <w:sz w:val="24"/>
                <w:highlight w:val="none"/>
              </w:rPr>
            </w:pPr>
            <w:r>
              <w:rPr>
                <w:rFonts w:hint="eastAsia" w:ascii="宋体" w:hAnsi="宋体" w:cs="宋体"/>
                <w:color w:val="auto"/>
                <w:sz w:val="24"/>
                <w:highlight w:val="none"/>
              </w:rPr>
              <w:t>154070</w:t>
            </w:r>
          </w:p>
        </w:tc>
      </w:tr>
      <w:tr w14:paraId="2180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6672F5CA">
            <w:pPr>
              <w:jc w:val="center"/>
              <w:rPr>
                <w:rFonts w:ascii="宋体" w:hAnsi="宋体" w:cs="宋体"/>
                <w:color w:val="auto"/>
                <w:sz w:val="24"/>
                <w:highlight w:val="none"/>
              </w:rPr>
            </w:pPr>
            <w:r>
              <w:rPr>
                <w:rFonts w:hint="eastAsia" w:ascii="宋体" w:hAnsi="宋体" w:cs="宋体"/>
                <w:color w:val="auto"/>
                <w:sz w:val="24"/>
                <w:highlight w:val="none"/>
              </w:rPr>
              <w:t>3</w:t>
            </w:r>
          </w:p>
        </w:tc>
        <w:tc>
          <w:tcPr>
            <w:tcW w:w="1668" w:type="dxa"/>
            <w:vAlign w:val="center"/>
          </w:tcPr>
          <w:p w14:paraId="79656BDC">
            <w:pPr>
              <w:jc w:val="center"/>
              <w:rPr>
                <w:rFonts w:ascii="宋体" w:hAnsi="宋体" w:cs="宋体"/>
                <w:color w:val="auto"/>
                <w:sz w:val="24"/>
                <w:highlight w:val="none"/>
              </w:rPr>
            </w:pPr>
            <w:r>
              <w:rPr>
                <w:rFonts w:hint="eastAsia" w:ascii="宋体" w:hAnsi="宋体" w:cs="宋体"/>
                <w:color w:val="auto"/>
                <w:sz w:val="24"/>
                <w:highlight w:val="none"/>
              </w:rPr>
              <w:t>阳光假日社区</w:t>
            </w:r>
          </w:p>
        </w:tc>
        <w:tc>
          <w:tcPr>
            <w:tcW w:w="1191" w:type="dxa"/>
            <w:vAlign w:val="center"/>
          </w:tcPr>
          <w:p w14:paraId="28310006">
            <w:pPr>
              <w:jc w:val="center"/>
              <w:rPr>
                <w:rFonts w:ascii="宋体" w:hAnsi="宋体" w:cs="宋体"/>
                <w:color w:val="auto"/>
                <w:sz w:val="24"/>
                <w:highlight w:val="none"/>
              </w:rPr>
            </w:pPr>
            <w:r>
              <w:rPr>
                <w:rFonts w:hint="eastAsia" w:ascii="宋体" w:hAnsi="宋体" w:cs="宋体"/>
                <w:color w:val="auto"/>
                <w:sz w:val="24"/>
                <w:highlight w:val="none"/>
              </w:rPr>
              <w:t>海德花园</w:t>
            </w:r>
          </w:p>
        </w:tc>
        <w:tc>
          <w:tcPr>
            <w:tcW w:w="1058" w:type="dxa"/>
            <w:vAlign w:val="center"/>
          </w:tcPr>
          <w:p w14:paraId="740A1465">
            <w:pPr>
              <w:jc w:val="center"/>
              <w:rPr>
                <w:rFonts w:ascii="宋体" w:hAnsi="宋体" w:cs="宋体"/>
                <w:color w:val="auto"/>
                <w:sz w:val="24"/>
                <w:highlight w:val="none"/>
              </w:rPr>
            </w:pPr>
            <w:r>
              <w:rPr>
                <w:rFonts w:hint="eastAsia" w:ascii="宋体" w:hAnsi="宋体" w:cs="宋体"/>
                <w:color w:val="auto"/>
                <w:sz w:val="24"/>
                <w:highlight w:val="none"/>
              </w:rPr>
              <w:t>43</w:t>
            </w:r>
          </w:p>
        </w:tc>
        <w:tc>
          <w:tcPr>
            <w:tcW w:w="851" w:type="dxa"/>
            <w:vAlign w:val="center"/>
          </w:tcPr>
          <w:p w14:paraId="525585E5">
            <w:pPr>
              <w:jc w:val="center"/>
              <w:rPr>
                <w:rFonts w:ascii="宋体" w:hAnsi="宋体" w:cs="宋体"/>
                <w:color w:val="auto"/>
                <w:sz w:val="24"/>
                <w:highlight w:val="none"/>
              </w:rPr>
            </w:pPr>
            <w:r>
              <w:rPr>
                <w:rFonts w:hint="eastAsia" w:ascii="宋体" w:hAnsi="宋体" w:cs="宋体"/>
                <w:color w:val="auto"/>
                <w:sz w:val="24"/>
                <w:highlight w:val="none"/>
              </w:rPr>
              <w:t>20</w:t>
            </w:r>
          </w:p>
        </w:tc>
        <w:tc>
          <w:tcPr>
            <w:tcW w:w="796" w:type="dxa"/>
            <w:vAlign w:val="center"/>
          </w:tcPr>
          <w:p w14:paraId="421ACC7D">
            <w:pPr>
              <w:jc w:val="center"/>
              <w:rPr>
                <w:rFonts w:ascii="宋体" w:hAnsi="宋体" w:cs="宋体"/>
                <w:color w:val="auto"/>
                <w:sz w:val="24"/>
                <w:highlight w:val="none"/>
              </w:rPr>
            </w:pPr>
            <w:r>
              <w:rPr>
                <w:rFonts w:hint="eastAsia" w:ascii="宋体" w:hAnsi="宋体" w:cs="宋体"/>
                <w:color w:val="auto"/>
                <w:sz w:val="24"/>
                <w:highlight w:val="none"/>
              </w:rPr>
              <w:t>1</w:t>
            </w:r>
          </w:p>
        </w:tc>
        <w:tc>
          <w:tcPr>
            <w:tcW w:w="2338" w:type="dxa"/>
            <w:vAlign w:val="center"/>
          </w:tcPr>
          <w:p w14:paraId="025B6409">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319" w:type="dxa"/>
            <w:vAlign w:val="center"/>
          </w:tcPr>
          <w:p w14:paraId="65B9FD75">
            <w:pPr>
              <w:jc w:val="center"/>
              <w:rPr>
                <w:rFonts w:ascii="宋体" w:hAnsi="宋体" w:cs="宋体"/>
                <w:color w:val="auto"/>
                <w:sz w:val="24"/>
                <w:highlight w:val="none"/>
              </w:rPr>
            </w:pPr>
            <w:r>
              <w:rPr>
                <w:rFonts w:hint="eastAsia" w:ascii="宋体" w:hAnsi="宋体" w:cs="宋体"/>
                <w:color w:val="auto"/>
                <w:sz w:val="24"/>
                <w:highlight w:val="none"/>
              </w:rPr>
              <w:t>31000</w:t>
            </w:r>
          </w:p>
        </w:tc>
      </w:tr>
      <w:tr w14:paraId="3A37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0A17DCEC">
            <w:pPr>
              <w:jc w:val="center"/>
              <w:rPr>
                <w:rFonts w:ascii="宋体" w:hAnsi="宋体" w:cs="宋体"/>
                <w:color w:val="auto"/>
                <w:sz w:val="24"/>
                <w:highlight w:val="none"/>
              </w:rPr>
            </w:pPr>
            <w:r>
              <w:rPr>
                <w:rFonts w:hint="eastAsia" w:ascii="宋体" w:hAnsi="宋体" w:cs="宋体"/>
                <w:color w:val="auto"/>
                <w:sz w:val="24"/>
                <w:highlight w:val="none"/>
              </w:rPr>
              <w:t>4</w:t>
            </w:r>
          </w:p>
        </w:tc>
        <w:tc>
          <w:tcPr>
            <w:tcW w:w="1668" w:type="dxa"/>
            <w:vAlign w:val="center"/>
          </w:tcPr>
          <w:p w14:paraId="6B5CAAC9">
            <w:pPr>
              <w:jc w:val="center"/>
              <w:rPr>
                <w:rFonts w:ascii="宋体" w:hAnsi="宋体" w:cs="宋体"/>
                <w:color w:val="auto"/>
                <w:sz w:val="24"/>
                <w:highlight w:val="none"/>
              </w:rPr>
            </w:pPr>
            <w:r>
              <w:rPr>
                <w:rFonts w:hint="eastAsia" w:ascii="宋体" w:hAnsi="宋体" w:cs="宋体"/>
                <w:color w:val="auto"/>
                <w:sz w:val="24"/>
                <w:highlight w:val="none"/>
              </w:rPr>
              <w:t>健康城社区</w:t>
            </w:r>
          </w:p>
        </w:tc>
        <w:tc>
          <w:tcPr>
            <w:tcW w:w="1191" w:type="dxa"/>
            <w:vAlign w:val="center"/>
          </w:tcPr>
          <w:p w14:paraId="0DCEF87D">
            <w:pPr>
              <w:jc w:val="center"/>
              <w:rPr>
                <w:rFonts w:ascii="宋体" w:hAnsi="宋体" w:cs="宋体"/>
                <w:color w:val="auto"/>
                <w:sz w:val="24"/>
                <w:highlight w:val="none"/>
              </w:rPr>
            </w:pPr>
            <w:r>
              <w:rPr>
                <w:rFonts w:hint="eastAsia" w:ascii="宋体" w:hAnsi="宋体" w:cs="宋体"/>
                <w:color w:val="auto"/>
                <w:sz w:val="24"/>
                <w:highlight w:val="none"/>
              </w:rPr>
              <w:t>得月湾</w:t>
            </w:r>
          </w:p>
        </w:tc>
        <w:tc>
          <w:tcPr>
            <w:tcW w:w="1058" w:type="dxa"/>
            <w:vAlign w:val="center"/>
          </w:tcPr>
          <w:p w14:paraId="11EBC252">
            <w:pPr>
              <w:jc w:val="center"/>
              <w:rPr>
                <w:rFonts w:ascii="宋体" w:hAnsi="宋体" w:cs="宋体"/>
                <w:color w:val="auto"/>
                <w:sz w:val="24"/>
                <w:highlight w:val="none"/>
              </w:rPr>
            </w:pPr>
            <w:r>
              <w:rPr>
                <w:rFonts w:hint="eastAsia" w:ascii="宋体" w:hAnsi="宋体" w:cs="宋体"/>
                <w:color w:val="auto"/>
                <w:sz w:val="24"/>
                <w:highlight w:val="none"/>
              </w:rPr>
              <w:t>748</w:t>
            </w:r>
          </w:p>
        </w:tc>
        <w:tc>
          <w:tcPr>
            <w:tcW w:w="851" w:type="dxa"/>
            <w:vAlign w:val="center"/>
          </w:tcPr>
          <w:p w14:paraId="4DE41E92">
            <w:pPr>
              <w:jc w:val="center"/>
              <w:rPr>
                <w:rFonts w:ascii="宋体" w:hAnsi="宋体" w:cs="宋体"/>
                <w:color w:val="auto"/>
                <w:sz w:val="24"/>
                <w:highlight w:val="none"/>
              </w:rPr>
            </w:pPr>
            <w:r>
              <w:rPr>
                <w:rFonts w:hint="eastAsia" w:ascii="宋体" w:hAnsi="宋体" w:cs="宋体"/>
                <w:color w:val="auto"/>
                <w:sz w:val="24"/>
                <w:highlight w:val="none"/>
              </w:rPr>
              <w:t>673</w:t>
            </w:r>
          </w:p>
        </w:tc>
        <w:tc>
          <w:tcPr>
            <w:tcW w:w="796" w:type="dxa"/>
            <w:vAlign w:val="center"/>
          </w:tcPr>
          <w:p w14:paraId="4AC88D08">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38" w:type="dxa"/>
            <w:vAlign w:val="center"/>
          </w:tcPr>
          <w:p w14:paraId="5B079676">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319" w:type="dxa"/>
            <w:vAlign w:val="center"/>
          </w:tcPr>
          <w:p w14:paraId="620B5A33">
            <w:pPr>
              <w:jc w:val="center"/>
              <w:rPr>
                <w:rFonts w:ascii="宋体" w:hAnsi="宋体" w:cs="宋体"/>
                <w:color w:val="auto"/>
                <w:sz w:val="24"/>
                <w:highlight w:val="none"/>
              </w:rPr>
            </w:pPr>
            <w:r>
              <w:rPr>
                <w:rFonts w:hint="eastAsia" w:ascii="宋体" w:hAnsi="宋体" w:cs="宋体"/>
                <w:color w:val="auto"/>
                <w:sz w:val="24"/>
                <w:highlight w:val="none"/>
              </w:rPr>
              <w:t>208630</w:t>
            </w:r>
          </w:p>
        </w:tc>
      </w:tr>
      <w:tr w14:paraId="543D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13F2CB32">
            <w:pPr>
              <w:jc w:val="center"/>
              <w:rPr>
                <w:rFonts w:ascii="宋体" w:hAnsi="宋体" w:cs="宋体"/>
                <w:color w:val="auto"/>
                <w:sz w:val="24"/>
                <w:highlight w:val="none"/>
              </w:rPr>
            </w:pPr>
            <w:r>
              <w:rPr>
                <w:rFonts w:hint="eastAsia" w:ascii="宋体" w:hAnsi="宋体" w:cs="宋体"/>
                <w:color w:val="auto"/>
                <w:sz w:val="24"/>
                <w:highlight w:val="none"/>
              </w:rPr>
              <w:t>5</w:t>
            </w:r>
          </w:p>
        </w:tc>
        <w:tc>
          <w:tcPr>
            <w:tcW w:w="1668" w:type="dxa"/>
            <w:vAlign w:val="center"/>
          </w:tcPr>
          <w:p w14:paraId="5DE0D0F6">
            <w:pPr>
              <w:jc w:val="center"/>
              <w:rPr>
                <w:rFonts w:ascii="宋体" w:hAnsi="宋体" w:cs="宋体"/>
                <w:color w:val="auto"/>
                <w:sz w:val="24"/>
                <w:highlight w:val="none"/>
              </w:rPr>
            </w:pPr>
            <w:r>
              <w:rPr>
                <w:rFonts w:hint="eastAsia" w:ascii="宋体" w:hAnsi="宋体" w:cs="宋体"/>
                <w:color w:val="auto"/>
                <w:sz w:val="24"/>
                <w:highlight w:val="none"/>
              </w:rPr>
              <w:t>浮霞社区</w:t>
            </w:r>
          </w:p>
        </w:tc>
        <w:tc>
          <w:tcPr>
            <w:tcW w:w="1191" w:type="dxa"/>
            <w:vAlign w:val="center"/>
          </w:tcPr>
          <w:p w14:paraId="3CFD0725">
            <w:pPr>
              <w:jc w:val="center"/>
              <w:rPr>
                <w:rFonts w:ascii="宋体" w:hAnsi="宋体" w:cs="宋体"/>
                <w:color w:val="auto"/>
                <w:sz w:val="24"/>
                <w:highlight w:val="none"/>
              </w:rPr>
            </w:pPr>
            <w:r>
              <w:rPr>
                <w:rFonts w:hint="eastAsia" w:ascii="宋体" w:hAnsi="宋体" w:cs="宋体"/>
                <w:color w:val="auto"/>
                <w:sz w:val="24"/>
                <w:highlight w:val="none"/>
              </w:rPr>
              <w:t>香樟园</w:t>
            </w:r>
          </w:p>
        </w:tc>
        <w:tc>
          <w:tcPr>
            <w:tcW w:w="1058" w:type="dxa"/>
            <w:vAlign w:val="center"/>
          </w:tcPr>
          <w:p w14:paraId="3A3CBC13">
            <w:pPr>
              <w:jc w:val="center"/>
              <w:rPr>
                <w:rFonts w:ascii="宋体" w:hAnsi="宋体" w:cs="宋体"/>
                <w:color w:val="auto"/>
                <w:sz w:val="24"/>
                <w:highlight w:val="none"/>
              </w:rPr>
            </w:pPr>
            <w:r>
              <w:rPr>
                <w:rFonts w:hint="eastAsia" w:ascii="宋体" w:hAnsi="宋体" w:cs="宋体"/>
                <w:color w:val="auto"/>
                <w:sz w:val="24"/>
                <w:highlight w:val="none"/>
              </w:rPr>
              <w:t>821</w:t>
            </w:r>
          </w:p>
        </w:tc>
        <w:tc>
          <w:tcPr>
            <w:tcW w:w="851" w:type="dxa"/>
            <w:vAlign w:val="center"/>
          </w:tcPr>
          <w:p w14:paraId="4A7FFFC8">
            <w:pPr>
              <w:jc w:val="center"/>
              <w:rPr>
                <w:rFonts w:ascii="宋体" w:hAnsi="宋体" w:cs="宋体"/>
                <w:color w:val="auto"/>
                <w:sz w:val="24"/>
                <w:highlight w:val="none"/>
              </w:rPr>
            </w:pPr>
            <w:r>
              <w:rPr>
                <w:rFonts w:hint="eastAsia" w:ascii="宋体" w:hAnsi="宋体" w:cs="宋体"/>
                <w:color w:val="auto"/>
                <w:sz w:val="24"/>
                <w:highlight w:val="none"/>
              </w:rPr>
              <w:t>676</w:t>
            </w:r>
          </w:p>
        </w:tc>
        <w:tc>
          <w:tcPr>
            <w:tcW w:w="796" w:type="dxa"/>
            <w:vAlign w:val="center"/>
          </w:tcPr>
          <w:p w14:paraId="4CA3D94B">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38" w:type="dxa"/>
            <w:vAlign w:val="center"/>
          </w:tcPr>
          <w:p w14:paraId="0F6B0EF4">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319" w:type="dxa"/>
            <w:vAlign w:val="center"/>
          </w:tcPr>
          <w:p w14:paraId="54C022F1">
            <w:pPr>
              <w:jc w:val="center"/>
              <w:rPr>
                <w:rFonts w:ascii="宋体" w:hAnsi="宋体" w:cs="宋体"/>
                <w:color w:val="auto"/>
                <w:sz w:val="24"/>
                <w:highlight w:val="none"/>
              </w:rPr>
            </w:pPr>
            <w:r>
              <w:rPr>
                <w:rFonts w:hint="eastAsia" w:ascii="宋体" w:hAnsi="宋体" w:cs="宋体"/>
                <w:color w:val="auto"/>
                <w:sz w:val="24"/>
                <w:highlight w:val="none"/>
              </w:rPr>
              <w:t>209560</w:t>
            </w:r>
          </w:p>
        </w:tc>
      </w:tr>
      <w:tr w14:paraId="2C19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63843883">
            <w:pPr>
              <w:jc w:val="center"/>
              <w:rPr>
                <w:rFonts w:ascii="宋体" w:hAnsi="宋体" w:cs="宋体"/>
                <w:color w:val="auto"/>
                <w:sz w:val="24"/>
                <w:highlight w:val="none"/>
              </w:rPr>
            </w:pPr>
            <w:r>
              <w:rPr>
                <w:rFonts w:hint="eastAsia" w:ascii="宋体" w:hAnsi="宋体" w:cs="宋体"/>
                <w:color w:val="auto"/>
                <w:sz w:val="24"/>
                <w:highlight w:val="none"/>
              </w:rPr>
              <w:t>6</w:t>
            </w:r>
          </w:p>
        </w:tc>
        <w:tc>
          <w:tcPr>
            <w:tcW w:w="1668" w:type="dxa"/>
            <w:vAlign w:val="center"/>
          </w:tcPr>
          <w:p w14:paraId="04C03070">
            <w:pPr>
              <w:jc w:val="center"/>
              <w:rPr>
                <w:rFonts w:ascii="宋体" w:hAnsi="宋体" w:cs="宋体"/>
                <w:color w:val="auto"/>
                <w:sz w:val="24"/>
                <w:highlight w:val="none"/>
              </w:rPr>
            </w:pPr>
            <w:r>
              <w:rPr>
                <w:rFonts w:hint="eastAsia" w:ascii="宋体" w:hAnsi="宋体" w:cs="宋体"/>
                <w:color w:val="auto"/>
                <w:sz w:val="24"/>
                <w:highlight w:val="none"/>
              </w:rPr>
              <w:t>健康城社区</w:t>
            </w:r>
          </w:p>
        </w:tc>
        <w:tc>
          <w:tcPr>
            <w:tcW w:w="1191" w:type="dxa"/>
            <w:vAlign w:val="center"/>
          </w:tcPr>
          <w:p w14:paraId="25BEA808">
            <w:pPr>
              <w:jc w:val="center"/>
              <w:rPr>
                <w:rFonts w:ascii="宋体" w:hAnsi="宋体" w:cs="宋体"/>
                <w:color w:val="auto"/>
                <w:sz w:val="24"/>
                <w:highlight w:val="none"/>
              </w:rPr>
            </w:pPr>
            <w:r>
              <w:rPr>
                <w:rFonts w:hint="eastAsia" w:ascii="宋体" w:hAnsi="宋体" w:cs="宋体"/>
                <w:color w:val="auto"/>
                <w:sz w:val="24"/>
                <w:highlight w:val="none"/>
              </w:rPr>
              <w:t>映月里</w:t>
            </w:r>
          </w:p>
        </w:tc>
        <w:tc>
          <w:tcPr>
            <w:tcW w:w="1058" w:type="dxa"/>
            <w:vAlign w:val="center"/>
          </w:tcPr>
          <w:p w14:paraId="41C997C3">
            <w:pPr>
              <w:jc w:val="center"/>
              <w:rPr>
                <w:rFonts w:ascii="宋体" w:hAnsi="宋体" w:cs="宋体"/>
                <w:color w:val="auto"/>
                <w:sz w:val="24"/>
                <w:highlight w:val="none"/>
              </w:rPr>
            </w:pPr>
            <w:r>
              <w:rPr>
                <w:rFonts w:hint="eastAsia" w:ascii="宋体" w:hAnsi="宋体" w:cs="宋体"/>
                <w:color w:val="auto"/>
                <w:sz w:val="24"/>
                <w:highlight w:val="none"/>
              </w:rPr>
              <w:t>505</w:t>
            </w:r>
          </w:p>
        </w:tc>
        <w:tc>
          <w:tcPr>
            <w:tcW w:w="851" w:type="dxa"/>
            <w:vAlign w:val="center"/>
          </w:tcPr>
          <w:p w14:paraId="52A5B2FE">
            <w:pPr>
              <w:jc w:val="center"/>
              <w:rPr>
                <w:rFonts w:ascii="宋体" w:hAnsi="宋体" w:cs="宋体"/>
                <w:color w:val="auto"/>
                <w:sz w:val="24"/>
                <w:highlight w:val="none"/>
              </w:rPr>
            </w:pPr>
            <w:r>
              <w:rPr>
                <w:rFonts w:hint="eastAsia" w:ascii="宋体" w:hAnsi="宋体" w:cs="宋体"/>
                <w:color w:val="auto"/>
                <w:sz w:val="24"/>
                <w:highlight w:val="none"/>
              </w:rPr>
              <w:t>183</w:t>
            </w:r>
          </w:p>
        </w:tc>
        <w:tc>
          <w:tcPr>
            <w:tcW w:w="796" w:type="dxa"/>
            <w:vAlign w:val="center"/>
          </w:tcPr>
          <w:p w14:paraId="14EB0CBD">
            <w:pPr>
              <w:jc w:val="center"/>
              <w:rPr>
                <w:rFonts w:ascii="宋体" w:hAnsi="宋体" w:cs="宋体"/>
                <w:color w:val="auto"/>
                <w:sz w:val="24"/>
                <w:highlight w:val="none"/>
              </w:rPr>
            </w:pPr>
            <w:r>
              <w:rPr>
                <w:rFonts w:hint="eastAsia" w:ascii="宋体" w:hAnsi="宋体" w:cs="宋体"/>
                <w:color w:val="auto"/>
                <w:sz w:val="24"/>
                <w:highlight w:val="none"/>
              </w:rPr>
              <w:t>4</w:t>
            </w:r>
          </w:p>
        </w:tc>
        <w:tc>
          <w:tcPr>
            <w:tcW w:w="2338" w:type="dxa"/>
            <w:vAlign w:val="center"/>
          </w:tcPr>
          <w:p w14:paraId="037ED217">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319" w:type="dxa"/>
            <w:vAlign w:val="center"/>
          </w:tcPr>
          <w:p w14:paraId="03C4CD28">
            <w:pPr>
              <w:jc w:val="center"/>
              <w:rPr>
                <w:rFonts w:ascii="宋体" w:hAnsi="宋体" w:cs="宋体"/>
                <w:color w:val="auto"/>
                <w:sz w:val="24"/>
                <w:highlight w:val="none"/>
              </w:rPr>
            </w:pPr>
            <w:r>
              <w:rPr>
                <w:rFonts w:hint="eastAsia" w:ascii="宋体" w:hAnsi="宋体" w:cs="宋体"/>
                <w:color w:val="auto"/>
                <w:sz w:val="24"/>
                <w:highlight w:val="none"/>
              </w:rPr>
              <w:t>129150</w:t>
            </w:r>
          </w:p>
        </w:tc>
      </w:tr>
      <w:tr w14:paraId="6405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332C67C4">
            <w:pPr>
              <w:jc w:val="center"/>
              <w:rPr>
                <w:rFonts w:ascii="宋体" w:hAnsi="宋体" w:cs="宋体"/>
                <w:color w:val="auto"/>
                <w:sz w:val="24"/>
                <w:highlight w:val="none"/>
              </w:rPr>
            </w:pPr>
            <w:r>
              <w:rPr>
                <w:rFonts w:hint="eastAsia" w:ascii="宋体" w:hAnsi="宋体" w:cs="宋体"/>
                <w:color w:val="auto"/>
                <w:sz w:val="24"/>
                <w:highlight w:val="none"/>
              </w:rPr>
              <w:t>7</w:t>
            </w:r>
          </w:p>
        </w:tc>
        <w:tc>
          <w:tcPr>
            <w:tcW w:w="1668" w:type="dxa"/>
            <w:vAlign w:val="center"/>
          </w:tcPr>
          <w:p w14:paraId="2A5DF71A">
            <w:pPr>
              <w:jc w:val="center"/>
              <w:rPr>
                <w:rFonts w:ascii="宋体" w:hAnsi="宋体" w:cs="宋体"/>
                <w:color w:val="auto"/>
                <w:sz w:val="24"/>
                <w:highlight w:val="none"/>
              </w:rPr>
            </w:pPr>
            <w:r>
              <w:rPr>
                <w:rFonts w:hint="eastAsia" w:ascii="宋体" w:hAnsi="宋体" w:cs="宋体"/>
                <w:color w:val="auto"/>
                <w:sz w:val="24"/>
                <w:highlight w:val="none"/>
              </w:rPr>
              <w:t>新桥村</w:t>
            </w:r>
          </w:p>
        </w:tc>
        <w:tc>
          <w:tcPr>
            <w:tcW w:w="1191" w:type="dxa"/>
            <w:vAlign w:val="center"/>
          </w:tcPr>
          <w:p w14:paraId="0A1AFFCC">
            <w:pPr>
              <w:jc w:val="center"/>
              <w:rPr>
                <w:rFonts w:ascii="宋体" w:hAnsi="宋体" w:cs="宋体"/>
                <w:color w:val="auto"/>
                <w:sz w:val="24"/>
                <w:highlight w:val="none"/>
              </w:rPr>
            </w:pPr>
            <w:r>
              <w:rPr>
                <w:rFonts w:hint="eastAsia" w:ascii="宋体" w:hAnsi="宋体" w:cs="宋体"/>
                <w:color w:val="auto"/>
                <w:sz w:val="24"/>
                <w:highlight w:val="none"/>
              </w:rPr>
              <w:t>长东花园一期</w:t>
            </w:r>
          </w:p>
        </w:tc>
        <w:tc>
          <w:tcPr>
            <w:tcW w:w="1058" w:type="dxa"/>
            <w:vMerge w:val="restart"/>
            <w:vAlign w:val="center"/>
          </w:tcPr>
          <w:p w14:paraId="57FE90CA">
            <w:pPr>
              <w:jc w:val="center"/>
              <w:rPr>
                <w:rFonts w:ascii="宋体" w:hAnsi="宋体" w:cs="宋体"/>
                <w:color w:val="auto"/>
                <w:sz w:val="24"/>
                <w:highlight w:val="none"/>
              </w:rPr>
            </w:pPr>
            <w:r>
              <w:rPr>
                <w:rFonts w:hint="eastAsia" w:ascii="宋体" w:hAnsi="宋体" w:cs="宋体"/>
                <w:color w:val="auto"/>
                <w:sz w:val="24"/>
                <w:highlight w:val="none"/>
              </w:rPr>
              <w:t>1149</w:t>
            </w:r>
          </w:p>
        </w:tc>
        <w:tc>
          <w:tcPr>
            <w:tcW w:w="851" w:type="dxa"/>
            <w:vMerge w:val="restart"/>
            <w:vAlign w:val="center"/>
          </w:tcPr>
          <w:p w14:paraId="0B241942">
            <w:pPr>
              <w:jc w:val="center"/>
              <w:rPr>
                <w:rFonts w:ascii="宋体" w:hAnsi="宋体" w:cs="宋体"/>
                <w:color w:val="auto"/>
                <w:sz w:val="24"/>
                <w:highlight w:val="none"/>
              </w:rPr>
            </w:pPr>
            <w:r>
              <w:rPr>
                <w:rFonts w:hint="eastAsia" w:ascii="宋体" w:hAnsi="宋体" w:cs="宋体"/>
                <w:color w:val="auto"/>
                <w:sz w:val="24"/>
                <w:highlight w:val="none"/>
              </w:rPr>
              <w:t>1100</w:t>
            </w:r>
          </w:p>
        </w:tc>
        <w:tc>
          <w:tcPr>
            <w:tcW w:w="796" w:type="dxa"/>
            <w:vMerge w:val="restart"/>
            <w:vAlign w:val="center"/>
          </w:tcPr>
          <w:p w14:paraId="1CB9D7BF">
            <w:pPr>
              <w:jc w:val="center"/>
              <w:rPr>
                <w:rFonts w:ascii="宋体" w:hAnsi="宋体" w:cs="宋体"/>
                <w:color w:val="auto"/>
                <w:sz w:val="24"/>
                <w:highlight w:val="none"/>
              </w:rPr>
            </w:pPr>
            <w:r>
              <w:rPr>
                <w:rFonts w:hint="eastAsia" w:ascii="宋体" w:hAnsi="宋体" w:cs="宋体"/>
                <w:color w:val="auto"/>
                <w:sz w:val="24"/>
                <w:highlight w:val="none"/>
              </w:rPr>
              <w:t>6</w:t>
            </w:r>
          </w:p>
        </w:tc>
        <w:tc>
          <w:tcPr>
            <w:tcW w:w="2338" w:type="dxa"/>
            <w:vMerge w:val="restart"/>
            <w:vAlign w:val="center"/>
          </w:tcPr>
          <w:p w14:paraId="373CCFC6">
            <w:pPr>
              <w:jc w:val="center"/>
              <w:rPr>
                <w:rFonts w:ascii="宋体" w:hAnsi="宋体" w:cs="宋体"/>
                <w:color w:val="auto"/>
                <w:sz w:val="24"/>
                <w:highlight w:val="none"/>
              </w:rPr>
            </w:pPr>
            <w:r>
              <w:rPr>
                <w:rFonts w:hint="eastAsia" w:ascii="宋体" w:hAnsi="宋体" w:cs="宋体"/>
                <w:color w:val="auto"/>
                <w:sz w:val="24"/>
                <w:highlight w:val="none"/>
              </w:rPr>
              <w:t>310元/户</w:t>
            </w:r>
          </w:p>
        </w:tc>
        <w:tc>
          <w:tcPr>
            <w:tcW w:w="1319" w:type="dxa"/>
            <w:vMerge w:val="restart"/>
            <w:vAlign w:val="center"/>
          </w:tcPr>
          <w:p w14:paraId="1D1D1748">
            <w:pPr>
              <w:jc w:val="center"/>
              <w:rPr>
                <w:rFonts w:ascii="宋体" w:hAnsi="宋体" w:cs="宋体"/>
                <w:color w:val="auto"/>
                <w:sz w:val="24"/>
                <w:highlight w:val="none"/>
              </w:rPr>
            </w:pPr>
            <w:r>
              <w:rPr>
                <w:rFonts w:hint="eastAsia" w:ascii="宋体" w:hAnsi="宋体" w:cs="宋体"/>
                <w:color w:val="auto"/>
                <w:sz w:val="24"/>
                <w:highlight w:val="none"/>
              </w:rPr>
              <w:t>341000</w:t>
            </w:r>
          </w:p>
        </w:tc>
      </w:tr>
      <w:tr w14:paraId="4426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5" w:type="dxa"/>
            <w:vAlign w:val="center"/>
          </w:tcPr>
          <w:p w14:paraId="5CBBF0B4">
            <w:pPr>
              <w:jc w:val="center"/>
              <w:rPr>
                <w:rFonts w:ascii="宋体" w:hAnsi="宋体" w:cs="宋体"/>
                <w:color w:val="auto"/>
                <w:sz w:val="24"/>
                <w:highlight w:val="none"/>
              </w:rPr>
            </w:pPr>
            <w:r>
              <w:rPr>
                <w:rFonts w:hint="eastAsia" w:ascii="宋体" w:hAnsi="宋体" w:cs="宋体"/>
                <w:color w:val="auto"/>
                <w:sz w:val="24"/>
                <w:highlight w:val="none"/>
              </w:rPr>
              <w:t>8</w:t>
            </w:r>
          </w:p>
        </w:tc>
        <w:tc>
          <w:tcPr>
            <w:tcW w:w="1668" w:type="dxa"/>
            <w:vAlign w:val="center"/>
          </w:tcPr>
          <w:p w14:paraId="45916528">
            <w:pPr>
              <w:jc w:val="center"/>
              <w:rPr>
                <w:rFonts w:ascii="宋体" w:hAnsi="宋体" w:cs="宋体"/>
                <w:color w:val="auto"/>
                <w:sz w:val="24"/>
                <w:highlight w:val="none"/>
              </w:rPr>
            </w:pPr>
            <w:r>
              <w:rPr>
                <w:rFonts w:hint="eastAsia" w:ascii="宋体" w:hAnsi="宋体" w:cs="宋体"/>
                <w:color w:val="auto"/>
                <w:sz w:val="24"/>
                <w:highlight w:val="none"/>
              </w:rPr>
              <w:t>新桥村</w:t>
            </w:r>
          </w:p>
        </w:tc>
        <w:tc>
          <w:tcPr>
            <w:tcW w:w="1191" w:type="dxa"/>
            <w:vAlign w:val="center"/>
          </w:tcPr>
          <w:p w14:paraId="184F0C47">
            <w:pPr>
              <w:jc w:val="center"/>
              <w:rPr>
                <w:rFonts w:ascii="宋体" w:hAnsi="宋体" w:cs="宋体"/>
                <w:color w:val="auto"/>
                <w:sz w:val="24"/>
                <w:highlight w:val="none"/>
              </w:rPr>
            </w:pPr>
            <w:r>
              <w:rPr>
                <w:rFonts w:hint="eastAsia" w:ascii="宋体" w:hAnsi="宋体" w:cs="宋体"/>
                <w:color w:val="auto"/>
                <w:sz w:val="24"/>
                <w:highlight w:val="none"/>
              </w:rPr>
              <w:t>长东花园二期</w:t>
            </w:r>
          </w:p>
        </w:tc>
        <w:tc>
          <w:tcPr>
            <w:tcW w:w="1058" w:type="dxa"/>
            <w:vMerge w:val="continue"/>
            <w:vAlign w:val="center"/>
          </w:tcPr>
          <w:p w14:paraId="4581A7F5">
            <w:pPr>
              <w:jc w:val="center"/>
              <w:rPr>
                <w:rFonts w:ascii="宋体" w:hAnsi="宋体" w:cs="宋体"/>
                <w:color w:val="auto"/>
                <w:sz w:val="24"/>
                <w:highlight w:val="none"/>
              </w:rPr>
            </w:pPr>
          </w:p>
        </w:tc>
        <w:tc>
          <w:tcPr>
            <w:tcW w:w="851" w:type="dxa"/>
            <w:vMerge w:val="continue"/>
            <w:vAlign w:val="center"/>
          </w:tcPr>
          <w:p w14:paraId="101CDD56">
            <w:pPr>
              <w:jc w:val="center"/>
              <w:rPr>
                <w:rFonts w:ascii="宋体" w:hAnsi="宋体" w:cs="宋体"/>
                <w:color w:val="auto"/>
                <w:sz w:val="24"/>
                <w:highlight w:val="none"/>
              </w:rPr>
            </w:pPr>
          </w:p>
        </w:tc>
        <w:tc>
          <w:tcPr>
            <w:tcW w:w="796" w:type="dxa"/>
            <w:vMerge w:val="continue"/>
            <w:vAlign w:val="center"/>
          </w:tcPr>
          <w:p w14:paraId="0E92FC4E">
            <w:pPr>
              <w:jc w:val="center"/>
              <w:rPr>
                <w:rFonts w:ascii="宋体" w:hAnsi="宋体" w:cs="宋体"/>
                <w:color w:val="auto"/>
                <w:sz w:val="24"/>
                <w:highlight w:val="none"/>
              </w:rPr>
            </w:pPr>
          </w:p>
        </w:tc>
        <w:tc>
          <w:tcPr>
            <w:tcW w:w="2338" w:type="dxa"/>
            <w:vMerge w:val="continue"/>
            <w:vAlign w:val="center"/>
          </w:tcPr>
          <w:p w14:paraId="64DDCDC9">
            <w:pPr>
              <w:jc w:val="center"/>
              <w:rPr>
                <w:rFonts w:ascii="宋体" w:hAnsi="宋体" w:cs="宋体"/>
                <w:color w:val="auto"/>
                <w:sz w:val="24"/>
                <w:highlight w:val="none"/>
              </w:rPr>
            </w:pPr>
          </w:p>
        </w:tc>
        <w:tc>
          <w:tcPr>
            <w:tcW w:w="1319" w:type="dxa"/>
            <w:vMerge w:val="continue"/>
            <w:vAlign w:val="center"/>
          </w:tcPr>
          <w:p w14:paraId="12EA06D0">
            <w:pPr>
              <w:jc w:val="center"/>
              <w:rPr>
                <w:rFonts w:ascii="宋体" w:hAnsi="宋体" w:cs="宋体"/>
                <w:color w:val="auto"/>
                <w:sz w:val="24"/>
                <w:highlight w:val="none"/>
              </w:rPr>
            </w:pPr>
          </w:p>
        </w:tc>
      </w:tr>
      <w:tr w14:paraId="1D1B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78965C6D">
            <w:pPr>
              <w:jc w:val="center"/>
              <w:rPr>
                <w:rFonts w:ascii="宋体" w:hAnsi="宋体" w:cs="宋体"/>
                <w:color w:val="auto"/>
                <w:sz w:val="24"/>
                <w:highlight w:val="none"/>
              </w:rPr>
            </w:pPr>
            <w:r>
              <w:rPr>
                <w:rFonts w:hint="eastAsia" w:ascii="宋体" w:hAnsi="宋体" w:cs="宋体"/>
                <w:color w:val="auto"/>
                <w:sz w:val="24"/>
                <w:highlight w:val="none"/>
              </w:rPr>
              <w:t>9</w:t>
            </w:r>
          </w:p>
        </w:tc>
        <w:tc>
          <w:tcPr>
            <w:tcW w:w="1668" w:type="dxa"/>
            <w:vAlign w:val="center"/>
          </w:tcPr>
          <w:p w14:paraId="060F035B">
            <w:pPr>
              <w:jc w:val="center"/>
              <w:rPr>
                <w:rFonts w:ascii="宋体" w:hAnsi="宋体" w:cs="宋体"/>
                <w:color w:val="auto"/>
                <w:sz w:val="24"/>
                <w:highlight w:val="none"/>
              </w:rPr>
            </w:pPr>
            <w:r>
              <w:rPr>
                <w:rFonts w:hint="eastAsia" w:ascii="宋体" w:hAnsi="宋体" w:cs="宋体"/>
                <w:color w:val="auto"/>
                <w:sz w:val="24"/>
                <w:highlight w:val="none"/>
              </w:rPr>
              <w:t>璟悦社区</w:t>
            </w:r>
          </w:p>
        </w:tc>
        <w:tc>
          <w:tcPr>
            <w:tcW w:w="1191" w:type="dxa"/>
            <w:vAlign w:val="center"/>
          </w:tcPr>
          <w:p w14:paraId="1F71CB98">
            <w:pPr>
              <w:jc w:val="center"/>
              <w:rPr>
                <w:rFonts w:ascii="宋体" w:hAnsi="宋体" w:cs="宋体"/>
                <w:color w:val="auto"/>
                <w:sz w:val="24"/>
                <w:highlight w:val="none"/>
              </w:rPr>
            </w:pPr>
            <w:r>
              <w:rPr>
                <w:rFonts w:hint="eastAsia" w:ascii="宋体" w:hAnsi="宋体" w:cs="宋体"/>
                <w:color w:val="auto"/>
                <w:sz w:val="24"/>
                <w:highlight w:val="none"/>
              </w:rPr>
              <w:t>信悦府</w:t>
            </w:r>
          </w:p>
        </w:tc>
        <w:tc>
          <w:tcPr>
            <w:tcW w:w="1058" w:type="dxa"/>
            <w:vAlign w:val="center"/>
          </w:tcPr>
          <w:p w14:paraId="20DDC988">
            <w:pPr>
              <w:jc w:val="center"/>
              <w:rPr>
                <w:rFonts w:ascii="宋体" w:hAnsi="宋体" w:cs="宋体"/>
                <w:color w:val="auto"/>
                <w:sz w:val="24"/>
                <w:highlight w:val="none"/>
              </w:rPr>
            </w:pPr>
            <w:r>
              <w:rPr>
                <w:rFonts w:hint="eastAsia" w:ascii="宋体" w:hAnsi="宋体" w:cs="宋体"/>
                <w:color w:val="auto"/>
                <w:sz w:val="24"/>
                <w:highlight w:val="none"/>
              </w:rPr>
              <w:t>1072</w:t>
            </w:r>
          </w:p>
        </w:tc>
        <w:tc>
          <w:tcPr>
            <w:tcW w:w="851" w:type="dxa"/>
            <w:vAlign w:val="center"/>
          </w:tcPr>
          <w:p w14:paraId="4A7EA568">
            <w:pPr>
              <w:jc w:val="center"/>
              <w:rPr>
                <w:rFonts w:ascii="宋体" w:hAnsi="宋体" w:cs="宋体"/>
                <w:color w:val="auto"/>
                <w:sz w:val="24"/>
                <w:highlight w:val="none"/>
              </w:rPr>
            </w:pPr>
            <w:r>
              <w:rPr>
                <w:rFonts w:hint="eastAsia" w:ascii="宋体" w:hAnsi="宋体" w:cs="宋体"/>
                <w:color w:val="auto"/>
                <w:sz w:val="24"/>
                <w:highlight w:val="none"/>
              </w:rPr>
              <w:t>156</w:t>
            </w:r>
          </w:p>
        </w:tc>
        <w:tc>
          <w:tcPr>
            <w:tcW w:w="796" w:type="dxa"/>
            <w:vAlign w:val="center"/>
          </w:tcPr>
          <w:p w14:paraId="793C5F93">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38" w:type="dxa"/>
            <w:vAlign w:val="center"/>
          </w:tcPr>
          <w:p w14:paraId="75523A8E">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319" w:type="dxa"/>
            <w:vAlign w:val="center"/>
          </w:tcPr>
          <w:p w14:paraId="2F88F5E5">
            <w:pPr>
              <w:jc w:val="center"/>
              <w:rPr>
                <w:rFonts w:ascii="宋体" w:hAnsi="宋体" w:cs="宋体"/>
                <w:color w:val="auto"/>
                <w:sz w:val="24"/>
                <w:highlight w:val="none"/>
              </w:rPr>
            </w:pPr>
            <w:r>
              <w:rPr>
                <w:rFonts w:hint="eastAsia" w:ascii="宋体" w:hAnsi="宋体" w:cs="宋体"/>
                <w:color w:val="auto"/>
                <w:sz w:val="24"/>
                <w:highlight w:val="none"/>
              </w:rPr>
              <w:t>97800</w:t>
            </w:r>
          </w:p>
        </w:tc>
      </w:tr>
      <w:tr w14:paraId="22E6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325F238A">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668" w:type="dxa"/>
            <w:vAlign w:val="center"/>
          </w:tcPr>
          <w:p w14:paraId="315B1A92">
            <w:pPr>
              <w:jc w:val="center"/>
              <w:rPr>
                <w:rFonts w:ascii="宋体" w:hAnsi="宋体" w:cs="宋体"/>
                <w:color w:val="auto"/>
                <w:sz w:val="24"/>
                <w:highlight w:val="none"/>
              </w:rPr>
            </w:pPr>
            <w:r>
              <w:rPr>
                <w:rFonts w:hint="eastAsia" w:ascii="宋体" w:hAnsi="宋体" w:cs="宋体"/>
                <w:color w:val="auto"/>
                <w:sz w:val="24"/>
                <w:highlight w:val="none"/>
              </w:rPr>
              <w:t>璟悦社区</w:t>
            </w:r>
          </w:p>
        </w:tc>
        <w:tc>
          <w:tcPr>
            <w:tcW w:w="1191" w:type="dxa"/>
            <w:vAlign w:val="center"/>
          </w:tcPr>
          <w:p w14:paraId="7029FDFA">
            <w:pPr>
              <w:jc w:val="center"/>
              <w:rPr>
                <w:rFonts w:ascii="宋体" w:hAnsi="宋体" w:cs="宋体"/>
                <w:color w:val="auto"/>
                <w:sz w:val="24"/>
                <w:highlight w:val="none"/>
              </w:rPr>
            </w:pPr>
            <w:r>
              <w:rPr>
                <w:rFonts w:hint="eastAsia" w:ascii="宋体" w:hAnsi="宋体" w:cs="宋体"/>
                <w:color w:val="auto"/>
                <w:sz w:val="24"/>
                <w:highlight w:val="none"/>
              </w:rPr>
              <w:t>融璟园</w:t>
            </w:r>
          </w:p>
        </w:tc>
        <w:tc>
          <w:tcPr>
            <w:tcW w:w="1058" w:type="dxa"/>
            <w:vAlign w:val="center"/>
          </w:tcPr>
          <w:p w14:paraId="46ED3244">
            <w:pPr>
              <w:jc w:val="center"/>
              <w:rPr>
                <w:rFonts w:ascii="宋体" w:hAnsi="宋体" w:cs="宋体"/>
                <w:color w:val="auto"/>
                <w:sz w:val="24"/>
                <w:highlight w:val="none"/>
              </w:rPr>
            </w:pPr>
            <w:r>
              <w:rPr>
                <w:rFonts w:hint="eastAsia" w:ascii="宋体" w:hAnsi="宋体" w:cs="宋体"/>
                <w:color w:val="auto"/>
                <w:sz w:val="24"/>
                <w:highlight w:val="none"/>
              </w:rPr>
              <w:t>758</w:t>
            </w:r>
          </w:p>
        </w:tc>
        <w:tc>
          <w:tcPr>
            <w:tcW w:w="851" w:type="dxa"/>
            <w:vAlign w:val="center"/>
          </w:tcPr>
          <w:p w14:paraId="716A0888">
            <w:pPr>
              <w:jc w:val="center"/>
              <w:rPr>
                <w:rFonts w:ascii="宋体" w:hAnsi="宋体" w:cs="宋体"/>
                <w:color w:val="auto"/>
                <w:sz w:val="24"/>
                <w:highlight w:val="none"/>
              </w:rPr>
            </w:pPr>
            <w:r>
              <w:rPr>
                <w:rFonts w:hint="eastAsia" w:ascii="宋体" w:hAnsi="宋体" w:cs="宋体"/>
                <w:color w:val="auto"/>
                <w:sz w:val="24"/>
                <w:highlight w:val="none"/>
              </w:rPr>
              <w:t>204</w:t>
            </w:r>
          </w:p>
        </w:tc>
        <w:tc>
          <w:tcPr>
            <w:tcW w:w="796" w:type="dxa"/>
            <w:vAlign w:val="center"/>
          </w:tcPr>
          <w:p w14:paraId="578C9609">
            <w:pPr>
              <w:jc w:val="center"/>
              <w:rPr>
                <w:rFonts w:ascii="宋体" w:hAnsi="宋体" w:cs="宋体"/>
                <w:color w:val="auto"/>
                <w:sz w:val="24"/>
                <w:highlight w:val="none"/>
              </w:rPr>
            </w:pPr>
            <w:r>
              <w:rPr>
                <w:rFonts w:hint="eastAsia" w:ascii="宋体" w:hAnsi="宋体" w:cs="宋体"/>
                <w:color w:val="auto"/>
                <w:sz w:val="24"/>
                <w:highlight w:val="none"/>
              </w:rPr>
              <w:t>4</w:t>
            </w:r>
          </w:p>
        </w:tc>
        <w:tc>
          <w:tcPr>
            <w:tcW w:w="2338" w:type="dxa"/>
            <w:vAlign w:val="center"/>
          </w:tcPr>
          <w:p w14:paraId="066106A8">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319" w:type="dxa"/>
            <w:vAlign w:val="center"/>
          </w:tcPr>
          <w:p w14:paraId="3658BD99">
            <w:pPr>
              <w:jc w:val="center"/>
              <w:rPr>
                <w:rFonts w:ascii="宋体" w:hAnsi="宋体" w:cs="宋体"/>
                <w:color w:val="auto"/>
                <w:sz w:val="24"/>
                <w:highlight w:val="none"/>
              </w:rPr>
            </w:pPr>
            <w:r>
              <w:rPr>
                <w:rFonts w:hint="eastAsia" w:ascii="宋体" w:hAnsi="宋体" w:cs="宋体"/>
                <w:color w:val="auto"/>
                <w:sz w:val="24"/>
                <w:highlight w:val="none"/>
              </w:rPr>
              <w:t>132100</w:t>
            </w:r>
          </w:p>
        </w:tc>
      </w:tr>
      <w:tr w14:paraId="7DC0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22E5F849">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668" w:type="dxa"/>
            <w:vAlign w:val="center"/>
          </w:tcPr>
          <w:p w14:paraId="48E4EB5B">
            <w:pPr>
              <w:jc w:val="center"/>
              <w:rPr>
                <w:rFonts w:ascii="宋体" w:hAnsi="宋体" w:cs="宋体"/>
                <w:color w:val="auto"/>
                <w:sz w:val="24"/>
                <w:highlight w:val="none"/>
              </w:rPr>
            </w:pPr>
            <w:r>
              <w:rPr>
                <w:rFonts w:hint="eastAsia" w:ascii="宋体" w:hAnsi="宋体" w:cs="宋体"/>
                <w:color w:val="auto"/>
                <w:sz w:val="24"/>
                <w:highlight w:val="none"/>
              </w:rPr>
              <w:t>融悦社区</w:t>
            </w:r>
          </w:p>
        </w:tc>
        <w:tc>
          <w:tcPr>
            <w:tcW w:w="1191" w:type="dxa"/>
            <w:vAlign w:val="center"/>
          </w:tcPr>
          <w:p w14:paraId="67BEF0A0">
            <w:pPr>
              <w:jc w:val="center"/>
              <w:rPr>
                <w:rFonts w:ascii="宋体" w:hAnsi="宋体" w:cs="宋体"/>
                <w:color w:val="auto"/>
                <w:sz w:val="24"/>
                <w:highlight w:val="none"/>
              </w:rPr>
            </w:pPr>
            <w:r>
              <w:rPr>
                <w:rFonts w:hint="eastAsia" w:ascii="宋体" w:hAnsi="宋体" w:cs="宋体"/>
                <w:color w:val="auto"/>
                <w:sz w:val="24"/>
                <w:highlight w:val="none"/>
              </w:rPr>
              <w:t>樾宸府</w:t>
            </w:r>
          </w:p>
        </w:tc>
        <w:tc>
          <w:tcPr>
            <w:tcW w:w="1058" w:type="dxa"/>
            <w:vAlign w:val="center"/>
          </w:tcPr>
          <w:p w14:paraId="266D9AE0">
            <w:pPr>
              <w:jc w:val="center"/>
              <w:rPr>
                <w:rFonts w:ascii="宋体" w:hAnsi="宋体" w:cs="宋体"/>
                <w:color w:val="auto"/>
                <w:sz w:val="24"/>
                <w:highlight w:val="none"/>
              </w:rPr>
            </w:pPr>
            <w:r>
              <w:rPr>
                <w:rFonts w:hint="eastAsia" w:ascii="宋体" w:hAnsi="宋体" w:cs="宋体"/>
                <w:color w:val="auto"/>
                <w:sz w:val="24"/>
                <w:highlight w:val="none"/>
              </w:rPr>
              <w:t>1014</w:t>
            </w:r>
          </w:p>
        </w:tc>
        <w:tc>
          <w:tcPr>
            <w:tcW w:w="851" w:type="dxa"/>
            <w:vAlign w:val="center"/>
          </w:tcPr>
          <w:p w14:paraId="2ACA2A87">
            <w:pPr>
              <w:jc w:val="center"/>
              <w:rPr>
                <w:rFonts w:ascii="宋体" w:hAnsi="宋体" w:cs="宋体"/>
                <w:color w:val="auto"/>
                <w:sz w:val="24"/>
                <w:highlight w:val="none"/>
              </w:rPr>
            </w:pPr>
            <w:r>
              <w:rPr>
                <w:rFonts w:hint="eastAsia" w:ascii="宋体" w:hAnsi="宋体" w:cs="宋体"/>
                <w:color w:val="auto"/>
                <w:sz w:val="24"/>
                <w:highlight w:val="none"/>
              </w:rPr>
              <w:t>303</w:t>
            </w:r>
          </w:p>
        </w:tc>
        <w:tc>
          <w:tcPr>
            <w:tcW w:w="796" w:type="dxa"/>
            <w:vAlign w:val="center"/>
          </w:tcPr>
          <w:p w14:paraId="694CAC2E">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38" w:type="dxa"/>
            <w:vAlign w:val="center"/>
          </w:tcPr>
          <w:p w14:paraId="102C22A9">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319" w:type="dxa"/>
            <w:vAlign w:val="center"/>
          </w:tcPr>
          <w:p w14:paraId="2F580261">
            <w:pPr>
              <w:jc w:val="center"/>
              <w:rPr>
                <w:rFonts w:ascii="宋体" w:hAnsi="宋体" w:cs="宋体"/>
                <w:color w:val="auto"/>
                <w:sz w:val="24"/>
                <w:highlight w:val="none"/>
              </w:rPr>
            </w:pPr>
            <w:r>
              <w:rPr>
                <w:rFonts w:hint="eastAsia" w:ascii="宋体" w:hAnsi="宋体" w:cs="宋体"/>
                <w:color w:val="auto"/>
                <w:sz w:val="24"/>
                <w:highlight w:val="none"/>
              </w:rPr>
              <w:t>105150</w:t>
            </w:r>
          </w:p>
        </w:tc>
      </w:tr>
      <w:tr w14:paraId="56D4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0D33F16E">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668" w:type="dxa"/>
            <w:vAlign w:val="center"/>
          </w:tcPr>
          <w:p w14:paraId="5DF67B2A">
            <w:pPr>
              <w:jc w:val="center"/>
              <w:rPr>
                <w:rFonts w:ascii="宋体" w:hAnsi="宋体" w:cs="宋体"/>
                <w:color w:val="auto"/>
                <w:sz w:val="24"/>
                <w:highlight w:val="none"/>
              </w:rPr>
            </w:pPr>
            <w:r>
              <w:rPr>
                <w:rFonts w:hint="eastAsia" w:ascii="宋体" w:hAnsi="宋体" w:cs="宋体"/>
                <w:color w:val="auto"/>
                <w:sz w:val="24"/>
                <w:highlight w:val="none"/>
              </w:rPr>
              <w:t>融悦社区</w:t>
            </w:r>
          </w:p>
        </w:tc>
        <w:tc>
          <w:tcPr>
            <w:tcW w:w="1191" w:type="dxa"/>
            <w:vAlign w:val="center"/>
          </w:tcPr>
          <w:p w14:paraId="5C60DEBB">
            <w:pPr>
              <w:jc w:val="center"/>
              <w:rPr>
                <w:rFonts w:ascii="宋体" w:hAnsi="宋体" w:cs="宋体"/>
                <w:color w:val="auto"/>
                <w:sz w:val="24"/>
                <w:highlight w:val="none"/>
              </w:rPr>
            </w:pPr>
            <w:r>
              <w:rPr>
                <w:rFonts w:hint="eastAsia" w:ascii="宋体" w:hAnsi="宋体" w:cs="宋体"/>
                <w:color w:val="auto"/>
                <w:sz w:val="24"/>
                <w:highlight w:val="none"/>
              </w:rPr>
              <w:t>天悦府</w:t>
            </w:r>
          </w:p>
        </w:tc>
        <w:tc>
          <w:tcPr>
            <w:tcW w:w="1058" w:type="dxa"/>
            <w:vAlign w:val="center"/>
          </w:tcPr>
          <w:p w14:paraId="349F07BC">
            <w:pPr>
              <w:jc w:val="center"/>
              <w:rPr>
                <w:rFonts w:ascii="宋体" w:hAnsi="宋体" w:cs="宋体"/>
                <w:color w:val="auto"/>
                <w:sz w:val="24"/>
                <w:highlight w:val="none"/>
              </w:rPr>
            </w:pPr>
            <w:r>
              <w:rPr>
                <w:rFonts w:hint="eastAsia" w:ascii="宋体" w:hAnsi="宋体" w:cs="宋体"/>
                <w:color w:val="auto"/>
                <w:sz w:val="24"/>
                <w:highlight w:val="none"/>
              </w:rPr>
              <w:t>724</w:t>
            </w:r>
          </w:p>
        </w:tc>
        <w:tc>
          <w:tcPr>
            <w:tcW w:w="851" w:type="dxa"/>
            <w:vAlign w:val="center"/>
          </w:tcPr>
          <w:p w14:paraId="64F99A8D">
            <w:pPr>
              <w:jc w:val="center"/>
              <w:rPr>
                <w:rFonts w:ascii="宋体" w:hAnsi="宋体" w:cs="宋体"/>
                <w:color w:val="auto"/>
                <w:sz w:val="24"/>
                <w:highlight w:val="none"/>
              </w:rPr>
            </w:pPr>
            <w:r>
              <w:rPr>
                <w:rFonts w:hint="eastAsia" w:ascii="宋体" w:hAnsi="宋体" w:cs="宋体"/>
                <w:color w:val="auto"/>
                <w:sz w:val="24"/>
                <w:highlight w:val="none"/>
              </w:rPr>
              <w:t>204</w:t>
            </w:r>
          </w:p>
        </w:tc>
        <w:tc>
          <w:tcPr>
            <w:tcW w:w="796" w:type="dxa"/>
            <w:vAlign w:val="center"/>
          </w:tcPr>
          <w:p w14:paraId="20740AB5">
            <w:pPr>
              <w:jc w:val="center"/>
              <w:rPr>
                <w:rFonts w:ascii="宋体" w:hAnsi="宋体" w:cs="宋体"/>
                <w:color w:val="auto"/>
                <w:sz w:val="24"/>
                <w:highlight w:val="none"/>
              </w:rPr>
            </w:pPr>
            <w:r>
              <w:rPr>
                <w:rFonts w:hint="eastAsia" w:ascii="宋体" w:hAnsi="宋体" w:cs="宋体"/>
                <w:color w:val="auto"/>
                <w:sz w:val="24"/>
                <w:highlight w:val="none"/>
              </w:rPr>
              <w:t>3</w:t>
            </w:r>
          </w:p>
        </w:tc>
        <w:tc>
          <w:tcPr>
            <w:tcW w:w="2338" w:type="dxa"/>
            <w:vAlign w:val="center"/>
          </w:tcPr>
          <w:p w14:paraId="61F03D68">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319" w:type="dxa"/>
            <w:vAlign w:val="center"/>
          </w:tcPr>
          <w:p w14:paraId="106BDF33">
            <w:pPr>
              <w:jc w:val="center"/>
              <w:rPr>
                <w:rFonts w:ascii="宋体" w:hAnsi="宋体" w:cs="宋体"/>
                <w:color w:val="auto"/>
                <w:sz w:val="24"/>
                <w:highlight w:val="none"/>
              </w:rPr>
            </w:pPr>
            <w:r>
              <w:rPr>
                <w:rFonts w:hint="eastAsia" w:ascii="宋体" w:hAnsi="宋体" w:cs="宋体"/>
                <w:color w:val="auto"/>
                <w:sz w:val="24"/>
                <w:highlight w:val="none"/>
              </w:rPr>
              <w:t>100200</w:t>
            </w:r>
          </w:p>
        </w:tc>
      </w:tr>
      <w:tr w14:paraId="4740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 w:type="dxa"/>
            <w:vAlign w:val="center"/>
          </w:tcPr>
          <w:p w14:paraId="69D7CDE1">
            <w:pPr>
              <w:jc w:val="center"/>
              <w:rPr>
                <w:rFonts w:ascii="宋体" w:hAnsi="宋体" w:cs="宋体"/>
                <w:color w:val="auto"/>
                <w:sz w:val="24"/>
                <w:highlight w:val="none"/>
              </w:rPr>
            </w:pPr>
            <w:r>
              <w:rPr>
                <w:rFonts w:hint="eastAsia" w:ascii="宋体" w:hAnsi="宋体" w:cs="宋体"/>
                <w:color w:val="auto"/>
                <w:sz w:val="24"/>
                <w:highlight w:val="none"/>
              </w:rPr>
              <w:t>13</w:t>
            </w:r>
          </w:p>
        </w:tc>
        <w:tc>
          <w:tcPr>
            <w:tcW w:w="1668" w:type="dxa"/>
            <w:vAlign w:val="center"/>
          </w:tcPr>
          <w:p w14:paraId="75E30A9E">
            <w:pPr>
              <w:jc w:val="center"/>
              <w:rPr>
                <w:rFonts w:ascii="宋体" w:hAnsi="宋体" w:cs="宋体"/>
                <w:color w:val="auto"/>
                <w:sz w:val="24"/>
                <w:highlight w:val="none"/>
              </w:rPr>
            </w:pPr>
            <w:r>
              <w:rPr>
                <w:rFonts w:hint="eastAsia" w:ascii="宋体" w:hAnsi="宋体" w:cs="宋体"/>
                <w:color w:val="auto"/>
                <w:sz w:val="24"/>
                <w:highlight w:val="none"/>
              </w:rPr>
              <w:t>阳光假日社区</w:t>
            </w:r>
          </w:p>
        </w:tc>
        <w:tc>
          <w:tcPr>
            <w:tcW w:w="1191" w:type="dxa"/>
            <w:vAlign w:val="center"/>
          </w:tcPr>
          <w:p w14:paraId="538478DD">
            <w:pPr>
              <w:jc w:val="center"/>
              <w:rPr>
                <w:rFonts w:ascii="宋体" w:hAnsi="宋体" w:cs="宋体"/>
                <w:color w:val="auto"/>
                <w:sz w:val="24"/>
                <w:highlight w:val="none"/>
              </w:rPr>
            </w:pPr>
            <w:r>
              <w:rPr>
                <w:rFonts w:hint="eastAsia" w:ascii="宋体" w:hAnsi="宋体" w:cs="宋体"/>
                <w:color w:val="auto"/>
                <w:sz w:val="24"/>
                <w:highlight w:val="none"/>
              </w:rPr>
              <w:t>首创禧瑞府</w:t>
            </w:r>
          </w:p>
        </w:tc>
        <w:tc>
          <w:tcPr>
            <w:tcW w:w="1058" w:type="dxa"/>
            <w:vAlign w:val="center"/>
          </w:tcPr>
          <w:p w14:paraId="187B4436">
            <w:pPr>
              <w:jc w:val="center"/>
              <w:rPr>
                <w:rFonts w:ascii="宋体" w:hAnsi="宋体" w:cs="宋体"/>
                <w:color w:val="auto"/>
                <w:sz w:val="24"/>
                <w:highlight w:val="none"/>
              </w:rPr>
            </w:pPr>
            <w:r>
              <w:rPr>
                <w:rFonts w:hint="eastAsia" w:ascii="宋体" w:hAnsi="宋体" w:cs="宋体"/>
                <w:color w:val="auto"/>
                <w:sz w:val="24"/>
                <w:highlight w:val="none"/>
              </w:rPr>
              <w:t>530</w:t>
            </w:r>
          </w:p>
        </w:tc>
        <w:tc>
          <w:tcPr>
            <w:tcW w:w="851" w:type="dxa"/>
            <w:vAlign w:val="center"/>
          </w:tcPr>
          <w:p w14:paraId="2E9E1E59">
            <w:pPr>
              <w:jc w:val="center"/>
              <w:rPr>
                <w:rFonts w:ascii="宋体" w:hAnsi="宋体" w:cs="宋体"/>
                <w:color w:val="auto"/>
                <w:sz w:val="24"/>
                <w:highlight w:val="none"/>
              </w:rPr>
            </w:pPr>
            <w:r>
              <w:rPr>
                <w:rFonts w:hint="eastAsia" w:ascii="宋体" w:hAnsi="宋体" w:cs="宋体"/>
                <w:color w:val="auto"/>
                <w:sz w:val="24"/>
                <w:highlight w:val="none"/>
              </w:rPr>
              <w:t>260</w:t>
            </w:r>
          </w:p>
        </w:tc>
        <w:tc>
          <w:tcPr>
            <w:tcW w:w="796" w:type="dxa"/>
            <w:vAlign w:val="center"/>
          </w:tcPr>
          <w:p w14:paraId="10700C7E">
            <w:pPr>
              <w:jc w:val="center"/>
              <w:rPr>
                <w:rFonts w:ascii="宋体" w:hAnsi="宋体" w:cs="宋体"/>
                <w:color w:val="auto"/>
                <w:sz w:val="24"/>
                <w:highlight w:val="none"/>
              </w:rPr>
            </w:pPr>
            <w:r>
              <w:rPr>
                <w:rFonts w:hint="eastAsia" w:ascii="宋体" w:hAnsi="宋体" w:cs="宋体"/>
                <w:color w:val="auto"/>
                <w:sz w:val="24"/>
                <w:highlight w:val="none"/>
              </w:rPr>
              <w:t>5</w:t>
            </w:r>
          </w:p>
        </w:tc>
        <w:tc>
          <w:tcPr>
            <w:tcW w:w="2338" w:type="dxa"/>
            <w:vAlign w:val="center"/>
          </w:tcPr>
          <w:p w14:paraId="3616E48A">
            <w:pPr>
              <w:jc w:val="center"/>
              <w:rPr>
                <w:rFonts w:ascii="宋体" w:hAnsi="宋体" w:cs="宋体"/>
                <w:color w:val="auto"/>
                <w:sz w:val="24"/>
                <w:highlight w:val="none"/>
              </w:rPr>
            </w:pPr>
            <w:r>
              <w:rPr>
                <w:rFonts w:hint="eastAsia" w:ascii="宋体" w:hAnsi="宋体" w:cs="宋体"/>
                <w:color w:val="auto"/>
                <w:sz w:val="24"/>
                <w:highlight w:val="none"/>
              </w:rPr>
              <w:t>3万/点+50元/户/年</w:t>
            </w:r>
          </w:p>
        </w:tc>
        <w:tc>
          <w:tcPr>
            <w:tcW w:w="1319" w:type="dxa"/>
            <w:vAlign w:val="center"/>
          </w:tcPr>
          <w:p w14:paraId="43F5E608">
            <w:pPr>
              <w:jc w:val="center"/>
              <w:rPr>
                <w:rFonts w:ascii="宋体" w:hAnsi="宋体" w:cs="宋体"/>
                <w:color w:val="auto"/>
                <w:sz w:val="24"/>
                <w:highlight w:val="none"/>
              </w:rPr>
            </w:pPr>
            <w:r>
              <w:rPr>
                <w:rFonts w:hint="eastAsia" w:ascii="宋体" w:hAnsi="宋体" w:cs="宋体"/>
                <w:color w:val="auto"/>
                <w:sz w:val="24"/>
                <w:highlight w:val="none"/>
              </w:rPr>
              <w:t>163000</w:t>
            </w:r>
          </w:p>
        </w:tc>
      </w:tr>
      <w:tr w14:paraId="640A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614" w:type="dxa"/>
            <w:gridSpan w:val="3"/>
            <w:vAlign w:val="center"/>
          </w:tcPr>
          <w:p w14:paraId="459A6436">
            <w:pPr>
              <w:jc w:val="center"/>
              <w:rPr>
                <w:rFonts w:ascii="宋体" w:hAnsi="宋体" w:cs="宋体"/>
                <w:color w:val="auto"/>
                <w:sz w:val="24"/>
                <w:highlight w:val="none"/>
              </w:rPr>
            </w:pPr>
            <w:r>
              <w:rPr>
                <w:rFonts w:hint="eastAsia" w:ascii="宋体" w:hAnsi="宋体" w:cs="宋体"/>
                <w:b/>
                <w:bCs/>
                <w:color w:val="auto"/>
                <w:sz w:val="24"/>
                <w:highlight w:val="none"/>
              </w:rPr>
              <w:t>合计</w:t>
            </w:r>
          </w:p>
        </w:tc>
        <w:tc>
          <w:tcPr>
            <w:tcW w:w="1058" w:type="dxa"/>
            <w:vAlign w:val="center"/>
          </w:tcPr>
          <w:p w14:paraId="45B28045">
            <w:pPr>
              <w:jc w:val="center"/>
              <w:rPr>
                <w:rFonts w:ascii="宋体" w:hAnsi="宋体" w:cs="宋体"/>
                <w:b/>
                <w:bCs/>
                <w:color w:val="auto"/>
                <w:sz w:val="24"/>
                <w:highlight w:val="none"/>
              </w:rPr>
            </w:pPr>
            <w:r>
              <w:rPr>
                <w:rFonts w:hint="eastAsia" w:ascii="宋体" w:hAnsi="宋体" w:cs="宋体"/>
                <w:b/>
                <w:bCs/>
                <w:color w:val="auto"/>
                <w:sz w:val="24"/>
                <w:highlight w:val="none"/>
              </w:rPr>
              <w:t>12427</w:t>
            </w:r>
          </w:p>
        </w:tc>
        <w:tc>
          <w:tcPr>
            <w:tcW w:w="851" w:type="dxa"/>
            <w:vAlign w:val="center"/>
          </w:tcPr>
          <w:p w14:paraId="37A463B3">
            <w:pPr>
              <w:jc w:val="center"/>
              <w:rPr>
                <w:rFonts w:ascii="宋体" w:hAnsi="宋体" w:cs="宋体"/>
                <w:b/>
                <w:bCs/>
                <w:color w:val="auto"/>
                <w:sz w:val="24"/>
                <w:highlight w:val="none"/>
              </w:rPr>
            </w:pPr>
            <w:r>
              <w:rPr>
                <w:rFonts w:hint="eastAsia" w:ascii="宋体" w:hAnsi="宋体" w:cs="宋体"/>
                <w:b/>
                <w:bCs/>
                <w:color w:val="auto"/>
                <w:sz w:val="24"/>
                <w:highlight w:val="none"/>
              </w:rPr>
              <w:t>4501</w:t>
            </w:r>
          </w:p>
        </w:tc>
        <w:tc>
          <w:tcPr>
            <w:tcW w:w="796" w:type="dxa"/>
            <w:vAlign w:val="center"/>
          </w:tcPr>
          <w:p w14:paraId="03D69850">
            <w:pPr>
              <w:jc w:val="center"/>
              <w:rPr>
                <w:rFonts w:ascii="宋体" w:hAnsi="宋体" w:cs="宋体"/>
                <w:b/>
                <w:bCs/>
                <w:color w:val="auto"/>
                <w:sz w:val="24"/>
                <w:highlight w:val="none"/>
              </w:rPr>
            </w:pPr>
            <w:r>
              <w:rPr>
                <w:rFonts w:hint="eastAsia" w:ascii="宋体" w:hAnsi="宋体" w:cs="宋体"/>
                <w:b/>
                <w:bCs/>
                <w:color w:val="auto"/>
                <w:sz w:val="24"/>
                <w:highlight w:val="none"/>
              </w:rPr>
              <w:t>40</w:t>
            </w:r>
          </w:p>
        </w:tc>
        <w:tc>
          <w:tcPr>
            <w:tcW w:w="2338" w:type="dxa"/>
            <w:vAlign w:val="center"/>
          </w:tcPr>
          <w:p w14:paraId="37F4061E">
            <w:pPr>
              <w:jc w:val="center"/>
              <w:rPr>
                <w:rFonts w:ascii="宋体" w:hAnsi="宋体" w:cs="宋体"/>
                <w:b/>
                <w:bCs/>
                <w:color w:val="auto"/>
                <w:sz w:val="24"/>
                <w:highlight w:val="none"/>
              </w:rPr>
            </w:pPr>
            <w:r>
              <w:rPr>
                <w:rFonts w:hint="eastAsia" w:ascii="宋体" w:hAnsi="宋体" w:cs="宋体"/>
                <w:b/>
                <w:bCs/>
                <w:color w:val="auto"/>
                <w:sz w:val="24"/>
                <w:highlight w:val="none"/>
              </w:rPr>
              <w:t>/</w:t>
            </w:r>
          </w:p>
        </w:tc>
        <w:tc>
          <w:tcPr>
            <w:tcW w:w="1319" w:type="dxa"/>
            <w:vAlign w:val="center"/>
          </w:tcPr>
          <w:p w14:paraId="1F3B8BF4">
            <w:pPr>
              <w:jc w:val="center"/>
              <w:rPr>
                <w:rFonts w:ascii="宋体" w:hAnsi="宋体" w:cs="宋体"/>
                <w:b/>
                <w:bCs/>
                <w:color w:val="auto"/>
                <w:sz w:val="24"/>
                <w:highlight w:val="none"/>
              </w:rPr>
            </w:pPr>
            <w:r>
              <w:rPr>
                <w:rFonts w:hint="eastAsia" w:ascii="宋体" w:hAnsi="宋体" w:cs="宋体"/>
                <w:b/>
                <w:bCs/>
                <w:color w:val="auto"/>
                <w:sz w:val="24"/>
                <w:highlight w:val="none"/>
              </w:rPr>
              <w:t>1771010</w:t>
            </w:r>
          </w:p>
        </w:tc>
      </w:tr>
    </w:tbl>
    <w:p w14:paraId="647E487F">
      <w:pPr>
        <w:spacing w:line="360" w:lineRule="auto"/>
        <w:ind w:firstLine="482" w:firstLineChars="200"/>
        <w:rPr>
          <w:rFonts w:ascii="宋体" w:hAnsi="宋体" w:cs="宋体"/>
          <w:b/>
          <w:bCs/>
          <w:color w:val="auto"/>
          <w:sz w:val="24"/>
          <w:highlight w:val="none"/>
        </w:rPr>
      </w:pPr>
    </w:p>
    <w:p w14:paraId="7725392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（二）分类模式：全智能模式</w:t>
      </w:r>
    </w:p>
    <w:p w14:paraId="0CC48AE9">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采取定时定点投放形式实施管理（上午6:30-09:00，下午18:00-21:30，投放时间安排街道可根据实际情况要求中标单位做出相应调整，节假日及法定假日应视情况延长时间增加运输频次。各点位设置垃圾分类工作人员，中标单位按街道要求落实）。</w:t>
      </w:r>
    </w:p>
    <w:p w14:paraId="4CA69756">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小区不超过300户左右，距离不超过100米建设一个分类投放驿站（驿站建设或提升改造按街道标准执行）。</w:t>
      </w:r>
    </w:p>
    <w:p w14:paraId="7BCA2A07">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有条件的村社配置智能可回收站若干，细分可回收物。</w:t>
      </w:r>
    </w:p>
    <w:p w14:paraId="3278C62E">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有条件的村社配置智能积分兑换机若干台，并完成后续对居民注册使用的培训。</w:t>
      </w:r>
    </w:p>
    <w:p w14:paraId="11D7F513">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每个点位配置数字化监管及智能交互设备，具有24小时智能监管功能（能够智能识别垃圾落地、垃圾混投等违规投放，违规行为智能抓拍推送，并提供数据分析服务），具有可自定义的语音提醒及广播，以及垃圾分类现场问答功能。</w:t>
      </w:r>
    </w:p>
    <w:p w14:paraId="734684E6">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确保每个点位均实现湖州市垃圾分类智慧监管平台数据接入融合，每个全智能投放驿站的配套设备需满足市级监管平台相关要求（参考）。</w:t>
      </w:r>
    </w:p>
    <w:p w14:paraId="4A11C7B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垃圾分类智能投放驿站设施标准：可概括为“三通一排二具备”：1.“三通”：通水，可盥洗用设施。通电，语音提示、照明、LED显示屏、智能箱体等设备用电。通网络；可连通监控平台、摄像头等通讯功能设施的网络。2.“一排”：设置污水纳管设施。3.“二</w:t>
      </w:r>
      <w:r>
        <w:rPr>
          <w:rFonts w:hint="eastAsia" w:ascii="宋体" w:hAnsi="宋体" w:cs="宋体"/>
          <w:color w:val="auto"/>
          <w:sz w:val="24"/>
          <w:highlight w:val="none"/>
        </w:rPr>
        <w:t>具备”:（1）具备称重功能，驿站智能设备须具有易腐垃圾、其他垃圾、可回收物称重设施。（2）具备可接入市大数据垃圾分类平台、垃圾分类积分等平台数据的端口，可数据显示，数据输出等功能。</w:t>
      </w:r>
    </w:p>
    <w:p w14:paraId="3D617E63">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lang w:bidi="ar"/>
        </w:rPr>
        <w:t xml:space="preserve">视频设备压缩编解码和音频编解码应符合 GB/T28181-2011 附录 E 的相关要求，视频编码应支持 H.264、H.265、SVAC 或 MPEG-4 视频编码标准,音 频 编 解 码 标 准应支持 G.711 或 G.723.1 或 G.729 音频编码标准。 </w:t>
      </w:r>
    </w:p>
    <w:p w14:paraId="57CB743D">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本项目采取生活垃圾分类—收集—清运处置模式，精准分类后的易腐垃圾清运工作由中标单位负责，必须做到日产日清，要求每天投放时间后完成驿站保洁，并将易腐垃圾清运至各小区接驳点。可回收物采取定点定时或预约的方式回收，并做好台账登记；有害垃圾由中标单位设置有害垃圾暂存点，在市环卫清运前由中标单位妥善保管，并建立详细工作台账。小区内，易腐垃圾、可回收物及有害垃圾容器及相关设施由中标单位负责日常管理和维护。</w:t>
      </w:r>
    </w:p>
    <w:p w14:paraId="62D70CE8">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小区生活垃圾分类参与率、准确率、日投放率达到市考核要求。</w:t>
      </w:r>
    </w:p>
    <w:p w14:paraId="1B730B89">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每个小区设大件垃圾中转站，围挡高度不低于2米，内设大件垃圾、园林垃圾、装修垃圾堆放点，并做好区域划分。</w:t>
      </w:r>
    </w:p>
    <w:p w14:paraId="7D19BA83">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每个小区每个楼道配置一块宣传牌（包含宣传及成果展示）并由中标单位每月更新，定期开展垃圾分类宣传活动，形式不定。</w:t>
      </w:r>
    </w:p>
    <w:p w14:paraId="556C96E6">
      <w:pPr>
        <w:pStyle w:val="34"/>
        <w:numPr>
          <w:ilvl w:val="0"/>
          <w:numId w:val="17"/>
        </w:numPr>
        <w:spacing w:before="120" w:line="360" w:lineRule="auto"/>
        <w:ind w:firstLine="480"/>
        <w:rPr>
          <w:rFonts w:cs="宋体"/>
          <w:b/>
          <w:bCs/>
          <w:color w:val="auto"/>
          <w:szCs w:val="24"/>
          <w:highlight w:val="none"/>
        </w:rPr>
      </w:pPr>
      <w:r>
        <w:rPr>
          <w:rFonts w:hint="eastAsia" w:cs="宋体"/>
          <w:color w:val="auto"/>
          <w:szCs w:val="24"/>
          <w:highlight w:val="none"/>
        </w:rPr>
        <w:t xml:space="preserve">分类驿站设施设备及分类相关设施设备，日常清洁、管理和维护均由中标单位负责。  </w:t>
      </w:r>
    </w:p>
    <w:p w14:paraId="10530F3D">
      <w:pPr>
        <w:pStyle w:val="34"/>
        <w:numPr>
          <w:ilvl w:val="0"/>
          <w:numId w:val="17"/>
        </w:numPr>
        <w:spacing w:before="120" w:line="360" w:lineRule="auto"/>
        <w:ind w:firstLine="480"/>
        <w:rPr>
          <w:rFonts w:cs="宋体"/>
          <w:color w:val="auto"/>
          <w:szCs w:val="24"/>
          <w:highlight w:val="none"/>
        </w:rPr>
      </w:pPr>
      <w:r>
        <w:rPr>
          <w:rFonts w:hint="eastAsia" w:cs="宋体"/>
          <w:color w:val="auto"/>
          <w:szCs w:val="24"/>
          <w:highlight w:val="none"/>
        </w:rPr>
        <w:t>为响应市分类办加快物业参与分类服务布局，根据街道的具体情况，经向街道申请并经街道同意后，在分类稳定的小区逐步将分类工作移交愿意从事垃圾分类的物业，而原运营商则将根据服务内容支付该部分的费用给物业。在分类服务商将分类工作移交物业后，运营商除了将劳务运营部分交付给物业外，仍需承担以下职责：</w:t>
      </w:r>
    </w:p>
    <w:p w14:paraId="1488D9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1）在项目前期落地工作，小区的前期规划、基础建设、硬件改造升级、氛围布置等筹备工作；</w:t>
      </w:r>
    </w:p>
    <w:p w14:paraId="456A37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2）对于已交付的小区运营服务商仍需完成大型宣教活动、对物业进行新条例、模式及工作不足处培训；</w:t>
      </w:r>
    </w:p>
    <w:p w14:paraId="1C58D0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3）通过信息平台由运营服务商完成所有小区的台账和宣传资料，并通过彩虹宣教系统，为物业发出指令工单，物业对居民进行精准宣教；</w:t>
      </w:r>
    </w:p>
    <w:p w14:paraId="58738D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4）定期对物业的分类工作进行指导，协助物业完成市、区、街道的考核；</w:t>
      </w:r>
    </w:p>
    <w:p w14:paraId="231FC91F">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5）需制定应急方案，建立应急队伍，对物业突然撤场，填补短时间内的社区分类运营工作，实现无缝衔接，直至新的物业交接为止。</w:t>
      </w:r>
    </w:p>
    <w:p w14:paraId="2B782091">
      <w:pPr>
        <w:spacing w:line="360" w:lineRule="auto"/>
        <w:rPr>
          <w:rFonts w:ascii="宋体" w:hAnsi="宋体" w:cs="宋体"/>
          <w:color w:val="auto"/>
          <w:sz w:val="24"/>
          <w:highlight w:val="none"/>
        </w:rPr>
      </w:pPr>
      <w:r>
        <w:rPr>
          <w:rFonts w:hint="eastAsia" w:ascii="宋体" w:hAnsi="宋体" w:cs="宋体"/>
          <w:b/>
          <w:bCs/>
          <w:color w:val="auto"/>
          <w:sz w:val="24"/>
          <w:highlight w:val="none"/>
        </w:rPr>
        <w:t>（三）、设备需求清单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7"/>
        <w:gridCol w:w="659"/>
        <w:gridCol w:w="697"/>
        <w:gridCol w:w="4525"/>
      </w:tblGrid>
      <w:tr w14:paraId="4808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Header/>
          <w:jc w:val="center"/>
        </w:trPr>
        <w:tc>
          <w:tcPr>
            <w:tcW w:w="2497" w:type="dxa"/>
            <w:shd w:val="clear" w:color="auto" w:fill="BFBFBF"/>
            <w:vAlign w:val="center"/>
          </w:tcPr>
          <w:p w14:paraId="1227E804">
            <w:pPr>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59" w:type="dxa"/>
            <w:shd w:val="clear" w:color="auto" w:fill="BFBFBF"/>
            <w:vAlign w:val="center"/>
          </w:tcPr>
          <w:p w14:paraId="5BB62237">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697" w:type="dxa"/>
            <w:shd w:val="clear" w:color="auto" w:fill="BFBFBF"/>
            <w:vAlign w:val="center"/>
          </w:tcPr>
          <w:p w14:paraId="2AA14C66">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4525" w:type="dxa"/>
            <w:shd w:val="clear" w:color="auto" w:fill="BFBFBF"/>
            <w:vAlign w:val="center"/>
          </w:tcPr>
          <w:p w14:paraId="3686AB8F">
            <w:pPr>
              <w:jc w:val="center"/>
              <w:rPr>
                <w:rFonts w:ascii="宋体" w:hAnsi="宋体" w:cs="宋体"/>
                <w:b/>
                <w:bCs/>
                <w:color w:val="auto"/>
                <w:sz w:val="24"/>
                <w:highlight w:val="none"/>
              </w:rPr>
            </w:pPr>
            <w:r>
              <w:rPr>
                <w:rFonts w:hint="eastAsia" w:ascii="宋体" w:hAnsi="宋体" w:cs="宋体"/>
                <w:b/>
                <w:bCs/>
                <w:color w:val="auto"/>
                <w:sz w:val="24"/>
                <w:highlight w:val="none"/>
              </w:rPr>
              <w:t>配置原则</w:t>
            </w:r>
          </w:p>
        </w:tc>
      </w:tr>
      <w:tr w14:paraId="4276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2497" w:type="dxa"/>
            <w:vAlign w:val="center"/>
          </w:tcPr>
          <w:p w14:paraId="1E9FE106">
            <w:pPr>
              <w:jc w:val="center"/>
              <w:rPr>
                <w:rFonts w:ascii="宋体" w:hAnsi="宋体" w:cs="宋体"/>
                <w:b/>
                <w:bCs/>
                <w:color w:val="auto"/>
                <w:sz w:val="24"/>
                <w:highlight w:val="none"/>
              </w:rPr>
            </w:pPr>
            <w:r>
              <w:rPr>
                <w:rFonts w:hint="eastAsia" w:ascii="宋体" w:hAnsi="宋体" w:cs="宋体"/>
                <w:b/>
                <w:bCs/>
                <w:color w:val="auto"/>
                <w:sz w:val="24"/>
                <w:highlight w:val="none"/>
              </w:rPr>
              <w:t>新增智能分类</w:t>
            </w:r>
          </w:p>
          <w:p w14:paraId="40319452">
            <w:pPr>
              <w:jc w:val="center"/>
              <w:rPr>
                <w:rFonts w:ascii="宋体" w:hAnsi="宋体" w:cs="宋体"/>
                <w:b/>
                <w:bCs/>
                <w:color w:val="auto"/>
                <w:sz w:val="24"/>
                <w:highlight w:val="none"/>
              </w:rPr>
            </w:pPr>
            <w:r>
              <w:rPr>
                <w:rFonts w:hint="eastAsia" w:ascii="宋体" w:hAnsi="宋体" w:cs="宋体"/>
                <w:b/>
                <w:bCs/>
                <w:color w:val="auto"/>
                <w:sz w:val="24"/>
                <w:highlight w:val="none"/>
              </w:rPr>
              <w:t>投放驿站</w:t>
            </w:r>
          </w:p>
        </w:tc>
        <w:tc>
          <w:tcPr>
            <w:tcW w:w="659" w:type="dxa"/>
            <w:vAlign w:val="center"/>
          </w:tcPr>
          <w:p w14:paraId="38964FDD">
            <w:pPr>
              <w:jc w:val="center"/>
              <w:rPr>
                <w:rFonts w:ascii="宋体" w:hAnsi="宋体" w:cs="宋体"/>
                <w:b/>
                <w:bCs/>
                <w:color w:val="auto"/>
                <w:sz w:val="24"/>
                <w:highlight w:val="none"/>
              </w:rPr>
            </w:pPr>
            <w:r>
              <w:rPr>
                <w:rFonts w:hint="eastAsia" w:ascii="宋体" w:hAnsi="宋体" w:cs="宋体"/>
                <w:b/>
                <w:bCs/>
                <w:color w:val="auto"/>
                <w:sz w:val="24"/>
                <w:highlight w:val="none"/>
              </w:rPr>
              <w:t>座</w:t>
            </w:r>
          </w:p>
        </w:tc>
        <w:tc>
          <w:tcPr>
            <w:tcW w:w="697" w:type="dxa"/>
            <w:vAlign w:val="center"/>
          </w:tcPr>
          <w:p w14:paraId="46B3A04C">
            <w:pPr>
              <w:jc w:val="center"/>
              <w:rPr>
                <w:rFonts w:ascii="宋体" w:hAnsi="宋体" w:cs="宋体"/>
                <w:b/>
                <w:bCs/>
                <w:color w:val="auto"/>
                <w:sz w:val="24"/>
                <w:highlight w:val="none"/>
              </w:rPr>
            </w:pPr>
            <w:r>
              <w:rPr>
                <w:rFonts w:hint="eastAsia" w:ascii="宋体" w:hAnsi="宋体" w:cs="宋体"/>
                <w:b/>
                <w:bCs/>
                <w:color w:val="auto"/>
                <w:sz w:val="24"/>
                <w:highlight w:val="none"/>
              </w:rPr>
              <w:t>&gt;8</w:t>
            </w:r>
          </w:p>
        </w:tc>
        <w:tc>
          <w:tcPr>
            <w:tcW w:w="4525" w:type="dxa"/>
            <w:vAlign w:val="center"/>
          </w:tcPr>
          <w:p w14:paraId="017C1D99">
            <w:pPr>
              <w:rPr>
                <w:rFonts w:ascii="宋体" w:hAnsi="宋体" w:cs="宋体"/>
                <w:b/>
                <w:bCs/>
                <w:color w:val="auto"/>
                <w:sz w:val="24"/>
                <w:highlight w:val="none"/>
              </w:rPr>
            </w:pPr>
            <w:r>
              <w:rPr>
                <w:rFonts w:hint="eastAsia" w:ascii="宋体" w:hAnsi="宋体" w:cs="宋体"/>
                <w:b/>
                <w:bCs/>
                <w:color w:val="auto"/>
                <w:sz w:val="24"/>
                <w:highlight w:val="none"/>
              </w:rPr>
              <w:t>水、电、网络费用由中标单位承担</w:t>
            </w:r>
          </w:p>
        </w:tc>
      </w:tr>
      <w:tr w14:paraId="4E64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jc w:val="center"/>
        </w:trPr>
        <w:tc>
          <w:tcPr>
            <w:tcW w:w="2497" w:type="dxa"/>
            <w:vAlign w:val="center"/>
          </w:tcPr>
          <w:p w14:paraId="7333FB53">
            <w:pPr>
              <w:jc w:val="center"/>
              <w:rPr>
                <w:rFonts w:ascii="宋体" w:hAnsi="宋体" w:cs="宋体"/>
                <w:b/>
                <w:bCs/>
                <w:color w:val="auto"/>
                <w:sz w:val="24"/>
                <w:highlight w:val="none"/>
              </w:rPr>
            </w:pPr>
            <w:r>
              <w:rPr>
                <w:rFonts w:hint="eastAsia" w:ascii="宋体" w:hAnsi="宋体" w:cs="宋体"/>
                <w:b/>
                <w:bCs/>
                <w:color w:val="auto"/>
                <w:sz w:val="24"/>
                <w:highlight w:val="none"/>
              </w:rPr>
              <w:t>原驿站硬件提升</w:t>
            </w:r>
          </w:p>
        </w:tc>
        <w:tc>
          <w:tcPr>
            <w:tcW w:w="659" w:type="dxa"/>
            <w:vAlign w:val="center"/>
          </w:tcPr>
          <w:p w14:paraId="1D5E6421">
            <w:pPr>
              <w:jc w:val="center"/>
              <w:rPr>
                <w:rFonts w:ascii="宋体" w:hAnsi="宋体" w:cs="宋体"/>
                <w:b/>
                <w:bCs/>
                <w:color w:val="auto"/>
                <w:sz w:val="24"/>
                <w:highlight w:val="none"/>
              </w:rPr>
            </w:pPr>
            <w:r>
              <w:rPr>
                <w:rFonts w:hint="eastAsia" w:ascii="宋体" w:hAnsi="宋体" w:cs="宋体"/>
                <w:b/>
                <w:bCs/>
                <w:color w:val="auto"/>
                <w:sz w:val="24"/>
                <w:highlight w:val="none"/>
              </w:rPr>
              <w:t>座</w:t>
            </w:r>
          </w:p>
        </w:tc>
        <w:tc>
          <w:tcPr>
            <w:tcW w:w="697" w:type="dxa"/>
            <w:vAlign w:val="center"/>
          </w:tcPr>
          <w:p w14:paraId="0514D096">
            <w:pPr>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&gt;</w:t>
            </w:r>
            <w:r>
              <w:rPr>
                <w:rFonts w:hint="eastAsia" w:ascii="宋体" w:hAnsi="宋体" w:cs="宋体"/>
                <w:b/>
                <w:bCs/>
                <w:color w:val="auto"/>
                <w:sz w:val="24"/>
                <w:highlight w:val="none"/>
                <w:lang w:val="en-US" w:eastAsia="zh-CN"/>
              </w:rPr>
              <w:t>40</w:t>
            </w:r>
          </w:p>
        </w:tc>
        <w:tc>
          <w:tcPr>
            <w:tcW w:w="4525" w:type="dxa"/>
            <w:vAlign w:val="center"/>
          </w:tcPr>
          <w:p w14:paraId="0C2E1EAF">
            <w:pPr>
              <w:rPr>
                <w:rFonts w:ascii="宋体" w:hAnsi="宋体" w:cs="宋体"/>
                <w:b/>
                <w:bCs/>
                <w:color w:val="auto"/>
                <w:sz w:val="24"/>
                <w:highlight w:val="none"/>
              </w:rPr>
            </w:pPr>
            <w:r>
              <w:rPr>
                <w:rFonts w:hint="eastAsia" w:ascii="宋体" w:hAnsi="宋体" w:cs="宋体"/>
                <w:b/>
                <w:bCs/>
                <w:color w:val="auto"/>
                <w:sz w:val="24"/>
                <w:highlight w:val="none"/>
              </w:rPr>
              <w:t>包含</w:t>
            </w: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个非智能点位，</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个智能点位</w:t>
            </w:r>
          </w:p>
        </w:tc>
      </w:tr>
      <w:tr w14:paraId="7DE4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74645D0F">
            <w:pPr>
              <w:jc w:val="center"/>
              <w:rPr>
                <w:rFonts w:ascii="宋体" w:hAnsi="宋体" w:cs="宋体"/>
                <w:color w:val="auto"/>
                <w:sz w:val="24"/>
                <w:highlight w:val="none"/>
              </w:rPr>
            </w:pPr>
            <w:r>
              <w:rPr>
                <w:rFonts w:hint="eastAsia" w:ascii="宋体" w:hAnsi="宋体" w:cs="宋体"/>
                <w:color w:val="auto"/>
                <w:sz w:val="24"/>
                <w:highlight w:val="none"/>
              </w:rPr>
              <w:t>智能可回收物回收站</w:t>
            </w:r>
          </w:p>
        </w:tc>
        <w:tc>
          <w:tcPr>
            <w:tcW w:w="659" w:type="dxa"/>
            <w:vAlign w:val="center"/>
          </w:tcPr>
          <w:p w14:paraId="7929B590">
            <w:pPr>
              <w:jc w:val="center"/>
              <w:rPr>
                <w:rFonts w:ascii="宋体" w:hAnsi="宋体" w:cs="宋体"/>
                <w:color w:val="auto"/>
                <w:sz w:val="24"/>
                <w:highlight w:val="none"/>
              </w:rPr>
            </w:pPr>
            <w:r>
              <w:rPr>
                <w:rFonts w:hint="eastAsia" w:ascii="宋体" w:hAnsi="宋体" w:cs="宋体"/>
                <w:color w:val="auto"/>
                <w:sz w:val="24"/>
                <w:highlight w:val="none"/>
              </w:rPr>
              <w:t>座</w:t>
            </w:r>
          </w:p>
        </w:tc>
        <w:tc>
          <w:tcPr>
            <w:tcW w:w="697" w:type="dxa"/>
            <w:vAlign w:val="center"/>
          </w:tcPr>
          <w:p w14:paraId="4D663BE3">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2A55A351">
            <w:pPr>
              <w:rPr>
                <w:rFonts w:ascii="宋体" w:hAnsi="宋体" w:cs="宋体"/>
                <w:color w:val="auto"/>
                <w:sz w:val="24"/>
                <w:highlight w:val="none"/>
              </w:rPr>
            </w:pPr>
            <w:r>
              <w:rPr>
                <w:rFonts w:hint="eastAsia" w:ascii="宋体" w:hAnsi="宋体" w:cs="宋体"/>
                <w:color w:val="auto"/>
                <w:sz w:val="24"/>
                <w:highlight w:val="none"/>
              </w:rPr>
              <w:t>按照业主实际需求配置</w:t>
            </w:r>
          </w:p>
        </w:tc>
      </w:tr>
      <w:tr w14:paraId="3589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2497" w:type="dxa"/>
            <w:vAlign w:val="center"/>
          </w:tcPr>
          <w:p w14:paraId="25552EDB">
            <w:pPr>
              <w:jc w:val="center"/>
              <w:rPr>
                <w:rFonts w:ascii="宋体" w:hAnsi="宋体" w:cs="宋体"/>
                <w:color w:val="auto"/>
                <w:sz w:val="24"/>
                <w:highlight w:val="none"/>
              </w:rPr>
            </w:pPr>
            <w:r>
              <w:rPr>
                <w:rFonts w:hint="eastAsia" w:ascii="宋体" w:hAnsi="宋体" w:cs="宋体"/>
                <w:color w:val="auto"/>
                <w:sz w:val="24"/>
                <w:highlight w:val="none"/>
              </w:rPr>
              <w:t>智能积分兑换机</w:t>
            </w:r>
          </w:p>
        </w:tc>
        <w:tc>
          <w:tcPr>
            <w:tcW w:w="659" w:type="dxa"/>
            <w:vAlign w:val="center"/>
          </w:tcPr>
          <w:p w14:paraId="0A33CF1A">
            <w:pPr>
              <w:jc w:val="center"/>
              <w:rPr>
                <w:rFonts w:ascii="宋体" w:hAnsi="宋体" w:cs="宋体"/>
                <w:color w:val="auto"/>
                <w:sz w:val="24"/>
                <w:highlight w:val="none"/>
              </w:rPr>
            </w:pPr>
            <w:r>
              <w:rPr>
                <w:rFonts w:hint="eastAsia" w:ascii="宋体" w:hAnsi="宋体" w:cs="宋体"/>
                <w:color w:val="auto"/>
                <w:sz w:val="24"/>
                <w:highlight w:val="none"/>
              </w:rPr>
              <w:t>台</w:t>
            </w:r>
          </w:p>
        </w:tc>
        <w:tc>
          <w:tcPr>
            <w:tcW w:w="697" w:type="dxa"/>
            <w:vAlign w:val="center"/>
          </w:tcPr>
          <w:p w14:paraId="09F7B5A4">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6B82D07E">
            <w:pPr>
              <w:rPr>
                <w:rFonts w:ascii="宋体" w:hAnsi="宋体" w:cs="宋体"/>
                <w:color w:val="auto"/>
                <w:sz w:val="24"/>
                <w:highlight w:val="none"/>
              </w:rPr>
            </w:pPr>
            <w:r>
              <w:rPr>
                <w:rFonts w:hint="eastAsia" w:ascii="宋体" w:hAnsi="宋体" w:cs="宋体"/>
                <w:color w:val="auto"/>
                <w:sz w:val="24"/>
                <w:highlight w:val="none"/>
              </w:rPr>
              <w:t>按照业主实际需求配置，或组织线下定期兑换</w:t>
            </w:r>
          </w:p>
        </w:tc>
      </w:tr>
      <w:tr w14:paraId="686B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0C2FEE8A">
            <w:pPr>
              <w:jc w:val="center"/>
              <w:rPr>
                <w:rFonts w:ascii="宋体" w:hAnsi="宋体" w:cs="宋体"/>
                <w:color w:val="auto"/>
                <w:sz w:val="24"/>
                <w:highlight w:val="none"/>
              </w:rPr>
            </w:pPr>
            <w:r>
              <w:rPr>
                <w:rFonts w:hint="eastAsia" w:ascii="宋体" w:hAnsi="宋体" w:cs="宋体"/>
                <w:color w:val="auto"/>
                <w:sz w:val="24"/>
                <w:highlight w:val="none"/>
              </w:rPr>
              <w:t>数字化监管智能人机交互设备</w:t>
            </w:r>
          </w:p>
        </w:tc>
        <w:tc>
          <w:tcPr>
            <w:tcW w:w="659" w:type="dxa"/>
            <w:vAlign w:val="center"/>
          </w:tcPr>
          <w:p w14:paraId="421D1FF1">
            <w:pPr>
              <w:jc w:val="center"/>
              <w:rPr>
                <w:rFonts w:ascii="宋体" w:hAnsi="宋体" w:cs="宋体"/>
                <w:color w:val="auto"/>
                <w:sz w:val="24"/>
                <w:highlight w:val="none"/>
              </w:rPr>
            </w:pPr>
            <w:r>
              <w:rPr>
                <w:rFonts w:hint="eastAsia" w:ascii="宋体" w:hAnsi="宋体" w:cs="宋体"/>
                <w:color w:val="auto"/>
                <w:sz w:val="24"/>
                <w:highlight w:val="none"/>
              </w:rPr>
              <w:t>台</w:t>
            </w:r>
          </w:p>
        </w:tc>
        <w:tc>
          <w:tcPr>
            <w:tcW w:w="697" w:type="dxa"/>
            <w:vAlign w:val="center"/>
          </w:tcPr>
          <w:p w14:paraId="5B05F326">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5A8266B9">
            <w:pPr>
              <w:rPr>
                <w:rFonts w:ascii="宋体" w:hAnsi="宋体" w:cs="宋体"/>
                <w:color w:val="auto"/>
                <w:sz w:val="24"/>
                <w:highlight w:val="none"/>
              </w:rPr>
            </w:pPr>
            <w:r>
              <w:rPr>
                <w:rFonts w:hint="eastAsia" w:ascii="宋体" w:hAnsi="宋体" w:cs="宋体"/>
                <w:color w:val="auto"/>
                <w:sz w:val="24"/>
                <w:highlight w:val="none"/>
              </w:rPr>
              <w:t>按照小区实际驿站配置</w:t>
            </w:r>
          </w:p>
        </w:tc>
      </w:tr>
      <w:tr w14:paraId="425B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0CAFD522">
            <w:pPr>
              <w:jc w:val="center"/>
              <w:rPr>
                <w:rFonts w:ascii="宋体" w:hAnsi="宋体" w:cs="宋体"/>
                <w:color w:val="auto"/>
                <w:sz w:val="24"/>
                <w:highlight w:val="none"/>
              </w:rPr>
            </w:pPr>
            <w:r>
              <w:rPr>
                <w:rFonts w:hint="eastAsia" w:ascii="宋体" w:hAnsi="宋体" w:cs="宋体"/>
                <w:color w:val="auto"/>
                <w:sz w:val="24"/>
                <w:highlight w:val="none"/>
              </w:rPr>
              <w:t>洗手台</w:t>
            </w:r>
          </w:p>
        </w:tc>
        <w:tc>
          <w:tcPr>
            <w:tcW w:w="659" w:type="dxa"/>
            <w:vAlign w:val="center"/>
          </w:tcPr>
          <w:p w14:paraId="6E74332D">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39484BA4">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3B42A624">
            <w:pPr>
              <w:rPr>
                <w:rFonts w:ascii="宋体" w:hAnsi="宋体" w:cs="宋体"/>
                <w:color w:val="auto"/>
                <w:sz w:val="24"/>
                <w:highlight w:val="none"/>
              </w:rPr>
            </w:pPr>
            <w:r>
              <w:rPr>
                <w:rFonts w:hint="eastAsia" w:ascii="宋体" w:hAnsi="宋体" w:cs="宋体"/>
                <w:color w:val="auto"/>
                <w:sz w:val="24"/>
                <w:highlight w:val="none"/>
              </w:rPr>
              <w:t>按照小区实际驿站配置</w:t>
            </w:r>
          </w:p>
        </w:tc>
      </w:tr>
      <w:tr w14:paraId="5AA4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309331E3">
            <w:pPr>
              <w:jc w:val="center"/>
              <w:rPr>
                <w:rFonts w:ascii="宋体" w:hAnsi="宋体" w:cs="宋体"/>
                <w:color w:val="auto"/>
                <w:sz w:val="24"/>
                <w:highlight w:val="none"/>
              </w:rPr>
            </w:pPr>
            <w:r>
              <w:rPr>
                <w:rFonts w:hint="eastAsia" w:ascii="宋体" w:hAnsi="宋体" w:cs="宋体"/>
                <w:color w:val="auto"/>
                <w:sz w:val="24"/>
                <w:highlight w:val="none"/>
              </w:rPr>
              <w:t>有毒有害箱</w:t>
            </w:r>
          </w:p>
        </w:tc>
        <w:tc>
          <w:tcPr>
            <w:tcW w:w="659" w:type="dxa"/>
            <w:vAlign w:val="center"/>
          </w:tcPr>
          <w:p w14:paraId="265389F5">
            <w:pPr>
              <w:jc w:val="center"/>
              <w:rPr>
                <w:rFonts w:ascii="宋体" w:hAnsi="宋体" w:cs="宋体"/>
                <w:color w:val="auto"/>
                <w:sz w:val="24"/>
                <w:highlight w:val="none"/>
              </w:rPr>
            </w:pPr>
            <w:r>
              <w:rPr>
                <w:rFonts w:hint="eastAsia" w:ascii="宋体" w:hAnsi="宋体" w:cs="宋体"/>
                <w:color w:val="auto"/>
                <w:sz w:val="24"/>
                <w:highlight w:val="none"/>
              </w:rPr>
              <w:t>台</w:t>
            </w:r>
          </w:p>
        </w:tc>
        <w:tc>
          <w:tcPr>
            <w:tcW w:w="697" w:type="dxa"/>
            <w:vAlign w:val="center"/>
          </w:tcPr>
          <w:p w14:paraId="51FED66B">
            <w:pPr>
              <w:jc w:val="center"/>
              <w:rPr>
                <w:rFonts w:ascii="宋体" w:hAnsi="宋体" w:cs="宋体"/>
                <w:color w:val="auto"/>
                <w:sz w:val="24"/>
                <w:highlight w:val="none"/>
              </w:rPr>
            </w:pPr>
            <w:r>
              <w:rPr>
                <w:rFonts w:hint="eastAsia" w:ascii="宋体" w:hAnsi="宋体" w:cs="宋体"/>
                <w:color w:val="auto"/>
                <w:sz w:val="24"/>
                <w:highlight w:val="none"/>
              </w:rPr>
              <w:t>19</w:t>
            </w:r>
          </w:p>
        </w:tc>
        <w:tc>
          <w:tcPr>
            <w:tcW w:w="4525" w:type="dxa"/>
            <w:vAlign w:val="center"/>
          </w:tcPr>
          <w:p w14:paraId="7F8F7A36">
            <w:pPr>
              <w:rPr>
                <w:rFonts w:ascii="宋体" w:hAnsi="宋体" w:cs="宋体"/>
                <w:color w:val="auto"/>
                <w:sz w:val="24"/>
                <w:highlight w:val="none"/>
              </w:rPr>
            </w:pPr>
            <w:r>
              <w:rPr>
                <w:rFonts w:hint="eastAsia" w:ascii="宋体" w:hAnsi="宋体" w:cs="宋体"/>
                <w:color w:val="auto"/>
                <w:sz w:val="24"/>
                <w:highlight w:val="none"/>
              </w:rPr>
              <w:t>在可回收物回收站设置</w:t>
            </w:r>
          </w:p>
        </w:tc>
      </w:tr>
      <w:tr w14:paraId="5A83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53F6A7A1">
            <w:pPr>
              <w:jc w:val="center"/>
              <w:rPr>
                <w:rFonts w:ascii="宋体" w:hAnsi="宋体" w:cs="宋体"/>
                <w:color w:val="auto"/>
                <w:sz w:val="24"/>
                <w:highlight w:val="none"/>
              </w:rPr>
            </w:pPr>
            <w:r>
              <w:rPr>
                <w:rFonts w:hint="eastAsia" w:ascii="宋体" w:hAnsi="宋体" w:cs="宋体"/>
                <w:color w:val="auto"/>
                <w:sz w:val="24"/>
                <w:highlight w:val="none"/>
              </w:rPr>
              <w:t>智能投放卡</w:t>
            </w:r>
          </w:p>
        </w:tc>
        <w:tc>
          <w:tcPr>
            <w:tcW w:w="659" w:type="dxa"/>
            <w:vAlign w:val="center"/>
          </w:tcPr>
          <w:p w14:paraId="5EEFA9C2">
            <w:pPr>
              <w:jc w:val="center"/>
              <w:rPr>
                <w:rFonts w:ascii="宋体" w:hAnsi="宋体" w:cs="宋体"/>
                <w:color w:val="auto"/>
                <w:sz w:val="24"/>
                <w:highlight w:val="none"/>
              </w:rPr>
            </w:pPr>
            <w:r>
              <w:rPr>
                <w:rFonts w:hint="eastAsia" w:ascii="宋体" w:hAnsi="宋体" w:cs="宋体"/>
                <w:color w:val="auto"/>
                <w:sz w:val="24"/>
                <w:highlight w:val="none"/>
              </w:rPr>
              <w:t>张</w:t>
            </w:r>
          </w:p>
        </w:tc>
        <w:tc>
          <w:tcPr>
            <w:tcW w:w="697" w:type="dxa"/>
            <w:vAlign w:val="center"/>
          </w:tcPr>
          <w:p w14:paraId="26835F6F">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4501</w:t>
            </w:r>
          </w:p>
        </w:tc>
        <w:tc>
          <w:tcPr>
            <w:tcW w:w="4525" w:type="dxa"/>
            <w:vAlign w:val="center"/>
          </w:tcPr>
          <w:p w14:paraId="21F75A8A">
            <w:pPr>
              <w:rPr>
                <w:rFonts w:ascii="宋体" w:hAnsi="宋体" w:cs="宋体"/>
                <w:color w:val="auto"/>
                <w:sz w:val="24"/>
                <w:highlight w:val="none"/>
              </w:rPr>
            </w:pPr>
            <w:r>
              <w:rPr>
                <w:rFonts w:hint="eastAsia" w:ascii="宋体" w:hAnsi="宋体" w:cs="宋体"/>
                <w:color w:val="auto"/>
                <w:sz w:val="24"/>
                <w:highlight w:val="none"/>
              </w:rPr>
              <w:t>每户一张</w:t>
            </w:r>
          </w:p>
        </w:tc>
      </w:tr>
      <w:tr w14:paraId="1227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6E463E49">
            <w:pPr>
              <w:jc w:val="center"/>
              <w:rPr>
                <w:rFonts w:ascii="宋体" w:hAnsi="宋体" w:cs="宋体"/>
                <w:color w:val="auto"/>
                <w:sz w:val="24"/>
                <w:highlight w:val="none"/>
              </w:rPr>
            </w:pPr>
            <w:r>
              <w:rPr>
                <w:rFonts w:hint="eastAsia" w:ascii="宋体" w:hAnsi="宋体" w:cs="宋体"/>
                <w:color w:val="auto"/>
                <w:sz w:val="24"/>
                <w:highlight w:val="none"/>
              </w:rPr>
              <w:t>宣传手册</w:t>
            </w:r>
          </w:p>
        </w:tc>
        <w:tc>
          <w:tcPr>
            <w:tcW w:w="659" w:type="dxa"/>
            <w:vAlign w:val="center"/>
          </w:tcPr>
          <w:p w14:paraId="7D09467F">
            <w:pPr>
              <w:jc w:val="center"/>
              <w:rPr>
                <w:rFonts w:ascii="宋体" w:hAnsi="宋体" w:cs="宋体"/>
                <w:color w:val="auto"/>
                <w:sz w:val="24"/>
                <w:highlight w:val="none"/>
              </w:rPr>
            </w:pPr>
            <w:r>
              <w:rPr>
                <w:rFonts w:hint="eastAsia" w:ascii="宋体" w:hAnsi="宋体" w:cs="宋体"/>
                <w:color w:val="auto"/>
                <w:sz w:val="24"/>
                <w:highlight w:val="none"/>
              </w:rPr>
              <w:t>张</w:t>
            </w:r>
          </w:p>
        </w:tc>
        <w:tc>
          <w:tcPr>
            <w:tcW w:w="697" w:type="dxa"/>
            <w:vAlign w:val="center"/>
          </w:tcPr>
          <w:p w14:paraId="1B7A0BC2">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4501</w:t>
            </w:r>
          </w:p>
        </w:tc>
        <w:tc>
          <w:tcPr>
            <w:tcW w:w="4525" w:type="dxa"/>
            <w:vAlign w:val="center"/>
          </w:tcPr>
          <w:p w14:paraId="644965BF">
            <w:pPr>
              <w:rPr>
                <w:rFonts w:ascii="宋体" w:hAnsi="宋体" w:cs="宋体"/>
                <w:color w:val="auto"/>
                <w:sz w:val="24"/>
                <w:highlight w:val="none"/>
              </w:rPr>
            </w:pPr>
            <w:r>
              <w:rPr>
                <w:rFonts w:hint="eastAsia" w:ascii="宋体" w:hAnsi="宋体" w:cs="宋体"/>
                <w:color w:val="auto"/>
                <w:sz w:val="24"/>
                <w:highlight w:val="none"/>
              </w:rPr>
              <w:t>按宣传要求印制，至少每户一册</w:t>
            </w:r>
          </w:p>
        </w:tc>
      </w:tr>
      <w:tr w14:paraId="2E61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142B2DAF">
            <w:pPr>
              <w:jc w:val="center"/>
              <w:rPr>
                <w:rFonts w:ascii="宋体" w:hAnsi="宋体" w:cs="宋体"/>
                <w:color w:val="auto"/>
                <w:sz w:val="24"/>
                <w:highlight w:val="none"/>
              </w:rPr>
            </w:pPr>
            <w:r>
              <w:rPr>
                <w:rFonts w:hint="eastAsia" w:ascii="宋体" w:hAnsi="宋体" w:cs="宋体"/>
                <w:color w:val="auto"/>
                <w:sz w:val="24"/>
                <w:highlight w:val="none"/>
              </w:rPr>
              <w:t>楼道宣传牌</w:t>
            </w:r>
          </w:p>
        </w:tc>
        <w:tc>
          <w:tcPr>
            <w:tcW w:w="659" w:type="dxa"/>
            <w:vAlign w:val="center"/>
          </w:tcPr>
          <w:p w14:paraId="359CEEDA">
            <w:pPr>
              <w:jc w:val="center"/>
              <w:rPr>
                <w:rFonts w:ascii="宋体" w:hAnsi="宋体" w:cs="宋体"/>
                <w:color w:val="auto"/>
                <w:sz w:val="24"/>
                <w:highlight w:val="none"/>
              </w:rPr>
            </w:pPr>
            <w:r>
              <w:rPr>
                <w:rFonts w:hint="eastAsia" w:ascii="宋体" w:hAnsi="宋体" w:cs="宋体"/>
                <w:color w:val="auto"/>
                <w:sz w:val="24"/>
                <w:highlight w:val="none"/>
              </w:rPr>
              <w:t>张</w:t>
            </w:r>
          </w:p>
        </w:tc>
        <w:tc>
          <w:tcPr>
            <w:tcW w:w="697" w:type="dxa"/>
            <w:vAlign w:val="center"/>
          </w:tcPr>
          <w:p w14:paraId="5873DEA7">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62C1BD02">
            <w:pPr>
              <w:rPr>
                <w:rFonts w:ascii="宋体" w:hAnsi="宋体" w:cs="宋体"/>
                <w:color w:val="auto"/>
                <w:sz w:val="24"/>
                <w:highlight w:val="none"/>
              </w:rPr>
            </w:pPr>
            <w:r>
              <w:rPr>
                <w:rFonts w:hint="eastAsia" w:ascii="宋体" w:hAnsi="宋体" w:cs="宋体"/>
                <w:color w:val="auto"/>
                <w:sz w:val="24"/>
                <w:highlight w:val="none"/>
              </w:rPr>
              <w:t>每个小区每个楼道配置一个，内容包括垃圾分类宣传、成果展示、五员一长公示等</w:t>
            </w:r>
          </w:p>
        </w:tc>
      </w:tr>
      <w:tr w14:paraId="7B81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7096DE47">
            <w:pPr>
              <w:jc w:val="center"/>
              <w:rPr>
                <w:rFonts w:ascii="宋体" w:hAnsi="宋体" w:cs="宋体"/>
                <w:b/>
                <w:bCs/>
                <w:color w:val="auto"/>
                <w:sz w:val="24"/>
                <w:highlight w:val="none"/>
              </w:rPr>
            </w:pPr>
            <w:r>
              <w:rPr>
                <w:rFonts w:hint="eastAsia" w:ascii="宋体" w:hAnsi="宋体" w:cs="宋体"/>
                <w:b/>
                <w:bCs/>
                <w:color w:val="auto"/>
                <w:sz w:val="24"/>
                <w:highlight w:val="none"/>
              </w:rPr>
              <w:t>智能积分秤</w:t>
            </w:r>
          </w:p>
        </w:tc>
        <w:tc>
          <w:tcPr>
            <w:tcW w:w="659" w:type="dxa"/>
            <w:vAlign w:val="center"/>
          </w:tcPr>
          <w:p w14:paraId="0B0155E8">
            <w:pPr>
              <w:jc w:val="center"/>
              <w:rPr>
                <w:rFonts w:ascii="宋体" w:hAnsi="宋体" w:cs="宋体"/>
                <w:b/>
                <w:bCs/>
                <w:color w:val="auto"/>
                <w:sz w:val="24"/>
                <w:highlight w:val="none"/>
              </w:rPr>
            </w:pPr>
            <w:r>
              <w:rPr>
                <w:rFonts w:hint="eastAsia" w:ascii="宋体" w:hAnsi="宋体" w:cs="宋体"/>
                <w:b/>
                <w:bCs/>
                <w:color w:val="auto"/>
                <w:sz w:val="24"/>
                <w:highlight w:val="none"/>
              </w:rPr>
              <w:t>台</w:t>
            </w:r>
          </w:p>
        </w:tc>
        <w:tc>
          <w:tcPr>
            <w:tcW w:w="697" w:type="dxa"/>
            <w:vAlign w:val="center"/>
          </w:tcPr>
          <w:p w14:paraId="40195109">
            <w:pPr>
              <w:jc w:val="center"/>
              <w:rPr>
                <w:rFonts w:ascii="宋体" w:hAnsi="宋体" w:cs="宋体"/>
                <w:b/>
                <w:bCs/>
                <w:color w:val="auto"/>
                <w:sz w:val="24"/>
                <w:highlight w:val="none"/>
              </w:rPr>
            </w:pPr>
            <w:r>
              <w:rPr>
                <w:rFonts w:hint="eastAsia" w:ascii="宋体" w:hAnsi="宋体" w:cs="宋体"/>
                <w:b/>
                <w:bCs/>
                <w:color w:val="auto"/>
                <w:sz w:val="24"/>
                <w:highlight w:val="none"/>
              </w:rPr>
              <w:t>若干</w:t>
            </w:r>
          </w:p>
        </w:tc>
        <w:tc>
          <w:tcPr>
            <w:tcW w:w="4525" w:type="dxa"/>
            <w:vAlign w:val="center"/>
          </w:tcPr>
          <w:p w14:paraId="3236FCF5">
            <w:pPr>
              <w:rPr>
                <w:rFonts w:ascii="宋体" w:hAnsi="宋体" w:cs="宋体"/>
                <w:b/>
                <w:bCs/>
                <w:color w:val="auto"/>
                <w:sz w:val="24"/>
                <w:highlight w:val="none"/>
              </w:rPr>
            </w:pPr>
            <w:r>
              <w:rPr>
                <w:rFonts w:hint="eastAsia" w:ascii="宋体" w:hAnsi="宋体" w:cs="宋体"/>
                <w:b/>
                <w:bCs/>
                <w:color w:val="auto"/>
                <w:sz w:val="24"/>
                <w:highlight w:val="none"/>
              </w:rPr>
              <w:t>智能驿站配备智能秤，精准记录居民投放各类垃圾数据。</w:t>
            </w:r>
          </w:p>
        </w:tc>
      </w:tr>
      <w:tr w14:paraId="2C58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0CD6FAAA">
            <w:pPr>
              <w:jc w:val="center"/>
              <w:rPr>
                <w:rFonts w:ascii="宋体" w:hAnsi="宋体" w:cs="宋体"/>
                <w:color w:val="auto"/>
                <w:sz w:val="24"/>
                <w:highlight w:val="none"/>
              </w:rPr>
            </w:pPr>
            <w:r>
              <w:rPr>
                <w:rFonts w:hint="eastAsia" w:ascii="宋体" w:hAnsi="宋体" w:cs="宋体"/>
                <w:color w:val="auto"/>
                <w:sz w:val="24"/>
                <w:highlight w:val="none"/>
              </w:rPr>
              <w:t>240L易腐垃圾桶</w:t>
            </w:r>
          </w:p>
        </w:tc>
        <w:tc>
          <w:tcPr>
            <w:tcW w:w="659" w:type="dxa"/>
            <w:vAlign w:val="center"/>
          </w:tcPr>
          <w:p w14:paraId="01F0D38B">
            <w:pPr>
              <w:jc w:val="center"/>
              <w:rPr>
                <w:rFonts w:ascii="宋体" w:hAnsi="宋体" w:cs="宋体"/>
                <w:color w:val="auto"/>
                <w:sz w:val="24"/>
                <w:highlight w:val="none"/>
              </w:rPr>
            </w:pPr>
            <w:r>
              <w:rPr>
                <w:rFonts w:hint="eastAsia" w:ascii="宋体" w:hAnsi="宋体" w:cs="宋体"/>
                <w:color w:val="auto"/>
                <w:sz w:val="24"/>
                <w:highlight w:val="none"/>
              </w:rPr>
              <w:t>组</w:t>
            </w:r>
          </w:p>
        </w:tc>
        <w:tc>
          <w:tcPr>
            <w:tcW w:w="697" w:type="dxa"/>
            <w:vAlign w:val="center"/>
          </w:tcPr>
          <w:p w14:paraId="0753F52F">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1D780CE3">
            <w:pPr>
              <w:rPr>
                <w:rFonts w:ascii="宋体" w:hAnsi="宋体" w:cs="宋体"/>
                <w:color w:val="auto"/>
                <w:sz w:val="24"/>
                <w:highlight w:val="none"/>
              </w:rPr>
            </w:pPr>
            <w:r>
              <w:rPr>
                <w:rFonts w:hint="eastAsia" w:ascii="宋体" w:hAnsi="宋体" w:cs="宋体"/>
                <w:color w:val="auto"/>
                <w:sz w:val="24"/>
                <w:highlight w:val="none"/>
              </w:rPr>
              <w:t>用于智能分类箱，根据运营实际配置</w:t>
            </w:r>
          </w:p>
        </w:tc>
      </w:tr>
      <w:tr w14:paraId="7727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195E6D49">
            <w:pPr>
              <w:jc w:val="center"/>
              <w:rPr>
                <w:rFonts w:ascii="宋体" w:hAnsi="宋体" w:cs="宋体"/>
                <w:color w:val="auto"/>
                <w:sz w:val="24"/>
                <w:highlight w:val="none"/>
              </w:rPr>
            </w:pPr>
            <w:r>
              <w:rPr>
                <w:rFonts w:hint="eastAsia" w:ascii="宋体" w:hAnsi="宋体" w:cs="宋体"/>
                <w:color w:val="auto"/>
                <w:sz w:val="24"/>
                <w:highlight w:val="none"/>
              </w:rPr>
              <w:t>入户易腐垃圾圾桶（10L）</w:t>
            </w:r>
          </w:p>
        </w:tc>
        <w:tc>
          <w:tcPr>
            <w:tcW w:w="659" w:type="dxa"/>
            <w:vAlign w:val="center"/>
          </w:tcPr>
          <w:p w14:paraId="061A447E">
            <w:pPr>
              <w:jc w:val="center"/>
              <w:rPr>
                <w:rFonts w:ascii="宋体" w:hAnsi="宋体" w:cs="宋体"/>
                <w:color w:val="auto"/>
                <w:sz w:val="24"/>
                <w:highlight w:val="none"/>
              </w:rPr>
            </w:pPr>
            <w:r>
              <w:rPr>
                <w:rFonts w:hint="eastAsia" w:ascii="宋体" w:hAnsi="宋体" w:cs="宋体"/>
                <w:color w:val="auto"/>
                <w:sz w:val="24"/>
                <w:highlight w:val="none"/>
              </w:rPr>
              <w:t>只</w:t>
            </w:r>
          </w:p>
        </w:tc>
        <w:tc>
          <w:tcPr>
            <w:tcW w:w="697" w:type="dxa"/>
            <w:vAlign w:val="center"/>
          </w:tcPr>
          <w:p w14:paraId="6063BF8E">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2D4C1A62">
            <w:pPr>
              <w:rPr>
                <w:rFonts w:ascii="宋体" w:hAnsi="宋体" w:cs="宋体"/>
                <w:color w:val="auto"/>
                <w:sz w:val="24"/>
                <w:highlight w:val="none"/>
              </w:rPr>
            </w:pPr>
            <w:r>
              <w:rPr>
                <w:rFonts w:hint="eastAsia" w:ascii="宋体" w:hAnsi="宋体" w:cs="宋体"/>
                <w:color w:val="auto"/>
                <w:sz w:val="24"/>
                <w:highlight w:val="none"/>
              </w:rPr>
              <w:t>未发放小区每户发放1只</w:t>
            </w:r>
          </w:p>
        </w:tc>
      </w:tr>
      <w:tr w14:paraId="2AF5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497" w:type="dxa"/>
            <w:vAlign w:val="center"/>
          </w:tcPr>
          <w:p w14:paraId="3CB64641">
            <w:pPr>
              <w:jc w:val="center"/>
              <w:rPr>
                <w:rFonts w:ascii="宋体" w:hAnsi="宋体" w:cs="宋体"/>
                <w:color w:val="auto"/>
                <w:sz w:val="24"/>
                <w:highlight w:val="none"/>
              </w:rPr>
            </w:pPr>
            <w:r>
              <w:rPr>
                <w:rFonts w:hint="eastAsia" w:ascii="宋体" w:hAnsi="宋体" w:cs="宋体"/>
                <w:color w:val="auto"/>
                <w:sz w:val="24"/>
                <w:highlight w:val="none"/>
              </w:rPr>
              <w:t>可回收物宣传 指示牌</w:t>
            </w:r>
          </w:p>
        </w:tc>
        <w:tc>
          <w:tcPr>
            <w:tcW w:w="659" w:type="dxa"/>
            <w:vAlign w:val="center"/>
          </w:tcPr>
          <w:p w14:paraId="3F2610A3">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59BA1936">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18D3190A">
            <w:pPr>
              <w:rPr>
                <w:rFonts w:ascii="宋体" w:hAnsi="宋体" w:cs="宋体"/>
                <w:color w:val="auto"/>
                <w:sz w:val="24"/>
                <w:highlight w:val="none"/>
              </w:rPr>
            </w:pPr>
            <w:r>
              <w:rPr>
                <w:rFonts w:hint="eastAsia" w:ascii="宋体" w:hAnsi="宋体" w:cs="宋体"/>
                <w:color w:val="auto"/>
                <w:sz w:val="24"/>
                <w:highlight w:val="none"/>
              </w:rPr>
              <w:t>每个驿站配置一个</w:t>
            </w:r>
          </w:p>
        </w:tc>
      </w:tr>
      <w:tr w14:paraId="026C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2F36DA1A">
            <w:pPr>
              <w:jc w:val="center"/>
              <w:rPr>
                <w:rFonts w:ascii="宋体" w:hAnsi="宋体" w:cs="宋体"/>
                <w:color w:val="auto"/>
                <w:sz w:val="24"/>
                <w:highlight w:val="none"/>
              </w:rPr>
            </w:pPr>
            <w:r>
              <w:rPr>
                <w:rFonts w:hint="eastAsia" w:ascii="宋体" w:hAnsi="宋体" w:cs="宋体"/>
                <w:color w:val="auto"/>
                <w:sz w:val="24"/>
                <w:highlight w:val="none"/>
              </w:rPr>
              <w:t>监督公示栏</w:t>
            </w:r>
          </w:p>
        </w:tc>
        <w:tc>
          <w:tcPr>
            <w:tcW w:w="659" w:type="dxa"/>
            <w:vAlign w:val="center"/>
          </w:tcPr>
          <w:p w14:paraId="1E4FFD52">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6739BFD6">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1A4430EE">
            <w:pPr>
              <w:rPr>
                <w:rFonts w:ascii="宋体" w:hAnsi="宋体" w:cs="宋体"/>
                <w:color w:val="auto"/>
                <w:sz w:val="24"/>
                <w:highlight w:val="none"/>
              </w:rPr>
            </w:pPr>
            <w:r>
              <w:rPr>
                <w:rFonts w:hint="eastAsia" w:ascii="宋体" w:hAnsi="宋体" w:cs="宋体"/>
                <w:color w:val="auto"/>
                <w:sz w:val="24"/>
                <w:highlight w:val="none"/>
              </w:rPr>
              <w:t>每个小区2个（户分成绩公示和分类设施设备分布图及宣传）</w:t>
            </w:r>
          </w:p>
        </w:tc>
      </w:tr>
      <w:tr w14:paraId="06D5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2497" w:type="dxa"/>
            <w:vAlign w:val="center"/>
          </w:tcPr>
          <w:p w14:paraId="2AF707CA">
            <w:pPr>
              <w:jc w:val="center"/>
              <w:rPr>
                <w:rFonts w:ascii="宋体" w:hAnsi="宋体" w:cs="宋体"/>
                <w:b/>
                <w:bCs/>
                <w:color w:val="auto"/>
                <w:sz w:val="24"/>
                <w:highlight w:val="none"/>
              </w:rPr>
            </w:pPr>
            <w:r>
              <w:rPr>
                <w:rFonts w:hint="eastAsia" w:ascii="宋体" w:hAnsi="宋体" w:cs="宋体"/>
                <w:b/>
                <w:bCs/>
                <w:color w:val="auto"/>
                <w:sz w:val="24"/>
                <w:highlight w:val="none"/>
              </w:rPr>
              <w:t>彩色电子显示屏</w:t>
            </w:r>
          </w:p>
        </w:tc>
        <w:tc>
          <w:tcPr>
            <w:tcW w:w="659" w:type="dxa"/>
            <w:vAlign w:val="center"/>
          </w:tcPr>
          <w:p w14:paraId="52967703">
            <w:pPr>
              <w:jc w:val="center"/>
              <w:rPr>
                <w:rFonts w:ascii="宋体" w:hAnsi="宋体" w:cs="宋体"/>
                <w:b/>
                <w:bCs/>
                <w:color w:val="auto"/>
                <w:sz w:val="24"/>
                <w:highlight w:val="none"/>
              </w:rPr>
            </w:pPr>
            <w:r>
              <w:rPr>
                <w:rFonts w:hint="eastAsia" w:ascii="宋体" w:hAnsi="宋体" w:cs="宋体"/>
                <w:b/>
                <w:bCs/>
                <w:color w:val="auto"/>
                <w:sz w:val="24"/>
                <w:highlight w:val="none"/>
              </w:rPr>
              <w:t>个</w:t>
            </w:r>
          </w:p>
        </w:tc>
        <w:tc>
          <w:tcPr>
            <w:tcW w:w="697" w:type="dxa"/>
            <w:vAlign w:val="center"/>
          </w:tcPr>
          <w:p w14:paraId="184C66E8">
            <w:pPr>
              <w:jc w:val="center"/>
              <w:rPr>
                <w:rFonts w:ascii="宋体" w:hAnsi="宋体" w:cs="宋体"/>
                <w:b/>
                <w:bCs/>
                <w:color w:val="auto"/>
                <w:sz w:val="24"/>
                <w:highlight w:val="none"/>
              </w:rPr>
            </w:pPr>
            <w:r>
              <w:rPr>
                <w:rFonts w:hint="eastAsia" w:ascii="宋体" w:hAnsi="宋体" w:cs="宋体"/>
                <w:b/>
                <w:bCs/>
                <w:color w:val="auto"/>
                <w:sz w:val="24"/>
                <w:highlight w:val="none"/>
              </w:rPr>
              <w:t>若干</w:t>
            </w:r>
          </w:p>
        </w:tc>
        <w:tc>
          <w:tcPr>
            <w:tcW w:w="4525" w:type="dxa"/>
            <w:vAlign w:val="center"/>
          </w:tcPr>
          <w:p w14:paraId="22B32AEC">
            <w:pPr>
              <w:rPr>
                <w:rFonts w:ascii="宋体" w:hAnsi="宋体" w:cs="宋体"/>
                <w:b/>
                <w:bCs/>
                <w:color w:val="auto"/>
                <w:sz w:val="24"/>
                <w:highlight w:val="none"/>
              </w:rPr>
            </w:pPr>
            <w:r>
              <w:rPr>
                <w:rFonts w:hint="eastAsia" w:ascii="宋体" w:hAnsi="宋体" w:cs="宋体"/>
                <w:b/>
                <w:bCs/>
                <w:color w:val="auto"/>
                <w:sz w:val="24"/>
                <w:highlight w:val="none"/>
              </w:rPr>
              <w:t>按村社实际需求配置，显示屏可滚动播放居民每日后台数据及分类红黑榜展示</w:t>
            </w:r>
          </w:p>
        </w:tc>
      </w:tr>
      <w:tr w14:paraId="68C6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2497" w:type="dxa"/>
            <w:vAlign w:val="center"/>
          </w:tcPr>
          <w:p w14:paraId="1FE473C8">
            <w:pPr>
              <w:jc w:val="center"/>
              <w:rPr>
                <w:rFonts w:ascii="宋体" w:hAnsi="宋体" w:cs="宋体"/>
                <w:color w:val="auto"/>
                <w:sz w:val="24"/>
                <w:highlight w:val="none"/>
              </w:rPr>
            </w:pPr>
            <w:r>
              <w:rPr>
                <w:rFonts w:hint="eastAsia" w:ascii="宋体" w:hAnsi="宋体" w:cs="宋体"/>
                <w:color w:val="auto"/>
                <w:sz w:val="24"/>
                <w:highlight w:val="none"/>
              </w:rPr>
              <w:t>大件垃圾中转站</w:t>
            </w:r>
          </w:p>
        </w:tc>
        <w:tc>
          <w:tcPr>
            <w:tcW w:w="659" w:type="dxa"/>
            <w:vAlign w:val="center"/>
          </w:tcPr>
          <w:p w14:paraId="231B9A57">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248EB727">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3614426C">
            <w:pPr>
              <w:rPr>
                <w:rFonts w:ascii="宋体" w:hAnsi="宋体" w:cs="宋体"/>
                <w:color w:val="auto"/>
                <w:sz w:val="24"/>
                <w:highlight w:val="none"/>
              </w:rPr>
            </w:pPr>
            <w:r>
              <w:rPr>
                <w:rFonts w:hint="eastAsia" w:ascii="宋体" w:hAnsi="宋体" w:cs="宋体"/>
                <w:color w:val="auto"/>
                <w:sz w:val="24"/>
                <w:highlight w:val="none"/>
              </w:rPr>
              <w:t>原则上每个小区配一处，可根据实际情况调整</w:t>
            </w:r>
          </w:p>
        </w:tc>
      </w:tr>
      <w:tr w14:paraId="0038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497" w:type="dxa"/>
            <w:vAlign w:val="center"/>
          </w:tcPr>
          <w:p w14:paraId="0BB4DEFC">
            <w:pPr>
              <w:jc w:val="center"/>
              <w:rPr>
                <w:rFonts w:ascii="宋体" w:hAnsi="宋体" w:cs="宋体"/>
                <w:color w:val="auto"/>
                <w:sz w:val="24"/>
                <w:highlight w:val="none"/>
              </w:rPr>
            </w:pPr>
            <w:r>
              <w:rPr>
                <w:rFonts w:hint="eastAsia" w:ascii="宋体" w:hAnsi="宋体" w:cs="宋体"/>
                <w:color w:val="auto"/>
                <w:sz w:val="24"/>
                <w:highlight w:val="none"/>
              </w:rPr>
              <w:t>其他垃圾接驳点</w:t>
            </w:r>
          </w:p>
        </w:tc>
        <w:tc>
          <w:tcPr>
            <w:tcW w:w="659" w:type="dxa"/>
            <w:vAlign w:val="center"/>
          </w:tcPr>
          <w:p w14:paraId="1E00A56A">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697" w:type="dxa"/>
            <w:vAlign w:val="center"/>
          </w:tcPr>
          <w:p w14:paraId="6542E4B1">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4525" w:type="dxa"/>
            <w:vAlign w:val="center"/>
          </w:tcPr>
          <w:p w14:paraId="451F8789">
            <w:pPr>
              <w:rPr>
                <w:rFonts w:ascii="宋体" w:hAnsi="宋体" w:cs="宋体"/>
                <w:b/>
                <w:color w:val="auto"/>
                <w:sz w:val="24"/>
                <w:highlight w:val="none"/>
              </w:rPr>
            </w:pPr>
            <w:r>
              <w:rPr>
                <w:rFonts w:hint="eastAsia" w:ascii="宋体" w:hAnsi="宋体" w:cs="宋体"/>
                <w:color w:val="auto"/>
                <w:sz w:val="24"/>
                <w:highlight w:val="none"/>
              </w:rPr>
              <w:t>原则上每个小区配一处，可根据实际情况调整</w:t>
            </w:r>
          </w:p>
        </w:tc>
      </w:tr>
      <w:tr w14:paraId="3A27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8378" w:type="dxa"/>
            <w:gridSpan w:val="4"/>
            <w:vAlign w:val="center"/>
          </w:tcPr>
          <w:p w14:paraId="07FD01DB">
            <w:pPr>
              <w:rPr>
                <w:rFonts w:ascii="宋体" w:hAnsi="宋体" w:cs="宋体"/>
                <w:color w:val="auto"/>
                <w:sz w:val="24"/>
                <w:highlight w:val="none"/>
              </w:rPr>
            </w:pPr>
            <w:r>
              <w:rPr>
                <w:rFonts w:hint="eastAsia" w:ascii="宋体" w:hAnsi="宋体" w:cs="宋体"/>
                <w:color w:val="auto"/>
                <w:sz w:val="24"/>
                <w:highlight w:val="none"/>
              </w:rPr>
              <w:t>注：包含但不仅限于上述设备，若上级部门有新要求，则中标单位需无偿配合属地街道配置相关设备。</w:t>
            </w:r>
          </w:p>
        </w:tc>
      </w:tr>
    </w:tbl>
    <w:p w14:paraId="15D7FE7C">
      <w:pPr>
        <w:rPr>
          <w:rFonts w:ascii="宋体" w:hAnsi="宋体" w:cs="宋体"/>
          <w:b/>
          <w:bCs/>
          <w:color w:val="auto"/>
          <w:sz w:val="24"/>
          <w:highlight w:val="none"/>
        </w:rPr>
      </w:pPr>
    </w:p>
    <w:p w14:paraId="5CEF8030">
      <w:pPr>
        <w:rPr>
          <w:rFonts w:ascii="宋体" w:hAnsi="宋体" w:cs="宋体"/>
          <w:b/>
          <w:bCs/>
          <w:color w:val="auto"/>
          <w:sz w:val="24"/>
          <w:highlight w:val="none"/>
        </w:rPr>
      </w:pPr>
      <w:r>
        <w:rPr>
          <w:rFonts w:hint="eastAsia" w:ascii="宋体" w:hAnsi="宋体" w:cs="宋体"/>
          <w:b/>
          <w:bCs/>
          <w:color w:val="auto"/>
          <w:sz w:val="24"/>
          <w:highlight w:val="none"/>
        </w:rPr>
        <w:t>（四）收运车辆需求清单</w:t>
      </w:r>
    </w:p>
    <w:p w14:paraId="15B11E3E">
      <w:pPr>
        <w:rPr>
          <w:rFonts w:ascii="宋体" w:hAnsi="宋体" w:cs="宋体"/>
          <w:b/>
          <w:bCs/>
          <w:color w:val="auto"/>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1302"/>
        <w:gridCol w:w="1741"/>
        <w:gridCol w:w="2377"/>
      </w:tblGrid>
      <w:tr w14:paraId="2C8D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917" w:type="dxa"/>
            <w:shd w:val="clear" w:color="auto" w:fill="BFBFBF"/>
            <w:vAlign w:val="center"/>
          </w:tcPr>
          <w:p w14:paraId="78F09C07">
            <w:pPr>
              <w:jc w:val="center"/>
              <w:rPr>
                <w:rFonts w:ascii="宋体" w:hAnsi="宋体" w:cs="宋体"/>
                <w:b/>
                <w:bCs/>
                <w:color w:val="auto"/>
                <w:sz w:val="24"/>
                <w:highlight w:val="none"/>
              </w:rPr>
            </w:pPr>
            <w:r>
              <w:rPr>
                <w:rFonts w:hint="eastAsia" w:ascii="宋体" w:hAnsi="宋体" w:cs="宋体"/>
                <w:b/>
                <w:bCs/>
                <w:color w:val="auto"/>
                <w:sz w:val="24"/>
                <w:highlight w:val="none"/>
              </w:rPr>
              <w:t>车辆名称</w:t>
            </w:r>
          </w:p>
        </w:tc>
        <w:tc>
          <w:tcPr>
            <w:tcW w:w="1302" w:type="dxa"/>
            <w:shd w:val="clear" w:color="auto" w:fill="BFBFBF"/>
            <w:vAlign w:val="center"/>
          </w:tcPr>
          <w:p w14:paraId="564C53E1">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1741" w:type="dxa"/>
            <w:shd w:val="clear" w:color="auto" w:fill="BFBFBF"/>
            <w:vAlign w:val="center"/>
          </w:tcPr>
          <w:p w14:paraId="4DEB1F38">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2377" w:type="dxa"/>
            <w:shd w:val="clear" w:color="auto" w:fill="BFBFBF"/>
            <w:vAlign w:val="center"/>
          </w:tcPr>
          <w:p w14:paraId="5D44817D">
            <w:pPr>
              <w:jc w:val="center"/>
              <w:rPr>
                <w:rFonts w:ascii="宋体" w:hAnsi="宋体" w:cs="宋体"/>
                <w:b/>
                <w:bCs/>
                <w:color w:val="auto"/>
                <w:sz w:val="24"/>
                <w:highlight w:val="none"/>
              </w:rPr>
            </w:pPr>
            <w:r>
              <w:rPr>
                <w:rFonts w:hint="eastAsia" w:ascii="宋体" w:hAnsi="宋体" w:cs="宋体"/>
                <w:b/>
                <w:bCs/>
                <w:color w:val="auto"/>
                <w:sz w:val="24"/>
                <w:highlight w:val="none"/>
              </w:rPr>
              <w:t>配置原则</w:t>
            </w:r>
          </w:p>
        </w:tc>
      </w:tr>
      <w:tr w14:paraId="0739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917" w:type="dxa"/>
            <w:vAlign w:val="center"/>
          </w:tcPr>
          <w:p w14:paraId="13C92DAB">
            <w:pPr>
              <w:jc w:val="center"/>
              <w:rPr>
                <w:rFonts w:ascii="宋体" w:hAnsi="宋体" w:cs="宋体"/>
                <w:color w:val="auto"/>
                <w:sz w:val="24"/>
                <w:highlight w:val="none"/>
              </w:rPr>
            </w:pPr>
            <w:r>
              <w:rPr>
                <w:rFonts w:hint="eastAsia" w:ascii="宋体" w:hAnsi="宋体" w:cs="宋体"/>
                <w:color w:val="auto"/>
                <w:sz w:val="24"/>
                <w:highlight w:val="none"/>
              </w:rPr>
              <w:t>小区内短驳车</w:t>
            </w:r>
          </w:p>
        </w:tc>
        <w:tc>
          <w:tcPr>
            <w:tcW w:w="1302" w:type="dxa"/>
            <w:vAlign w:val="center"/>
          </w:tcPr>
          <w:p w14:paraId="135EF38E">
            <w:pPr>
              <w:jc w:val="center"/>
              <w:rPr>
                <w:rFonts w:ascii="宋体" w:hAnsi="宋体" w:cs="宋体"/>
                <w:color w:val="auto"/>
                <w:sz w:val="24"/>
                <w:highlight w:val="none"/>
              </w:rPr>
            </w:pPr>
            <w:r>
              <w:rPr>
                <w:rFonts w:hint="eastAsia" w:ascii="宋体" w:hAnsi="宋体" w:cs="宋体"/>
                <w:color w:val="auto"/>
                <w:sz w:val="24"/>
                <w:highlight w:val="none"/>
              </w:rPr>
              <w:t>辆</w:t>
            </w:r>
          </w:p>
        </w:tc>
        <w:tc>
          <w:tcPr>
            <w:tcW w:w="1741" w:type="dxa"/>
            <w:vAlign w:val="center"/>
          </w:tcPr>
          <w:p w14:paraId="13DB3F13">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2377" w:type="dxa"/>
            <w:vAlign w:val="center"/>
          </w:tcPr>
          <w:p w14:paraId="7AD22B6A">
            <w:pPr>
              <w:jc w:val="center"/>
              <w:rPr>
                <w:rFonts w:ascii="宋体" w:hAnsi="宋体" w:cs="宋体"/>
                <w:color w:val="auto"/>
                <w:sz w:val="24"/>
                <w:highlight w:val="none"/>
              </w:rPr>
            </w:pPr>
            <w:r>
              <w:rPr>
                <w:rFonts w:hint="eastAsia" w:ascii="宋体" w:hAnsi="宋体" w:cs="宋体"/>
                <w:color w:val="auto"/>
                <w:sz w:val="24"/>
                <w:highlight w:val="none"/>
              </w:rPr>
              <w:t>满足运营需求即可</w:t>
            </w:r>
          </w:p>
        </w:tc>
      </w:tr>
      <w:tr w14:paraId="0051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917" w:type="dxa"/>
            <w:vAlign w:val="center"/>
          </w:tcPr>
          <w:p w14:paraId="75D3D06C">
            <w:pPr>
              <w:jc w:val="center"/>
              <w:rPr>
                <w:rFonts w:ascii="宋体" w:hAnsi="宋体" w:cs="宋体"/>
                <w:color w:val="auto"/>
                <w:sz w:val="24"/>
                <w:highlight w:val="none"/>
              </w:rPr>
            </w:pPr>
            <w:r>
              <w:rPr>
                <w:rFonts w:hint="eastAsia" w:ascii="宋体" w:hAnsi="宋体" w:cs="宋体"/>
                <w:color w:val="auto"/>
                <w:sz w:val="24"/>
                <w:highlight w:val="none"/>
              </w:rPr>
              <w:t>可回收专用车</w:t>
            </w:r>
          </w:p>
        </w:tc>
        <w:tc>
          <w:tcPr>
            <w:tcW w:w="1302" w:type="dxa"/>
            <w:vAlign w:val="center"/>
          </w:tcPr>
          <w:p w14:paraId="0440CE8E">
            <w:pPr>
              <w:jc w:val="center"/>
              <w:rPr>
                <w:rFonts w:ascii="宋体" w:hAnsi="宋体" w:cs="宋体"/>
                <w:color w:val="auto"/>
                <w:sz w:val="24"/>
                <w:highlight w:val="none"/>
              </w:rPr>
            </w:pPr>
            <w:r>
              <w:rPr>
                <w:rFonts w:hint="eastAsia" w:ascii="宋体" w:hAnsi="宋体" w:cs="宋体"/>
                <w:color w:val="auto"/>
                <w:sz w:val="24"/>
                <w:highlight w:val="none"/>
              </w:rPr>
              <w:t>辆</w:t>
            </w:r>
          </w:p>
        </w:tc>
        <w:tc>
          <w:tcPr>
            <w:tcW w:w="1741" w:type="dxa"/>
            <w:vAlign w:val="center"/>
          </w:tcPr>
          <w:p w14:paraId="0AC5D482">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2377" w:type="dxa"/>
            <w:vAlign w:val="center"/>
          </w:tcPr>
          <w:p w14:paraId="79FABBA2">
            <w:pPr>
              <w:jc w:val="center"/>
              <w:rPr>
                <w:rFonts w:ascii="宋体" w:hAnsi="宋体" w:cs="宋体"/>
                <w:color w:val="auto"/>
                <w:sz w:val="24"/>
                <w:highlight w:val="none"/>
              </w:rPr>
            </w:pPr>
            <w:r>
              <w:rPr>
                <w:rFonts w:hint="eastAsia" w:ascii="宋体" w:hAnsi="宋体" w:cs="宋体"/>
                <w:color w:val="auto"/>
                <w:sz w:val="24"/>
                <w:highlight w:val="none"/>
              </w:rPr>
              <w:t>满足运营需求即可</w:t>
            </w:r>
          </w:p>
        </w:tc>
      </w:tr>
    </w:tbl>
    <w:p w14:paraId="32189580">
      <w:pPr>
        <w:rPr>
          <w:rFonts w:ascii="宋体" w:hAnsi="宋体" w:cs="宋体"/>
          <w:b/>
          <w:bCs/>
          <w:color w:val="auto"/>
          <w:sz w:val="24"/>
          <w:highlight w:val="none"/>
        </w:rPr>
      </w:pPr>
    </w:p>
    <w:p w14:paraId="7547ECF6">
      <w:pPr>
        <w:rPr>
          <w:rFonts w:ascii="宋体" w:hAnsi="宋体" w:cs="宋体"/>
          <w:b/>
          <w:bCs/>
          <w:color w:val="auto"/>
          <w:sz w:val="24"/>
          <w:highlight w:val="none"/>
        </w:rPr>
      </w:pPr>
    </w:p>
    <w:p w14:paraId="68F2CF8F">
      <w:pPr>
        <w:rPr>
          <w:rFonts w:ascii="宋体" w:hAnsi="宋体" w:cs="宋体"/>
          <w:b/>
          <w:bCs/>
          <w:color w:val="auto"/>
          <w:sz w:val="24"/>
          <w:highlight w:val="none"/>
        </w:rPr>
      </w:pPr>
      <w:r>
        <w:rPr>
          <w:rFonts w:hint="eastAsia" w:ascii="宋体" w:hAnsi="宋体" w:cs="宋体"/>
          <w:b/>
          <w:bCs/>
          <w:color w:val="auto"/>
          <w:sz w:val="24"/>
          <w:highlight w:val="none"/>
        </w:rPr>
        <w:t>（五）运营需求清单</w:t>
      </w:r>
    </w:p>
    <w:p w14:paraId="4FD2E9CD">
      <w:pPr>
        <w:rPr>
          <w:rFonts w:ascii="宋体" w:hAnsi="宋体" w:cs="宋体"/>
          <w:b/>
          <w:bCs/>
          <w:color w:val="auto"/>
          <w:sz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4"/>
        <w:gridCol w:w="945"/>
        <w:gridCol w:w="967"/>
        <w:gridCol w:w="4435"/>
      </w:tblGrid>
      <w:tr w14:paraId="2D5F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954" w:type="dxa"/>
            <w:shd w:val="clear" w:color="auto" w:fill="BFBFBF"/>
            <w:vAlign w:val="center"/>
          </w:tcPr>
          <w:p w14:paraId="47B1DD22">
            <w:pPr>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945" w:type="dxa"/>
            <w:shd w:val="clear" w:color="auto" w:fill="BFBFBF"/>
            <w:vAlign w:val="center"/>
          </w:tcPr>
          <w:p w14:paraId="12A3C63F">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967" w:type="dxa"/>
            <w:shd w:val="clear" w:color="auto" w:fill="BFBFBF"/>
            <w:vAlign w:val="center"/>
          </w:tcPr>
          <w:p w14:paraId="6D82B8A0">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4435" w:type="dxa"/>
            <w:shd w:val="clear" w:color="auto" w:fill="BFBFBF"/>
            <w:vAlign w:val="center"/>
          </w:tcPr>
          <w:p w14:paraId="40454554">
            <w:pPr>
              <w:jc w:val="center"/>
              <w:rPr>
                <w:rFonts w:ascii="宋体" w:hAnsi="宋体" w:cs="宋体"/>
                <w:b/>
                <w:bCs/>
                <w:color w:val="auto"/>
                <w:sz w:val="24"/>
                <w:highlight w:val="none"/>
              </w:rPr>
            </w:pPr>
            <w:r>
              <w:rPr>
                <w:rFonts w:hint="eastAsia" w:ascii="宋体" w:hAnsi="宋体" w:cs="宋体"/>
                <w:b/>
                <w:bCs/>
                <w:color w:val="auto"/>
                <w:sz w:val="24"/>
                <w:highlight w:val="none"/>
              </w:rPr>
              <w:t>配置原则</w:t>
            </w:r>
          </w:p>
        </w:tc>
      </w:tr>
      <w:tr w14:paraId="44D2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07E51E7C">
            <w:pPr>
              <w:jc w:val="center"/>
              <w:rPr>
                <w:rFonts w:ascii="宋体" w:hAnsi="宋体" w:cs="宋体"/>
                <w:color w:val="auto"/>
                <w:sz w:val="24"/>
                <w:highlight w:val="none"/>
              </w:rPr>
            </w:pPr>
            <w:r>
              <w:rPr>
                <w:rFonts w:hint="eastAsia" w:ascii="宋体" w:hAnsi="宋体" w:cs="宋体"/>
                <w:color w:val="auto"/>
                <w:sz w:val="24"/>
                <w:highlight w:val="none"/>
              </w:rPr>
              <w:t>管理软件平台</w:t>
            </w:r>
          </w:p>
        </w:tc>
        <w:tc>
          <w:tcPr>
            <w:tcW w:w="945" w:type="dxa"/>
            <w:vAlign w:val="center"/>
          </w:tcPr>
          <w:p w14:paraId="5322D6BF">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967" w:type="dxa"/>
            <w:vAlign w:val="center"/>
          </w:tcPr>
          <w:p w14:paraId="0A089AD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435" w:type="dxa"/>
          </w:tcPr>
          <w:p w14:paraId="1E9DCBD3">
            <w:pPr>
              <w:pStyle w:val="34"/>
              <w:spacing w:before="120" w:line="360" w:lineRule="auto"/>
              <w:rPr>
                <w:rFonts w:cs="宋体"/>
                <w:color w:val="auto"/>
                <w:szCs w:val="24"/>
                <w:highlight w:val="none"/>
              </w:rPr>
            </w:pPr>
            <w:r>
              <w:rPr>
                <w:rFonts w:hint="eastAsia" w:cs="宋体"/>
                <w:color w:val="auto"/>
                <w:szCs w:val="24"/>
                <w:highlight w:val="none"/>
              </w:rPr>
              <w:t>实现湖州市垃圾分类智慧监管平台数据接入融合、每个全智能投放驿站的配套设备需满足市级监管平台相关要求</w:t>
            </w:r>
          </w:p>
        </w:tc>
      </w:tr>
      <w:tr w14:paraId="128C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13D11814">
            <w:pPr>
              <w:jc w:val="center"/>
              <w:rPr>
                <w:rFonts w:ascii="宋体" w:hAnsi="宋体" w:cs="宋体"/>
                <w:color w:val="auto"/>
                <w:sz w:val="24"/>
                <w:highlight w:val="none"/>
              </w:rPr>
            </w:pPr>
            <w:r>
              <w:rPr>
                <w:rFonts w:hint="eastAsia" w:ascii="宋体" w:hAnsi="宋体" w:cs="宋体"/>
                <w:color w:val="auto"/>
                <w:sz w:val="24"/>
                <w:highlight w:val="none"/>
              </w:rPr>
              <w:t>积分奖励</w:t>
            </w:r>
          </w:p>
        </w:tc>
        <w:tc>
          <w:tcPr>
            <w:tcW w:w="945" w:type="dxa"/>
            <w:vAlign w:val="center"/>
          </w:tcPr>
          <w:p w14:paraId="44FB4142">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967" w:type="dxa"/>
            <w:vAlign w:val="center"/>
          </w:tcPr>
          <w:p w14:paraId="70FAE23E">
            <w:pPr>
              <w:ind w:right="200"/>
              <w:jc w:val="center"/>
              <w:rPr>
                <w:rFonts w:ascii="宋体" w:hAnsi="宋体" w:cs="宋体"/>
                <w:color w:val="auto"/>
                <w:sz w:val="24"/>
                <w:highlight w:val="none"/>
              </w:rPr>
            </w:pPr>
            <w:r>
              <w:rPr>
                <w:rFonts w:hint="eastAsia" w:ascii="宋体" w:hAnsi="宋体" w:cs="宋体"/>
                <w:color w:val="auto"/>
                <w:sz w:val="24"/>
                <w:highlight w:val="none"/>
              </w:rPr>
              <w:t>1</w:t>
            </w:r>
          </w:p>
        </w:tc>
        <w:tc>
          <w:tcPr>
            <w:tcW w:w="4435" w:type="dxa"/>
          </w:tcPr>
          <w:p w14:paraId="465428EF">
            <w:pPr>
              <w:rPr>
                <w:rFonts w:ascii="宋体" w:hAnsi="宋体" w:cs="宋体"/>
                <w:color w:val="auto"/>
                <w:sz w:val="24"/>
                <w:highlight w:val="none"/>
              </w:rPr>
            </w:pPr>
            <w:r>
              <w:rPr>
                <w:rFonts w:hint="eastAsia" w:ascii="宋体" w:hAnsi="宋体" w:cs="宋体"/>
                <w:color w:val="auto"/>
                <w:sz w:val="24"/>
                <w:highlight w:val="none"/>
              </w:rPr>
              <w:t>每正确投放易腐垃圾每天每户3个积分，价值人民币0.3元</w:t>
            </w:r>
          </w:p>
        </w:tc>
      </w:tr>
      <w:tr w14:paraId="732E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179CA2CD">
            <w:pPr>
              <w:jc w:val="center"/>
              <w:rPr>
                <w:rFonts w:ascii="宋体" w:hAnsi="宋体" w:cs="宋体"/>
                <w:color w:val="auto"/>
                <w:sz w:val="24"/>
                <w:highlight w:val="none"/>
              </w:rPr>
            </w:pPr>
            <w:r>
              <w:rPr>
                <w:rFonts w:hint="eastAsia" w:ascii="宋体" w:hAnsi="宋体" w:cs="宋体"/>
                <w:color w:val="auto"/>
                <w:sz w:val="24"/>
                <w:highlight w:val="none"/>
              </w:rPr>
              <w:t>入户宣传</w:t>
            </w:r>
          </w:p>
        </w:tc>
        <w:tc>
          <w:tcPr>
            <w:tcW w:w="945" w:type="dxa"/>
            <w:vAlign w:val="center"/>
          </w:tcPr>
          <w:p w14:paraId="3185A9C4">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967" w:type="dxa"/>
            <w:vAlign w:val="center"/>
          </w:tcPr>
          <w:p w14:paraId="4903CC7F">
            <w:pPr>
              <w:ind w:right="200"/>
              <w:jc w:val="center"/>
              <w:rPr>
                <w:rFonts w:ascii="宋体" w:hAnsi="宋体" w:cs="宋体"/>
                <w:color w:val="auto"/>
                <w:sz w:val="24"/>
                <w:highlight w:val="none"/>
              </w:rPr>
            </w:pPr>
            <w:r>
              <w:rPr>
                <w:rFonts w:hint="eastAsia" w:ascii="宋体" w:hAnsi="宋体" w:cs="宋体"/>
                <w:color w:val="auto"/>
                <w:sz w:val="24"/>
                <w:highlight w:val="none"/>
              </w:rPr>
              <w:t>1</w:t>
            </w:r>
          </w:p>
        </w:tc>
        <w:tc>
          <w:tcPr>
            <w:tcW w:w="4435" w:type="dxa"/>
          </w:tcPr>
          <w:p w14:paraId="0A97B5C8">
            <w:pPr>
              <w:rPr>
                <w:rFonts w:ascii="宋体" w:hAnsi="宋体" w:cs="宋体"/>
                <w:color w:val="auto"/>
                <w:sz w:val="24"/>
                <w:highlight w:val="none"/>
              </w:rPr>
            </w:pPr>
            <w:r>
              <w:rPr>
                <w:rFonts w:hint="eastAsia" w:ascii="宋体" w:hAnsi="宋体" w:cs="宋体"/>
                <w:color w:val="auto"/>
                <w:sz w:val="24"/>
                <w:highlight w:val="none"/>
              </w:rPr>
              <w:t>全部住户 100%的上门垃圾分类宣讲、发放分类倡议书，要求入户宣传每户有业主签字清单</w:t>
            </w:r>
          </w:p>
        </w:tc>
      </w:tr>
      <w:tr w14:paraId="22A7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4691E33B">
            <w:pPr>
              <w:jc w:val="center"/>
              <w:rPr>
                <w:rFonts w:ascii="宋体" w:hAnsi="宋体" w:cs="宋体"/>
                <w:color w:val="auto"/>
                <w:sz w:val="24"/>
                <w:highlight w:val="none"/>
              </w:rPr>
            </w:pPr>
            <w:r>
              <w:rPr>
                <w:rFonts w:hint="eastAsia" w:ascii="宋体" w:hAnsi="宋体" w:cs="宋体"/>
                <w:color w:val="auto"/>
                <w:sz w:val="24"/>
                <w:highlight w:val="none"/>
              </w:rPr>
              <w:t>大型宣传活动</w:t>
            </w:r>
          </w:p>
        </w:tc>
        <w:tc>
          <w:tcPr>
            <w:tcW w:w="945" w:type="dxa"/>
            <w:vAlign w:val="center"/>
          </w:tcPr>
          <w:p w14:paraId="2AB517BB">
            <w:pPr>
              <w:jc w:val="center"/>
              <w:rPr>
                <w:rFonts w:ascii="宋体" w:hAnsi="宋体" w:cs="宋体"/>
                <w:color w:val="auto"/>
                <w:sz w:val="24"/>
                <w:highlight w:val="none"/>
              </w:rPr>
            </w:pPr>
            <w:r>
              <w:rPr>
                <w:rFonts w:hint="eastAsia" w:ascii="宋体" w:hAnsi="宋体" w:cs="宋体"/>
                <w:color w:val="auto"/>
                <w:sz w:val="24"/>
                <w:highlight w:val="none"/>
              </w:rPr>
              <w:t>场</w:t>
            </w:r>
          </w:p>
        </w:tc>
        <w:tc>
          <w:tcPr>
            <w:tcW w:w="967" w:type="dxa"/>
            <w:vAlign w:val="center"/>
          </w:tcPr>
          <w:p w14:paraId="4D3F0671">
            <w:pPr>
              <w:jc w:val="center"/>
              <w:rPr>
                <w:rFonts w:ascii="宋体" w:hAnsi="宋体" w:cs="宋体"/>
                <w:color w:val="auto"/>
                <w:sz w:val="24"/>
                <w:highlight w:val="none"/>
              </w:rPr>
            </w:pPr>
            <w:r>
              <w:rPr>
                <w:rFonts w:hint="eastAsia" w:ascii="宋体" w:hAnsi="宋体" w:cs="宋体"/>
                <w:color w:val="auto"/>
                <w:sz w:val="24"/>
                <w:highlight w:val="none"/>
              </w:rPr>
              <w:t>4</w:t>
            </w:r>
          </w:p>
        </w:tc>
        <w:tc>
          <w:tcPr>
            <w:tcW w:w="4435" w:type="dxa"/>
          </w:tcPr>
          <w:p w14:paraId="6593EC25">
            <w:pPr>
              <w:rPr>
                <w:rFonts w:ascii="宋体" w:hAnsi="宋体" w:cs="宋体"/>
                <w:color w:val="auto"/>
                <w:sz w:val="24"/>
                <w:highlight w:val="none"/>
              </w:rPr>
            </w:pPr>
            <w:r>
              <w:rPr>
                <w:rFonts w:hint="eastAsia" w:ascii="宋体" w:hAnsi="宋体" w:cs="宋体"/>
                <w:color w:val="auto"/>
                <w:sz w:val="24"/>
                <w:highlight w:val="none"/>
              </w:rPr>
              <w:t>各小区每年四场（含志愿者、礼品等）</w:t>
            </w:r>
          </w:p>
        </w:tc>
      </w:tr>
      <w:tr w14:paraId="5811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54D1A2BD">
            <w:pPr>
              <w:jc w:val="center"/>
              <w:rPr>
                <w:rFonts w:ascii="宋体" w:hAnsi="宋体" w:cs="宋体"/>
                <w:color w:val="auto"/>
                <w:sz w:val="24"/>
                <w:highlight w:val="none"/>
              </w:rPr>
            </w:pPr>
            <w:r>
              <w:rPr>
                <w:rFonts w:hint="eastAsia" w:ascii="宋体" w:hAnsi="宋体" w:cs="宋体"/>
                <w:color w:val="auto"/>
                <w:sz w:val="24"/>
                <w:highlight w:val="none"/>
              </w:rPr>
              <w:t>每月小型宣传活动</w:t>
            </w:r>
          </w:p>
        </w:tc>
        <w:tc>
          <w:tcPr>
            <w:tcW w:w="945" w:type="dxa"/>
            <w:vAlign w:val="center"/>
          </w:tcPr>
          <w:p w14:paraId="130A39E4">
            <w:pPr>
              <w:jc w:val="center"/>
              <w:rPr>
                <w:rFonts w:ascii="宋体" w:hAnsi="宋体" w:cs="宋体"/>
                <w:color w:val="auto"/>
                <w:sz w:val="24"/>
                <w:highlight w:val="none"/>
              </w:rPr>
            </w:pPr>
            <w:r>
              <w:rPr>
                <w:rFonts w:hint="eastAsia" w:ascii="宋体" w:hAnsi="宋体" w:cs="宋体"/>
                <w:color w:val="auto"/>
                <w:sz w:val="24"/>
                <w:highlight w:val="none"/>
              </w:rPr>
              <w:t>场</w:t>
            </w:r>
          </w:p>
        </w:tc>
        <w:tc>
          <w:tcPr>
            <w:tcW w:w="967" w:type="dxa"/>
            <w:vAlign w:val="center"/>
          </w:tcPr>
          <w:p w14:paraId="4A975AA1">
            <w:pPr>
              <w:jc w:val="center"/>
              <w:rPr>
                <w:rFonts w:ascii="宋体" w:hAnsi="宋体" w:cs="宋体"/>
                <w:color w:val="auto"/>
                <w:sz w:val="24"/>
                <w:highlight w:val="none"/>
              </w:rPr>
            </w:pPr>
            <w:r>
              <w:rPr>
                <w:rFonts w:hint="eastAsia" w:ascii="宋体" w:hAnsi="宋体" w:cs="宋体"/>
                <w:color w:val="auto"/>
                <w:sz w:val="24"/>
                <w:highlight w:val="none"/>
              </w:rPr>
              <w:t>12</w:t>
            </w:r>
          </w:p>
        </w:tc>
        <w:tc>
          <w:tcPr>
            <w:tcW w:w="4435" w:type="dxa"/>
          </w:tcPr>
          <w:p w14:paraId="5F25AAE9">
            <w:pPr>
              <w:rPr>
                <w:rFonts w:ascii="宋体" w:hAnsi="宋体" w:cs="宋体"/>
                <w:color w:val="auto"/>
                <w:sz w:val="24"/>
                <w:highlight w:val="none"/>
              </w:rPr>
            </w:pPr>
            <w:r>
              <w:rPr>
                <w:rFonts w:hint="eastAsia" w:ascii="宋体" w:hAnsi="宋体" w:cs="宋体"/>
                <w:color w:val="auto"/>
                <w:sz w:val="24"/>
                <w:highlight w:val="none"/>
              </w:rPr>
              <w:t>各小区每月一场（每个小型宣传活动根据小区内垃圾分类氛围决定）</w:t>
            </w:r>
          </w:p>
        </w:tc>
      </w:tr>
      <w:tr w14:paraId="479B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51CC78B6">
            <w:pPr>
              <w:jc w:val="center"/>
              <w:rPr>
                <w:rFonts w:ascii="宋体" w:hAnsi="宋体" w:cs="宋体"/>
                <w:color w:val="auto"/>
                <w:sz w:val="24"/>
                <w:highlight w:val="none"/>
              </w:rPr>
            </w:pPr>
            <w:r>
              <w:rPr>
                <w:rFonts w:hint="eastAsia" w:ascii="宋体" w:hAnsi="宋体" w:cs="宋体"/>
                <w:color w:val="auto"/>
                <w:sz w:val="24"/>
                <w:highlight w:val="none"/>
              </w:rPr>
              <w:t>新媒体宣传推广</w:t>
            </w:r>
          </w:p>
        </w:tc>
        <w:tc>
          <w:tcPr>
            <w:tcW w:w="945" w:type="dxa"/>
            <w:vAlign w:val="center"/>
          </w:tcPr>
          <w:p w14:paraId="05022C47">
            <w:pPr>
              <w:jc w:val="center"/>
              <w:rPr>
                <w:rFonts w:ascii="宋体" w:hAnsi="宋体" w:cs="宋体"/>
                <w:color w:val="auto"/>
                <w:sz w:val="24"/>
                <w:highlight w:val="none"/>
              </w:rPr>
            </w:pPr>
            <w:r>
              <w:rPr>
                <w:rFonts w:hint="eastAsia" w:ascii="宋体" w:hAnsi="宋体" w:cs="宋体"/>
                <w:color w:val="auto"/>
                <w:sz w:val="24"/>
                <w:highlight w:val="none"/>
              </w:rPr>
              <w:t>篇</w:t>
            </w:r>
          </w:p>
        </w:tc>
        <w:tc>
          <w:tcPr>
            <w:tcW w:w="967" w:type="dxa"/>
            <w:vAlign w:val="center"/>
          </w:tcPr>
          <w:p w14:paraId="457C40AA">
            <w:pPr>
              <w:jc w:val="center"/>
              <w:rPr>
                <w:rFonts w:ascii="宋体" w:hAnsi="宋体" w:cs="宋体"/>
                <w:color w:val="auto"/>
                <w:sz w:val="24"/>
                <w:highlight w:val="none"/>
                <w:lang w:val="en"/>
              </w:rPr>
            </w:pPr>
            <w:r>
              <w:rPr>
                <w:rFonts w:hint="eastAsia" w:ascii="宋体" w:hAnsi="宋体" w:cs="宋体"/>
                <w:color w:val="auto"/>
                <w:sz w:val="24"/>
                <w:highlight w:val="none"/>
              </w:rPr>
              <w:t>120</w:t>
            </w:r>
          </w:p>
        </w:tc>
        <w:tc>
          <w:tcPr>
            <w:tcW w:w="4435" w:type="dxa"/>
          </w:tcPr>
          <w:p w14:paraId="09986771">
            <w:pPr>
              <w:rPr>
                <w:rFonts w:ascii="宋体" w:hAnsi="宋体" w:cs="宋体"/>
                <w:color w:val="auto"/>
                <w:sz w:val="24"/>
                <w:highlight w:val="none"/>
              </w:rPr>
            </w:pPr>
            <w:r>
              <w:rPr>
                <w:rFonts w:hint="eastAsia" w:ascii="宋体" w:hAnsi="宋体" w:cs="宋体"/>
                <w:color w:val="auto"/>
                <w:sz w:val="24"/>
                <w:highlight w:val="none"/>
              </w:rPr>
              <w:t>市级以上（含市级）媒体文章推送不少于10篇/月</w:t>
            </w:r>
          </w:p>
        </w:tc>
      </w:tr>
      <w:tr w14:paraId="3FD9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54" w:type="dxa"/>
            <w:vAlign w:val="center"/>
          </w:tcPr>
          <w:p w14:paraId="30E5189F">
            <w:pPr>
              <w:jc w:val="center"/>
              <w:rPr>
                <w:rFonts w:ascii="宋体" w:hAnsi="宋体" w:cs="宋体"/>
                <w:color w:val="auto"/>
                <w:sz w:val="24"/>
                <w:highlight w:val="none"/>
              </w:rPr>
            </w:pPr>
            <w:r>
              <w:rPr>
                <w:rFonts w:hint="eastAsia" w:ascii="宋体" w:hAnsi="宋体" w:cs="宋体"/>
                <w:color w:val="auto"/>
                <w:sz w:val="24"/>
                <w:highlight w:val="none"/>
              </w:rPr>
              <w:t>原厂培训</w:t>
            </w:r>
          </w:p>
        </w:tc>
        <w:tc>
          <w:tcPr>
            <w:tcW w:w="945" w:type="dxa"/>
            <w:vAlign w:val="center"/>
          </w:tcPr>
          <w:p w14:paraId="53F9D913">
            <w:pPr>
              <w:jc w:val="center"/>
              <w:rPr>
                <w:rFonts w:ascii="宋体" w:hAnsi="宋体" w:cs="宋体"/>
                <w:color w:val="auto"/>
                <w:sz w:val="24"/>
                <w:highlight w:val="none"/>
              </w:rPr>
            </w:pPr>
            <w:r>
              <w:rPr>
                <w:rFonts w:hint="eastAsia" w:ascii="宋体" w:hAnsi="宋体" w:cs="宋体"/>
                <w:color w:val="auto"/>
                <w:sz w:val="24"/>
                <w:highlight w:val="none"/>
              </w:rPr>
              <w:t>场</w:t>
            </w:r>
          </w:p>
        </w:tc>
        <w:tc>
          <w:tcPr>
            <w:tcW w:w="967" w:type="dxa"/>
            <w:vAlign w:val="center"/>
          </w:tcPr>
          <w:p w14:paraId="7EEEC462">
            <w:pPr>
              <w:jc w:val="center"/>
              <w:rPr>
                <w:rFonts w:ascii="宋体" w:hAnsi="宋体" w:cs="宋体"/>
                <w:color w:val="auto"/>
                <w:sz w:val="24"/>
                <w:highlight w:val="none"/>
              </w:rPr>
            </w:pPr>
            <w:r>
              <w:rPr>
                <w:rFonts w:hint="eastAsia" w:ascii="宋体" w:hAnsi="宋体" w:cs="宋体"/>
                <w:color w:val="auto"/>
                <w:sz w:val="24"/>
                <w:highlight w:val="none"/>
              </w:rPr>
              <w:t>4</w:t>
            </w:r>
          </w:p>
        </w:tc>
        <w:tc>
          <w:tcPr>
            <w:tcW w:w="4435" w:type="dxa"/>
          </w:tcPr>
          <w:p w14:paraId="3789067C">
            <w:pPr>
              <w:rPr>
                <w:rFonts w:ascii="宋体" w:hAnsi="宋体" w:cs="宋体"/>
                <w:color w:val="auto"/>
                <w:sz w:val="24"/>
                <w:highlight w:val="none"/>
              </w:rPr>
            </w:pPr>
            <w:r>
              <w:rPr>
                <w:rFonts w:hint="eastAsia" w:ascii="宋体" w:hAnsi="宋体" w:cs="宋体"/>
                <w:color w:val="auto"/>
                <w:sz w:val="24"/>
                <w:highlight w:val="none"/>
              </w:rPr>
              <w:t>根据街道实际安排</w:t>
            </w:r>
          </w:p>
        </w:tc>
      </w:tr>
    </w:tbl>
    <w:p w14:paraId="1959FC29">
      <w:pPr>
        <w:rPr>
          <w:rFonts w:ascii="宋体" w:hAnsi="宋体" w:cs="宋体"/>
          <w:b/>
          <w:bCs/>
          <w:color w:val="auto"/>
          <w:sz w:val="24"/>
          <w:highlight w:val="none"/>
        </w:rPr>
      </w:pPr>
    </w:p>
    <w:p w14:paraId="5A96780E">
      <w:pPr>
        <w:rPr>
          <w:rFonts w:ascii="宋体" w:hAnsi="宋体" w:cs="宋体"/>
          <w:b/>
          <w:bCs/>
          <w:color w:val="auto"/>
          <w:sz w:val="24"/>
          <w:highlight w:val="none"/>
        </w:rPr>
      </w:pPr>
      <w:r>
        <w:rPr>
          <w:rFonts w:hint="eastAsia" w:ascii="宋体" w:hAnsi="宋体" w:cs="宋体"/>
          <w:b/>
          <w:bCs/>
          <w:color w:val="auto"/>
          <w:sz w:val="24"/>
          <w:highlight w:val="none"/>
        </w:rPr>
        <w:t>（六）人员需求</w:t>
      </w:r>
    </w:p>
    <w:p w14:paraId="5BBA54DE">
      <w:pPr>
        <w:rPr>
          <w:rFonts w:ascii="宋体" w:hAnsi="宋体" w:cs="宋体"/>
          <w:b/>
          <w:bCs/>
          <w:color w:val="auto"/>
          <w:sz w:val="24"/>
          <w:highlight w:val="none"/>
        </w:rPr>
      </w:pPr>
    </w:p>
    <w:tbl>
      <w:tblPr>
        <w:tblStyle w:val="21"/>
        <w:tblW w:w="0" w:type="auto"/>
        <w:jc w:val="center"/>
        <w:tblLayout w:type="fixed"/>
        <w:tblCellMar>
          <w:top w:w="0" w:type="dxa"/>
          <w:left w:w="108" w:type="dxa"/>
          <w:bottom w:w="0" w:type="dxa"/>
          <w:right w:w="108" w:type="dxa"/>
        </w:tblCellMar>
      </w:tblPr>
      <w:tblGrid>
        <w:gridCol w:w="1523"/>
        <w:gridCol w:w="456"/>
        <w:gridCol w:w="740"/>
        <w:gridCol w:w="5498"/>
      </w:tblGrid>
      <w:tr w14:paraId="63266BF5">
        <w:tblPrEx>
          <w:tblCellMar>
            <w:top w:w="0" w:type="dxa"/>
            <w:left w:w="108" w:type="dxa"/>
            <w:bottom w:w="0" w:type="dxa"/>
            <w:right w:w="108" w:type="dxa"/>
          </w:tblCellMar>
        </w:tblPrEx>
        <w:trPr>
          <w:trHeight w:val="397" w:hRule="atLeast"/>
          <w:tblHeader/>
          <w:jc w:val="center"/>
        </w:trPr>
        <w:tc>
          <w:tcPr>
            <w:tcW w:w="1523" w:type="dxa"/>
            <w:tcBorders>
              <w:top w:val="single" w:color="auto" w:sz="4" w:space="0"/>
              <w:left w:val="single" w:color="auto" w:sz="4" w:space="0"/>
              <w:bottom w:val="single" w:color="auto" w:sz="4" w:space="0"/>
              <w:right w:val="single" w:color="auto" w:sz="4" w:space="0"/>
            </w:tcBorders>
            <w:shd w:val="clear" w:color="auto" w:fill="BFBFBF"/>
            <w:vAlign w:val="center"/>
          </w:tcPr>
          <w:p w14:paraId="26D19E56">
            <w:pPr>
              <w:jc w:val="center"/>
              <w:rPr>
                <w:rFonts w:ascii="宋体" w:hAnsi="宋体" w:cs="宋体"/>
                <w:b/>
                <w:bCs/>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岗位</w:t>
            </w:r>
          </w:p>
          <w:p w14:paraId="00D00421">
            <w:pPr>
              <w:jc w:val="center"/>
              <w:rPr>
                <w:rFonts w:ascii="宋体" w:hAnsi="宋体" w:cs="宋体"/>
                <w:b/>
                <w:bCs/>
                <w:color w:val="auto"/>
                <w:sz w:val="24"/>
                <w:highlight w:val="none"/>
              </w:rPr>
            </w:pPr>
            <w:r>
              <w:rPr>
                <w:rFonts w:hint="eastAsia" w:ascii="宋体" w:hAnsi="宋体" w:cs="宋体"/>
                <w:b/>
                <w:bCs/>
                <w:color w:val="auto"/>
                <w:sz w:val="24"/>
                <w:highlight w:val="none"/>
              </w:rPr>
              <w:t>名称</w:t>
            </w:r>
          </w:p>
        </w:tc>
        <w:tc>
          <w:tcPr>
            <w:tcW w:w="456" w:type="dxa"/>
            <w:tcBorders>
              <w:top w:val="single" w:color="auto" w:sz="4" w:space="0"/>
              <w:left w:val="nil"/>
              <w:bottom w:val="single" w:color="auto" w:sz="4" w:space="0"/>
              <w:right w:val="single" w:color="auto" w:sz="4" w:space="0"/>
            </w:tcBorders>
            <w:shd w:val="clear" w:color="auto" w:fill="BFBFBF"/>
            <w:vAlign w:val="center"/>
          </w:tcPr>
          <w:p w14:paraId="0C666800">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740" w:type="dxa"/>
            <w:tcBorders>
              <w:top w:val="single" w:color="auto" w:sz="4" w:space="0"/>
              <w:left w:val="nil"/>
              <w:bottom w:val="single" w:color="auto" w:sz="4" w:space="0"/>
              <w:right w:val="single" w:color="auto" w:sz="4" w:space="0"/>
            </w:tcBorders>
            <w:shd w:val="clear" w:color="auto" w:fill="BFBFBF"/>
            <w:vAlign w:val="center"/>
          </w:tcPr>
          <w:p w14:paraId="7383CA2C">
            <w:pPr>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5498" w:type="dxa"/>
            <w:tcBorders>
              <w:top w:val="single" w:color="auto" w:sz="4" w:space="0"/>
              <w:left w:val="nil"/>
              <w:bottom w:val="single" w:color="auto" w:sz="4" w:space="0"/>
              <w:right w:val="single" w:color="auto" w:sz="4" w:space="0"/>
            </w:tcBorders>
            <w:shd w:val="clear" w:color="auto" w:fill="BFBFBF"/>
            <w:vAlign w:val="center"/>
          </w:tcPr>
          <w:p w14:paraId="709D6283">
            <w:pPr>
              <w:jc w:val="center"/>
              <w:rPr>
                <w:rFonts w:ascii="宋体" w:hAnsi="宋体" w:cs="宋体"/>
                <w:b/>
                <w:bCs/>
                <w:color w:val="auto"/>
                <w:sz w:val="24"/>
                <w:highlight w:val="none"/>
              </w:rPr>
            </w:pPr>
            <w:r>
              <w:rPr>
                <w:rFonts w:hint="eastAsia" w:ascii="宋体" w:hAnsi="宋体" w:cs="宋体"/>
                <w:b/>
                <w:bCs/>
                <w:color w:val="auto"/>
                <w:sz w:val="24"/>
                <w:highlight w:val="none"/>
              </w:rPr>
              <w:t>配置原则</w:t>
            </w:r>
          </w:p>
        </w:tc>
      </w:tr>
      <w:tr w14:paraId="33E34337">
        <w:tblPrEx>
          <w:tblCellMar>
            <w:top w:w="0" w:type="dxa"/>
            <w:left w:w="108" w:type="dxa"/>
            <w:bottom w:w="0" w:type="dxa"/>
            <w:right w:w="108" w:type="dxa"/>
          </w:tblCellMar>
        </w:tblPrEx>
        <w:trPr>
          <w:trHeight w:val="465" w:hRule="atLeast"/>
          <w:jc w:val="center"/>
        </w:trPr>
        <w:tc>
          <w:tcPr>
            <w:tcW w:w="1523" w:type="dxa"/>
            <w:tcBorders>
              <w:top w:val="nil"/>
              <w:left w:val="single" w:color="auto" w:sz="4" w:space="0"/>
              <w:bottom w:val="single" w:color="auto" w:sz="4" w:space="0"/>
              <w:right w:val="single" w:color="auto" w:sz="4" w:space="0"/>
            </w:tcBorders>
            <w:vAlign w:val="center"/>
          </w:tcPr>
          <w:p w14:paraId="75426017">
            <w:pPr>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456" w:type="dxa"/>
            <w:tcBorders>
              <w:top w:val="nil"/>
              <w:left w:val="nil"/>
              <w:bottom w:val="single" w:color="auto" w:sz="4" w:space="0"/>
              <w:right w:val="single" w:color="auto" w:sz="4" w:space="0"/>
            </w:tcBorders>
            <w:vAlign w:val="center"/>
          </w:tcPr>
          <w:p w14:paraId="52B80635">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0E322C22">
            <w:pPr>
              <w:jc w:val="center"/>
              <w:rPr>
                <w:rFonts w:ascii="宋体" w:hAnsi="宋体" w:cs="宋体"/>
                <w:color w:val="auto"/>
                <w:sz w:val="24"/>
                <w:highlight w:val="none"/>
              </w:rPr>
            </w:pPr>
            <w:r>
              <w:rPr>
                <w:rFonts w:hint="eastAsia" w:ascii="宋体" w:hAnsi="宋体" w:cs="宋体"/>
                <w:color w:val="auto"/>
                <w:sz w:val="24"/>
                <w:highlight w:val="none"/>
              </w:rPr>
              <w:t>1</w:t>
            </w:r>
          </w:p>
        </w:tc>
        <w:tc>
          <w:tcPr>
            <w:tcW w:w="5498" w:type="dxa"/>
            <w:tcBorders>
              <w:top w:val="nil"/>
              <w:left w:val="nil"/>
              <w:bottom w:val="single" w:color="auto" w:sz="4" w:space="0"/>
              <w:right w:val="single" w:color="auto" w:sz="4" w:space="0"/>
            </w:tcBorders>
            <w:vAlign w:val="center"/>
          </w:tcPr>
          <w:p w14:paraId="6E79A62F">
            <w:pPr>
              <w:rPr>
                <w:rFonts w:ascii="宋体" w:hAnsi="宋体" w:cs="宋体"/>
                <w:color w:val="auto"/>
                <w:sz w:val="24"/>
                <w:highlight w:val="none"/>
              </w:rPr>
            </w:pPr>
            <w:r>
              <w:rPr>
                <w:rFonts w:hint="eastAsia" w:ascii="宋体" w:hAnsi="宋体" w:cs="宋体"/>
                <w:color w:val="auto"/>
                <w:sz w:val="24"/>
                <w:highlight w:val="none"/>
              </w:rPr>
              <w:t>项目经理按照小区整体运营情况配置、对整个项目负总责、具备相应工作经验。</w:t>
            </w:r>
          </w:p>
        </w:tc>
      </w:tr>
      <w:tr w14:paraId="5F13C4F7">
        <w:tblPrEx>
          <w:tblCellMar>
            <w:top w:w="0" w:type="dxa"/>
            <w:left w:w="108" w:type="dxa"/>
            <w:bottom w:w="0" w:type="dxa"/>
            <w:right w:w="108" w:type="dxa"/>
          </w:tblCellMar>
        </w:tblPrEx>
        <w:trPr>
          <w:trHeight w:val="397" w:hRule="atLeast"/>
          <w:jc w:val="center"/>
        </w:trPr>
        <w:tc>
          <w:tcPr>
            <w:tcW w:w="1523" w:type="dxa"/>
            <w:tcBorders>
              <w:top w:val="nil"/>
              <w:left w:val="single" w:color="auto" w:sz="4" w:space="0"/>
              <w:bottom w:val="single" w:color="auto" w:sz="4" w:space="0"/>
              <w:right w:val="single" w:color="auto" w:sz="4" w:space="0"/>
            </w:tcBorders>
            <w:vAlign w:val="center"/>
          </w:tcPr>
          <w:p w14:paraId="3273C7B4">
            <w:pPr>
              <w:jc w:val="center"/>
              <w:rPr>
                <w:rFonts w:ascii="宋体" w:hAnsi="宋体" w:cs="宋体"/>
                <w:color w:val="auto"/>
                <w:sz w:val="24"/>
                <w:highlight w:val="none"/>
              </w:rPr>
            </w:pPr>
            <w:r>
              <w:rPr>
                <w:rFonts w:hint="eastAsia" w:ascii="宋体" w:hAnsi="宋体" w:cs="宋体"/>
                <w:color w:val="auto"/>
                <w:sz w:val="24"/>
                <w:highlight w:val="none"/>
              </w:rPr>
              <w:t>项目管理员</w:t>
            </w:r>
          </w:p>
        </w:tc>
        <w:tc>
          <w:tcPr>
            <w:tcW w:w="456" w:type="dxa"/>
            <w:tcBorders>
              <w:top w:val="nil"/>
              <w:left w:val="nil"/>
              <w:bottom w:val="single" w:color="auto" w:sz="4" w:space="0"/>
              <w:right w:val="single" w:color="auto" w:sz="4" w:space="0"/>
            </w:tcBorders>
            <w:vAlign w:val="center"/>
          </w:tcPr>
          <w:p w14:paraId="2C538E26">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160F54EC">
            <w:pPr>
              <w:jc w:val="center"/>
              <w:rPr>
                <w:rFonts w:ascii="宋体" w:hAnsi="宋体" w:cs="宋体"/>
                <w:color w:val="auto"/>
                <w:sz w:val="24"/>
                <w:highlight w:val="none"/>
              </w:rPr>
            </w:pPr>
            <w:r>
              <w:rPr>
                <w:rFonts w:hint="eastAsia" w:ascii="宋体" w:hAnsi="宋体" w:cs="宋体"/>
                <w:color w:val="auto"/>
                <w:sz w:val="24"/>
                <w:highlight w:val="none"/>
              </w:rPr>
              <w:t>2</w:t>
            </w:r>
          </w:p>
        </w:tc>
        <w:tc>
          <w:tcPr>
            <w:tcW w:w="5498" w:type="dxa"/>
            <w:tcBorders>
              <w:top w:val="nil"/>
              <w:left w:val="nil"/>
              <w:bottom w:val="single" w:color="auto" w:sz="4" w:space="0"/>
              <w:right w:val="single" w:color="auto" w:sz="4" w:space="0"/>
            </w:tcBorders>
            <w:vAlign w:val="center"/>
          </w:tcPr>
          <w:p w14:paraId="75A193F0">
            <w:pPr>
              <w:jc w:val="center"/>
              <w:rPr>
                <w:rFonts w:ascii="宋体" w:hAnsi="宋体" w:cs="宋体"/>
                <w:color w:val="auto"/>
                <w:sz w:val="24"/>
                <w:highlight w:val="none"/>
              </w:rPr>
            </w:pPr>
            <w:r>
              <w:rPr>
                <w:rFonts w:hint="eastAsia" w:ascii="宋体" w:hAnsi="宋体" w:cs="宋体"/>
                <w:color w:val="auto"/>
                <w:sz w:val="24"/>
                <w:highlight w:val="none"/>
              </w:rPr>
              <w:t>管理员按照小区整体运营情况配置、要求负责宣传、物资管理、建设和点位管理、台账及数据等管理。</w:t>
            </w:r>
          </w:p>
        </w:tc>
      </w:tr>
      <w:tr w14:paraId="74956D6F">
        <w:tblPrEx>
          <w:tblCellMar>
            <w:top w:w="0" w:type="dxa"/>
            <w:left w:w="108" w:type="dxa"/>
            <w:bottom w:w="0" w:type="dxa"/>
            <w:right w:w="108" w:type="dxa"/>
          </w:tblCellMar>
        </w:tblPrEx>
        <w:trPr>
          <w:trHeight w:val="397" w:hRule="atLeast"/>
          <w:jc w:val="center"/>
        </w:trPr>
        <w:tc>
          <w:tcPr>
            <w:tcW w:w="1523" w:type="dxa"/>
            <w:tcBorders>
              <w:top w:val="nil"/>
              <w:left w:val="single" w:color="auto" w:sz="4" w:space="0"/>
              <w:bottom w:val="single" w:color="auto" w:sz="4" w:space="0"/>
              <w:right w:val="single" w:color="auto" w:sz="4" w:space="0"/>
            </w:tcBorders>
            <w:vAlign w:val="center"/>
          </w:tcPr>
          <w:p w14:paraId="0C3D9651">
            <w:pPr>
              <w:jc w:val="center"/>
              <w:rPr>
                <w:rFonts w:ascii="宋体" w:hAnsi="宋体" w:cs="宋体"/>
                <w:color w:val="auto"/>
                <w:sz w:val="24"/>
                <w:highlight w:val="none"/>
              </w:rPr>
            </w:pPr>
            <w:r>
              <w:rPr>
                <w:rFonts w:hint="eastAsia" w:ascii="宋体" w:hAnsi="宋体" w:cs="宋体"/>
                <w:color w:val="auto"/>
                <w:sz w:val="24"/>
                <w:highlight w:val="none"/>
              </w:rPr>
              <w:t>质量管理员</w:t>
            </w:r>
          </w:p>
        </w:tc>
        <w:tc>
          <w:tcPr>
            <w:tcW w:w="456" w:type="dxa"/>
            <w:tcBorders>
              <w:top w:val="nil"/>
              <w:left w:val="nil"/>
              <w:bottom w:val="single" w:color="auto" w:sz="4" w:space="0"/>
              <w:right w:val="single" w:color="auto" w:sz="4" w:space="0"/>
            </w:tcBorders>
            <w:vAlign w:val="center"/>
          </w:tcPr>
          <w:p w14:paraId="64837378">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5353EAC5">
            <w:pPr>
              <w:jc w:val="center"/>
              <w:rPr>
                <w:rFonts w:ascii="宋体" w:hAnsi="宋体" w:cs="宋体"/>
                <w:color w:val="auto"/>
                <w:sz w:val="24"/>
                <w:highlight w:val="none"/>
              </w:rPr>
            </w:pPr>
            <w:r>
              <w:rPr>
                <w:rFonts w:hint="eastAsia" w:ascii="宋体" w:hAnsi="宋体" w:cs="宋体"/>
                <w:color w:val="auto"/>
                <w:sz w:val="24"/>
                <w:highlight w:val="none"/>
              </w:rPr>
              <w:t>2</w:t>
            </w:r>
          </w:p>
        </w:tc>
        <w:tc>
          <w:tcPr>
            <w:tcW w:w="5498" w:type="dxa"/>
            <w:tcBorders>
              <w:top w:val="nil"/>
              <w:left w:val="nil"/>
              <w:bottom w:val="single" w:color="auto" w:sz="4" w:space="0"/>
              <w:right w:val="single" w:color="auto" w:sz="4" w:space="0"/>
            </w:tcBorders>
            <w:vAlign w:val="center"/>
          </w:tcPr>
          <w:p w14:paraId="00C52FAB">
            <w:pPr>
              <w:rPr>
                <w:rFonts w:ascii="宋体" w:hAnsi="宋体" w:cs="宋体"/>
                <w:color w:val="auto"/>
                <w:sz w:val="24"/>
                <w:highlight w:val="none"/>
              </w:rPr>
            </w:pPr>
            <w:r>
              <w:rPr>
                <w:rFonts w:hint="eastAsia" w:ascii="宋体" w:hAnsi="宋体" w:cs="宋体"/>
                <w:color w:val="auto"/>
                <w:sz w:val="24"/>
                <w:highlight w:val="none"/>
              </w:rPr>
              <w:t>对分类质量进行监督、管理、分析，提出整改措施</w:t>
            </w:r>
          </w:p>
        </w:tc>
      </w:tr>
      <w:tr w14:paraId="656137DC">
        <w:tblPrEx>
          <w:tblCellMar>
            <w:top w:w="0" w:type="dxa"/>
            <w:left w:w="108" w:type="dxa"/>
            <w:bottom w:w="0" w:type="dxa"/>
            <w:right w:w="108" w:type="dxa"/>
          </w:tblCellMar>
        </w:tblPrEx>
        <w:trPr>
          <w:trHeight w:val="1935" w:hRule="atLeast"/>
          <w:jc w:val="center"/>
        </w:trPr>
        <w:tc>
          <w:tcPr>
            <w:tcW w:w="1523" w:type="dxa"/>
            <w:tcBorders>
              <w:top w:val="nil"/>
              <w:left w:val="single" w:color="auto" w:sz="4" w:space="0"/>
              <w:bottom w:val="single" w:color="auto" w:sz="4" w:space="0"/>
              <w:right w:val="single" w:color="auto" w:sz="4" w:space="0"/>
            </w:tcBorders>
            <w:vAlign w:val="center"/>
          </w:tcPr>
          <w:p w14:paraId="32FAA550">
            <w:pPr>
              <w:jc w:val="center"/>
              <w:rPr>
                <w:rFonts w:ascii="宋体" w:hAnsi="宋体" w:cs="宋体"/>
                <w:color w:val="auto"/>
                <w:sz w:val="24"/>
                <w:highlight w:val="none"/>
              </w:rPr>
            </w:pPr>
            <w:r>
              <w:rPr>
                <w:rFonts w:hint="eastAsia" w:ascii="宋体" w:hAnsi="宋体" w:cs="宋体"/>
                <w:color w:val="auto"/>
                <w:sz w:val="24"/>
                <w:highlight w:val="none"/>
              </w:rPr>
              <w:t xml:space="preserve">专管员，辅导员 </w:t>
            </w:r>
          </w:p>
        </w:tc>
        <w:tc>
          <w:tcPr>
            <w:tcW w:w="456" w:type="dxa"/>
            <w:tcBorders>
              <w:top w:val="nil"/>
              <w:left w:val="nil"/>
              <w:bottom w:val="single" w:color="auto" w:sz="4" w:space="0"/>
              <w:right w:val="single" w:color="auto" w:sz="4" w:space="0"/>
            </w:tcBorders>
            <w:vAlign w:val="center"/>
          </w:tcPr>
          <w:p w14:paraId="4A038452">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66A4672B">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&gt;4</w:t>
            </w:r>
            <w:r>
              <w:rPr>
                <w:rFonts w:hint="eastAsia" w:ascii="宋体" w:hAnsi="宋体" w:cs="宋体"/>
                <w:color w:val="auto"/>
                <w:sz w:val="24"/>
                <w:highlight w:val="none"/>
                <w:lang w:val="en-US" w:eastAsia="zh-CN"/>
              </w:rPr>
              <w:t>0</w:t>
            </w:r>
          </w:p>
        </w:tc>
        <w:tc>
          <w:tcPr>
            <w:tcW w:w="5498" w:type="dxa"/>
            <w:tcBorders>
              <w:top w:val="nil"/>
              <w:left w:val="nil"/>
              <w:bottom w:val="single" w:color="auto" w:sz="4" w:space="0"/>
              <w:right w:val="single" w:color="auto" w:sz="4" w:space="0"/>
            </w:tcBorders>
            <w:vAlign w:val="center"/>
          </w:tcPr>
          <w:p w14:paraId="64BC7059">
            <w:pPr>
              <w:rPr>
                <w:rFonts w:ascii="宋体" w:hAnsi="宋体" w:cs="宋体"/>
                <w:color w:val="auto"/>
                <w:sz w:val="24"/>
                <w:highlight w:val="none"/>
              </w:rPr>
            </w:pPr>
            <w:r>
              <w:rPr>
                <w:rFonts w:hint="eastAsia" w:ascii="宋体" w:hAnsi="宋体" w:cs="宋体"/>
                <w:color w:val="auto"/>
                <w:sz w:val="24"/>
                <w:highlight w:val="none"/>
              </w:rPr>
              <w:t>每座投放驿站配置一人，同时负责现场二次分拣，及垃圾桶的清洁工作；管理小区易腐垃圾桶，做好每日登记，熟练操作垃圾分类APP；</w:t>
            </w:r>
          </w:p>
          <w:p w14:paraId="5E1D6230">
            <w:pPr>
              <w:rPr>
                <w:rFonts w:ascii="宋体" w:hAnsi="宋体" w:cs="宋体"/>
                <w:color w:val="auto"/>
                <w:sz w:val="24"/>
                <w:highlight w:val="none"/>
              </w:rPr>
            </w:pPr>
            <w:r>
              <w:rPr>
                <w:rFonts w:hint="eastAsia" w:ascii="宋体" w:hAnsi="宋体" w:cs="宋体"/>
                <w:color w:val="auto"/>
                <w:sz w:val="24"/>
                <w:highlight w:val="none"/>
              </w:rPr>
              <w:t>非投放时间段每个小区安排一名值班人员，负责小区内驿站巡检工作，加强巡查，发现驿站内垃圾包及时清理，严禁出现垃圾散落情况。</w:t>
            </w:r>
          </w:p>
        </w:tc>
      </w:tr>
      <w:tr w14:paraId="74AF26CC">
        <w:tblPrEx>
          <w:tblCellMar>
            <w:top w:w="0" w:type="dxa"/>
            <w:left w:w="108" w:type="dxa"/>
            <w:bottom w:w="0" w:type="dxa"/>
            <w:right w:w="108" w:type="dxa"/>
          </w:tblCellMar>
        </w:tblPrEx>
        <w:trPr>
          <w:trHeight w:val="397" w:hRule="atLeast"/>
          <w:jc w:val="center"/>
        </w:trPr>
        <w:tc>
          <w:tcPr>
            <w:tcW w:w="1523" w:type="dxa"/>
            <w:tcBorders>
              <w:top w:val="nil"/>
              <w:left w:val="single" w:color="auto" w:sz="4" w:space="0"/>
              <w:bottom w:val="single" w:color="auto" w:sz="4" w:space="0"/>
              <w:right w:val="single" w:color="auto" w:sz="4" w:space="0"/>
            </w:tcBorders>
            <w:vAlign w:val="center"/>
          </w:tcPr>
          <w:p w14:paraId="4C82ADE1">
            <w:pPr>
              <w:jc w:val="center"/>
              <w:rPr>
                <w:rFonts w:ascii="宋体" w:hAnsi="宋体" w:cs="宋体"/>
                <w:color w:val="auto"/>
                <w:sz w:val="24"/>
                <w:highlight w:val="none"/>
              </w:rPr>
            </w:pPr>
            <w:r>
              <w:rPr>
                <w:rFonts w:hint="eastAsia" w:ascii="宋体" w:hAnsi="宋体" w:cs="宋体"/>
                <w:color w:val="auto"/>
                <w:sz w:val="24"/>
                <w:highlight w:val="none"/>
              </w:rPr>
              <w:t>巡检员（环保专员）</w:t>
            </w:r>
          </w:p>
        </w:tc>
        <w:tc>
          <w:tcPr>
            <w:tcW w:w="456" w:type="dxa"/>
            <w:tcBorders>
              <w:top w:val="nil"/>
              <w:left w:val="nil"/>
              <w:bottom w:val="single" w:color="auto" w:sz="4" w:space="0"/>
              <w:right w:val="single" w:color="auto" w:sz="4" w:space="0"/>
            </w:tcBorders>
            <w:vAlign w:val="center"/>
          </w:tcPr>
          <w:p w14:paraId="443D14AE">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nil"/>
              <w:left w:val="nil"/>
              <w:bottom w:val="single" w:color="auto" w:sz="4" w:space="0"/>
              <w:right w:val="single" w:color="auto" w:sz="4" w:space="0"/>
            </w:tcBorders>
            <w:vAlign w:val="center"/>
          </w:tcPr>
          <w:p w14:paraId="321D2F88">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nil"/>
              <w:left w:val="nil"/>
              <w:bottom w:val="single" w:color="auto" w:sz="4" w:space="0"/>
              <w:right w:val="single" w:color="auto" w:sz="4" w:space="0"/>
            </w:tcBorders>
            <w:vAlign w:val="center"/>
          </w:tcPr>
          <w:p w14:paraId="46AB53D4">
            <w:pPr>
              <w:rPr>
                <w:rFonts w:ascii="宋体" w:hAnsi="宋体" w:cs="宋体"/>
                <w:color w:val="auto"/>
                <w:sz w:val="24"/>
                <w:highlight w:val="none"/>
              </w:rPr>
            </w:pPr>
            <w:r>
              <w:rPr>
                <w:rFonts w:hint="eastAsia" w:ascii="宋体" w:hAnsi="宋体" w:cs="宋体"/>
                <w:color w:val="auto"/>
                <w:sz w:val="24"/>
                <w:highlight w:val="none"/>
              </w:rPr>
              <w:t>能够全面掌握小区运营情况、</w:t>
            </w:r>
            <w:r>
              <w:rPr>
                <w:rFonts w:hint="eastAsia" w:ascii="宋体" w:hAnsi="宋体" w:cs="宋体"/>
                <w:color w:val="auto"/>
                <w:kern w:val="0"/>
                <w:sz w:val="24"/>
                <w:highlight w:val="none"/>
              </w:rPr>
              <w:t>每2-4个小区配一人、做好每日登记，熟练操作垃圾分类APP（按实际入住户数配置</w:t>
            </w:r>
          </w:p>
        </w:tc>
      </w:tr>
      <w:tr w14:paraId="65907089">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71F41D26">
            <w:pPr>
              <w:jc w:val="center"/>
              <w:rPr>
                <w:rFonts w:ascii="宋体" w:hAnsi="宋体" w:cs="宋体"/>
                <w:color w:val="auto"/>
                <w:sz w:val="24"/>
                <w:highlight w:val="none"/>
              </w:rPr>
            </w:pPr>
            <w:r>
              <w:rPr>
                <w:rFonts w:hint="eastAsia" w:ascii="宋体" w:hAnsi="宋体" w:cs="宋体"/>
                <w:color w:val="auto"/>
                <w:sz w:val="24"/>
                <w:highlight w:val="none"/>
              </w:rPr>
              <w:t>可回收</w:t>
            </w:r>
          </w:p>
          <w:p w14:paraId="0FE066CF">
            <w:pPr>
              <w:jc w:val="center"/>
              <w:rPr>
                <w:rFonts w:ascii="宋体" w:hAnsi="宋体" w:cs="宋体"/>
                <w:color w:val="auto"/>
                <w:sz w:val="24"/>
                <w:highlight w:val="none"/>
              </w:rPr>
            </w:pPr>
            <w:r>
              <w:rPr>
                <w:rFonts w:hint="eastAsia" w:ascii="宋体" w:hAnsi="宋体" w:cs="宋体"/>
                <w:color w:val="auto"/>
                <w:sz w:val="24"/>
                <w:highlight w:val="none"/>
              </w:rPr>
              <w:t>人员</w:t>
            </w:r>
          </w:p>
        </w:tc>
        <w:tc>
          <w:tcPr>
            <w:tcW w:w="456" w:type="dxa"/>
            <w:tcBorders>
              <w:top w:val="single" w:color="auto" w:sz="4" w:space="0"/>
              <w:left w:val="single" w:color="auto" w:sz="4" w:space="0"/>
              <w:bottom w:val="single" w:color="auto" w:sz="4" w:space="0"/>
              <w:right w:val="single" w:color="auto" w:sz="4" w:space="0"/>
            </w:tcBorders>
            <w:vAlign w:val="center"/>
          </w:tcPr>
          <w:p w14:paraId="6115FF0C">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vAlign w:val="center"/>
          </w:tcPr>
          <w:p w14:paraId="195EF697">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084CD3B4">
            <w:pPr>
              <w:rPr>
                <w:rFonts w:ascii="宋体" w:hAnsi="宋体" w:cs="宋体"/>
                <w:color w:val="auto"/>
                <w:sz w:val="24"/>
                <w:highlight w:val="none"/>
              </w:rPr>
            </w:pPr>
            <w:r>
              <w:rPr>
                <w:rFonts w:hint="eastAsia" w:ascii="宋体" w:hAnsi="宋体" w:cs="宋体"/>
                <w:color w:val="auto"/>
                <w:sz w:val="24"/>
                <w:highlight w:val="none"/>
              </w:rPr>
              <w:t>配置一台电子秤（带自动称重）进行可回收按照工作方案配置，确保回收活动正常开展、每一辆可回收车配置两个可回收人员</w:t>
            </w:r>
          </w:p>
        </w:tc>
      </w:tr>
      <w:tr w14:paraId="1B87461A">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47B20BBA">
            <w:pPr>
              <w:jc w:val="center"/>
              <w:rPr>
                <w:rFonts w:ascii="宋体" w:hAnsi="宋体" w:cs="宋体"/>
                <w:color w:val="auto"/>
                <w:sz w:val="24"/>
                <w:highlight w:val="none"/>
              </w:rPr>
            </w:pPr>
            <w:r>
              <w:rPr>
                <w:rFonts w:hint="eastAsia" w:ascii="宋体" w:hAnsi="宋体" w:cs="宋体"/>
                <w:color w:val="auto"/>
                <w:sz w:val="24"/>
                <w:highlight w:val="none"/>
              </w:rPr>
              <w:t>宣传培训员</w:t>
            </w:r>
          </w:p>
        </w:tc>
        <w:tc>
          <w:tcPr>
            <w:tcW w:w="456" w:type="dxa"/>
            <w:tcBorders>
              <w:top w:val="single" w:color="auto" w:sz="4" w:space="0"/>
              <w:left w:val="single" w:color="auto" w:sz="4" w:space="0"/>
              <w:bottom w:val="single" w:color="auto" w:sz="4" w:space="0"/>
              <w:right w:val="single" w:color="auto" w:sz="4" w:space="0"/>
            </w:tcBorders>
            <w:vAlign w:val="center"/>
          </w:tcPr>
          <w:p w14:paraId="014AF636">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vAlign w:val="center"/>
          </w:tcPr>
          <w:p w14:paraId="4A172714">
            <w:pPr>
              <w:jc w:val="center"/>
              <w:rPr>
                <w:rFonts w:ascii="宋体" w:hAnsi="宋体" w:cs="宋体"/>
                <w:b/>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142A93C8">
            <w:pPr>
              <w:rPr>
                <w:rFonts w:ascii="宋体" w:hAnsi="宋体" w:cs="宋体"/>
                <w:color w:val="auto"/>
                <w:sz w:val="24"/>
                <w:highlight w:val="none"/>
              </w:rPr>
            </w:pPr>
            <w:r>
              <w:rPr>
                <w:rFonts w:hint="eastAsia" w:ascii="宋体" w:hAnsi="宋体" w:cs="宋体"/>
                <w:color w:val="auto"/>
                <w:sz w:val="24"/>
                <w:highlight w:val="none"/>
              </w:rPr>
              <w:t>对各小区上门辅导员进行培训</w:t>
            </w:r>
          </w:p>
        </w:tc>
      </w:tr>
      <w:tr w14:paraId="01B70517">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3BE690FB">
            <w:pPr>
              <w:jc w:val="center"/>
              <w:rPr>
                <w:rFonts w:ascii="宋体" w:hAnsi="宋体" w:cs="宋体"/>
                <w:color w:val="auto"/>
                <w:sz w:val="24"/>
                <w:highlight w:val="none"/>
              </w:rPr>
            </w:pPr>
            <w:r>
              <w:rPr>
                <w:rFonts w:hint="eastAsia" w:ascii="宋体" w:hAnsi="宋体" w:cs="宋体"/>
                <w:color w:val="auto"/>
                <w:sz w:val="24"/>
                <w:highlight w:val="none"/>
              </w:rPr>
              <w:t>专职积分兑换人员</w:t>
            </w:r>
          </w:p>
        </w:tc>
        <w:tc>
          <w:tcPr>
            <w:tcW w:w="456" w:type="dxa"/>
            <w:tcBorders>
              <w:top w:val="single" w:color="auto" w:sz="4" w:space="0"/>
              <w:left w:val="single" w:color="auto" w:sz="4" w:space="0"/>
              <w:bottom w:val="single" w:color="auto" w:sz="4" w:space="0"/>
              <w:right w:val="single" w:color="auto" w:sz="4" w:space="0"/>
            </w:tcBorders>
            <w:vAlign w:val="center"/>
          </w:tcPr>
          <w:p w14:paraId="2C307E6E">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vAlign w:val="center"/>
          </w:tcPr>
          <w:p w14:paraId="2ECF34DF">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65001607">
            <w:pPr>
              <w:rPr>
                <w:rFonts w:ascii="宋体" w:hAnsi="宋体" w:cs="宋体"/>
                <w:color w:val="auto"/>
                <w:sz w:val="24"/>
                <w:highlight w:val="none"/>
              </w:rPr>
            </w:pPr>
            <w:r>
              <w:rPr>
                <w:rFonts w:hint="eastAsia" w:ascii="宋体" w:hAnsi="宋体" w:cs="宋体"/>
                <w:color w:val="auto"/>
                <w:sz w:val="24"/>
                <w:highlight w:val="none"/>
              </w:rPr>
              <w:t>能够在规定时间内进行小区积分兑换工作、针对精准分类小区实际需要配置</w:t>
            </w:r>
          </w:p>
        </w:tc>
      </w:tr>
      <w:tr w14:paraId="57D0C49B">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438367F2">
            <w:pPr>
              <w:jc w:val="center"/>
              <w:rPr>
                <w:rFonts w:ascii="宋体" w:hAnsi="宋体" w:cs="宋体"/>
                <w:color w:val="auto"/>
                <w:sz w:val="24"/>
                <w:highlight w:val="none"/>
              </w:rPr>
            </w:pPr>
            <w:r>
              <w:rPr>
                <w:rFonts w:hint="eastAsia" w:ascii="宋体" w:hAnsi="宋体" w:cs="宋体"/>
                <w:color w:val="auto"/>
                <w:sz w:val="24"/>
                <w:highlight w:val="none"/>
              </w:rPr>
              <w:t>上门辅导员</w:t>
            </w:r>
          </w:p>
        </w:tc>
        <w:tc>
          <w:tcPr>
            <w:tcW w:w="456" w:type="dxa"/>
            <w:tcBorders>
              <w:top w:val="single" w:color="auto" w:sz="4" w:space="0"/>
              <w:left w:val="single" w:color="auto" w:sz="4" w:space="0"/>
              <w:bottom w:val="single" w:color="auto" w:sz="4" w:space="0"/>
              <w:right w:val="single" w:color="auto" w:sz="4" w:space="0"/>
            </w:tcBorders>
            <w:vAlign w:val="center"/>
          </w:tcPr>
          <w:p w14:paraId="0E5212C5">
            <w:pPr>
              <w:jc w:val="center"/>
              <w:rPr>
                <w:rFonts w:ascii="宋体" w:hAnsi="宋体" w:cs="宋体"/>
                <w:color w:val="auto"/>
                <w:sz w:val="24"/>
                <w:highlight w:val="none"/>
              </w:rPr>
            </w:pPr>
            <w:r>
              <w:rPr>
                <w:rFonts w:hint="eastAsia" w:ascii="宋体" w:hAnsi="宋体" w:cs="宋体"/>
                <w:color w:val="auto"/>
                <w:sz w:val="24"/>
                <w:highlight w:val="none"/>
              </w:rPr>
              <w:t>个</w:t>
            </w:r>
          </w:p>
        </w:tc>
        <w:tc>
          <w:tcPr>
            <w:tcW w:w="740" w:type="dxa"/>
            <w:tcBorders>
              <w:top w:val="single" w:color="auto" w:sz="4" w:space="0"/>
              <w:left w:val="single" w:color="auto" w:sz="4" w:space="0"/>
              <w:bottom w:val="single" w:color="auto" w:sz="4" w:space="0"/>
              <w:right w:val="single" w:color="auto" w:sz="4" w:space="0"/>
            </w:tcBorders>
            <w:vAlign w:val="center"/>
          </w:tcPr>
          <w:p w14:paraId="5749573D">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30CCAF56">
            <w:pPr>
              <w:rPr>
                <w:rFonts w:ascii="宋体" w:hAnsi="宋体" w:cs="宋体"/>
                <w:bCs/>
                <w:color w:val="auto"/>
                <w:sz w:val="24"/>
                <w:highlight w:val="none"/>
              </w:rPr>
            </w:pPr>
            <w:r>
              <w:rPr>
                <w:rFonts w:hint="eastAsia" w:ascii="宋体" w:hAnsi="宋体" w:cs="宋体"/>
                <w:bCs/>
                <w:color w:val="auto"/>
                <w:sz w:val="24"/>
                <w:highlight w:val="none"/>
              </w:rPr>
              <w:t>根据实际情况调整，完成上门跟踪辅导，并配合街道开展培训工作</w:t>
            </w:r>
          </w:p>
        </w:tc>
      </w:tr>
      <w:tr w14:paraId="5F16B442">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58B3A4A9">
            <w:pPr>
              <w:jc w:val="center"/>
              <w:rPr>
                <w:rFonts w:ascii="宋体" w:hAnsi="宋体" w:cs="宋体"/>
                <w:color w:val="auto"/>
                <w:sz w:val="24"/>
                <w:highlight w:val="none"/>
              </w:rPr>
            </w:pPr>
            <w:r>
              <w:rPr>
                <w:rFonts w:hint="eastAsia" w:ascii="宋体" w:hAnsi="宋体" w:cs="宋体"/>
                <w:color w:val="auto"/>
                <w:sz w:val="24"/>
                <w:highlight w:val="none"/>
              </w:rPr>
              <w:t>短驳员</w:t>
            </w:r>
          </w:p>
        </w:tc>
        <w:tc>
          <w:tcPr>
            <w:tcW w:w="456" w:type="dxa"/>
            <w:tcBorders>
              <w:top w:val="single" w:color="auto" w:sz="4" w:space="0"/>
              <w:left w:val="single" w:color="auto" w:sz="4" w:space="0"/>
              <w:bottom w:val="single" w:color="auto" w:sz="4" w:space="0"/>
              <w:right w:val="single" w:color="auto" w:sz="4" w:space="0"/>
            </w:tcBorders>
            <w:vAlign w:val="center"/>
          </w:tcPr>
          <w:p w14:paraId="150D5EF4">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vAlign w:val="center"/>
          </w:tcPr>
          <w:p w14:paraId="56CC7D35">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1D47AD66">
            <w:pPr>
              <w:rPr>
                <w:rFonts w:ascii="宋体" w:hAnsi="宋体" w:cs="宋体"/>
                <w:color w:val="auto"/>
                <w:sz w:val="24"/>
                <w:highlight w:val="none"/>
              </w:rPr>
            </w:pPr>
            <w:r>
              <w:rPr>
                <w:rFonts w:hint="eastAsia" w:ascii="宋体" w:hAnsi="宋体" w:cs="宋体"/>
                <w:color w:val="auto"/>
                <w:sz w:val="24"/>
                <w:highlight w:val="none"/>
              </w:rPr>
              <w:t>根据工作需要配置，可适当调整</w:t>
            </w:r>
          </w:p>
        </w:tc>
      </w:tr>
      <w:tr w14:paraId="0D95926C">
        <w:tblPrEx>
          <w:tblCellMar>
            <w:top w:w="0" w:type="dxa"/>
            <w:left w:w="108" w:type="dxa"/>
            <w:bottom w:w="0" w:type="dxa"/>
            <w:right w:w="108" w:type="dxa"/>
          </w:tblCellMar>
        </w:tblPrEx>
        <w:trPr>
          <w:trHeight w:val="39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14:paraId="3A642C7C">
            <w:pPr>
              <w:jc w:val="center"/>
              <w:rPr>
                <w:rFonts w:ascii="宋体" w:hAnsi="宋体" w:cs="宋体"/>
                <w:color w:val="auto"/>
                <w:sz w:val="24"/>
                <w:highlight w:val="none"/>
              </w:rPr>
            </w:pPr>
            <w:r>
              <w:rPr>
                <w:rFonts w:hint="eastAsia" w:ascii="宋体" w:hAnsi="宋体" w:cs="宋体"/>
                <w:color w:val="auto"/>
                <w:sz w:val="24"/>
                <w:highlight w:val="none"/>
              </w:rPr>
              <w:t>项目文员</w:t>
            </w:r>
          </w:p>
        </w:tc>
        <w:tc>
          <w:tcPr>
            <w:tcW w:w="456" w:type="dxa"/>
            <w:tcBorders>
              <w:top w:val="single" w:color="auto" w:sz="4" w:space="0"/>
              <w:left w:val="single" w:color="auto" w:sz="4" w:space="0"/>
              <w:bottom w:val="single" w:color="auto" w:sz="4" w:space="0"/>
              <w:right w:val="single" w:color="auto" w:sz="4" w:space="0"/>
            </w:tcBorders>
            <w:vAlign w:val="center"/>
          </w:tcPr>
          <w:p w14:paraId="7E6C98E4">
            <w:pPr>
              <w:jc w:val="center"/>
              <w:rPr>
                <w:rFonts w:ascii="宋体" w:hAnsi="宋体" w:cs="宋体"/>
                <w:color w:val="auto"/>
                <w:sz w:val="24"/>
                <w:highlight w:val="none"/>
              </w:rPr>
            </w:pPr>
            <w:r>
              <w:rPr>
                <w:rFonts w:hint="eastAsia" w:ascii="宋体" w:hAnsi="宋体" w:cs="宋体"/>
                <w:color w:val="auto"/>
                <w:sz w:val="24"/>
                <w:highlight w:val="none"/>
              </w:rPr>
              <w:t>人</w:t>
            </w:r>
          </w:p>
        </w:tc>
        <w:tc>
          <w:tcPr>
            <w:tcW w:w="740" w:type="dxa"/>
            <w:tcBorders>
              <w:top w:val="single" w:color="auto" w:sz="4" w:space="0"/>
              <w:left w:val="single" w:color="auto" w:sz="4" w:space="0"/>
              <w:bottom w:val="single" w:color="auto" w:sz="4" w:space="0"/>
              <w:right w:val="single" w:color="auto" w:sz="4" w:space="0"/>
            </w:tcBorders>
          </w:tcPr>
          <w:p w14:paraId="3B302644">
            <w:pPr>
              <w:jc w:val="center"/>
              <w:rPr>
                <w:rFonts w:ascii="宋体" w:hAnsi="宋体" w:cs="宋体"/>
                <w:color w:val="auto"/>
                <w:sz w:val="24"/>
                <w:highlight w:val="none"/>
              </w:rPr>
            </w:pPr>
            <w:r>
              <w:rPr>
                <w:rFonts w:hint="eastAsia" w:ascii="宋体" w:hAnsi="宋体" w:cs="宋体"/>
                <w:color w:val="auto"/>
                <w:sz w:val="24"/>
                <w:highlight w:val="none"/>
              </w:rPr>
              <w:t>若干</w:t>
            </w:r>
          </w:p>
        </w:tc>
        <w:tc>
          <w:tcPr>
            <w:tcW w:w="5498" w:type="dxa"/>
            <w:tcBorders>
              <w:top w:val="single" w:color="auto" w:sz="4" w:space="0"/>
              <w:left w:val="single" w:color="auto" w:sz="4" w:space="0"/>
              <w:bottom w:val="single" w:color="auto" w:sz="4" w:space="0"/>
              <w:right w:val="single" w:color="auto" w:sz="4" w:space="0"/>
            </w:tcBorders>
            <w:vAlign w:val="center"/>
          </w:tcPr>
          <w:p w14:paraId="5D2FBC63">
            <w:pPr>
              <w:rPr>
                <w:rFonts w:ascii="宋体" w:hAnsi="宋体" w:cs="宋体"/>
                <w:color w:val="auto"/>
                <w:sz w:val="24"/>
                <w:highlight w:val="none"/>
              </w:rPr>
            </w:pPr>
            <w:r>
              <w:rPr>
                <w:rFonts w:hint="eastAsia" w:ascii="宋体" w:hAnsi="宋体" w:cs="宋体"/>
                <w:color w:val="auto"/>
                <w:sz w:val="24"/>
                <w:highlight w:val="none"/>
              </w:rPr>
              <w:t>要求全面完成街道布置标段内的任务、同时负责小区台账、各类文件、报表、数据的整理。</w:t>
            </w:r>
          </w:p>
        </w:tc>
      </w:tr>
    </w:tbl>
    <w:p w14:paraId="1A837B7F">
      <w:pPr>
        <w:kinsoku w:val="0"/>
        <w:overflowPunct w:val="0"/>
        <w:spacing w:before="34" w:after="120" w:line="360" w:lineRule="auto"/>
        <w:ind w:right="102"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pacing w:val="-4"/>
          <w:sz w:val="24"/>
          <w:highlight w:val="none"/>
        </w:rPr>
        <w:t>注：（1）中标供应商派遣的人员，年龄必须是</w:t>
      </w:r>
      <w:r>
        <w:rPr>
          <w:rFonts w:hint="eastAsia" w:ascii="宋体" w:hAnsi="宋体" w:cs="宋体"/>
          <w:color w:val="auto"/>
          <w:spacing w:val="-58"/>
          <w:sz w:val="24"/>
          <w:highlight w:val="none"/>
        </w:rPr>
        <w:t xml:space="preserve"> </w:t>
      </w:r>
      <w:r>
        <w:rPr>
          <w:rFonts w:hint="eastAsia" w:ascii="宋体" w:hAnsi="宋体" w:cs="宋体"/>
          <w:color w:val="auto"/>
          <w:sz w:val="24"/>
          <w:highlight w:val="none"/>
        </w:rPr>
        <w:t>18</w:t>
      </w:r>
      <w:r>
        <w:rPr>
          <w:rFonts w:hint="eastAsia" w:ascii="宋体" w:hAnsi="宋体" w:cs="宋体"/>
          <w:color w:val="auto"/>
          <w:spacing w:val="-58"/>
          <w:sz w:val="24"/>
          <w:highlight w:val="none"/>
        </w:rPr>
        <w:t xml:space="preserve"> </w:t>
      </w:r>
      <w:r>
        <w:rPr>
          <w:rFonts w:hint="eastAsia" w:ascii="宋体" w:hAnsi="宋体" w:cs="宋体"/>
          <w:color w:val="auto"/>
          <w:spacing w:val="-6"/>
          <w:sz w:val="24"/>
          <w:highlight w:val="none"/>
        </w:rPr>
        <w:t>周岁以上，65</w:t>
      </w:r>
      <w:r>
        <w:rPr>
          <w:rFonts w:hint="eastAsia" w:ascii="宋体" w:hAnsi="宋体" w:cs="宋体"/>
          <w:color w:val="auto"/>
          <w:spacing w:val="-58"/>
          <w:sz w:val="24"/>
          <w:highlight w:val="none"/>
        </w:rPr>
        <w:t xml:space="preserve"> </w:t>
      </w:r>
      <w:r>
        <w:rPr>
          <w:rFonts w:hint="eastAsia" w:ascii="宋体" w:hAnsi="宋体" w:cs="宋体"/>
          <w:color w:val="auto"/>
          <w:sz w:val="24"/>
          <w:highlight w:val="none"/>
        </w:rPr>
        <w:t>周岁以下能正常作业人员，身体健康，遵纪守法，品行良好。作业人员佩证上岗，作业人员工作期间须穿戴统一的工作服，工作服要求具有明显的公司名称标识，同时具有反光安全服的功能，作业人员工作服须整洁干净。用手清理垃圾时，需戴厚的防刺手套作业。作业期内未穿反光安全服如遇各种意外事故发生由中标单位自行负责，并依照法律法规妥善处理（应按国家要求及时将事故情况书面告知采购人）。</w:t>
      </w:r>
    </w:p>
    <w:p w14:paraId="2C3D0365">
      <w:pPr>
        <w:kinsoku w:val="0"/>
        <w:overflowPunct w:val="0"/>
        <w:spacing w:before="34" w:after="120" w:line="360" w:lineRule="auto"/>
        <w:ind w:right="102"/>
        <w:rPr>
          <w:rFonts w:ascii="宋体" w:hAnsi="宋体" w:cs="宋体"/>
          <w:color w:val="auto"/>
          <w:sz w:val="24"/>
          <w:highlight w:val="none"/>
        </w:rPr>
      </w:pPr>
      <w:r>
        <w:rPr>
          <w:rFonts w:hint="eastAsia" w:ascii="宋体" w:hAnsi="宋体" w:cs="宋体"/>
          <w:color w:val="auto"/>
          <w:sz w:val="24"/>
          <w:highlight w:val="none"/>
        </w:rPr>
        <w:t>（2）以上工作人员的意外保险等保险费用由中标供应商承担。中标供应商必须为作业人员购买意外人身保险等提供相关证书，并报采购人备案。</w:t>
      </w:r>
    </w:p>
    <w:p w14:paraId="03CECE45">
      <w:pPr>
        <w:kinsoku w:val="0"/>
        <w:overflowPunct w:val="0"/>
        <w:spacing w:before="34" w:after="120" w:line="360" w:lineRule="auto"/>
        <w:ind w:right="102"/>
        <w:rPr>
          <w:rFonts w:ascii="宋体" w:hAnsi="宋体" w:cs="宋体"/>
          <w:color w:val="auto"/>
          <w:sz w:val="24"/>
          <w:highlight w:val="none"/>
        </w:rPr>
      </w:pPr>
      <w:r>
        <w:rPr>
          <w:rFonts w:hint="eastAsia" w:ascii="宋体" w:hAnsi="宋体" w:cs="宋体"/>
          <w:color w:val="auto"/>
          <w:sz w:val="24"/>
          <w:highlight w:val="none"/>
        </w:rPr>
        <w:t>（3）管理人员及保洁人员在作业时应严格遵守劳动纪律，遵守安全操作规程，确</w:t>
      </w:r>
      <w:r>
        <w:rPr>
          <w:rFonts w:hint="eastAsia" w:ascii="宋体" w:hAnsi="宋体" w:cs="宋体"/>
          <w:color w:val="auto"/>
          <w:spacing w:val="-2"/>
          <w:sz w:val="24"/>
          <w:highlight w:val="none"/>
        </w:rPr>
        <w:t>保安全。发生各种意外事故均由中标供应商自己依照法律法规妥善处理，采购人</w:t>
      </w:r>
      <w:r>
        <w:rPr>
          <w:rFonts w:hint="eastAsia" w:ascii="宋体" w:hAnsi="宋体" w:cs="宋体"/>
          <w:color w:val="auto"/>
          <w:sz w:val="24"/>
          <w:highlight w:val="none"/>
        </w:rPr>
        <w:t>不承担任何法律责任。</w:t>
      </w:r>
    </w:p>
    <w:p w14:paraId="38FFF1F7">
      <w:pPr>
        <w:kinsoku w:val="0"/>
        <w:overflowPunct w:val="0"/>
        <w:spacing w:before="34" w:after="120" w:line="360" w:lineRule="auto"/>
        <w:ind w:right="102"/>
        <w:rPr>
          <w:rFonts w:ascii="宋体" w:hAnsi="宋体" w:cs="宋体"/>
          <w:color w:val="auto"/>
          <w:spacing w:val="-2"/>
          <w:sz w:val="24"/>
          <w:highlight w:val="none"/>
        </w:rPr>
      </w:pPr>
      <w:r>
        <w:rPr>
          <w:rFonts w:hint="eastAsia" w:ascii="宋体" w:hAnsi="宋体" w:cs="宋体"/>
          <w:color w:val="auto"/>
          <w:spacing w:val="-2"/>
          <w:sz w:val="24"/>
          <w:highlight w:val="none"/>
        </w:rPr>
        <w:t>（4）人员配置数量，中标单位根据实际工作需要可做适当调整，但必须满足垃圾分类质量标准及清运时间要求，整个项目是一个整体，不能拆包分包。</w:t>
      </w:r>
    </w:p>
    <w:p w14:paraId="39079A87">
      <w:pPr>
        <w:pStyle w:val="2"/>
        <w:ind w:firstLine="241"/>
        <w:rPr>
          <w:rFonts w:ascii="宋体" w:hAnsi="宋体" w:cs="宋体"/>
          <w:b/>
          <w:color w:val="auto"/>
          <w:sz w:val="24"/>
          <w:szCs w:val="24"/>
          <w:highlight w:val="none"/>
        </w:rPr>
      </w:pPr>
      <w:r>
        <w:rPr>
          <w:rFonts w:hint="eastAsia" w:ascii="宋体" w:hAnsi="宋体" w:cs="宋体"/>
          <w:b/>
          <w:color w:val="auto"/>
          <w:sz w:val="24"/>
          <w:szCs w:val="24"/>
          <w:highlight w:val="none"/>
        </w:rPr>
        <w:t>（七）数据信息存储要求</w:t>
      </w:r>
    </w:p>
    <w:p w14:paraId="1663CAFA">
      <w:pPr>
        <w:pStyle w:val="2"/>
        <w:spacing w:line="360" w:lineRule="auto"/>
        <w:ind w:firstLine="240"/>
        <w:rPr>
          <w:rFonts w:ascii="宋体" w:hAnsi="宋体" w:cs="宋体"/>
          <w:color w:val="auto"/>
          <w:sz w:val="24"/>
          <w:szCs w:val="24"/>
          <w:highlight w:val="none"/>
        </w:rPr>
      </w:pPr>
      <w:r>
        <w:rPr>
          <w:rFonts w:hint="eastAsia" w:ascii="宋体" w:hAnsi="宋体" w:cs="宋体"/>
          <w:color w:val="auto"/>
          <w:sz w:val="24"/>
          <w:szCs w:val="24"/>
          <w:highlight w:val="none"/>
        </w:rPr>
        <w:t>为保护居民、用户个人信息安全，凡涉及居民、用户个人信息的相关设备，各设备运营商需要有自己的数据存储服务器，禁止使用设备原厂数据存储服务器，后续各运营商需将数据迁入市或区指定保存位置。</w:t>
      </w:r>
    </w:p>
    <w:p w14:paraId="65189934">
      <w:pPr>
        <w:pStyle w:val="5"/>
        <w:spacing w:before="0" w:after="0" w:line="348"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五、项目运营需求</w:t>
      </w:r>
    </w:p>
    <w:p w14:paraId="6990DA6F">
      <w:pPr>
        <w:spacing w:before="120" w:beforeLines="50" w:after="120" w:afterLines="50"/>
        <w:rPr>
          <w:b/>
          <w:color w:val="auto"/>
          <w:sz w:val="24"/>
          <w:highlight w:val="none"/>
        </w:rPr>
      </w:pPr>
      <w:r>
        <w:rPr>
          <w:rFonts w:hint="eastAsia"/>
          <w:b/>
          <w:color w:val="auto"/>
          <w:sz w:val="24"/>
          <w:highlight w:val="none"/>
        </w:rPr>
        <w:t>1</w:t>
      </w:r>
      <w:r>
        <w:rPr>
          <w:rFonts w:ascii="宋体" w:hAnsi="宋体"/>
          <w:b/>
          <w:bCs/>
          <w:color w:val="auto"/>
          <w:sz w:val="24"/>
          <w:highlight w:val="none"/>
        </w:rPr>
        <w:t>.</w:t>
      </w:r>
      <w:r>
        <w:rPr>
          <w:rFonts w:hint="eastAsia" w:ascii="宋体" w:hAnsi="宋体"/>
          <w:b/>
          <w:bCs/>
          <w:color w:val="auto"/>
          <w:sz w:val="24"/>
          <w:highlight w:val="none"/>
        </w:rPr>
        <w:t xml:space="preserve"> </w:t>
      </w:r>
      <w:r>
        <w:rPr>
          <w:rFonts w:hint="eastAsia"/>
          <w:b/>
          <w:color w:val="auto"/>
          <w:sz w:val="24"/>
          <w:highlight w:val="none"/>
        </w:rPr>
        <w:t>项目运营详细需求</w:t>
      </w:r>
    </w:p>
    <w:p w14:paraId="4FA6F6ED">
      <w:pPr>
        <w:pStyle w:val="34"/>
        <w:spacing w:before="120" w:line="360" w:lineRule="auto"/>
        <w:ind w:firstLine="480" w:firstLineChars="200"/>
        <w:rPr>
          <w:rFonts w:cs="宋体"/>
          <w:color w:val="auto"/>
          <w:szCs w:val="24"/>
          <w:highlight w:val="none"/>
        </w:rPr>
      </w:pPr>
      <w:r>
        <w:rPr>
          <w:rFonts w:hint="eastAsia" w:cs="宋体"/>
          <w:color w:val="auto"/>
          <w:szCs w:val="24"/>
          <w:highlight w:val="none"/>
        </w:rPr>
        <w:t>1.1垃圾投放点标识牌应设计外观新颖，宣传版面及内容醒目；结构坚实，安装稳固。</w:t>
      </w:r>
    </w:p>
    <w:p w14:paraId="3DE1D69A">
      <w:pPr>
        <w:pStyle w:val="34"/>
        <w:spacing w:before="120" w:line="360" w:lineRule="auto"/>
        <w:ind w:firstLine="480" w:firstLineChars="200"/>
        <w:rPr>
          <w:rFonts w:cs="宋体"/>
          <w:color w:val="auto"/>
          <w:szCs w:val="24"/>
          <w:highlight w:val="none"/>
        </w:rPr>
      </w:pPr>
      <w:r>
        <w:rPr>
          <w:rFonts w:hint="eastAsia" w:cs="宋体"/>
          <w:color w:val="auto"/>
          <w:szCs w:val="24"/>
          <w:highlight w:val="none"/>
        </w:rPr>
        <w:t>1.2大件垃圾中转站、接驳点采用砖混或砖混加玻璃结构，外观用仿真绿草皮贴面，地面硬化防渗处理，水电及排污设施齐全，标识清晰。（如有特殊需求由业主方定。）</w:t>
      </w:r>
    </w:p>
    <w:p w14:paraId="55C5D508">
      <w:pPr>
        <w:pStyle w:val="34"/>
        <w:spacing w:before="120" w:line="360" w:lineRule="auto"/>
        <w:ind w:firstLine="480" w:firstLineChars="200"/>
        <w:rPr>
          <w:rFonts w:cs="宋体"/>
          <w:color w:val="auto"/>
          <w:szCs w:val="24"/>
          <w:highlight w:val="none"/>
        </w:rPr>
      </w:pPr>
      <w:r>
        <w:rPr>
          <w:rFonts w:hint="eastAsia" w:cs="宋体"/>
          <w:color w:val="auto"/>
          <w:szCs w:val="24"/>
          <w:highlight w:val="none"/>
        </w:rPr>
        <w:t>1.3新安装宣传栏、宣传牌、标识牌、硬质外壳设计格调应与小区环境协调，宣传内容多样新颖；中标单位进场后应对旧宣传牌、标识牌等视情况予以加固、改造、更新，并负责日常维护。</w:t>
      </w:r>
    </w:p>
    <w:p w14:paraId="2AFBE0C0">
      <w:pPr>
        <w:pStyle w:val="34"/>
        <w:spacing w:before="120" w:line="360" w:lineRule="auto"/>
        <w:ind w:firstLine="480" w:firstLineChars="200"/>
        <w:rPr>
          <w:rFonts w:cs="宋体"/>
          <w:color w:val="auto"/>
          <w:szCs w:val="24"/>
          <w:highlight w:val="none"/>
          <w:u w:val="single"/>
        </w:rPr>
      </w:pPr>
      <w:r>
        <w:rPr>
          <w:rFonts w:hint="eastAsia" w:cs="宋体"/>
          <w:color w:val="auto"/>
          <w:szCs w:val="24"/>
          <w:highlight w:val="none"/>
        </w:rPr>
        <w:t>1.4智能分类投放设备（含有害垃圾、可回收物等，至少四分类）应在小区合理</w:t>
      </w:r>
      <w:r>
        <w:rPr>
          <w:rFonts w:cs="宋体"/>
          <w:color w:val="auto"/>
          <w:szCs w:val="24"/>
          <w:highlight w:val="none"/>
        </w:rPr>
        <w:t>分布</w:t>
      </w:r>
      <w:r>
        <w:rPr>
          <w:rFonts w:hint="eastAsia" w:cs="宋体"/>
          <w:color w:val="auto"/>
          <w:szCs w:val="24"/>
          <w:highlight w:val="none"/>
        </w:rPr>
        <w:t>，另设公示牌标明可回收物品种、价格、活动日期、联系人等相关信息。</w:t>
      </w:r>
    </w:p>
    <w:p w14:paraId="472ED526">
      <w:pPr>
        <w:pStyle w:val="34"/>
        <w:spacing w:before="120" w:line="360" w:lineRule="auto"/>
        <w:ind w:firstLine="480" w:firstLineChars="200"/>
        <w:rPr>
          <w:rFonts w:cs="宋体"/>
          <w:color w:val="auto"/>
          <w:szCs w:val="24"/>
          <w:highlight w:val="none"/>
        </w:rPr>
      </w:pPr>
      <w:r>
        <w:rPr>
          <w:rFonts w:hint="eastAsia" w:cs="宋体"/>
          <w:color w:val="auto"/>
          <w:szCs w:val="24"/>
          <w:highlight w:val="none"/>
        </w:rPr>
        <w:t>1.5所有投放点、接驳点、清洗点等建设必须符合环境保护要求，并由社区（村）牵头中标单位公司、业主委员会完成选址工作。</w:t>
      </w:r>
    </w:p>
    <w:p w14:paraId="5D374976">
      <w:pPr>
        <w:pStyle w:val="34"/>
        <w:spacing w:before="120" w:line="360" w:lineRule="auto"/>
        <w:ind w:firstLine="480" w:firstLineChars="200"/>
        <w:rPr>
          <w:rFonts w:cs="宋体"/>
          <w:color w:val="auto"/>
          <w:szCs w:val="24"/>
          <w:highlight w:val="none"/>
        </w:rPr>
      </w:pPr>
      <w:r>
        <w:rPr>
          <w:rFonts w:hint="eastAsia" w:cs="宋体"/>
          <w:color w:val="auto"/>
          <w:szCs w:val="24"/>
          <w:highlight w:val="none"/>
        </w:rPr>
        <w:t>1</w:t>
      </w:r>
      <w:r>
        <w:rPr>
          <w:rFonts w:cs="宋体"/>
          <w:color w:val="auto"/>
          <w:szCs w:val="24"/>
          <w:highlight w:val="none"/>
        </w:rPr>
        <w:t>.6</w:t>
      </w:r>
      <w:r>
        <w:rPr>
          <w:rFonts w:hint="eastAsia" w:cs="宋体"/>
          <w:color w:val="auto"/>
          <w:szCs w:val="24"/>
          <w:highlight w:val="none"/>
        </w:rPr>
        <w:t>各垃圾投放驿站设置洗手台（水费由中标单位承担）。</w:t>
      </w:r>
    </w:p>
    <w:p w14:paraId="150C166A">
      <w:pPr>
        <w:pStyle w:val="34"/>
        <w:spacing w:before="120" w:line="360" w:lineRule="auto"/>
        <w:ind w:firstLine="480" w:firstLineChars="200"/>
        <w:rPr>
          <w:rFonts w:cs="宋体"/>
          <w:color w:val="auto"/>
          <w:szCs w:val="24"/>
          <w:highlight w:val="none"/>
        </w:rPr>
      </w:pPr>
      <w:r>
        <w:rPr>
          <w:rFonts w:cs="宋体"/>
          <w:color w:val="auto"/>
          <w:szCs w:val="24"/>
          <w:highlight w:val="none"/>
        </w:rPr>
        <w:t>1.7</w:t>
      </w:r>
      <w:r>
        <w:rPr>
          <w:rFonts w:hint="eastAsia" w:cs="宋体"/>
          <w:color w:val="auto"/>
          <w:szCs w:val="24"/>
          <w:highlight w:val="none"/>
        </w:rPr>
        <w:t>设备日常维护保养以及相关除臭工作均由</w:t>
      </w:r>
      <w:r>
        <w:rPr>
          <w:rFonts w:hint="eastAsia"/>
          <w:color w:val="auto"/>
          <w:szCs w:val="24"/>
          <w:highlight w:val="none"/>
        </w:rPr>
        <w:t>中标单位</w:t>
      </w:r>
      <w:r>
        <w:rPr>
          <w:rFonts w:hint="eastAsia" w:cs="宋体"/>
          <w:color w:val="auto"/>
          <w:szCs w:val="24"/>
          <w:highlight w:val="none"/>
        </w:rPr>
        <w:t>承担。</w:t>
      </w:r>
    </w:p>
    <w:p w14:paraId="7BE23EA7">
      <w:pPr>
        <w:pStyle w:val="34"/>
        <w:spacing w:before="120" w:line="360" w:lineRule="auto"/>
        <w:ind w:firstLine="480" w:firstLineChars="200"/>
        <w:rPr>
          <w:rFonts w:cs="宋体"/>
          <w:color w:val="auto"/>
          <w:szCs w:val="24"/>
          <w:highlight w:val="none"/>
        </w:rPr>
      </w:pPr>
      <w:r>
        <w:rPr>
          <w:rFonts w:hint="eastAsia" w:cs="宋体"/>
          <w:color w:val="auto"/>
          <w:szCs w:val="24"/>
          <w:highlight w:val="none"/>
        </w:rPr>
        <w:t>1.</w:t>
      </w:r>
      <w:r>
        <w:rPr>
          <w:rFonts w:cs="宋体"/>
          <w:color w:val="auto"/>
          <w:szCs w:val="24"/>
          <w:highlight w:val="none"/>
        </w:rPr>
        <w:t>8</w:t>
      </w:r>
      <w:r>
        <w:rPr>
          <w:rFonts w:hint="eastAsia" w:cs="宋体"/>
          <w:color w:val="auto"/>
          <w:szCs w:val="24"/>
          <w:highlight w:val="none"/>
        </w:rPr>
        <w:t>每个楼道或单元必须设置居民月度垃圾分类成果展示栏，内容包括垃圾分类宣传、垃圾分类成果等，且应按要求及时更新；每个小区必须设置居民垃圾分类成绩公布牌，按要求更新且不得脏污破损缺失。</w:t>
      </w:r>
    </w:p>
    <w:p w14:paraId="5322C9B5">
      <w:pPr>
        <w:pStyle w:val="34"/>
        <w:spacing w:before="120" w:line="360" w:lineRule="auto"/>
        <w:ind w:firstLine="600" w:firstLineChars="250"/>
        <w:rPr>
          <w:rFonts w:cs="宋体"/>
          <w:bCs/>
          <w:color w:val="auto"/>
          <w:szCs w:val="24"/>
          <w:highlight w:val="none"/>
        </w:rPr>
      </w:pPr>
      <w:r>
        <w:rPr>
          <w:rFonts w:hint="eastAsia" w:cs="宋体"/>
          <w:bCs/>
          <w:color w:val="auto"/>
          <w:szCs w:val="24"/>
          <w:highlight w:val="none"/>
        </w:rPr>
        <w:t>1.</w:t>
      </w:r>
      <w:r>
        <w:rPr>
          <w:rFonts w:cs="宋体"/>
          <w:bCs/>
          <w:color w:val="auto"/>
          <w:szCs w:val="24"/>
          <w:highlight w:val="none"/>
        </w:rPr>
        <w:t>9</w:t>
      </w:r>
      <w:r>
        <w:rPr>
          <w:rFonts w:hint="eastAsia" w:cs="宋体"/>
          <w:bCs/>
          <w:color w:val="auto"/>
          <w:szCs w:val="24"/>
          <w:highlight w:val="none"/>
        </w:rPr>
        <w:t xml:space="preserve"> 经街道同意</w:t>
      </w:r>
      <w:r>
        <w:rPr>
          <w:rFonts w:hint="eastAsia"/>
          <w:color w:val="auto"/>
          <w:szCs w:val="24"/>
          <w:highlight w:val="none"/>
        </w:rPr>
        <w:t>中标单位</w:t>
      </w:r>
      <w:r>
        <w:rPr>
          <w:rFonts w:hint="eastAsia" w:cs="宋体"/>
          <w:bCs/>
          <w:color w:val="auto"/>
          <w:szCs w:val="24"/>
          <w:highlight w:val="none"/>
        </w:rPr>
        <w:t>可创新发展，提供易腐垃圾源头无害化处置技术和设备的，街道</w:t>
      </w:r>
      <w:r>
        <w:rPr>
          <w:rFonts w:cs="宋体"/>
          <w:bCs/>
          <w:color w:val="auto"/>
          <w:szCs w:val="24"/>
          <w:highlight w:val="none"/>
        </w:rPr>
        <w:t>可以提供协助，</w:t>
      </w:r>
      <w:r>
        <w:rPr>
          <w:rFonts w:hint="eastAsia"/>
          <w:color w:val="auto"/>
          <w:szCs w:val="24"/>
          <w:highlight w:val="none"/>
        </w:rPr>
        <w:t>中标单位</w:t>
      </w:r>
      <w:r>
        <w:rPr>
          <w:rFonts w:cs="宋体"/>
          <w:bCs/>
          <w:color w:val="auto"/>
          <w:szCs w:val="24"/>
          <w:highlight w:val="none"/>
        </w:rPr>
        <w:t>与</w:t>
      </w:r>
      <w:r>
        <w:rPr>
          <w:rFonts w:hint="eastAsia" w:cs="宋体"/>
          <w:bCs/>
          <w:color w:val="auto"/>
          <w:szCs w:val="24"/>
          <w:highlight w:val="none"/>
        </w:rPr>
        <w:t>居委会协商场地、水、电等设施。（提供易腐垃圾源头无害化处置技术和设备必须零排放，无污染、噪声且无污水排放及其他标准应符合国家相关规范）</w:t>
      </w:r>
    </w:p>
    <w:p w14:paraId="32DC1626">
      <w:pPr>
        <w:pStyle w:val="35"/>
        <w:spacing w:line="360" w:lineRule="auto"/>
        <w:ind w:left="363" w:firstLine="240" w:firstLineChars="1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1.10 环保屋、易腐站日常维修、驿站设施设备维修维护由中标单位全面负责。宣传标识标牌更新更换由中标单位全面负责。</w:t>
      </w:r>
    </w:p>
    <w:p w14:paraId="1EF9742C">
      <w:pPr>
        <w:pStyle w:val="35"/>
        <w:spacing w:line="360" w:lineRule="auto"/>
        <w:ind w:left="363" w:firstLine="240" w:firstLineChars="1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1.11小区缺失驿站、新增驿站、提升驿站应根据街道需求，由中标单位进行新建维护提升。</w:t>
      </w:r>
    </w:p>
    <w:p w14:paraId="759679B8">
      <w:pPr>
        <w:pStyle w:val="35"/>
        <w:spacing w:line="360" w:lineRule="auto"/>
        <w:ind w:left="363" w:firstLine="240" w:firstLineChars="1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1.12 投放时间段内，由中标单位负责驿站的分类和整洁。投放时间段外，由小区物业公司为主负责，负责其他垃圾清理。中标单位做好巡逻检查。</w:t>
      </w:r>
    </w:p>
    <w:p w14:paraId="7A23BDAB">
      <w:pPr>
        <w:spacing w:before="120" w:beforeLines="50" w:after="120" w:afterLines="50"/>
        <w:rPr>
          <w:b/>
          <w:color w:val="auto"/>
          <w:sz w:val="24"/>
          <w:highlight w:val="none"/>
        </w:rPr>
      </w:pPr>
      <w:r>
        <w:rPr>
          <w:rFonts w:hint="eastAsia"/>
          <w:b/>
          <w:color w:val="auto"/>
          <w:sz w:val="24"/>
          <w:highlight w:val="none"/>
        </w:rPr>
        <w:t>2</w:t>
      </w:r>
      <w:r>
        <w:rPr>
          <w:rFonts w:ascii="宋体" w:hAnsi="宋体"/>
          <w:b/>
          <w:bCs/>
          <w:color w:val="auto"/>
          <w:sz w:val="24"/>
          <w:highlight w:val="none"/>
        </w:rPr>
        <w:t>.</w:t>
      </w:r>
      <w:r>
        <w:rPr>
          <w:rFonts w:hint="eastAsia" w:ascii="宋体" w:hAnsi="宋体"/>
          <w:b/>
          <w:bCs/>
          <w:color w:val="auto"/>
          <w:sz w:val="24"/>
          <w:highlight w:val="none"/>
        </w:rPr>
        <w:t xml:space="preserve"> </w:t>
      </w:r>
      <w:r>
        <w:rPr>
          <w:rFonts w:hint="eastAsia"/>
          <w:b/>
          <w:color w:val="auto"/>
          <w:sz w:val="24"/>
          <w:highlight w:val="none"/>
        </w:rPr>
        <w:t>项目运营其他需求</w:t>
      </w:r>
    </w:p>
    <w:p w14:paraId="1255247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2.1宣传活动</w:t>
      </w:r>
    </w:p>
    <w:p w14:paraId="6FB9B8CB">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（1）每个小区在启用时开展一次启动仪式，每个小区每月需开展一次小型宣传活动，举办活动之前把方案递交新区分类办、街道审核。活动的奖品、照片、工作信息由</w:t>
      </w:r>
      <w:r>
        <w:rPr>
          <w:rFonts w:hint="eastAsia" w:ascii="宋体" w:hAnsi="宋体"/>
          <w:color w:val="auto"/>
          <w:sz w:val="24"/>
          <w:highlight w:val="none"/>
        </w:rPr>
        <w:t>中标单位</w:t>
      </w:r>
      <w:r>
        <w:rPr>
          <w:rFonts w:hint="eastAsia" w:ascii="宋体" w:hAnsi="宋体" w:cs="宋体"/>
          <w:color w:val="auto"/>
          <w:sz w:val="24"/>
          <w:highlight w:val="none"/>
        </w:rPr>
        <w:t>落实完成。每次举办活动的相关照片、信息、参加活动名单等及时交予街道，所上报的动态信息稿件要求具有时效性。</w:t>
      </w:r>
    </w:p>
    <w:p w14:paraId="37105776">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（2）上门指导分类，完成服务小区全部住户 100%的上门垃圾分类宣讲并需住户签字确认。发放给每户的宣传指导手册，包括宣传设施及人员由</w:t>
      </w:r>
      <w:r>
        <w:rPr>
          <w:rFonts w:hint="eastAsia" w:ascii="宋体" w:hAnsi="宋体"/>
          <w:color w:val="auto"/>
          <w:sz w:val="24"/>
          <w:highlight w:val="none"/>
        </w:rPr>
        <w:t>中标单位</w:t>
      </w:r>
      <w:r>
        <w:rPr>
          <w:rFonts w:hint="eastAsia" w:ascii="宋体" w:hAnsi="宋体" w:cs="宋体"/>
          <w:color w:val="auto"/>
          <w:sz w:val="24"/>
          <w:highlight w:val="none"/>
        </w:rPr>
        <w:t>落实。</w:t>
      </w:r>
    </w:p>
    <w:p w14:paraId="5A0CA9FF">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（3）大型宣传活动各小区每年四场（含志愿者、礼品等），小型宣传活动各小区每月1场。中标单位每月需在市级或市级以上媒体平台发布至少三篇宣传通讯稿。</w:t>
      </w:r>
    </w:p>
    <w:p w14:paraId="0DB3BD1B">
      <w:pPr>
        <w:spacing w:line="360" w:lineRule="auto"/>
        <w:ind w:firstLine="361" w:firstLineChars="150"/>
        <w:rPr>
          <w:rFonts w:ascii="宋体" w:hAnsi="宋体" w:cs="宋体"/>
          <w:color w:val="auto"/>
          <w:sz w:val="24"/>
          <w:highlight w:val="none"/>
        </w:rPr>
      </w:pPr>
      <w:r>
        <w:rPr>
          <w:rFonts w:hint="eastAsia" w:ascii="宋体" w:hAnsi="宋体" w:cs="宋体"/>
          <w:b/>
          <w:bCs/>
          <w:color w:val="auto"/>
          <w:sz w:val="24"/>
          <w:highlight w:val="none"/>
        </w:rPr>
        <w:t>2.2志愿者督导</w:t>
      </w:r>
    </w:p>
    <w:p w14:paraId="78EB8B6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志愿者督岗（各收集点），志愿者由</w:t>
      </w:r>
      <w:r>
        <w:rPr>
          <w:rFonts w:hint="eastAsia" w:ascii="宋体" w:hAnsi="宋体"/>
          <w:color w:val="auto"/>
          <w:sz w:val="24"/>
          <w:highlight w:val="none"/>
        </w:rPr>
        <w:t>中标单位</w:t>
      </w:r>
      <w:r>
        <w:rPr>
          <w:rFonts w:hint="eastAsia" w:ascii="宋体" w:hAnsi="宋体" w:cs="宋体"/>
          <w:color w:val="auto"/>
          <w:sz w:val="24"/>
          <w:highlight w:val="none"/>
        </w:rPr>
        <w:t>落实安排，且相关费用由</w:t>
      </w:r>
      <w:r>
        <w:rPr>
          <w:rFonts w:hint="eastAsia" w:ascii="宋体" w:hAnsi="宋体"/>
          <w:color w:val="auto"/>
          <w:sz w:val="24"/>
          <w:highlight w:val="none"/>
        </w:rPr>
        <w:t>中标单位</w:t>
      </w:r>
      <w:r>
        <w:rPr>
          <w:rFonts w:hint="eastAsia" w:ascii="宋体" w:hAnsi="宋体" w:cs="宋体"/>
          <w:color w:val="auto"/>
          <w:sz w:val="24"/>
          <w:highlight w:val="none"/>
        </w:rPr>
        <w:t>承担。</w:t>
      </w:r>
    </w:p>
    <w:p w14:paraId="0C817A60">
      <w:pPr>
        <w:spacing w:line="360" w:lineRule="auto"/>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2.3 巡检</w:t>
      </w:r>
    </w:p>
    <w:p w14:paraId="7517C27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巡检员每天按照小区住户50%巡回检查居民投放的易腐垃圾，检查评分结果及时做好拍照，打分数据上传，做好巡检资料，针对投放次数准确率低，投放次数少的住户，通知到投放人；培养、教育、引导居民养成良好的垃圾分类习惯。</w:t>
      </w:r>
    </w:p>
    <w:p w14:paraId="7B3FFE32">
      <w:pPr>
        <w:spacing w:line="360" w:lineRule="auto"/>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2.4积分兑换</w:t>
      </w:r>
    </w:p>
    <w:p w14:paraId="2F8F0D61">
      <w:pPr>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居民投放易腐垃圾，易腐垃圾每天每户3个积分（价值人民币0.3元）。居民投放可回收物：纸张类（纸箱，报纸等）、金属类（易拉罐，铁罐等）、塑料类（塑料瓶等）、玻璃、织物等。可回收物的积分价格与市场价格相当。</w:t>
      </w:r>
      <w:r>
        <w:rPr>
          <w:rFonts w:hint="eastAsia" w:ascii="宋体" w:hAnsi="宋体"/>
          <w:b/>
          <w:bCs/>
          <w:color w:val="auto"/>
          <w:sz w:val="24"/>
          <w:highlight w:val="none"/>
        </w:rPr>
        <w:t>实施精准分类的居民小区易腐垃圾能够实现即时评分，满足月度质量评定条件。</w:t>
      </w:r>
    </w:p>
    <w:p w14:paraId="449CA352">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按照《关于推进湖中心城市生活垃圾积分规则统一的通知》要求，对易腐垃圾积分规则明确为，全市生活垃圾分类积分每户每天的易腐垃圾投放分三种状态：正确投放积3分，有轻微混投积1分，混投严重或未投放不积分（每天投递多次以最高3分为上限），建议1分对应的奖励价值为0.1元。现阶段还是网上和线下积分兑换二种方式，对于积分兑换各中标单位仍要进行积分并对数据进行保存和收集。</w:t>
      </w:r>
    </w:p>
    <w:p w14:paraId="35291AAE">
      <w:pPr>
        <w:spacing w:line="360" w:lineRule="auto"/>
        <w:ind w:firstLine="361" w:firstLineChars="150"/>
        <w:rPr>
          <w:rFonts w:ascii="宋体" w:hAnsi="宋体" w:cs="宋体"/>
          <w:b/>
          <w:bCs/>
          <w:color w:val="auto"/>
          <w:sz w:val="24"/>
          <w:highlight w:val="none"/>
        </w:rPr>
      </w:pPr>
      <w:r>
        <w:rPr>
          <w:rFonts w:hint="eastAsia" w:ascii="宋体" w:hAnsi="宋体" w:cs="宋体"/>
          <w:b/>
          <w:bCs/>
          <w:color w:val="auto"/>
          <w:sz w:val="24"/>
          <w:highlight w:val="none"/>
        </w:rPr>
        <w:t>2.5应急突发事项保障</w:t>
      </w:r>
    </w:p>
    <w:p w14:paraId="19E57E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为垃圾清洁运输及时，需配置一辆应急车，遇紧急情况可调配使用。在服务期内，</w:t>
      </w:r>
      <w:r>
        <w:rPr>
          <w:rFonts w:hint="eastAsia" w:ascii="宋体" w:hAnsi="宋体"/>
          <w:color w:val="auto"/>
          <w:sz w:val="24"/>
          <w:highlight w:val="none"/>
        </w:rPr>
        <w:t>遇自然灾害（含不可抗力事件），中标单位应有应急预案，人员及设备应满足需求；</w:t>
      </w:r>
      <w:r>
        <w:rPr>
          <w:rFonts w:hint="eastAsia" w:ascii="宋体" w:hAnsi="宋体" w:cs="宋体"/>
          <w:color w:val="auto"/>
          <w:sz w:val="24"/>
          <w:highlight w:val="none"/>
        </w:rPr>
        <w:t>遇迎接大型检查（文明城市创建，垃圾分类示范创建验收等），中标单位需无条件配合工作。</w:t>
      </w:r>
    </w:p>
    <w:p w14:paraId="674CF174">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运营公司需无条件配合街道、属地政府做好各类省市各类创建任务</w:t>
      </w:r>
      <w:r>
        <w:rPr>
          <w:rFonts w:hint="eastAsia" w:ascii="宋体" w:hAnsi="宋体" w:cs="宋体"/>
          <w:color w:val="auto"/>
          <w:sz w:val="24"/>
          <w:highlight w:val="none"/>
        </w:rPr>
        <w:t>。</w:t>
      </w:r>
    </w:p>
    <w:p w14:paraId="27E62AFA">
      <w:pPr>
        <w:spacing w:line="360" w:lineRule="auto"/>
        <w:ind w:firstLine="361" w:firstLineChars="150"/>
        <w:rPr>
          <w:rFonts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6</w:t>
      </w:r>
      <w:r>
        <w:rPr>
          <w:rFonts w:hint="eastAsia" w:ascii="宋体" w:hAnsi="宋体" w:cs="宋体"/>
          <w:b/>
          <w:color w:val="auto"/>
          <w:sz w:val="24"/>
          <w:highlight w:val="none"/>
        </w:rPr>
        <w:t>可回收物定点回收</w:t>
      </w:r>
    </w:p>
    <w:p w14:paraId="74BD6CF8">
      <w:pPr>
        <w:spacing w:line="360" w:lineRule="auto"/>
        <w:ind w:firstLine="240" w:firstLineChars="100"/>
        <w:rPr>
          <w:rFonts w:ascii="宋体" w:hAnsi="宋体" w:cs="宋体"/>
          <w:color w:val="auto"/>
          <w:sz w:val="24"/>
          <w:highlight w:val="none"/>
        </w:rPr>
      </w:pPr>
      <w:r>
        <w:rPr>
          <w:rFonts w:hint="eastAsia" w:ascii="宋体" w:hAnsi="宋体"/>
          <w:color w:val="auto"/>
          <w:sz w:val="24"/>
          <w:highlight w:val="none"/>
        </w:rPr>
        <w:t>中标单位</w:t>
      </w:r>
      <w:r>
        <w:rPr>
          <w:rFonts w:hint="eastAsia" w:ascii="宋体" w:hAnsi="宋体" w:cs="宋体"/>
          <w:color w:val="auto"/>
          <w:sz w:val="24"/>
          <w:highlight w:val="none"/>
        </w:rPr>
        <w:t>应安排专用车辆对每个居民小区的可回收物进行每周定点定时或预约的方式回收；车辆数量满足可回收物运输需求。</w:t>
      </w:r>
    </w:p>
    <w:p w14:paraId="76CACEED">
      <w:pPr>
        <w:spacing w:line="360" w:lineRule="auto"/>
        <w:ind w:firstLine="361" w:firstLineChars="150"/>
        <w:rPr>
          <w:rFonts w:ascii="宋体" w:hAnsi="宋体" w:cs="宋体"/>
          <w:b/>
          <w:color w:val="auto"/>
          <w:sz w:val="24"/>
          <w:highlight w:val="none"/>
        </w:rPr>
      </w:pPr>
      <w:r>
        <w:rPr>
          <w:rFonts w:hint="eastAsia" w:ascii="宋体" w:hAnsi="宋体" w:cs="宋体"/>
          <w:b/>
          <w:color w:val="auto"/>
          <w:sz w:val="24"/>
          <w:highlight w:val="none"/>
        </w:rPr>
        <w:t>2.</w:t>
      </w:r>
      <w:r>
        <w:rPr>
          <w:rFonts w:ascii="宋体" w:hAnsi="宋体" w:cs="宋体"/>
          <w:b/>
          <w:color w:val="auto"/>
          <w:sz w:val="24"/>
          <w:highlight w:val="none"/>
        </w:rPr>
        <w:t>7</w:t>
      </w:r>
      <w:r>
        <w:rPr>
          <w:rFonts w:hint="eastAsia" w:ascii="宋体" w:hAnsi="宋体" w:cs="宋体"/>
          <w:b/>
          <w:color w:val="auto"/>
          <w:sz w:val="24"/>
          <w:highlight w:val="none"/>
        </w:rPr>
        <w:t>管理软件平台：</w:t>
      </w:r>
    </w:p>
    <w:p w14:paraId="7F86C06A">
      <w:pPr>
        <w:ind w:left="400"/>
        <w:rPr>
          <w:color w:val="auto"/>
          <w:sz w:val="24"/>
          <w:highlight w:val="none"/>
        </w:rPr>
      </w:pPr>
      <w:r>
        <w:rPr>
          <w:rFonts w:hint="eastAsia"/>
          <w:color w:val="auto"/>
          <w:sz w:val="24"/>
          <w:highlight w:val="none"/>
        </w:rPr>
        <w:t>平台通过地图展示积分兑换机、智能分类箱、可回收箱体的位置、数量</w:t>
      </w:r>
    </w:p>
    <w:p w14:paraId="07A75809">
      <w:pPr>
        <w:widowControl/>
        <w:numPr>
          <w:ilvl w:val="0"/>
          <w:numId w:val="18"/>
        </w:numPr>
        <w:spacing w:line="360" w:lineRule="auto"/>
        <w:jc w:val="left"/>
        <w:rPr>
          <w:color w:val="auto"/>
          <w:sz w:val="24"/>
          <w:highlight w:val="none"/>
        </w:rPr>
      </w:pPr>
      <w:r>
        <w:rPr>
          <w:rFonts w:hint="eastAsia"/>
          <w:color w:val="auto"/>
          <w:sz w:val="24"/>
          <w:highlight w:val="none"/>
        </w:rPr>
        <w:t>可以随时查看居民参与垃圾分类的报表</w:t>
      </w:r>
    </w:p>
    <w:p w14:paraId="1B726DBB">
      <w:pPr>
        <w:widowControl/>
        <w:spacing w:line="360" w:lineRule="auto"/>
        <w:ind w:left="400"/>
        <w:jc w:val="left"/>
        <w:rPr>
          <w:color w:val="auto"/>
          <w:highlight w:val="none"/>
        </w:rPr>
      </w:pPr>
      <w:r>
        <w:rPr>
          <w:rFonts w:hint="eastAsia"/>
          <w:color w:val="auto"/>
          <w:sz w:val="24"/>
          <w:highlight w:val="none"/>
        </w:rPr>
        <w:t>2）居民投递信息查</w:t>
      </w:r>
      <w:r>
        <w:rPr>
          <w:rFonts w:hint="eastAsia"/>
          <w:color w:val="auto"/>
          <w:sz w:val="24"/>
          <w:highlight w:val="none"/>
        </w:rPr>
        <w:tab/>
      </w:r>
      <w:r>
        <w:rPr>
          <w:rFonts w:hint="eastAsia"/>
          <w:color w:val="auto"/>
          <w:sz w:val="24"/>
          <w:highlight w:val="none"/>
        </w:rPr>
        <w:t>询、可回收物投递、重量信息查询</w:t>
      </w:r>
    </w:p>
    <w:p w14:paraId="28FF0709">
      <w:pPr>
        <w:pStyle w:val="5"/>
        <w:spacing w:before="0" w:after="0" w:line="348" w:lineRule="auto"/>
        <w:rPr>
          <w:rFonts w:ascii="宋体" w:hAnsi="宋体" w:eastAsia="宋体"/>
          <w:color w:val="auto"/>
          <w:sz w:val="24"/>
          <w:szCs w:val="24"/>
          <w:highlight w:val="none"/>
        </w:rPr>
      </w:pPr>
      <w:bookmarkStart w:id="62" w:name="_Toc512408371"/>
      <w:r>
        <w:rPr>
          <w:rFonts w:hint="eastAsia" w:ascii="宋体" w:hAnsi="宋体" w:eastAsia="宋体"/>
          <w:color w:val="auto"/>
          <w:sz w:val="24"/>
          <w:szCs w:val="24"/>
          <w:highlight w:val="none"/>
        </w:rPr>
        <w:t>六、分类投放、收集及运输</w:t>
      </w:r>
      <w:bookmarkEnd w:id="62"/>
      <w:r>
        <w:rPr>
          <w:rFonts w:hint="eastAsia" w:ascii="宋体" w:hAnsi="宋体" w:eastAsia="宋体"/>
          <w:color w:val="auto"/>
          <w:sz w:val="24"/>
          <w:szCs w:val="24"/>
          <w:highlight w:val="none"/>
        </w:rPr>
        <w:t>需求</w:t>
      </w:r>
    </w:p>
    <w:p w14:paraId="3440FBF8">
      <w:pPr>
        <w:spacing w:line="360" w:lineRule="auto"/>
        <w:ind w:firstLine="482" w:firstLineChars="200"/>
        <w:rPr>
          <w:rFonts w:ascii="宋体" w:hAnsi="宋体" w:cs="宋体"/>
          <w:b/>
          <w:bCs/>
          <w:color w:val="auto"/>
          <w:sz w:val="24"/>
          <w:highlight w:val="none"/>
        </w:rPr>
      </w:pPr>
      <w:bookmarkStart w:id="63" w:name="_Toc512408372"/>
      <w:r>
        <w:rPr>
          <w:rFonts w:hint="eastAsia" w:ascii="宋体" w:hAnsi="宋体" w:cs="宋体"/>
          <w:b/>
          <w:bCs/>
          <w:color w:val="auto"/>
          <w:sz w:val="24"/>
          <w:highlight w:val="none"/>
        </w:rPr>
        <w:t>1.分类设备投放</w:t>
      </w:r>
      <w:bookmarkEnd w:id="63"/>
    </w:p>
    <w:p w14:paraId="41A9EBF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整体方案配有智能设备，</w:t>
      </w:r>
      <w:r>
        <w:rPr>
          <w:rFonts w:hint="eastAsia" w:cs="宋体"/>
          <w:color w:val="auto"/>
          <w:sz w:val="24"/>
          <w:highlight w:val="none"/>
        </w:rPr>
        <w:t>现场指导居民精准分类，智能抓拍违规行为利于溯源执法。</w:t>
      </w:r>
      <w:r>
        <w:rPr>
          <w:rFonts w:hint="eastAsia" w:ascii="宋体" w:hAnsi="宋体" w:cs="宋体"/>
          <w:color w:val="auto"/>
          <w:sz w:val="24"/>
          <w:highlight w:val="none"/>
        </w:rPr>
        <w:t>并配备一定数量的普通240升塑料分类垃圾桶．分类亭以满足居民分类投放需求；结合多种宣传模式，引导居民分类投放意识；</w:t>
      </w:r>
    </w:p>
    <w:p w14:paraId="3E62C280">
      <w:pPr>
        <w:adjustRightInd w:val="0"/>
        <w:snapToGrid w:val="0"/>
        <w:spacing w:line="360" w:lineRule="auto"/>
        <w:ind w:firstLine="480" w:firstLineChars="200"/>
        <w:rPr>
          <w:rFonts w:ascii="宋体" w:hAnsi="宋体" w:cs="宋体"/>
          <w:color w:val="auto"/>
          <w:sz w:val="24"/>
          <w:highlight w:val="none"/>
        </w:rPr>
      </w:pPr>
      <w:bookmarkStart w:id="64" w:name="_Toc512408373"/>
      <w:r>
        <w:rPr>
          <w:rFonts w:hint="eastAsia" w:ascii="宋体" w:hAnsi="宋体" w:cs="宋体"/>
          <w:color w:val="auto"/>
          <w:sz w:val="24"/>
          <w:highlight w:val="none"/>
        </w:rPr>
        <w:t>智能回收设备24小时定点回收：项目现场投放智能回收设备，实现对可回收物以24小时回收，方便居民可回收物投放收集。</w:t>
      </w:r>
    </w:p>
    <w:p w14:paraId="3169F2F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分类投放点采用原点位改造的方式进行设置，在原有垃圾点位的基础上进行改造，根据现场情况进行一定程度的适当调整。</w:t>
      </w:r>
    </w:p>
    <w:p w14:paraId="35DAA8EB">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2.分类收集</w:t>
      </w:r>
      <w:bookmarkEnd w:id="64"/>
    </w:p>
    <w:p w14:paraId="61A273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根据湖州市分类指南“4+3+N”，按易腐（易腐、餐厨）垃圾、其他垃圾、可回收物、有害垃圾，装修垃圾、园林垃圾、大件垃圾分别收集。</w:t>
      </w:r>
    </w:p>
    <w:p w14:paraId="1BD857AE">
      <w:pPr>
        <w:spacing w:line="348"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2.1 易腐垃圾</w:t>
      </w:r>
    </w:p>
    <w:p w14:paraId="3C2F5969">
      <w:pPr>
        <w:spacing w:line="460" w:lineRule="atLeast"/>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在规定时间段由易腐垃圾收集员监管投放，正确分类的予以积分，在非定时时间段内，如有投放需求可自行至易腐垃圾收集站交给专管员进行投放，自行投放无积分。由中标单位运输至接驳点，并统一进行终端处理。</w:t>
      </w:r>
    </w:p>
    <w:p w14:paraId="73798C96">
      <w:pPr>
        <w:spacing w:line="460" w:lineRule="atLeast"/>
        <w:ind w:firstLine="482" w:firstLineChars="200"/>
        <w:rPr>
          <w:rFonts w:ascii="宋体" w:hAnsi="宋体" w:cs="宋体"/>
          <w:b/>
          <w:color w:val="auto"/>
          <w:sz w:val="24"/>
          <w:highlight w:val="none"/>
        </w:rPr>
      </w:pPr>
      <w:r>
        <w:rPr>
          <w:rFonts w:hint="eastAsia" w:ascii="宋体" w:hAnsi="宋体" w:cs="宋体"/>
          <w:b/>
          <w:color w:val="auto"/>
          <w:sz w:val="24"/>
          <w:highlight w:val="none"/>
        </w:rPr>
        <w:t>2.2可回收物、低附加值物、有害垃圾</w:t>
      </w:r>
    </w:p>
    <w:p w14:paraId="7FB9F8EE">
      <w:pPr>
        <w:adjustRightInd w:val="0"/>
        <w:snapToGrid w:val="0"/>
        <w:spacing w:line="360" w:lineRule="auto"/>
        <w:ind w:firstLine="480" w:firstLineChars="200"/>
        <w:rPr>
          <w:rFonts w:ascii="宋体" w:hAnsi="宋体" w:cs="仿宋_GB2312"/>
          <w:color w:val="auto"/>
          <w:kern w:val="0"/>
          <w:sz w:val="24"/>
          <w:highlight w:val="none"/>
        </w:rPr>
      </w:pPr>
      <w:r>
        <w:rPr>
          <w:rFonts w:hint="eastAsia" w:ascii="宋体" w:hAnsi="宋体" w:cs="宋体"/>
          <w:color w:val="auto"/>
          <w:sz w:val="24"/>
          <w:highlight w:val="none"/>
        </w:rPr>
        <w:t>运营公司定期组织专场回收活动，现场积分，或者组织专业回收单位定期收购。其余时间有投放需求可自行投至小区出入口垃圾桶处、绿色环保站、智能垃圾桶。安排专业收集人员携带的积分电子秤，配备专业垃圾收运车辆定时定点进行现场收集，鼓励居民把可回收物送到收集点，获得积分，并可通过现场活动，兑换积分。兑换的礼品多元化，想方设法增加可回收收集量，最大限度调动居民参与垃圾分类积极性，培养居民分类意识，杜绝有价值物混入其他垃圾造成再生资源浪费。有害垃圾由</w:t>
      </w:r>
      <w:r>
        <w:rPr>
          <w:rFonts w:hint="eastAsia" w:ascii="宋体" w:hAnsi="宋体"/>
          <w:color w:val="auto"/>
          <w:sz w:val="24"/>
          <w:highlight w:val="none"/>
        </w:rPr>
        <w:t>中标单位负责联系</w:t>
      </w:r>
      <w:r>
        <w:rPr>
          <w:rFonts w:hint="eastAsia" w:ascii="宋体" w:hAnsi="宋体" w:cs="宋体"/>
          <w:color w:val="auto"/>
          <w:sz w:val="24"/>
          <w:highlight w:val="none"/>
        </w:rPr>
        <w:t>环卫部门指定的处置单位定期清运至暂存点，如遇因有害垃圾处理引起的纠纷及相关问题由中标单位负责解决。</w:t>
      </w:r>
    </w:p>
    <w:p w14:paraId="63B57FC8">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2.3大件垃圾、装修垃圾、园林垃圾</w:t>
      </w:r>
    </w:p>
    <w:p w14:paraId="508DAAA3">
      <w:pPr>
        <w:adjustRightInd w:val="0"/>
        <w:snapToGrid w:val="0"/>
        <w:spacing w:line="348" w:lineRule="auto"/>
        <w:ind w:firstLine="480" w:firstLineChars="200"/>
        <w:rPr>
          <w:rFonts w:ascii="宋体"/>
          <w:b/>
          <w:bCs/>
          <w:color w:val="auto"/>
          <w:sz w:val="24"/>
          <w:highlight w:val="none"/>
        </w:rPr>
      </w:pPr>
      <w:r>
        <w:rPr>
          <w:rFonts w:hint="eastAsia" w:ascii="宋体" w:hAnsi="宋体" w:cs="宋体"/>
          <w:color w:val="auto"/>
          <w:sz w:val="24"/>
          <w:highlight w:val="none"/>
        </w:rPr>
        <w:t>大件垃圾、装修垃圾、园林垃圾原则上按每个小区设一处中转站收集点，并做好隔档。采用及定时清运的模式。居民可将大件垃圾、装修垃圾、园林垃圾投放至中转站收集点，使用专用车辆进行定期清运。</w:t>
      </w:r>
      <w:r>
        <w:rPr>
          <w:rFonts w:hint="eastAsia" w:ascii="宋体" w:hAnsi="宋体"/>
          <w:b/>
          <w:bCs/>
          <w:color w:val="auto"/>
          <w:sz w:val="24"/>
          <w:highlight w:val="none"/>
        </w:rPr>
        <w:t>严禁超出围挡或遗撒在出入口。大件垃圾由中标单位进行日常监管，满溢、混投等问题及时向社区及物业反映。</w:t>
      </w:r>
    </w:p>
    <w:p w14:paraId="32737C60">
      <w:pPr>
        <w:spacing w:line="360" w:lineRule="auto"/>
        <w:ind w:firstLine="602" w:firstLineChars="250"/>
        <w:rPr>
          <w:rFonts w:ascii="宋体" w:hAnsi="宋体" w:cs="宋体"/>
          <w:b/>
          <w:color w:val="auto"/>
          <w:sz w:val="24"/>
          <w:highlight w:val="none"/>
        </w:rPr>
      </w:pPr>
      <w:r>
        <w:rPr>
          <w:rFonts w:hint="eastAsia" w:ascii="宋体" w:hAnsi="宋体" w:cs="宋体"/>
          <w:b/>
          <w:color w:val="auto"/>
          <w:sz w:val="24"/>
          <w:highlight w:val="none"/>
        </w:rPr>
        <w:t>2.4垃圾分类清运要求：</w:t>
      </w:r>
    </w:p>
    <w:p w14:paraId="488B63F2">
      <w:pPr>
        <w:spacing w:line="348" w:lineRule="auto"/>
        <w:ind w:firstLine="470" w:firstLineChars="196"/>
        <w:rPr>
          <w:rFonts w:ascii="宋体"/>
          <w:b/>
          <w:bCs/>
          <w:color w:val="auto"/>
          <w:sz w:val="24"/>
          <w:highlight w:val="none"/>
        </w:rPr>
      </w:pPr>
      <w:r>
        <w:rPr>
          <w:rFonts w:hint="eastAsia" w:ascii="宋体" w:hAnsi="宋体" w:cs="宋体"/>
          <w:color w:val="auto"/>
          <w:sz w:val="24"/>
          <w:highlight w:val="none"/>
        </w:rPr>
        <w:t>1、按时、按区、按序收集，不漏点、不混装，不任意撤点，保证驿站易腐垃圾日产日清；</w:t>
      </w:r>
      <w:r>
        <w:rPr>
          <w:rFonts w:hint="eastAsia" w:ascii="宋体" w:hAnsi="宋体"/>
          <w:b/>
          <w:bCs/>
          <w:color w:val="auto"/>
          <w:sz w:val="24"/>
          <w:highlight w:val="none"/>
        </w:rPr>
        <w:t>小区内的</w:t>
      </w:r>
      <w:r>
        <w:rPr>
          <w:rFonts w:ascii="宋体" w:hAnsi="宋体"/>
          <w:b/>
          <w:bCs/>
          <w:color w:val="auto"/>
          <w:sz w:val="24"/>
          <w:highlight w:val="none"/>
        </w:rPr>
        <w:t>3</w:t>
      </w:r>
      <w:r>
        <w:rPr>
          <w:rFonts w:hint="eastAsia" w:ascii="宋体" w:hAnsi="宋体"/>
          <w:b/>
          <w:bCs/>
          <w:color w:val="auto"/>
          <w:sz w:val="24"/>
          <w:highlight w:val="none"/>
        </w:rPr>
        <w:t>种强制品种垃圾短驳（投放点至接驳点）和暂存均由中标单位实施。同时，应及时与垃圾清运单位有效对接，确保生活垃圾及日产日清。因中标单位工作不到位而造成的一切不良后果，由中标单位承担。</w:t>
      </w:r>
    </w:p>
    <w:p w14:paraId="12DD47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2、如遇创建等重大活动，中标单位必须无条件服从采购单位安排。</w:t>
      </w:r>
    </w:p>
    <w:p w14:paraId="04F80731">
      <w:pPr>
        <w:spacing w:line="360" w:lineRule="auto"/>
        <w:ind w:firstLine="480" w:firstLineChars="200"/>
        <w:rPr>
          <w:color w:val="auto"/>
          <w:sz w:val="24"/>
          <w:highlight w:val="none"/>
        </w:rPr>
      </w:pPr>
      <w:r>
        <w:rPr>
          <w:rFonts w:hint="eastAsia" w:ascii="宋体" w:hAnsi="宋体" w:cs="宋体"/>
          <w:color w:val="auto"/>
          <w:sz w:val="24"/>
          <w:highlight w:val="none"/>
        </w:rPr>
        <w:t>3、根据《湖州市市容和环境卫生管理条例》和采购单位的相关要求，中标单位应加强信息化大数据建设，以便于加快及提高数字化城市管理和服务的水平。</w:t>
      </w:r>
      <w:r>
        <w:rPr>
          <w:rFonts w:hint="eastAsia"/>
          <w:b/>
          <w:color w:val="auto"/>
          <w:sz w:val="24"/>
          <w:highlight w:val="none"/>
        </w:rPr>
        <w:t xml:space="preserve"> </w:t>
      </w:r>
    </w:p>
    <w:p w14:paraId="4C223680">
      <w:pPr>
        <w:spacing w:line="360" w:lineRule="auto"/>
        <w:rPr>
          <w:rFonts w:ascii="宋体" w:hAnsi="宋体" w:cs="宋体"/>
          <w:b/>
          <w:color w:val="auto"/>
          <w:sz w:val="24"/>
          <w:highlight w:val="none"/>
        </w:rPr>
      </w:pPr>
      <w:r>
        <w:rPr>
          <w:rFonts w:hint="eastAsia" w:ascii="宋体" w:hAnsi="宋体" w:cs="宋体"/>
          <w:b/>
          <w:color w:val="auto"/>
          <w:sz w:val="24"/>
          <w:highlight w:val="none"/>
        </w:rPr>
        <w:t>七、报价说明：</w:t>
      </w:r>
    </w:p>
    <w:p w14:paraId="47B1CDE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本次为单价招标，费用包含但不限于垃圾分类宣传设施及各类公示内容的制作更新、垃圾分类收集专管员、入户辅导、智能化积分管理系统、可回收活动、主题宣传等为完成本项目所涉及的人工、运输、软硬件设备、安装调试、人员保险、福利、加班、税金、利润等所有费用。服务期为自合同签订之日起1年。具体数量、户数以实际实施为准，按实结算。请投标人将以上费用及其他可能发生的费用一并计入投标报价内。</w:t>
      </w:r>
    </w:p>
    <w:p w14:paraId="7D0DA894">
      <w:p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▲八、付款方式：</w:t>
      </w:r>
    </w:p>
    <w:p w14:paraId="7B6B17A9">
      <w:pPr>
        <w:widowControl/>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第一笔付款：合同签订生效且在履行财政相关资金审批手续后7个工作日内，采购人收到成交供应商提供的同等金额的正规发票后，向成交供应商支付年预付款</w:t>
      </w:r>
      <w:r>
        <w:rPr>
          <w:rFonts w:hint="eastAsia" w:ascii="宋体" w:hAnsi="宋体"/>
          <w:color w:val="auto"/>
          <w:kern w:val="0"/>
          <w:sz w:val="24"/>
          <w:highlight w:val="none"/>
          <w:lang w:eastAsia="zh-CN"/>
        </w:rPr>
        <w:t>（</w:t>
      </w:r>
      <w:r>
        <w:rPr>
          <w:rFonts w:hint="eastAsia" w:ascii="宋体" w:hAnsi="宋体"/>
          <w:color w:val="auto"/>
          <w:kern w:val="0"/>
          <w:sz w:val="24"/>
          <w:highlight w:val="none"/>
        </w:rPr>
        <w:t>即年服务合同款的30%</w:t>
      </w:r>
      <w:r>
        <w:rPr>
          <w:rFonts w:hint="eastAsia" w:ascii="宋体" w:hAnsi="宋体"/>
          <w:color w:val="auto"/>
          <w:kern w:val="0"/>
          <w:sz w:val="24"/>
          <w:highlight w:val="none"/>
          <w:lang w:eastAsia="zh-CN"/>
        </w:rPr>
        <w:t>）</w:t>
      </w:r>
      <w:r>
        <w:rPr>
          <w:rFonts w:hint="eastAsia" w:ascii="宋体" w:hAnsi="宋体"/>
          <w:color w:val="auto"/>
          <w:kern w:val="0"/>
          <w:sz w:val="24"/>
          <w:highlight w:val="none"/>
        </w:rPr>
        <w:t>；</w:t>
      </w:r>
    </w:p>
    <w:p w14:paraId="45FA2FAD">
      <w:pPr>
        <w:widowControl/>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第二笔付款：日常运营费用每月一考核，按季度支付，该季度服务费在下一季度进行支付，根据实际运营小区户数及上季度考核分数扣除应扣款后支付上季度服务费，同时扣回预付款（首次无法全部扣回的，剩余预付款在下次付款中进行扣回，以此类推，直至全部扣回）。供应商提供正规发票给采购人，采购人收到成交供应商提供的同等金额的正规发票后,在履行财政相关资金审批手续后向成交供应商进行支付。</w:t>
      </w:r>
    </w:p>
    <w:p w14:paraId="1BF8D9B3">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在签订合同时，供应商明确表示无需预付款或者主动要求降低预付款比例的，采购合同可不适用前述规定。</w:t>
      </w:r>
    </w:p>
    <w:p w14:paraId="1C228880">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采购人在向供应商支付预付款之前，有权要求供应商向采购人提供与预付款金额相对应的担保措施，担保措施可以是银行、保险公司等金融机构出具的预付款保函或其他担保措施。</w:t>
      </w:r>
    </w:p>
    <w:p w14:paraId="2A2FA790">
      <w:pPr>
        <w:pStyle w:val="20"/>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2、中标单位应确保农民工工资的及时支付，如不及时支付引发事故的，责任由中标单位承担，因此给采购人造成损失的，赔偿损失。</w:t>
      </w:r>
    </w:p>
    <w:p w14:paraId="5DD5D4E3">
      <w:pPr>
        <w:pStyle w:val="20"/>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3、参照《湖州市建筑施工领域农民工工资分账管理实施细则》（湖建发[2018]201号）及《湖州市住房和城乡建设局等3部门关于印发湖州市建筑施工领域农民工工资分账管理实施细则的通知》和《湖州市住房和城乡建设局 湖州市人力资源和社会保障局关于在本市部分建筑施工企业在同一县（区）试行农民工工资专用总账户工作的通知》，严格执行农民工工资支付相关要求，中标单位须办理农民工工资专用总账户，以确保农民工工资的及时支付。</w:t>
      </w:r>
    </w:p>
    <w:p w14:paraId="37320099">
      <w:pPr>
        <w:spacing w:line="360" w:lineRule="auto"/>
        <w:ind w:left="420"/>
        <w:rPr>
          <w:rFonts w:ascii="宋体" w:hAnsi="宋体" w:cs="宋体"/>
          <w:b/>
          <w:color w:val="auto"/>
          <w:sz w:val="24"/>
          <w:highlight w:val="none"/>
        </w:rPr>
      </w:pPr>
      <w:r>
        <w:rPr>
          <w:rFonts w:hint="eastAsia" w:ascii="宋体" w:hAnsi="宋体" w:cs="宋体"/>
          <w:b/>
          <w:color w:val="auto"/>
          <w:sz w:val="24"/>
          <w:highlight w:val="none"/>
        </w:rPr>
        <w:t>九、考核办法</w:t>
      </w:r>
    </w:p>
    <w:p w14:paraId="27F0FF6A">
      <w:pPr>
        <w:spacing w:line="348" w:lineRule="auto"/>
        <w:rPr>
          <w:rFonts w:ascii="宋体" w:hAnsi="宋体"/>
          <w:b/>
          <w:bCs/>
          <w:color w:val="auto"/>
          <w:sz w:val="24"/>
          <w:highlight w:val="none"/>
        </w:rPr>
      </w:pPr>
      <w:r>
        <w:rPr>
          <w:rFonts w:hint="eastAsia" w:ascii="宋体" w:hAnsi="宋体"/>
          <w:b/>
          <w:bCs/>
          <w:color w:val="auto"/>
          <w:sz w:val="24"/>
          <w:highlight w:val="none"/>
        </w:rPr>
        <w:t xml:space="preserve"> 1、考核方式及方法</w:t>
      </w:r>
    </w:p>
    <w:p w14:paraId="324974F4">
      <w:pPr>
        <w:spacing w:line="348" w:lineRule="auto"/>
        <w:ind w:firstLine="480" w:firstLineChars="200"/>
        <w:rPr>
          <w:rFonts w:ascii="宋体" w:hAnsi="宋体"/>
          <w:b/>
          <w:bCs/>
          <w:color w:val="auto"/>
          <w:sz w:val="24"/>
          <w:highlight w:val="none"/>
        </w:rPr>
      </w:pPr>
      <w:r>
        <w:rPr>
          <w:rFonts w:hint="eastAsia" w:ascii="宋体" w:hAnsi="宋体"/>
          <w:color w:val="auto"/>
          <w:sz w:val="24"/>
          <w:highlight w:val="none"/>
        </w:rPr>
        <w:t xml:space="preserve">考核遵循“以质量标准为准绳、考核细则为依据”原则，按照每月考核,每季汇总,对该项目中标单位工作运营情况实行全面考核，考核结果及时通报中标单位。 </w:t>
      </w:r>
      <w:r>
        <w:rPr>
          <w:rFonts w:hint="eastAsia" w:ascii="宋体" w:hAnsi="宋体"/>
          <w:b/>
          <w:bCs/>
          <w:color w:val="auto"/>
          <w:sz w:val="24"/>
          <w:highlight w:val="none"/>
        </w:rPr>
        <w:t>综合考核分最终组成组成为市考核分占50%+街道考核分占50%。+奖惩措施（正向加分+反向扣分组成）。</w:t>
      </w:r>
    </w:p>
    <w:p w14:paraId="4B64694F">
      <w:pPr>
        <w:spacing w:line="348" w:lineRule="auto"/>
        <w:ind w:firstLine="480" w:firstLineChars="200"/>
        <w:rPr>
          <w:rFonts w:ascii="宋体" w:hAnsi="宋体"/>
          <w:color w:val="auto"/>
          <w:sz w:val="24"/>
          <w:highlight w:val="none"/>
        </w:rPr>
      </w:pPr>
      <w:r>
        <w:rPr>
          <w:rFonts w:hint="eastAsia" w:ascii="宋体" w:hAnsi="宋体"/>
          <w:color w:val="auto"/>
          <w:sz w:val="24"/>
          <w:highlight w:val="none"/>
        </w:rPr>
        <w:t>考核采用</w:t>
      </w:r>
      <w:r>
        <w:rPr>
          <w:rFonts w:hint="eastAsia" w:ascii="宋体" w:hAnsi="宋体"/>
          <w:b/>
          <w:bCs/>
          <w:color w:val="auto"/>
          <w:sz w:val="24"/>
          <w:highlight w:val="none"/>
        </w:rPr>
        <w:t>“现场检查”、“台账核查”、日常检查</w:t>
      </w:r>
      <w:r>
        <w:rPr>
          <w:rFonts w:hint="eastAsia" w:ascii="宋体" w:hAnsi="宋体"/>
          <w:color w:val="auto"/>
          <w:sz w:val="24"/>
          <w:highlight w:val="none"/>
        </w:rPr>
        <w:t>相结合的方式，分别记载入考核台账。月度考核参照《湖州市生活垃圾分类工作考办法》，并在考核前一天通知中标单位。日常抽查采取随机方式，随机检查标段内垃圾分类工作情况，现场通知中标单位，现场予以扣分。考核中采用影像资料等手段对发现的问题进行扣分记录，并下发考核整改告知书，告知整改时限，整改标准，验收时间，并确定专人予以验收。</w:t>
      </w:r>
    </w:p>
    <w:p w14:paraId="7761B8B8">
      <w:pPr>
        <w:spacing w:line="348" w:lineRule="auto"/>
        <w:rPr>
          <w:rFonts w:ascii="宋体" w:hAnsi="宋体"/>
          <w:b/>
          <w:bCs/>
          <w:color w:val="auto"/>
          <w:szCs w:val="28"/>
          <w:highlight w:val="none"/>
        </w:rPr>
      </w:pPr>
      <w:r>
        <w:rPr>
          <w:rFonts w:hint="eastAsia" w:ascii="宋体" w:hAnsi="宋体"/>
          <w:b/>
          <w:bCs/>
          <w:color w:val="auto"/>
          <w:sz w:val="24"/>
          <w:highlight w:val="none"/>
        </w:rPr>
        <w:t>2、考核组成员</w:t>
      </w:r>
      <w:r>
        <w:rPr>
          <w:rFonts w:hint="eastAsia" w:ascii="宋体" w:hAnsi="宋体"/>
          <w:color w:val="auto"/>
          <w:sz w:val="24"/>
          <w:highlight w:val="none"/>
        </w:rPr>
        <w:t>：区分类办1人，街道分类办1人，社区村（或物业公司）不少于1人，中标单位不少于1人。当天考核结束后，参与考核人员须在考核表上签字确认。</w:t>
      </w:r>
    </w:p>
    <w:p w14:paraId="32D65149">
      <w:pPr>
        <w:spacing w:line="360" w:lineRule="auto"/>
        <w:jc w:val="left"/>
        <w:rPr>
          <w:rFonts w:ascii="宋体" w:hAnsi="宋体"/>
          <w:b/>
          <w:bCs/>
          <w:color w:val="auto"/>
          <w:sz w:val="24"/>
          <w:highlight w:val="none"/>
        </w:rPr>
      </w:pPr>
      <w:r>
        <w:rPr>
          <w:rFonts w:hint="eastAsia" w:ascii="宋体" w:hAnsi="宋体"/>
          <w:b/>
          <w:bCs/>
          <w:color w:val="auto"/>
          <w:sz w:val="24"/>
          <w:highlight w:val="none"/>
        </w:rPr>
        <w:t>3、具体考核标准</w:t>
      </w:r>
    </w:p>
    <w:p w14:paraId="1603EACA">
      <w:pPr>
        <w:spacing w:line="480" w:lineRule="exact"/>
        <w:ind w:firstLine="480" w:firstLineChars="200"/>
        <w:jc w:val="left"/>
        <w:rPr>
          <w:rFonts w:ascii="宋体" w:hAnsi="宋体" w:cs="宋体"/>
          <w:color w:val="auto"/>
          <w:sz w:val="24"/>
          <w:highlight w:val="none"/>
        </w:rPr>
      </w:pPr>
      <w:bookmarkStart w:id="65" w:name="_Hlk536356971"/>
      <w:bookmarkStart w:id="66" w:name="_Hlk536356840"/>
      <w:r>
        <w:rPr>
          <w:rFonts w:hint="eastAsia" w:ascii="宋体" w:hAnsi="宋体" w:cs="宋体"/>
          <w:color w:val="auto"/>
          <w:sz w:val="24"/>
          <w:highlight w:val="none"/>
        </w:rPr>
        <w:t>1.各精准分类小区分别进行考核，以月度抽查的方式进行，月度考核平均分数=该月度内标段抽查小区考核分数之和/抽查小区数，计算当月费用，季度费用为三个月月度费用总和。</w:t>
      </w:r>
    </w:p>
    <w:p w14:paraId="60889F84">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2.甲方对精准分类中标单位责任单位月度考核平均分数为97-100分的，甲方全额拨付给当精准分类中标单位责任单位月度费用；</w:t>
      </w:r>
    </w:p>
    <w:p w14:paraId="00903AE6">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3.甲方对精准分类中标单位责任单位月度考核平均分数在93-96分的，依据标段内小区月度考核平均分数，扣0.5%拨款拨付给精准分类中标单位责任单位当月度费用（不做单个小区单项扣款）；</w:t>
      </w:r>
    </w:p>
    <w:p w14:paraId="3604CF57">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4.甲方对精准分类中标单位责任单位月度考核平均分数在90-92分的，并依据标段内小区月度考核平均分数，扣5%拨款拨付给精准分类中标单位责任单位当月度费用（不做单个小区单项扣款）；</w:t>
      </w:r>
    </w:p>
    <w:p w14:paraId="4E74A0BA">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5.甲方对精准分类中标单位责任单位月度考核平均分数在86-89分的，并依据标段内小区月度考核平均分数，扣10%拨款拨付给精准分类中标单位责任单位当月度费用（不做单个小区单项扣款）；</w:t>
      </w:r>
    </w:p>
    <w:p w14:paraId="0615222F">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6.甲方对精准分类中标单位责任单位月度考核平均分数在81-85分的，并依据标段内小区月度考核平均分数，扣15%拨款拨付给精准分类中标单位责任单位当月度费用（不做单个小区单项扣款）；</w:t>
      </w:r>
    </w:p>
    <w:p w14:paraId="36B31F66">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7.甲方对精准分类中标单位责任单位月度考核平均分数在76-80分的，并依据标段内小区月度考核平均分数，扣20%拨款拨付给精准分类中标单位责任单位当月度费用（不做单个小区单项扣款）；</w:t>
      </w:r>
    </w:p>
    <w:p w14:paraId="4280E6B2">
      <w:pPr>
        <w:spacing w:line="48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xml:space="preserve"> 8.甲方对精准分类中标单位责任单位月度考核平均分数在75分(含75分）以下的，甲方该月度无需支付费用给精准分类中标单位责任单位。</w:t>
      </w:r>
    </w:p>
    <w:p w14:paraId="6C4A14B5">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中标单位收到南太湖新区分类办或街道分类办交办单后需在要求的期限内完成整改事项（附整改后图片反馈），不扣款；在一个考核周期内（一个考核周期为一个月）同一个问题在同一个小区内再次出现的按照责任书（合同）扣1%拨款拨付给精准分类中标单位责任单位当月度费用（不做单个小区单项扣款）并有属地街道分类办约谈。</w:t>
      </w:r>
    </w:p>
    <w:p w14:paraId="0E0F4069">
      <w:pPr>
        <w:spacing w:line="48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10.采购人将按照市、区最新考核办法对中标人进行考核。并将考核结果记载入考核台账。</w:t>
      </w:r>
    </w:p>
    <w:p w14:paraId="2536CD9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lang w:val="en-US" w:eastAsia="zh-CN"/>
        </w:rPr>
      </w:pPr>
    </w:p>
    <w:p w14:paraId="7E7C69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lang w:val="en-US" w:eastAsia="zh-CN"/>
        </w:rPr>
      </w:pPr>
    </w:p>
    <w:p w14:paraId="76D6906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lang w:val="en-US" w:eastAsia="zh-CN"/>
        </w:rPr>
      </w:pPr>
    </w:p>
    <w:p w14:paraId="303AB7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附表1 湖州中心城市街道精细化管理垃圾分类工作考核表</w:t>
      </w:r>
    </w:p>
    <w:p w14:paraId="68DB1F8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街道名称：                            检查人员： </w:t>
      </w:r>
    </w:p>
    <w:p w14:paraId="386A093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检查时间：</w:t>
      </w:r>
    </w:p>
    <w:tbl>
      <w:tblPr>
        <w:tblStyle w:val="22"/>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5"/>
        <w:gridCol w:w="30"/>
        <w:gridCol w:w="3025"/>
        <w:gridCol w:w="2505"/>
        <w:gridCol w:w="1249"/>
        <w:gridCol w:w="899"/>
        <w:gridCol w:w="826"/>
      </w:tblGrid>
      <w:tr w14:paraId="7025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noWrap w:val="0"/>
            <w:vAlign w:val="center"/>
          </w:tcPr>
          <w:p w14:paraId="0DA1C4CF">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序号</w:t>
            </w:r>
          </w:p>
        </w:tc>
        <w:tc>
          <w:tcPr>
            <w:tcW w:w="1065" w:type="dxa"/>
            <w:noWrap w:val="0"/>
            <w:vAlign w:val="center"/>
          </w:tcPr>
          <w:p w14:paraId="127E16B2">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项目</w:t>
            </w:r>
          </w:p>
        </w:tc>
        <w:tc>
          <w:tcPr>
            <w:tcW w:w="3055" w:type="dxa"/>
            <w:gridSpan w:val="2"/>
            <w:noWrap w:val="0"/>
            <w:vAlign w:val="center"/>
          </w:tcPr>
          <w:p w14:paraId="08E53897">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考核内容</w:t>
            </w:r>
          </w:p>
        </w:tc>
        <w:tc>
          <w:tcPr>
            <w:tcW w:w="2505" w:type="dxa"/>
            <w:noWrap w:val="0"/>
            <w:vAlign w:val="center"/>
          </w:tcPr>
          <w:p w14:paraId="517DA68A">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评分标准</w:t>
            </w:r>
          </w:p>
        </w:tc>
        <w:tc>
          <w:tcPr>
            <w:tcW w:w="1249" w:type="dxa"/>
            <w:noWrap w:val="0"/>
            <w:vAlign w:val="center"/>
          </w:tcPr>
          <w:p w14:paraId="2EC3FCC4">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检查情况</w:t>
            </w:r>
          </w:p>
        </w:tc>
        <w:tc>
          <w:tcPr>
            <w:tcW w:w="899" w:type="dxa"/>
            <w:noWrap w:val="0"/>
            <w:vAlign w:val="center"/>
          </w:tcPr>
          <w:p w14:paraId="5B49A35A">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总分值</w:t>
            </w:r>
          </w:p>
        </w:tc>
        <w:tc>
          <w:tcPr>
            <w:tcW w:w="826" w:type="dxa"/>
            <w:noWrap w:val="0"/>
            <w:vAlign w:val="center"/>
          </w:tcPr>
          <w:p w14:paraId="396291A3">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得分</w:t>
            </w:r>
          </w:p>
        </w:tc>
      </w:tr>
      <w:tr w14:paraId="2509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0"/>
            <w:vAlign w:val="center"/>
          </w:tcPr>
          <w:p w14:paraId="74B82E5D">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lang w:val="en-US" w:eastAsia="zh-CN"/>
              </w:rPr>
              <w:t>一</w:t>
            </w:r>
          </w:p>
          <w:p w14:paraId="2DED8A1E">
            <w:pPr>
              <w:jc w:val="center"/>
              <w:rPr>
                <w:rFonts w:hint="eastAsia" w:ascii="宋体" w:hAnsi="宋体" w:eastAsia="宋体" w:cs="宋体"/>
                <w:color w:val="auto"/>
                <w:sz w:val="24"/>
                <w:highlight w:val="none"/>
                <w:vertAlign w:val="baseline"/>
              </w:rPr>
            </w:pPr>
          </w:p>
        </w:tc>
        <w:tc>
          <w:tcPr>
            <w:tcW w:w="1065" w:type="dxa"/>
            <w:vMerge w:val="restart"/>
            <w:noWrap w:val="0"/>
            <w:vAlign w:val="center"/>
          </w:tcPr>
          <w:p w14:paraId="139558BD">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主体责任（25</w:t>
            </w:r>
          </w:p>
          <w:p w14:paraId="31F5C4A2">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分）</w:t>
            </w:r>
          </w:p>
        </w:tc>
        <w:tc>
          <w:tcPr>
            <w:tcW w:w="3055" w:type="dxa"/>
            <w:gridSpan w:val="2"/>
            <w:noWrap w:val="0"/>
            <w:vAlign w:val="center"/>
          </w:tcPr>
          <w:p w14:paraId="4E3B0161">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街道建立对辖区范围内社区的指导考核机制，社区健全垃圾分类相关工作台账（如上门辅导、宣传培训等）</w:t>
            </w:r>
          </w:p>
        </w:tc>
        <w:tc>
          <w:tcPr>
            <w:tcW w:w="2505" w:type="dxa"/>
            <w:noWrap w:val="0"/>
            <w:vAlign w:val="center"/>
          </w:tcPr>
          <w:p w14:paraId="582ED0E2">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街道指导考核机制未建立或不完善的，扣 1-2 分；社区台</w:t>
            </w:r>
          </w:p>
          <w:p w14:paraId="487CBC7F">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账记录未建立或不完善的，扣1-2 分</w:t>
            </w:r>
          </w:p>
        </w:tc>
        <w:tc>
          <w:tcPr>
            <w:tcW w:w="1249" w:type="dxa"/>
            <w:noWrap w:val="0"/>
            <w:vAlign w:val="center"/>
          </w:tcPr>
          <w:p w14:paraId="460C88AB">
            <w:pPr>
              <w:jc w:val="center"/>
              <w:rPr>
                <w:rFonts w:hint="eastAsia" w:ascii="宋体" w:hAnsi="宋体" w:eastAsia="宋体" w:cs="宋体"/>
                <w:color w:val="auto"/>
                <w:sz w:val="24"/>
                <w:highlight w:val="none"/>
                <w:vertAlign w:val="baseline"/>
              </w:rPr>
            </w:pPr>
          </w:p>
        </w:tc>
        <w:tc>
          <w:tcPr>
            <w:tcW w:w="899" w:type="dxa"/>
            <w:noWrap w:val="0"/>
            <w:vAlign w:val="center"/>
          </w:tcPr>
          <w:p w14:paraId="22E030BE">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826" w:type="dxa"/>
            <w:noWrap w:val="0"/>
            <w:vAlign w:val="center"/>
          </w:tcPr>
          <w:p w14:paraId="64B57E19">
            <w:pPr>
              <w:jc w:val="center"/>
              <w:rPr>
                <w:rFonts w:hint="eastAsia" w:ascii="宋体" w:hAnsi="宋体" w:eastAsia="宋体" w:cs="宋体"/>
                <w:color w:val="auto"/>
                <w:sz w:val="24"/>
                <w:highlight w:val="none"/>
                <w:vertAlign w:val="baseline"/>
              </w:rPr>
            </w:pPr>
          </w:p>
        </w:tc>
      </w:tr>
      <w:tr w14:paraId="0DB1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53E1C239">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1124BA15">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77983996">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街道建立对管辖范围内分类实施单位（第三方运营单位）的考核机制、奖惩机制及其他相关管理制度，确保各实施单位知晓考核内容（实施单位能查阅到相应的考核办法或有文件签收记录）</w:t>
            </w:r>
          </w:p>
        </w:tc>
        <w:tc>
          <w:tcPr>
            <w:tcW w:w="2505" w:type="dxa"/>
            <w:noWrap w:val="0"/>
            <w:vAlign w:val="center"/>
          </w:tcPr>
          <w:p w14:paraId="623F30A5">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考核机制、奖惩机制等未建立或不完善的，扣 1-2 分</w:t>
            </w:r>
          </w:p>
        </w:tc>
        <w:tc>
          <w:tcPr>
            <w:tcW w:w="1249" w:type="dxa"/>
            <w:noWrap w:val="0"/>
            <w:vAlign w:val="center"/>
          </w:tcPr>
          <w:p w14:paraId="388903A6">
            <w:pPr>
              <w:jc w:val="center"/>
              <w:rPr>
                <w:rFonts w:hint="eastAsia" w:ascii="宋体" w:hAnsi="宋体" w:eastAsia="宋体" w:cs="宋体"/>
                <w:color w:val="auto"/>
                <w:sz w:val="24"/>
                <w:highlight w:val="none"/>
                <w:vertAlign w:val="baseline"/>
              </w:rPr>
            </w:pPr>
          </w:p>
        </w:tc>
        <w:tc>
          <w:tcPr>
            <w:tcW w:w="899" w:type="dxa"/>
            <w:noWrap w:val="0"/>
            <w:vAlign w:val="center"/>
          </w:tcPr>
          <w:p w14:paraId="16164A0F">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2</w:t>
            </w:r>
          </w:p>
        </w:tc>
        <w:tc>
          <w:tcPr>
            <w:tcW w:w="826" w:type="dxa"/>
            <w:noWrap w:val="0"/>
            <w:vAlign w:val="center"/>
          </w:tcPr>
          <w:p w14:paraId="40A08D98">
            <w:pPr>
              <w:jc w:val="center"/>
              <w:rPr>
                <w:rFonts w:hint="eastAsia" w:ascii="宋体" w:hAnsi="宋体" w:eastAsia="宋体" w:cs="宋体"/>
                <w:color w:val="auto"/>
                <w:sz w:val="24"/>
                <w:highlight w:val="none"/>
                <w:vertAlign w:val="baseline"/>
              </w:rPr>
            </w:pPr>
          </w:p>
        </w:tc>
      </w:tr>
      <w:tr w14:paraId="79B9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61322734">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49166F9D">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2FD1CF37">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街道督促分类实施单位按照要求，开展垃圾分类主题宣传及积分兑换活动</w:t>
            </w:r>
          </w:p>
        </w:tc>
        <w:tc>
          <w:tcPr>
            <w:tcW w:w="2505" w:type="dxa"/>
            <w:noWrap w:val="0"/>
            <w:vAlign w:val="center"/>
          </w:tcPr>
          <w:p w14:paraId="3603F1E4">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将通过查阅实施单位台账或电话、现场抽样民调等方式，予以核实。实施单位未建立台</w:t>
            </w:r>
          </w:p>
          <w:p w14:paraId="1C568B42">
            <w:pPr>
              <w:jc w:val="center"/>
              <w:rPr>
                <w:rFonts w:hint="eastAsia" w:ascii="宋体" w:hAnsi="宋体" w:eastAsia="宋体" w:cs="宋体"/>
                <w:color w:val="auto"/>
                <w:sz w:val="24"/>
                <w:highlight w:val="none"/>
                <w:vertAlign w:val="baseline"/>
                <w:lang w:eastAsia="zh-CN"/>
              </w:rPr>
            </w:pPr>
            <w:r>
              <w:rPr>
                <w:rFonts w:hint="eastAsia" w:ascii="宋体" w:hAnsi="宋体" w:eastAsia="宋体" w:cs="宋体"/>
                <w:color w:val="auto"/>
                <w:sz w:val="24"/>
                <w:highlight w:val="none"/>
                <w:vertAlign w:val="baseline"/>
              </w:rPr>
              <w:t>账或台账不完善的，扣 1-2分；积分兑换不及时的，发现一次扣 1 分；扣完为止</w:t>
            </w:r>
            <w:r>
              <w:rPr>
                <w:rFonts w:hint="eastAsia" w:ascii="宋体" w:hAnsi="宋体" w:eastAsia="宋体" w:cs="宋体"/>
                <w:color w:val="auto"/>
                <w:sz w:val="24"/>
                <w:highlight w:val="none"/>
                <w:vertAlign w:val="baseline"/>
                <w:lang w:eastAsia="zh-CN"/>
              </w:rPr>
              <w:t>。</w:t>
            </w:r>
          </w:p>
        </w:tc>
        <w:tc>
          <w:tcPr>
            <w:tcW w:w="1249" w:type="dxa"/>
            <w:noWrap w:val="0"/>
            <w:vAlign w:val="center"/>
          </w:tcPr>
          <w:p w14:paraId="795BEE4B">
            <w:pPr>
              <w:jc w:val="center"/>
              <w:rPr>
                <w:rFonts w:hint="eastAsia" w:ascii="宋体" w:hAnsi="宋体" w:eastAsia="宋体" w:cs="宋体"/>
                <w:color w:val="auto"/>
                <w:sz w:val="24"/>
                <w:highlight w:val="none"/>
                <w:vertAlign w:val="baseline"/>
              </w:rPr>
            </w:pPr>
          </w:p>
        </w:tc>
        <w:tc>
          <w:tcPr>
            <w:tcW w:w="899" w:type="dxa"/>
            <w:noWrap w:val="0"/>
            <w:vAlign w:val="center"/>
          </w:tcPr>
          <w:p w14:paraId="3FB0FA18">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72336B4E">
            <w:pPr>
              <w:jc w:val="center"/>
              <w:rPr>
                <w:rFonts w:hint="eastAsia" w:ascii="宋体" w:hAnsi="宋体" w:eastAsia="宋体" w:cs="宋体"/>
                <w:color w:val="auto"/>
                <w:sz w:val="24"/>
                <w:highlight w:val="none"/>
                <w:vertAlign w:val="baseline"/>
              </w:rPr>
            </w:pPr>
          </w:p>
        </w:tc>
      </w:tr>
      <w:tr w14:paraId="136F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28C0F28A">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6DA07D33">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2CD97B2D">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街道指导分类实施单位建立专业化的专管员队伍，并定期对专管员进行培训；同时督促分类实施单位做好各类收集容器的清洗、维</w:t>
            </w:r>
          </w:p>
          <w:p w14:paraId="409C116F">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护、更新，及易腐垃圾的日产日清，确保无漏收现象</w:t>
            </w:r>
          </w:p>
        </w:tc>
        <w:tc>
          <w:tcPr>
            <w:tcW w:w="2505" w:type="dxa"/>
            <w:noWrap w:val="0"/>
            <w:vAlign w:val="center"/>
          </w:tcPr>
          <w:p w14:paraId="2FAEF886">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实施单位台账记录未建立或不完善的，扣 1-2 分；发现易腐垃圾存在漏收情况且核实</w:t>
            </w:r>
          </w:p>
          <w:p w14:paraId="36AACF62">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的，发现一次扣 1 分，扣完为止</w:t>
            </w:r>
          </w:p>
        </w:tc>
        <w:tc>
          <w:tcPr>
            <w:tcW w:w="1249" w:type="dxa"/>
            <w:noWrap w:val="0"/>
            <w:vAlign w:val="center"/>
          </w:tcPr>
          <w:p w14:paraId="6055BB7E">
            <w:pPr>
              <w:jc w:val="center"/>
              <w:rPr>
                <w:rFonts w:hint="eastAsia" w:ascii="宋体" w:hAnsi="宋体" w:eastAsia="宋体" w:cs="宋体"/>
                <w:color w:val="auto"/>
                <w:sz w:val="24"/>
                <w:highlight w:val="none"/>
                <w:vertAlign w:val="baseline"/>
              </w:rPr>
            </w:pPr>
          </w:p>
        </w:tc>
        <w:tc>
          <w:tcPr>
            <w:tcW w:w="899" w:type="dxa"/>
            <w:noWrap w:val="0"/>
            <w:vAlign w:val="center"/>
          </w:tcPr>
          <w:p w14:paraId="52C3EF88">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4</w:t>
            </w:r>
          </w:p>
        </w:tc>
        <w:tc>
          <w:tcPr>
            <w:tcW w:w="826" w:type="dxa"/>
            <w:noWrap w:val="0"/>
            <w:vAlign w:val="center"/>
          </w:tcPr>
          <w:p w14:paraId="19CAC7D0">
            <w:pPr>
              <w:jc w:val="center"/>
              <w:rPr>
                <w:rFonts w:hint="eastAsia" w:ascii="宋体" w:hAnsi="宋体" w:eastAsia="宋体" w:cs="宋体"/>
                <w:color w:val="auto"/>
                <w:sz w:val="24"/>
                <w:highlight w:val="none"/>
                <w:vertAlign w:val="baseline"/>
              </w:rPr>
            </w:pPr>
          </w:p>
        </w:tc>
      </w:tr>
      <w:tr w14:paraId="4A2C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12E6C6D3">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7F2956CF">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0DE3AF18">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街道办事处及管辖内社区做好单位内部垃圾分类相关工作</w:t>
            </w:r>
          </w:p>
        </w:tc>
        <w:tc>
          <w:tcPr>
            <w:tcW w:w="2505" w:type="dxa"/>
            <w:noWrap w:val="0"/>
            <w:vAlign w:val="center"/>
          </w:tcPr>
          <w:p w14:paraId="607BA029">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营造良好的宣传氛围，各类垃圾投放设施配置到位、做好日常维护管理，各类垃圾不混投</w:t>
            </w:r>
          </w:p>
          <w:p w14:paraId="2483C944">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等。每发现一处问题，扣 2 分</w:t>
            </w:r>
          </w:p>
        </w:tc>
        <w:tc>
          <w:tcPr>
            <w:tcW w:w="1249" w:type="dxa"/>
            <w:noWrap w:val="0"/>
            <w:vAlign w:val="center"/>
          </w:tcPr>
          <w:p w14:paraId="1CE3F8CC">
            <w:pPr>
              <w:jc w:val="center"/>
              <w:rPr>
                <w:rFonts w:hint="eastAsia" w:ascii="宋体" w:hAnsi="宋体" w:eastAsia="宋体" w:cs="宋体"/>
                <w:color w:val="auto"/>
                <w:sz w:val="24"/>
                <w:highlight w:val="none"/>
                <w:vertAlign w:val="baseline"/>
              </w:rPr>
            </w:pPr>
          </w:p>
        </w:tc>
        <w:tc>
          <w:tcPr>
            <w:tcW w:w="899" w:type="dxa"/>
            <w:noWrap w:val="0"/>
            <w:vAlign w:val="center"/>
          </w:tcPr>
          <w:p w14:paraId="2D1A773C">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10</w:t>
            </w:r>
          </w:p>
        </w:tc>
        <w:tc>
          <w:tcPr>
            <w:tcW w:w="826" w:type="dxa"/>
            <w:noWrap w:val="0"/>
            <w:vAlign w:val="center"/>
          </w:tcPr>
          <w:p w14:paraId="2E2D4F07">
            <w:pPr>
              <w:jc w:val="center"/>
              <w:rPr>
                <w:rFonts w:hint="eastAsia" w:ascii="宋体" w:hAnsi="宋体" w:eastAsia="宋体" w:cs="宋体"/>
                <w:color w:val="auto"/>
                <w:sz w:val="24"/>
                <w:highlight w:val="none"/>
                <w:vertAlign w:val="baseline"/>
              </w:rPr>
            </w:pPr>
          </w:p>
        </w:tc>
      </w:tr>
      <w:tr w14:paraId="1FD6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0"/>
            <w:vAlign w:val="center"/>
          </w:tcPr>
          <w:p w14:paraId="6CB564C5">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二</w:t>
            </w:r>
          </w:p>
        </w:tc>
        <w:tc>
          <w:tcPr>
            <w:tcW w:w="1065" w:type="dxa"/>
            <w:vMerge w:val="restart"/>
            <w:noWrap w:val="0"/>
            <w:vAlign w:val="center"/>
          </w:tcPr>
          <w:p w14:paraId="585671D3">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日常</w:t>
            </w:r>
          </w:p>
          <w:p w14:paraId="502C2805">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管理</w:t>
            </w:r>
          </w:p>
          <w:p w14:paraId="4158DFD3">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（非定时定点）（50分）</w:t>
            </w:r>
          </w:p>
        </w:tc>
        <w:tc>
          <w:tcPr>
            <w:tcW w:w="3055" w:type="dxa"/>
            <w:gridSpan w:val="2"/>
            <w:noWrap w:val="0"/>
            <w:vAlign w:val="center"/>
          </w:tcPr>
          <w:p w14:paraId="42F5F34E">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小区易腐垃圾收集站日常管理到位，无异味；易腐垃圾桶摆放有序，定期清洗，桶身干净整洁，无污垢、无破损，内部无积水，垃圾不满溢</w:t>
            </w:r>
          </w:p>
        </w:tc>
        <w:tc>
          <w:tcPr>
            <w:tcW w:w="2505" w:type="dxa"/>
            <w:noWrap w:val="0"/>
            <w:vAlign w:val="center"/>
          </w:tcPr>
          <w:p w14:paraId="558040DA">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每发现一处设置不规范的扣 1分，扣完为止</w:t>
            </w:r>
          </w:p>
        </w:tc>
        <w:tc>
          <w:tcPr>
            <w:tcW w:w="1249" w:type="dxa"/>
            <w:noWrap w:val="0"/>
            <w:vAlign w:val="center"/>
          </w:tcPr>
          <w:p w14:paraId="2014EB42">
            <w:pPr>
              <w:jc w:val="center"/>
              <w:rPr>
                <w:rFonts w:hint="eastAsia" w:ascii="宋体" w:hAnsi="宋体" w:eastAsia="宋体" w:cs="宋体"/>
                <w:color w:val="auto"/>
                <w:sz w:val="24"/>
                <w:highlight w:val="none"/>
                <w:vertAlign w:val="baseline"/>
              </w:rPr>
            </w:pPr>
          </w:p>
        </w:tc>
        <w:tc>
          <w:tcPr>
            <w:tcW w:w="899" w:type="dxa"/>
            <w:noWrap w:val="0"/>
            <w:vAlign w:val="center"/>
          </w:tcPr>
          <w:p w14:paraId="7FBA2D73">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41B38BAC">
            <w:pPr>
              <w:jc w:val="center"/>
              <w:rPr>
                <w:rFonts w:hint="eastAsia" w:ascii="宋体" w:hAnsi="宋体" w:eastAsia="宋体" w:cs="宋体"/>
                <w:color w:val="auto"/>
                <w:sz w:val="24"/>
                <w:highlight w:val="none"/>
                <w:vertAlign w:val="baseline"/>
              </w:rPr>
            </w:pPr>
          </w:p>
        </w:tc>
      </w:tr>
      <w:tr w14:paraId="4CDB5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0D21AB4D">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26554F11">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44CD41F8">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小区的易腐垃圾分类投放准确率达到 95%以上、实际日投放率达到 40%以上。以每 200 户常住户收集 50 公斤易腐垃圾为达标线（约 1/3 桶），达标线以下的按</w:t>
            </w:r>
          </w:p>
          <w:p w14:paraId="2C1E5EE0">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比例扣分</w:t>
            </w:r>
          </w:p>
        </w:tc>
        <w:tc>
          <w:tcPr>
            <w:tcW w:w="2505" w:type="dxa"/>
            <w:noWrap w:val="0"/>
            <w:vAlign w:val="center"/>
          </w:tcPr>
          <w:p w14:paraId="11F6A0B4">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为防止各实施单位弄虚作假，采用暗查的形式，不定小区，不定时间。在当天易腐垃圾收</w:t>
            </w:r>
          </w:p>
          <w:p w14:paraId="675CF51A">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集完毕又未清运之前随机抽查</w:t>
            </w:r>
          </w:p>
        </w:tc>
        <w:tc>
          <w:tcPr>
            <w:tcW w:w="1249" w:type="dxa"/>
            <w:noWrap w:val="0"/>
            <w:vAlign w:val="center"/>
          </w:tcPr>
          <w:p w14:paraId="7687D4ED">
            <w:pPr>
              <w:jc w:val="center"/>
              <w:rPr>
                <w:rFonts w:hint="eastAsia" w:ascii="宋体" w:hAnsi="宋体" w:eastAsia="宋体" w:cs="宋体"/>
                <w:color w:val="auto"/>
                <w:sz w:val="24"/>
                <w:highlight w:val="none"/>
                <w:vertAlign w:val="baseline"/>
              </w:rPr>
            </w:pPr>
          </w:p>
        </w:tc>
        <w:tc>
          <w:tcPr>
            <w:tcW w:w="899" w:type="dxa"/>
            <w:noWrap w:val="0"/>
            <w:vAlign w:val="center"/>
          </w:tcPr>
          <w:p w14:paraId="1FA857B6">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44BCCCA4">
            <w:pPr>
              <w:jc w:val="center"/>
              <w:rPr>
                <w:rFonts w:hint="eastAsia" w:ascii="宋体" w:hAnsi="宋体" w:eastAsia="宋体" w:cs="宋体"/>
                <w:color w:val="auto"/>
                <w:sz w:val="24"/>
                <w:highlight w:val="none"/>
                <w:vertAlign w:val="baseline"/>
              </w:rPr>
            </w:pPr>
          </w:p>
        </w:tc>
      </w:tr>
      <w:tr w14:paraId="120B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2AA85C9E">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1622C7DA">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58C99FF1">
            <w:pPr>
              <w:keepNext w:val="0"/>
              <w:keepLines w:val="0"/>
              <w:widowControl/>
              <w:suppressLineNumbers w:val="0"/>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lang w:val="en-US" w:eastAsia="zh-CN"/>
              </w:rPr>
              <w:t>小区大件垃圾中转站设置围挡，日常管理到位；中转站内的大件 或装修垃圾不随意堆放、不满溢；站内不得混入其他生活垃圾</w:t>
            </w:r>
          </w:p>
        </w:tc>
        <w:tc>
          <w:tcPr>
            <w:tcW w:w="2505" w:type="dxa"/>
            <w:noWrap w:val="0"/>
            <w:vAlign w:val="center"/>
          </w:tcPr>
          <w:p w14:paraId="1ED73714">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每发现一处不规范的，扣 2分，扣完为止</w:t>
            </w:r>
          </w:p>
        </w:tc>
        <w:tc>
          <w:tcPr>
            <w:tcW w:w="1249" w:type="dxa"/>
            <w:noWrap w:val="0"/>
            <w:vAlign w:val="center"/>
          </w:tcPr>
          <w:p w14:paraId="24583FF9">
            <w:pPr>
              <w:jc w:val="center"/>
              <w:rPr>
                <w:rFonts w:hint="eastAsia" w:ascii="宋体" w:hAnsi="宋体" w:eastAsia="宋体" w:cs="宋体"/>
                <w:color w:val="auto"/>
                <w:sz w:val="24"/>
                <w:highlight w:val="none"/>
                <w:vertAlign w:val="baseline"/>
              </w:rPr>
            </w:pPr>
          </w:p>
        </w:tc>
        <w:tc>
          <w:tcPr>
            <w:tcW w:w="899" w:type="dxa"/>
            <w:noWrap w:val="0"/>
            <w:vAlign w:val="center"/>
          </w:tcPr>
          <w:p w14:paraId="5D3F63D5">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10</w:t>
            </w:r>
          </w:p>
        </w:tc>
        <w:tc>
          <w:tcPr>
            <w:tcW w:w="826" w:type="dxa"/>
            <w:noWrap w:val="0"/>
            <w:vAlign w:val="center"/>
          </w:tcPr>
          <w:p w14:paraId="56232D70">
            <w:pPr>
              <w:jc w:val="center"/>
              <w:rPr>
                <w:rFonts w:hint="eastAsia" w:ascii="宋体" w:hAnsi="宋体" w:eastAsia="宋体" w:cs="宋体"/>
                <w:color w:val="auto"/>
                <w:sz w:val="24"/>
                <w:highlight w:val="none"/>
                <w:vertAlign w:val="baseline"/>
              </w:rPr>
            </w:pPr>
          </w:p>
        </w:tc>
      </w:tr>
      <w:tr w14:paraId="58A3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46602E9C">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602CA024">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6FF27D21">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小区绿色环保站（或智能投放设备）日常管理到位，定人定期进行维护和清理</w:t>
            </w:r>
          </w:p>
        </w:tc>
        <w:tc>
          <w:tcPr>
            <w:tcW w:w="2505" w:type="dxa"/>
            <w:noWrap w:val="0"/>
            <w:vAlign w:val="center"/>
          </w:tcPr>
          <w:p w14:paraId="5ED0D999">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清理不及时的，发现一次扣 1分；设备故障未及时修理的，发现一次扣 2 分</w:t>
            </w:r>
          </w:p>
        </w:tc>
        <w:tc>
          <w:tcPr>
            <w:tcW w:w="1249" w:type="dxa"/>
            <w:noWrap w:val="0"/>
            <w:vAlign w:val="center"/>
          </w:tcPr>
          <w:p w14:paraId="1F4D20D8">
            <w:pPr>
              <w:jc w:val="center"/>
              <w:rPr>
                <w:rFonts w:hint="eastAsia" w:ascii="宋体" w:hAnsi="宋体" w:eastAsia="宋体" w:cs="宋体"/>
                <w:color w:val="auto"/>
                <w:sz w:val="24"/>
                <w:highlight w:val="none"/>
                <w:vertAlign w:val="baseline"/>
              </w:rPr>
            </w:pPr>
          </w:p>
        </w:tc>
        <w:tc>
          <w:tcPr>
            <w:tcW w:w="899" w:type="dxa"/>
            <w:noWrap w:val="0"/>
            <w:vAlign w:val="center"/>
          </w:tcPr>
          <w:p w14:paraId="7A6A977C">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073FEDA0">
            <w:pPr>
              <w:jc w:val="center"/>
              <w:rPr>
                <w:rFonts w:hint="eastAsia" w:ascii="宋体" w:hAnsi="宋体" w:eastAsia="宋体" w:cs="宋体"/>
                <w:color w:val="auto"/>
                <w:sz w:val="24"/>
                <w:highlight w:val="none"/>
                <w:vertAlign w:val="baseline"/>
              </w:rPr>
            </w:pPr>
          </w:p>
        </w:tc>
      </w:tr>
      <w:tr w14:paraId="5508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1C232DAC">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6E48490D">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52BF6969">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小区其他垃圾投放处的其他垃圾桶桶身干净、无污垢、无破损，内部无积水，垃圾不满溢</w:t>
            </w:r>
          </w:p>
        </w:tc>
        <w:tc>
          <w:tcPr>
            <w:tcW w:w="2505" w:type="dxa"/>
            <w:noWrap w:val="0"/>
            <w:vAlign w:val="center"/>
          </w:tcPr>
          <w:p w14:paraId="09BB59ED">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每发现一处设置不规范的，扣1 分，扣完为止</w:t>
            </w:r>
          </w:p>
        </w:tc>
        <w:tc>
          <w:tcPr>
            <w:tcW w:w="1249" w:type="dxa"/>
            <w:noWrap w:val="0"/>
            <w:vAlign w:val="center"/>
          </w:tcPr>
          <w:p w14:paraId="3DFC8DDF">
            <w:pPr>
              <w:jc w:val="center"/>
              <w:rPr>
                <w:rFonts w:hint="eastAsia" w:ascii="宋体" w:hAnsi="宋体" w:eastAsia="宋体" w:cs="宋体"/>
                <w:color w:val="auto"/>
                <w:sz w:val="24"/>
                <w:highlight w:val="none"/>
                <w:vertAlign w:val="baseline"/>
              </w:rPr>
            </w:pPr>
          </w:p>
        </w:tc>
        <w:tc>
          <w:tcPr>
            <w:tcW w:w="899" w:type="dxa"/>
            <w:noWrap w:val="0"/>
            <w:vAlign w:val="center"/>
          </w:tcPr>
          <w:p w14:paraId="7768C4D7">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10</w:t>
            </w:r>
          </w:p>
        </w:tc>
        <w:tc>
          <w:tcPr>
            <w:tcW w:w="826" w:type="dxa"/>
            <w:noWrap w:val="0"/>
            <w:vAlign w:val="center"/>
          </w:tcPr>
          <w:p w14:paraId="102C0B26">
            <w:pPr>
              <w:jc w:val="center"/>
              <w:rPr>
                <w:rFonts w:hint="eastAsia" w:ascii="宋体" w:hAnsi="宋体" w:eastAsia="宋体" w:cs="宋体"/>
                <w:color w:val="auto"/>
                <w:sz w:val="24"/>
                <w:highlight w:val="none"/>
                <w:vertAlign w:val="baseline"/>
              </w:rPr>
            </w:pPr>
          </w:p>
        </w:tc>
      </w:tr>
      <w:tr w14:paraId="0165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5D0332ED">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07AB689C">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618A400B">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小区“居民垃圾分类成绩公布牌”，尺寸不得小于W150cm*H120cm，内容完整，保持每月更新一次</w:t>
            </w:r>
          </w:p>
        </w:tc>
        <w:tc>
          <w:tcPr>
            <w:tcW w:w="2505" w:type="dxa"/>
            <w:noWrap w:val="0"/>
            <w:vAlign w:val="center"/>
          </w:tcPr>
          <w:p w14:paraId="38991585">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尺寸或内容不符合的，扣 2分；没有及时更新的，扣 3 分</w:t>
            </w:r>
          </w:p>
        </w:tc>
        <w:tc>
          <w:tcPr>
            <w:tcW w:w="1249" w:type="dxa"/>
            <w:noWrap w:val="0"/>
            <w:vAlign w:val="center"/>
          </w:tcPr>
          <w:p w14:paraId="2FA53869">
            <w:pPr>
              <w:jc w:val="center"/>
              <w:rPr>
                <w:rFonts w:hint="eastAsia" w:ascii="宋体" w:hAnsi="宋体" w:eastAsia="宋体" w:cs="宋体"/>
                <w:color w:val="auto"/>
                <w:sz w:val="24"/>
                <w:highlight w:val="none"/>
                <w:vertAlign w:val="baseline"/>
              </w:rPr>
            </w:pPr>
          </w:p>
        </w:tc>
        <w:tc>
          <w:tcPr>
            <w:tcW w:w="899" w:type="dxa"/>
            <w:noWrap w:val="0"/>
            <w:vAlign w:val="center"/>
          </w:tcPr>
          <w:p w14:paraId="403B314F">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20623F1B">
            <w:pPr>
              <w:jc w:val="center"/>
              <w:rPr>
                <w:rFonts w:hint="eastAsia" w:ascii="宋体" w:hAnsi="宋体" w:eastAsia="宋体" w:cs="宋体"/>
                <w:color w:val="auto"/>
                <w:sz w:val="24"/>
                <w:highlight w:val="none"/>
                <w:vertAlign w:val="baseline"/>
              </w:rPr>
            </w:pPr>
          </w:p>
        </w:tc>
      </w:tr>
      <w:tr w14:paraId="3235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5D709B3D">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56755652">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0746D4CE">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小区每个单元入口进行居民月度分类成果展示，楼道内须公示分类责任单位名称及联系、咨询、投诉电话</w:t>
            </w:r>
          </w:p>
        </w:tc>
        <w:tc>
          <w:tcPr>
            <w:tcW w:w="2505" w:type="dxa"/>
            <w:noWrap w:val="0"/>
            <w:vAlign w:val="center"/>
          </w:tcPr>
          <w:p w14:paraId="32D59100">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分类成果展示栏尺寸不符合要求的，扣</w:t>
            </w:r>
            <w:r>
              <w:rPr>
                <w:rFonts w:hint="eastAsia" w:ascii="宋体" w:hAnsi="宋体" w:eastAsia="宋体" w:cs="宋体"/>
                <w:color w:val="auto"/>
                <w:sz w:val="24"/>
                <w:highlight w:val="none"/>
                <w:vertAlign w:val="baseline"/>
                <w:lang w:val="en-US" w:eastAsia="zh-CN"/>
              </w:rPr>
              <w:t>1</w:t>
            </w:r>
            <w:r>
              <w:rPr>
                <w:rFonts w:hint="eastAsia" w:ascii="宋体" w:hAnsi="宋体" w:eastAsia="宋体" w:cs="宋体"/>
                <w:color w:val="auto"/>
                <w:sz w:val="24"/>
                <w:highlight w:val="none"/>
                <w:vertAlign w:val="baseline"/>
              </w:rPr>
              <w:t>分；没有进行月度更新的，扣</w:t>
            </w:r>
            <w:r>
              <w:rPr>
                <w:rFonts w:hint="eastAsia" w:ascii="宋体" w:hAnsi="宋体" w:eastAsia="宋体" w:cs="宋体"/>
                <w:color w:val="auto"/>
                <w:sz w:val="24"/>
                <w:highlight w:val="none"/>
                <w:vertAlign w:val="baseline"/>
                <w:lang w:val="en-US" w:eastAsia="zh-CN"/>
              </w:rPr>
              <w:t>3</w:t>
            </w:r>
            <w:r>
              <w:rPr>
                <w:rFonts w:hint="eastAsia" w:ascii="宋体" w:hAnsi="宋体" w:eastAsia="宋体" w:cs="宋体"/>
                <w:color w:val="auto"/>
                <w:sz w:val="24"/>
                <w:highlight w:val="none"/>
                <w:vertAlign w:val="baseline"/>
              </w:rPr>
              <w:t>分；监督等信息不完整的，扣</w:t>
            </w:r>
            <w:r>
              <w:rPr>
                <w:rFonts w:hint="eastAsia" w:ascii="宋体" w:hAnsi="宋体" w:eastAsia="宋体" w:cs="宋体"/>
                <w:color w:val="auto"/>
                <w:sz w:val="24"/>
                <w:highlight w:val="none"/>
                <w:vertAlign w:val="baseline"/>
                <w:lang w:val="en-US" w:eastAsia="zh-CN"/>
              </w:rPr>
              <w:t>1</w:t>
            </w:r>
            <w:r>
              <w:rPr>
                <w:rFonts w:hint="eastAsia" w:ascii="宋体" w:hAnsi="宋体" w:eastAsia="宋体" w:cs="宋体"/>
                <w:color w:val="auto"/>
                <w:sz w:val="24"/>
                <w:highlight w:val="none"/>
                <w:vertAlign w:val="baseline"/>
              </w:rPr>
              <w:t>分</w:t>
            </w:r>
          </w:p>
        </w:tc>
        <w:tc>
          <w:tcPr>
            <w:tcW w:w="1249" w:type="dxa"/>
            <w:noWrap w:val="0"/>
            <w:vAlign w:val="center"/>
          </w:tcPr>
          <w:p w14:paraId="1DE09C38">
            <w:pPr>
              <w:jc w:val="center"/>
              <w:rPr>
                <w:rFonts w:hint="eastAsia" w:ascii="宋体" w:hAnsi="宋体" w:eastAsia="宋体" w:cs="宋体"/>
                <w:color w:val="auto"/>
                <w:sz w:val="24"/>
                <w:highlight w:val="none"/>
                <w:vertAlign w:val="baseline"/>
              </w:rPr>
            </w:pPr>
          </w:p>
        </w:tc>
        <w:tc>
          <w:tcPr>
            <w:tcW w:w="899" w:type="dxa"/>
            <w:noWrap w:val="0"/>
            <w:vAlign w:val="center"/>
          </w:tcPr>
          <w:p w14:paraId="4F901B8A">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59FD0A77">
            <w:pPr>
              <w:jc w:val="center"/>
              <w:rPr>
                <w:rFonts w:hint="eastAsia" w:ascii="宋体" w:hAnsi="宋体" w:eastAsia="宋体" w:cs="宋体"/>
                <w:color w:val="auto"/>
                <w:sz w:val="24"/>
                <w:highlight w:val="none"/>
                <w:vertAlign w:val="baseline"/>
              </w:rPr>
            </w:pPr>
          </w:p>
        </w:tc>
      </w:tr>
      <w:tr w14:paraId="42CA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462695E6">
            <w:pPr>
              <w:jc w:val="center"/>
              <w:rPr>
                <w:rFonts w:hint="eastAsia" w:ascii="宋体" w:hAnsi="宋体" w:eastAsia="宋体" w:cs="宋体"/>
                <w:color w:val="auto"/>
                <w:sz w:val="24"/>
                <w:highlight w:val="none"/>
                <w:vertAlign w:val="baseline"/>
              </w:rPr>
            </w:pPr>
          </w:p>
        </w:tc>
        <w:tc>
          <w:tcPr>
            <w:tcW w:w="1065" w:type="dxa"/>
            <w:vMerge w:val="continue"/>
            <w:noWrap w:val="0"/>
            <w:vAlign w:val="center"/>
          </w:tcPr>
          <w:p w14:paraId="343EE7EF">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20453106">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小区内的所有垃圾分类宣传内容标识统一、清晰完整，与省标保持一致</w:t>
            </w:r>
          </w:p>
        </w:tc>
        <w:tc>
          <w:tcPr>
            <w:tcW w:w="2505" w:type="dxa"/>
            <w:noWrap w:val="0"/>
            <w:vAlign w:val="center"/>
          </w:tcPr>
          <w:p w14:paraId="36A01A75">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标识不统一的，每发现一处扣</w:t>
            </w:r>
            <w:r>
              <w:rPr>
                <w:rFonts w:hint="eastAsia" w:ascii="宋体" w:hAnsi="宋体" w:eastAsia="宋体" w:cs="宋体"/>
                <w:color w:val="auto"/>
                <w:sz w:val="24"/>
                <w:highlight w:val="none"/>
                <w:vertAlign w:val="baseline"/>
                <w:lang w:val="en-US" w:eastAsia="zh-CN"/>
              </w:rPr>
              <w:t>1</w:t>
            </w:r>
            <w:r>
              <w:rPr>
                <w:rFonts w:hint="eastAsia" w:ascii="宋体" w:hAnsi="宋体" w:eastAsia="宋体" w:cs="宋体"/>
                <w:color w:val="auto"/>
                <w:sz w:val="24"/>
                <w:highlight w:val="none"/>
                <w:vertAlign w:val="baseline"/>
              </w:rPr>
              <w:t xml:space="preserve">分；与省标不一致的，每发现一处扣 </w:t>
            </w:r>
            <w:r>
              <w:rPr>
                <w:rFonts w:hint="eastAsia" w:ascii="宋体" w:hAnsi="宋体" w:eastAsia="宋体" w:cs="宋体"/>
                <w:color w:val="auto"/>
                <w:sz w:val="24"/>
                <w:highlight w:val="none"/>
                <w:vertAlign w:val="baseline"/>
                <w:lang w:val="en-US" w:eastAsia="zh-CN"/>
              </w:rPr>
              <w:t>2</w:t>
            </w:r>
            <w:r>
              <w:rPr>
                <w:rFonts w:hint="eastAsia" w:ascii="宋体" w:hAnsi="宋体" w:eastAsia="宋体" w:cs="宋体"/>
                <w:color w:val="auto"/>
                <w:sz w:val="24"/>
                <w:highlight w:val="none"/>
                <w:vertAlign w:val="baseline"/>
              </w:rPr>
              <w:t>分，扣完为止</w:t>
            </w:r>
          </w:p>
        </w:tc>
        <w:tc>
          <w:tcPr>
            <w:tcW w:w="1249" w:type="dxa"/>
            <w:noWrap w:val="0"/>
            <w:vAlign w:val="center"/>
          </w:tcPr>
          <w:p w14:paraId="20FD454C">
            <w:pPr>
              <w:jc w:val="center"/>
              <w:rPr>
                <w:rFonts w:hint="eastAsia" w:ascii="宋体" w:hAnsi="宋体" w:eastAsia="宋体" w:cs="宋体"/>
                <w:color w:val="auto"/>
                <w:sz w:val="24"/>
                <w:highlight w:val="none"/>
                <w:vertAlign w:val="baseline"/>
              </w:rPr>
            </w:pPr>
          </w:p>
        </w:tc>
        <w:tc>
          <w:tcPr>
            <w:tcW w:w="899" w:type="dxa"/>
            <w:noWrap w:val="0"/>
            <w:vAlign w:val="center"/>
          </w:tcPr>
          <w:p w14:paraId="4AB1A14D">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45927A4A">
            <w:pPr>
              <w:jc w:val="center"/>
              <w:rPr>
                <w:rFonts w:hint="eastAsia" w:ascii="宋体" w:hAnsi="宋体" w:eastAsia="宋体" w:cs="宋体"/>
                <w:color w:val="auto"/>
                <w:sz w:val="24"/>
                <w:highlight w:val="none"/>
                <w:vertAlign w:val="baseline"/>
              </w:rPr>
            </w:pPr>
          </w:p>
        </w:tc>
      </w:tr>
      <w:tr w14:paraId="5EC7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restart"/>
            <w:noWrap w:val="0"/>
            <w:vAlign w:val="center"/>
          </w:tcPr>
          <w:p w14:paraId="1570B867">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三</w:t>
            </w:r>
          </w:p>
        </w:tc>
        <w:tc>
          <w:tcPr>
            <w:tcW w:w="1065" w:type="dxa"/>
            <w:vMerge w:val="restart"/>
            <w:noWrap w:val="0"/>
            <w:vAlign w:val="center"/>
          </w:tcPr>
          <w:p w14:paraId="3A110489">
            <w:pPr>
              <w:jc w:val="center"/>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长效机制（25分）</w:t>
            </w:r>
          </w:p>
        </w:tc>
        <w:tc>
          <w:tcPr>
            <w:tcW w:w="3055" w:type="dxa"/>
            <w:gridSpan w:val="2"/>
            <w:noWrap w:val="0"/>
            <w:vAlign w:val="center"/>
          </w:tcPr>
          <w:p w14:paraId="6E85CE6D">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居民生活垃圾分类工作满意度</w:t>
            </w:r>
          </w:p>
        </w:tc>
        <w:tc>
          <w:tcPr>
            <w:tcW w:w="2505" w:type="dxa"/>
            <w:noWrap w:val="0"/>
            <w:vAlign w:val="center"/>
          </w:tcPr>
          <w:p w14:paraId="65B1CFE3">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通过随机抽查的形式，了解居民对本小区垃圾分类工作是否满意，按照满意率进行分数</w:t>
            </w:r>
          </w:p>
          <w:p w14:paraId="2C250785">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折算</w:t>
            </w:r>
          </w:p>
        </w:tc>
        <w:tc>
          <w:tcPr>
            <w:tcW w:w="1249" w:type="dxa"/>
            <w:noWrap w:val="0"/>
            <w:vAlign w:val="center"/>
          </w:tcPr>
          <w:p w14:paraId="5A7BC4DA">
            <w:pPr>
              <w:jc w:val="center"/>
              <w:rPr>
                <w:rFonts w:hint="eastAsia" w:ascii="宋体" w:hAnsi="宋体" w:eastAsia="宋体" w:cs="宋体"/>
                <w:color w:val="auto"/>
                <w:sz w:val="24"/>
                <w:highlight w:val="none"/>
                <w:vertAlign w:val="baseline"/>
              </w:rPr>
            </w:pPr>
          </w:p>
        </w:tc>
        <w:tc>
          <w:tcPr>
            <w:tcW w:w="899" w:type="dxa"/>
            <w:noWrap w:val="0"/>
            <w:vAlign w:val="center"/>
          </w:tcPr>
          <w:p w14:paraId="2D583772">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40045189">
            <w:pPr>
              <w:jc w:val="center"/>
              <w:rPr>
                <w:rFonts w:hint="eastAsia" w:ascii="宋体" w:hAnsi="宋体" w:eastAsia="宋体" w:cs="宋体"/>
                <w:color w:val="auto"/>
                <w:sz w:val="24"/>
                <w:highlight w:val="none"/>
                <w:vertAlign w:val="baseline"/>
              </w:rPr>
            </w:pPr>
          </w:p>
        </w:tc>
      </w:tr>
      <w:tr w14:paraId="695F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28D8F985">
            <w:pPr>
              <w:jc w:val="center"/>
              <w:rPr>
                <w:rFonts w:hint="eastAsia" w:ascii="宋体" w:hAnsi="宋体" w:eastAsia="宋体" w:cs="宋体"/>
                <w:color w:val="auto"/>
                <w:sz w:val="24"/>
                <w:highlight w:val="none"/>
                <w:vertAlign w:val="baseline"/>
                <w:lang w:val="en-US" w:eastAsia="zh-CN"/>
              </w:rPr>
            </w:pPr>
          </w:p>
        </w:tc>
        <w:tc>
          <w:tcPr>
            <w:tcW w:w="1065" w:type="dxa"/>
            <w:vMerge w:val="continue"/>
            <w:noWrap w:val="0"/>
            <w:vAlign w:val="center"/>
          </w:tcPr>
          <w:p w14:paraId="3DA1F196">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209107A1">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居民小区“减桶并点”推进进度</w:t>
            </w:r>
          </w:p>
        </w:tc>
        <w:tc>
          <w:tcPr>
            <w:tcW w:w="2505" w:type="dxa"/>
            <w:noWrap w:val="0"/>
            <w:vAlign w:val="center"/>
          </w:tcPr>
          <w:p w14:paraId="4668DF07">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根据宣传联络组提供数据，完成率未达到 100%的按照比例扣分。每少 1 个百分点扣 0.2分，扣完为止</w:t>
            </w:r>
          </w:p>
        </w:tc>
        <w:tc>
          <w:tcPr>
            <w:tcW w:w="1249" w:type="dxa"/>
            <w:noWrap w:val="0"/>
            <w:vAlign w:val="center"/>
          </w:tcPr>
          <w:p w14:paraId="463888AB">
            <w:pPr>
              <w:jc w:val="center"/>
              <w:rPr>
                <w:rFonts w:hint="eastAsia" w:ascii="宋体" w:hAnsi="宋体" w:eastAsia="宋体" w:cs="宋体"/>
                <w:color w:val="auto"/>
                <w:sz w:val="24"/>
                <w:highlight w:val="none"/>
                <w:vertAlign w:val="baseline"/>
              </w:rPr>
            </w:pPr>
          </w:p>
        </w:tc>
        <w:tc>
          <w:tcPr>
            <w:tcW w:w="899" w:type="dxa"/>
            <w:noWrap w:val="0"/>
            <w:vAlign w:val="center"/>
          </w:tcPr>
          <w:p w14:paraId="484ABA9D">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446D2055">
            <w:pPr>
              <w:jc w:val="center"/>
              <w:rPr>
                <w:rFonts w:hint="eastAsia" w:ascii="宋体" w:hAnsi="宋体" w:eastAsia="宋体" w:cs="宋体"/>
                <w:color w:val="auto"/>
                <w:sz w:val="24"/>
                <w:highlight w:val="none"/>
                <w:vertAlign w:val="baseline"/>
              </w:rPr>
            </w:pPr>
          </w:p>
        </w:tc>
      </w:tr>
      <w:tr w14:paraId="5C24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7C7C661C">
            <w:pPr>
              <w:jc w:val="center"/>
              <w:rPr>
                <w:rFonts w:hint="eastAsia" w:ascii="宋体" w:hAnsi="宋体" w:eastAsia="宋体" w:cs="宋体"/>
                <w:color w:val="auto"/>
                <w:sz w:val="24"/>
                <w:highlight w:val="none"/>
                <w:vertAlign w:val="baseline"/>
                <w:lang w:val="en-US" w:eastAsia="zh-CN"/>
              </w:rPr>
            </w:pPr>
          </w:p>
        </w:tc>
        <w:tc>
          <w:tcPr>
            <w:tcW w:w="1065" w:type="dxa"/>
            <w:vMerge w:val="continue"/>
            <w:noWrap w:val="0"/>
            <w:vAlign w:val="center"/>
          </w:tcPr>
          <w:p w14:paraId="715A18FA">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15B242B3">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对辖区内小区中不按时投放或者不分类的居民进行曝光或者处罚工作的落实情况</w:t>
            </w:r>
          </w:p>
        </w:tc>
        <w:tc>
          <w:tcPr>
            <w:tcW w:w="2505" w:type="dxa"/>
            <w:noWrap w:val="0"/>
            <w:vAlign w:val="center"/>
          </w:tcPr>
          <w:p w14:paraId="0F22E675">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有处罚案例的，每一条加</w:t>
            </w:r>
            <w:r>
              <w:rPr>
                <w:rFonts w:hint="eastAsia" w:ascii="宋体" w:hAnsi="宋体" w:eastAsia="宋体" w:cs="宋体"/>
                <w:color w:val="auto"/>
                <w:sz w:val="24"/>
                <w:highlight w:val="none"/>
                <w:vertAlign w:val="baseline"/>
                <w:lang w:val="en-US" w:eastAsia="zh-CN"/>
              </w:rPr>
              <w:t>2</w:t>
            </w:r>
            <w:r>
              <w:rPr>
                <w:rFonts w:hint="eastAsia" w:ascii="宋体" w:hAnsi="宋体" w:eastAsia="宋体" w:cs="宋体"/>
                <w:color w:val="auto"/>
                <w:sz w:val="24"/>
                <w:highlight w:val="none"/>
                <w:vertAlign w:val="baseline"/>
              </w:rPr>
              <w:t>分；有平台曝光的，每一条加1分，10 分封顶</w:t>
            </w:r>
          </w:p>
        </w:tc>
        <w:tc>
          <w:tcPr>
            <w:tcW w:w="1249" w:type="dxa"/>
            <w:noWrap w:val="0"/>
            <w:vAlign w:val="center"/>
          </w:tcPr>
          <w:p w14:paraId="71484F52">
            <w:pPr>
              <w:jc w:val="center"/>
              <w:rPr>
                <w:rFonts w:hint="eastAsia" w:ascii="宋体" w:hAnsi="宋体" w:eastAsia="宋体" w:cs="宋体"/>
                <w:color w:val="auto"/>
                <w:sz w:val="24"/>
                <w:highlight w:val="none"/>
                <w:vertAlign w:val="baseline"/>
              </w:rPr>
            </w:pPr>
          </w:p>
        </w:tc>
        <w:tc>
          <w:tcPr>
            <w:tcW w:w="899" w:type="dxa"/>
            <w:noWrap w:val="0"/>
            <w:vAlign w:val="center"/>
          </w:tcPr>
          <w:p w14:paraId="304FD92E">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10</w:t>
            </w:r>
          </w:p>
        </w:tc>
        <w:tc>
          <w:tcPr>
            <w:tcW w:w="826" w:type="dxa"/>
            <w:noWrap w:val="0"/>
            <w:vAlign w:val="center"/>
          </w:tcPr>
          <w:p w14:paraId="2D4EBD8A">
            <w:pPr>
              <w:jc w:val="center"/>
              <w:rPr>
                <w:rFonts w:hint="eastAsia" w:ascii="宋体" w:hAnsi="宋体" w:eastAsia="宋体" w:cs="宋体"/>
                <w:color w:val="auto"/>
                <w:sz w:val="24"/>
                <w:highlight w:val="none"/>
                <w:vertAlign w:val="baseline"/>
              </w:rPr>
            </w:pPr>
          </w:p>
        </w:tc>
      </w:tr>
      <w:tr w14:paraId="08E5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Merge w:val="continue"/>
            <w:noWrap w:val="0"/>
            <w:vAlign w:val="center"/>
          </w:tcPr>
          <w:p w14:paraId="62C44626">
            <w:pPr>
              <w:jc w:val="center"/>
              <w:rPr>
                <w:rFonts w:hint="eastAsia" w:ascii="宋体" w:hAnsi="宋体" w:eastAsia="宋体" w:cs="宋体"/>
                <w:color w:val="auto"/>
                <w:sz w:val="24"/>
                <w:highlight w:val="none"/>
                <w:vertAlign w:val="baseline"/>
                <w:lang w:val="en-US" w:eastAsia="zh-CN"/>
              </w:rPr>
            </w:pPr>
          </w:p>
        </w:tc>
        <w:tc>
          <w:tcPr>
            <w:tcW w:w="1065" w:type="dxa"/>
            <w:vMerge w:val="continue"/>
            <w:noWrap w:val="0"/>
            <w:vAlign w:val="center"/>
          </w:tcPr>
          <w:p w14:paraId="00A5FFC7">
            <w:pPr>
              <w:jc w:val="center"/>
              <w:rPr>
                <w:rFonts w:hint="eastAsia" w:ascii="宋体" w:hAnsi="宋体" w:eastAsia="宋体" w:cs="宋体"/>
                <w:color w:val="auto"/>
                <w:sz w:val="24"/>
                <w:highlight w:val="none"/>
                <w:vertAlign w:val="baseline"/>
              </w:rPr>
            </w:pPr>
          </w:p>
        </w:tc>
        <w:tc>
          <w:tcPr>
            <w:tcW w:w="3055" w:type="dxa"/>
            <w:gridSpan w:val="2"/>
            <w:noWrap w:val="0"/>
            <w:vAlign w:val="center"/>
          </w:tcPr>
          <w:p w14:paraId="02198DDD">
            <w:pPr>
              <w:keepNext w:val="0"/>
              <w:keepLines w:val="0"/>
              <w:widowControl/>
              <w:suppressLineNumbers w:val="0"/>
              <w:jc w:val="left"/>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垃圾分类日常工作中有媒体反映的，或者领导作出批示的工作不当情况等负面情形</w:t>
            </w:r>
          </w:p>
        </w:tc>
        <w:tc>
          <w:tcPr>
            <w:tcW w:w="2505" w:type="dxa"/>
            <w:noWrap w:val="0"/>
            <w:vAlign w:val="center"/>
          </w:tcPr>
          <w:p w14:paraId="58EE25C3">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每发生一起，视情扣分，扣完为止</w:t>
            </w:r>
          </w:p>
        </w:tc>
        <w:tc>
          <w:tcPr>
            <w:tcW w:w="1249" w:type="dxa"/>
            <w:noWrap w:val="0"/>
            <w:vAlign w:val="center"/>
          </w:tcPr>
          <w:p w14:paraId="3CF38D35">
            <w:pPr>
              <w:jc w:val="center"/>
              <w:rPr>
                <w:rFonts w:hint="eastAsia" w:ascii="宋体" w:hAnsi="宋体" w:eastAsia="宋体" w:cs="宋体"/>
                <w:color w:val="auto"/>
                <w:sz w:val="24"/>
                <w:highlight w:val="none"/>
                <w:vertAlign w:val="baseline"/>
              </w:rPr>
            </w:pPr>
          </w:p>
        </w:tc>
        <w:tc>
          <w:tcPr>
            <w:tcW w:w="899" w:type="dxa"/>
            <w:noWrap w:val="0"/>
            <w:vAlign w:val="center"/>
          </w:tcPr>
          <w:p w14:paraId="7510A3B6">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5</w:t>
            </w:r>
          </w:p>
        </w:tc>
        <w:tc>
          <w:tcPr>
            <w:tcW w:w="826" w:type="dxa"/>
            <w:noWrap w:val="0"/>
            <w:vAlign w:val="center"/>
          </w:tcPr>
          <w:p w14:paraId="75F5B4BD">
            <w:pPr>
              <w:jc w:val="center"/>
              <w:rPr>
                <w:rFonts w:hint="eastAsia" w:ascii="宋体" w:hAnsi="宋体" w:eastAsia="宋体" w:cs="宋体"/>
                <w:color w:val="auto"/>
                <w:sz w:val="24"/>
                <w:highlight w:val="none"/>
                <w:vertAlign w:val="baseline"/>
              </w:rPr>
            </w:pPr>
          </w:p>
        </w:tc>
      </w:tr>
      <w:tr w14:paraId="2D52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321" w:type="dxa"/>
            <w:gridSpan w:val="5"/>
            <w:noWrap w:val="0"/>
            <w:vAlign w:val="center"/>
          </w:tcPr>
          <w:p w14:paraId="3AE78B67">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合计</w:t>
            </w:r>
          </w:p>
        </w:tc>
        <w:tc>
          <w:tcPr>
            <w:tcW w:w="1249" w:type="dxa"/>
            <w:noWrap w:val="0"/>
            <w:vAlign w:val="center"/>
          </w:tcPr>
          <w:p w14:paraId="088437DB">
            <w:pPr>
              <w:jc w:val="center"/>
              <w:rPr>
                <w:rFonts w:hint="eastAsia" w:ascii="宋体" w:hAnsi="宋体" w:eastAsia="宋体" w:cs="宋体"/>
                <w:color w:val="auto"/>
                <w:sz w:val="24"/>
                <w:highlight w:val="none"/>
                <w:vertAlign w:val="baseline"/>
              </w:rPr>
            </w:pPr>
          </w:p>
        </w:tc>
        <w:tc>
          <w:tcPr>
            <w:tcW w:w="899" w:type="dxa"/>
            <w:noWrap w:val="0"/>
            <w:vAlign w:val="center"/>
          </w:tcPr>
          <w:p w14:paraId="5795BDC3">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100</w:t>
            </w:r>
          </w:p>
        </w:tc>
        <w:tc>
          <w:tcPr>
            <w:tcW w:w="826" w:type="dxa"/>
            <w:noWrap w:val="0"/>
            <w:vAlign w:val="center"/>
          </w:tcPr>
          <w:p w14:paraId="4B1740E4">
            <w:pPr>
              <w:jc w:val="center"/>
              <w:rPr>
                <w:rFonts w:hint="eastAsia" w:ascii="宋体" w:hAnsi="宋体" w:eastAsia="宋体" w:cs="宋体"/>
                <w:color w:val="auto"/>
                <w:sz w:val="24"/>
                <w:highlight w:val="none"/>
                <w:vertAlign w:val="baseline"/>
              </w:rPr>
            </w:pPr>
          </w:p>
        </w:tc>
      </w:tr>
      <w:tr w14:paraId="3B43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3"/>
            <w:noWrap w:val="0"/>
            <w:vAlign w:val="center"/>
          </w:tcPr>
          <w:p w14:paraId="371B6CAA">
            <w:pPr>
              <w:jc w:val="center"/>
              <w:rPr>
                <w:rFonts w:hint="eastAsia" w:ascii="宋体" w:hAnsi="宋体" w:eastAsia="宋体" w:cs="宋体"/>
                <w:color w:val="auto"/>
                <w:sz w:val="24"/>
                <w:highlight w:val="none"/>
                <w:vertAlign w:val="baseline"/>
                <w:lang w:val="en-US" w:eastAsia="zh-CN"/>
              </w:rPr>
            </w:pPr>
            <w:r>
              <w:rPr>
                <w:rFonts w:hint="eastAsia" w:ascii="宋体" w:hAnsi="宋体" w:eastAsia="宋体" w:cs="宋体"/>
                <w:color w:val="auto"/>
                <w:sz w:val="24"/>
                <w:highlight w:val="none"/>
                <w:vertAlign w:val="baseline"/>
                <w:lang w:val="en-US" w:eastAsia="zh-CN"/>
              </w:rPr>
              <w:t>备注</w:t>
            </w:r>
          </w:p>
        </w:tc>
        <w:tc>
          <w:tcPr>
            <w:tcW w:w="8504" w:type="dxa"/>
            <w:gridSpan w:val="5"/>
            <w:noWrap w:val="0"/>
            <w:vAlign w:val="center"/>
          </w:tcPr>
          <w:p w14:paraId="3AFE4CD7">
            <w:pPr>
              <w:jc w:val="left"/>
              <w:rPr>
                <w:rFonts w:hint="eastAsia" w:ascii="宋体" w:hAnsi="宋体" w:eastAsia="宋体" w:cs="宋体"/>
                <w:color w:val="auto"/>
                <w:sz w:val="24"/>
                <w:highlight w:val="none"/>
                <w:vertAlign w:val="baseline"/>
              </w:rPr>
            </w:pPr>
            <w:r>
              <w:rPr>
                <w:rFonts w:hint="eastAsia" w:ascii="宋体" w:hAnsi="宋体" w:eastAsia="宋体" w:cs="宋体"/>
                <w:color w:val="auto"/>
                <w:sz w:val="24"/>
                <w:highlight w:val="none"/>
                <w:vertAlign w:val="baseline"/>
              </w:rPr>
              <w:t>各区分类办每月对辖区内各街道进行评定，分优、良、合格三个等次（对应分值为 95 分、90 分、85 分）。市、区分类办的评分权重各占 50%。</w:t>
            </w:r>
          </w:p>
        </w:tc>
      </w:tr>
    </w:tbl>
    <w:p w14:paraId="6A0F43E1">
      <w:pPr>
        <w:rPr>
          <w:rFonts w:hint="eastAsia" w:ascii="宋体" w:hAnsi="宋体" w:eastAsia="宋体" w:cs="宋体"/>
          <w:b/>
          <w:bCs/>
          <w:color w:val="auto"/>
          <w:sz w:val="24"/>
          <w:highlight w:val="none"/>
          <w:lang w:val="en-US" w:eastAsia="zh-CN"/>
        </w:rPr>
      </w:pPr>
    </w:p>
    <w:p w14:paraId="35A4596B">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附表2 </w:t>
      </w:r>
      <w:r>
        <w:rPr>
          <w:rFonts w:hint="eastAsia" w:ascii="宋体" w:hAnsi="宋体" w:eastAsia="宋体" w:cs="宋体"/>
          <w:b/>
          <w:bCs/>
          <w:color w:val="auto"/>
          <w:sz w:val="24"/>
          <w:highlight w:val="none"/>
        </w:rPr>
        <w:t>湖州市人民政府滨湖街道办事处生活垃圾分类工作考核表</w:t>
      </w:r>
    </w:p>
    <w:tbl>
      <w:tblPr>
        <w:tblStyle w:val="22"/>
        <w:tblW w:w="10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75"/>
        <w:gridCol w:w="4117"/>
        <w:gridCol w:w="729"/>
        <w:gridCol w:w="3554"/>
        <w:gridCol w:w="569"/>
      </w:tblGrid>
      <w:tr w14:paraId="72E3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21B5663F">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序号</w:t>
            </w:r>
          </w:p>
        </w:tc>
        <w:tc>
          <w:tcPr>
            <w:tcW w:w="1175" w:type="dxa"/>
            <w:noWrap w:val="0"/>
            <w:vAlign w:val="center"/>
          </w:tcPr>
          <w:p w14:paraId="4F78A121">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考核内容</w:t>
            </w:r>
          </w:p>
        </w:tc>
        <w:tc>
          <w:tcPr>
            <w:tcW w:w="4117" w:type="dxa"/>
            <w:noWrap w:val="0"/>
            <w:vAlign w:val="center"/>
          </w:tcPr>
          <w:p w14:paraId="7B5E9650">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工作标准</w:t>
            </w:r>
          </w:p>
        </w:tc>
        <w:tc>
          <w:tcPr>
            <w:tcW w:w="729" w:type="dxa"/>
            <w:noWrap w:val="0"/>
            <w:vAlign w:val="center"/>
          </w:tcPr>
          <w:p w14:paraId="106C2009">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分值</w:t>
            </w:r>
          </w:p>
        </w:tc>
        <w:tc>
          <w:tcPr>
            <w:tcW w:w="3554" w:type="dxa"/>
            <w:noWrap w:val="0"/>
            <w:vAlign w:val="center"/>
          </w:tcPr>
          <w:p w14:paraId="654CAE82">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评分标准</w:t>
            </w:r>
          </w:p>
        </w:tc>
        <w:tc>
          <w:tcPr>
            <w:tcW w:w="569" w:type="dxa"/>
            <w:noWrap w:val="0"/>
            <w:vAlign w:val="center"/>
          </w:tcPr>
          <w:p w14:paraId="462D274F">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评分</w:t>
            </w:r>
          </w:p>
        </w:tc>
      </w:tr>
      <w:tr w14:paraId="5449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4D30F96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一</w:t>
            </w:r>
          </w:p>
        </w:tc>
        <w:tc>
          <w:tcPr>
            <w:tcW w:w="1175" w:type="dxa"/>
            <w:noWrap w:val="0"/>
            <w:vAlign w:val="center"/>
          </w:tcPr>
          <w:p w14:paraId="434B14E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精准分类实施情况(10分)</w:t>
            </w:r>
          </w:p>
        </w:tc>
        <w:tc>
          <w:tcPr>
            <w:tcW w:w="4117" w:type="dxa"/>
            <w:noWrap w:val="0"/>
            <w:vAlign w:val="center"/>
          </w:tcPr>
          <w:p w14:paraId="1929A28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按计划实施生活垃圾精准分类，实施进度及标准参照市、区相关规定（专职队伍进场，且易腐垃圾集中收集）。同时每日工作情况信息上墙或电子显示屏公示。</w:t>
            </w:r>
          </w:p>
        </w:tc>
        <w:tc>
          <w:tcPr>
            <w:tcW w:w="729" w:type="dxa"/>
            <w:noWrap w:val="0"/>
            <w:vAlign w:val="center"/>
          </w:tcPr>
          <w:p w14:paraId="262AC94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10</w:t>
            </w:r>
          </w:p>
        </w:tc>
        <w:tc>
          <w:tcPr>
            <w:tcW w:w="3554" w:type="dxa"/>
            <w:noWrap w:val="0"/>
            <w:vAlign w:val="center"/>
          </w:tcPr>
          <w:p w14:paraId="33D2FB1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每少实施 1 个小区，扣 5 分，扣完为止。</w:t>
            </w:r>
          </w:p>
        </w:tc>
        <w:tc>
          <w:tcPr>
            <w:tcW w:w="569" w:type="dxa"/>
            <w:noWrap w:val="0"/>
            <w:vAlign w:val="center"/>
          </w:tcPr>
          <w:p w14:paraId="0EDBD64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3506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467E8F20">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二</w:t>
            </w:r>
          </w:p>
        </w:tc>
        <w:tc>
          <w:tcPr>
            <w:tcW w:w="1175" w:type="dxa"/>
            <w:noWrap w:val="0"/>
            <w:vAlign w:val="center"/>
          </w:tcPr>
          <w:p w14:paraId="54911E3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建章立制及执行情况(10 分)</w:t>
            </w:r>
          </w:p>
        </w:tc>
        <w:tc>
          <w:tcPr>
            <w:tcW w:w="4117" w:type="dxa"/>
            <w:noWrap w:val="0"/>
            <w:vAlign w:val="center"/>
          </w:tcPr>
          <w:p w14:paraId="3103E45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分类实施单位按照要求，每个小区制定小区的实施方案。每个小区开展垃圾分类主题宣传及积分兑换活动，并按照省级高标准垃圾分类示范小区创建要求建立和完善每日台账。同时做好各类收集容器的清洗、维护、更新，及易腐垃圾的日产日清，确保无漏收现象。居民生活垃圾分类工作满意度、对辖区内小区中不按时投放或者不分类的居民进行曝光或者处罚工作的落实情况、垃圾分类日常工作中有媒体反映的。</w:t>
            </w:r>
          </w:p>
        </w:tc>
        <w:tc>
          <w:tcPr>
            <w:tcW w:w="729" w:type="dxa"/>
            <w:noWrap w:val="0"/>
            <w:vAlign w:val="center"/>
          </w:tcPr>
          <w:p w14:paraId="391B6B10">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10</w:t>
            </w:r>
          </w:p>
        </w:tc>
        <w:tc>
          <w:tcPr>
            <w:tcW w:w="3554" w:type="dxa"/>
            <w:noWrap w:val="0"/>
            <w:vAlign w:val="center"/>
          </w:tcPr>
          <w:p w14:paraId="5E74198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bidi="ar-SA"/>
              </w:rPr>
              <w:t>1.</w:t>
            </w:r>
            <w:r>
              <w:rPr>
                <w:rFonts w:hint="eastAsia" w:ascii="宋体" w:hAnsi="宋体" w:eastAsia="宋体" w:cs="宋体"/>
                <w:b w:val="0"/>
                <w:bCs w:val="0"/>
                <w:color w:val="auto"/>
                <w:kern w:val="0"/>
                <w:sz w:val="24"/>
                <w:highlight w:val="none"/>
                <w:vertAlign w:val="baseline"/>
                <w:lang w:val="en-US" w:eastAsia="zh-CN"/>
              </w:rPr>
              <w:t>将通过查阅实施单位台账或电话、现场抽样民调等方式，予以核实。实施单位未建立实施方案的扣 1-2 分。未建立台账或台账不完善的，扣 1-2 分；积分兑换不及时的，发现一次扣 1 分；扣完为止。</w:t>
            </w:r>
          </w:p>
          <w:p w14:paraId="227CA1D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bidi="ar-SA"/>
              </w:rPr>
              <w:t>2.</w:t>
            </w:r>
            <w:r>
              <w:rPr>
                <w:rFonts w:hint="eastAsia" w:ascii="宋体" w:hAnsi="宋体" w:eastAsia="宋体" w:cs="宋体"/>
                <w:b w:val="0"/>
                <w:bCs w:val="0"/>
                <w:color w:val="auto"/>
                <w:kern w:val="0"/>
                <w:sz w:val="24"/>
                <w:highlight w:val="none"/>
                <w:vertAlign w:val="baseline"/>
                <w:lang w:val="en-US" w:eastAsia="zh-CN"/>
              </w:rPr>
              <w:t>发现易腐垃圾存在漏收情况且核实的，发现一次扣 1 分，扣完为止。</w:t>
            </w:r>
          </w:p>
          <w:p w14:paraId="3C2EB261">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3.随机抽查，满意率进行分数折算不达标扣 1分。</w:t>
            </w:r>
          </w:p>
          <w:p w14:paraId="6F2332E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4.有处罚案例的，每一条加 1 分；有平台曝光的，每一条加1 分，5 分封顶。</w:t>
            </w:r>
          </w:p>
          <w:p w14:paraId="289C2FF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both"/>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5.以上单项分值扣完为止。</w:t>
            </w:r>
          </w:p>
        </w:tc>
        <w:tc>
          <w:tcPr>
            <w:tcW w:w="569" w:type="dxa"/>
            <w:noWrap w:val="0"/>
            <w:vAlign w:val="center"/>
          </w:tcPr>
          <w:p w14:paraId="39956B7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14C6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5E8CEA1C">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三</w:t>
            </w:r>
          </w:p>
        </w:tc>
        <w:tc>
          <w:tcPr>
            <w:tcW w:w="1175" w:type="dxa"/>
            <w:noWrap w:val="0"/>
            <w:vAlign w:val="center"/>
          </w:tcPr>
          <w:p w14:paraId="63DC792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精准分类推进情况</w:t>
            </w:r>
          </w:p>
          <w:p w14:paraId="6553CE5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(15 分)</w:t>
            </w:r>
          </w:p>
        </w:tc>
        <w:tc>
          <w:tcPr>
            <w:tcW w:w="4117" w:type="dxa"/>
            <w:noWrap w:val="0"/>
            <w:vAlign w:val="center"/>
          </w:tcPr>
          <w:p w14:paraId="5B5595C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在实施精准分类一个月之内的实际日投放率须达到 20%以上；在两个月之内的实际日投放率须达到 30%以上。3 个月后，</w:t>
            </w:r>
          </w:p>
          <w:p w14:paraId="54AED7B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小区居民易腐垃圾分类投放准确率达到 95%以上、实际日投放率达到 40%以上。以每 200 户常住户收集 50 公斤易腐垃圾为达标线（约 1/3 桶），达标线以下的按比例扣分，前两个月分别完成要求指标的 50%、75%，具体数值以系统提供为准。</w:t>
            </w:r>
          </w:p>
        </w:tc>
        <w:tc>
          <w:tcPr>
            <w:tcW w:w="729" w:type="dxa"/>
            <w:noWrap w:val="0"/>
            <w:vAlign w:val="center"/>
          </w:tcPr>
          <w:p w14:paraId="7B57FC5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15</w:t>
            </w:r>
          </w:p>
        </w:tc>
        <w:tc>
          <w:tcPr>
            <w:tcW w:w="3554" w:type="dxa"/>
            <w:noWrap w:val="0"/>
            <w:vAlign w:val="center"/>
          </w:tcPr>
          <w:p w14:paraId="2074C5C1">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1.实施精准分类一个月之内的实际日投放率须未达到20%，每少 1%扣 2 分；两个月之内的实际日投放率须达到 30%以上，每少 1%扣 3 分。</w:t>
            </w:r>
          </w:p>
          <w:p w14:paraId="03314740">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2.3个月后，准确率或日投放率每少 1%扣5分，扣完为止。</w:t>
            </w:r>
          </w:p>
          <w:p w14:paraId="7280EC2A">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以智能管理平台系统内数据为准，（时间按照市分类办文件，区分类办、街道对每个小区调查问询 15 人，确认数据的真实性。）</w:t>
            </w:r>
          </w:p>
          <w:p w14:paraId="52E66FBD">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3.经核实，备考单位提供的数据为虚假数值的，该项不得分。</w:t>
            </w:r>
          </w:p>
          <w:p w14:paraId="7D50C5B6">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4.以上单项分值扣完为止。</w:t>
            </w:r>
          </w:p>
        </w:tc>
        <w:tc>
          <w:tcPr>
            <w:tcW w:w="569" w:type="dxa"/>
            <w:noWrap w:val="0"/>
            <w:vAlign w:val="center"/>
          </w:tcPr>
          <w:p w14:paraId="3834C246">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3617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20F218C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四</w:t>
            </w:r>
          </w:p>
        </w:tc>
        <w:tc>
          <w:tcPr>
            <w:tcW w:w="1175" w:type="dxa"/>
            <w:noWrap w:val="0"/>
            <w:vAlign w:val="center"/>
          </w:tcPr>
          <w:p w14:paraId="6600513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入户宣传指导情况(20 分)</w:t>
            </w:r>
          </w:p>
          <w:p w14:paraId="7C95E2C6">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c>
          <w:tcPr>
            <w:tcW w:w="4117" w:type="dxa"/>
            <w:noWrap w:val="0"/>
            <w:vAlign w:val="center"/>
          </w:tcPr>
          <w:p w14:paraId="31E54A82">
            <w:pPr>
              <w:keepNext w:val="0"/>
              <w:keepLines w:val="0"/>
              <w:widowControl/>
              <w:suppressLineNumbers w:val="0"/>
              <w:jc w:val="left"/>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在正式实施精准分类前，完成辖区内所有小区居民的上门辅导、发放家庭易腐垃圾桶，入住户数的 90%签订《居民生活垃圾分类公约》，实施后，对未按照精准分类标准实施分类的居民，应继续上门辅导直到达到标准。</w:t>
            </w:r>
          </w:p>
        </w:tc>
        <w:tc>
          <w:tcPr>
            <w:tcW w:w="729" w:type="dxa"/>
            <w:noWrap w:val="0"/>
            <w:vAlign w:val="center"/>
          </w:tcPr>
          <w:p w14:paraId="5915ED66">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20</w:t>
            </w:r>
          </w:p>
        </w:tc>
        <w:tc>
          <w:tcPr>
            <w:tcW w:w="3554" w:type="dxa"/>
            <w:noWrap w:val="0"/>
            <w:vAlign w:val="center"/>
          </w:tcPr>
          <w:p w14:paraId="473F333D">
            <w:pPr>
              <w:keepNext w:val="0"/>
              <w:keepLines w:val="0"/>
              <w:widowControl/>
              <w:suppressLineNumbers w:val="0"/>
              <w:jc w:val="left"/>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1.必须确保辅导员上门辅导的质量，例如集中发放，门口贴纸均视做未上门辅导，签字完成得 10 分，每少 1%扣 1 分，扣完为止（每个小区调查问询 15 人，确认上门辅导开展情 </w:t>
            </w:r>
          </w:p>
          <w:p w14:paraId="2808A00D">
            <w:pPr>
              <w:keepNext w:val="0"/>
              <w:keepLines w:val="0"/>
              <w:widowControl/>
              <w:suppressLineNumbers w:val="0"/>
              <w:jc w:val="left"/>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况）； </w:t>
            </w:r>
          </w:p>
          <w:p w14:paraId="362C0D89">
            <w:pPr>
              <w:keepNext w:val="0"/>
              <w:keepLines w:val="0"/>
              <w:widowControl/>
              <w:suppressLineNumbers w:val="0"/>
              <w:jc w:val="left"/>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2.抽查分类不正确、长期未投放的居民，未做好持续上门辅导工作的，抽查 5 户，每少 1 户扣 1 分，扣完为止。</w:t>
            </w:r>
          </w:p>
        </w:tc>
        <w:tc>
          <w:tcPr>
            <w:tcW w:w="569" w:type="dxa"/>
            <w:noWrap w:val="0"/>
            <w:vAlign w:val="center"/>
          </w:tcPr>
          <w:p w14:paraId="7789BE9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7FCD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4D69B94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五</w:t>
            </w:r>
          </w:p>
        </w:tc>
        <w:tc>
          <w:tcPr>
            <w:tcW w:w="1175" w:type="dxa"/>
            <w:noWrap w:val="0"/>
            <w:vAlign w:val="center"/>
          </w:tcPr>
          <w:p w14:paraId="05B0AC8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专职队伍建立与工作开展情况（15分）</w:t>
            </w:r>
          </w:p>
        </w:tc>
        <w:tc>
          <w:tcPr>
            <w:tcW w:w="4117" w:type="dxa"/>
            <w:noWrap w:val="0"/>
            <w:vAlign w:val="center"/>
          </w:tcPr>
          <w:p w14:paraId="75D9AD8F">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在正式实施精准分类前，建立专管员队伍；完成对专管员不少于 1 次的岗前培训，并定期进行培训，且专管员能按时完成工作，即在当天上午“定时定时”上班时间结束后开始收集易腐垃圾，并在 9.30（具体时间按照甲方调整）之前收集完毕拉置易腐站；专管员能熟练使用系统操作；做好与居民的沟通工作，杜绝居民效投诉。</w:t>
            </w:r>
          </w:p>
        </w:tc>
        <w:tc>
          <w:tcPr>
            <w:tcW w:w="729" w:type="dxa"/>
            <w:noWrap w:val="0"/>
            <w:vAlign w:val="center"/>
          </w:tcPr>
          <w:p w14:paraId="3271377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15</w:t>
            </w:r>
          </w:p>
        </w:tc>
        <w:tc>
          <w:tcPr>
            <w:tcW w:w="3554" w:type="dxa"/>
            <w:noWrap w:val="0"/>
            <w:vAlign w:val="center"/>
          </w:tcPr>
          <w:p w14:paraId="3FB475DB">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1.检查专管员队伍清单、负责区域；未建立或职责不清的，与实际不相符的，扣 5 分；</w:t>
            </w:r>
          </w:p>
          <w:p w14:paraId="72BA003B">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2.专管员未在规定时间内完成收集任务的，扣 3 分/小区；</w:t>
            </w:r>
          </w:p>
          <w:p w14:paraId="3A27B057">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3.专管员未到岗到位的，扣 2 分/人；</w:t>
            </w:r>
          </w:p>
          <w:p w14:paraId="0A32A747">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4.检查对专管员的培训工作台账，未实施培训工作的，扣 1分/人；</w:t>
            </w:r>
          </w:p>
          <w:p w14:paraId="38CC358A">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5.专管员不能熟练实时使用手机 APP 的，扣 1 分/人次（现场查验）；</w:t>
            </w:r>
          </w:p>
          <w:p w14:paraId="7E6AB3CA">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6.发生居民有效投诉，扣 2 分/次。</w:t>
            </w:r>
          </w:p>
          <w:p w14:paraId="5D8BC7ED">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7.以上单项分值扣完为止。</w:t>
            </w:r>
          </w:p>
        </w:tc>
        <w:tc>
          <w:tcPr>
            <w:tcW w:w="569" w:type="dxa"/>
            <w:noWrap w:val="0"/>
            <w:vAlign w:val="center"/>
          </w:tcPr>
          <w:p w14:paraId="26E7147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797B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14:paraId="3C7435F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六</w:t>
            </w:r>
          </w:p>
        </w:tc>
        <w:tc>
          <w:tcPr>
            <w:tcW w:w="1175" w:type="dxa"/>
            <w:vMerge w:val="restart"/>
            <w:noWrap w:val="0"/>
            <w:vAlign w:val="center"/>
          </w:tcPr>
          <w:p w14:paraId="7FA7822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配套设施建设情况</w:t>
            </w:r>
          </w:p>
          <w:p w14:paraId="2695B86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(10 分)</w:t>
            </w:r>
          </w:p>
        </w:tc>
        <w:tc>
          <w:tcPr>
            <w:tcW w:w="4117" w:type="dxa"/>
            <w:noWrap w:val="0"/>
            <w:vAlign w:val="center"/>
          </w:tcPr>
          <w:p w14:paraId="13CA1056">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在正式实施精准分类前，应当完成易腐垃圾收集站建设（投放点、宣传牌、收集容器等设施建设），且应有明显标志标识，收集点应围合或是半围合，不污染周边环境、不影响附近居民。小区易腐垃圾收集站日常管理到位，无异味；易腐垃圾桶摆放有序，定期清洗，桶身干净整洁，无污垢、无破</w:t>
            </w:r>
          </w:p>
          <w:p w14:paraId="5FAFD365">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损，内部无积水，垃圾不满溢。</w:t>
            </w:r>
          </w:p>
        </w:tc>
        <w:tc>
          <w:tcPr>
            <w:tcW w:w="729" w:type="dxa"/>
            <w:noWrap w:val="0"/>
            <w:vAlign w:val="center"/>
          </w:tcPr>
          <w:p w14:paraId="34EF25EE">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5</w:t>
            </w:r>
          </w:p>
        </w:tc>
        <w:tc>
          <w:tcPr>
            <w:tcW w:w="3554" w:type="dxa"/>
            <w:noWrap w:val="0"/>
            <w:vAlign w:val="center"/>
          </w:tcPr>
          <w:p w14:paraId="7F2159B6">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1.没有明显标志标识的，扣 1 分/处；</w:t>
            </w:r>
          </w:p>
          <w:p w14:paraId="0C079D1A">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2.未按要求、未完善相关硬件设施的，扣 1 分/处。</w:t>
            </w:r>
          </w:p>
          <w:p w14:paraId="5C54251B">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3.收集站未实施围合或是半围合的，扣 2 分/处；</w:t>
            </w:r>
          </w:p>
          <w:p w14:paraId="12001B10">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4.污染周边环境、影响附近居民正常生活的，扣 1 分/处。</w:t>
            </w:r>
          </w:p>
          <w:p w14:paraId="4F44DF7C">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5. 每发现一处设置不规范的扣 1 分。</w:t>
            </w:r>
          </w:p>
          <w:p w14:paraId="08E8C1F6">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6.以上单项分值扣完为止。</w:t>
            </w:r>
          </w:p>
        </w:tc>
        <w:tc>
          <w:tcPr>
            <w:tcW w:w="569" w:type="dxa"/>
            <w:noWrap w:val="0"/>
            <w:vAlign w:val="center"/>
          </w:tcPr>
          <w:p w14:paraId="36EE4E73">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5D89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14:paraId="3BE62A1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c>
          <w:tcPr>
            <w:tcW w:w="1175" w:type="dxa"/>
            <w:vMerge w:val="continue"/>
            <w:noWrap w:val="0"/>
            <w:vAlign w:val="center"/>
          </w:tcPr>
          <w:p w14:paraId="2C9C9329">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c>
          <w:tcPr>
            <w:tcW w:w="4117" w:type="dxa"/>
            <w:noWrap w:val="0"/>
            <w:vAlign w:val="center"/>
          </w:tcPr>
          <w:p w14:paraId="3CE7A43A">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小区大件垃圾中转站设置围挡，日常管理到位；中转站内的大件或装修垃圾不随意堆放、不满溢；站内不得混入其他生活垃圾。小区绿色环保站（或智能投放设备）日常管理到位，定人定期进行维护和清理，各类设施设备及宣传设施设备按照要求配置。</w:t>
            </w:r>
          </w:p>
        </w:tc>
        <w:tc>
          <w:tcPr>
            <w:tcW w:w="729" w:type="dxa"/>
            <w:noWrap w:val="0"/>
            <w:vAlign w:val="center"/>
          </w:tcPr>
          <w:p w14:paraId="277EE7C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5</w:t>
            </w:r>
          </w:p>
        </w:tc>
        <w:tc>
          <w:tcPr>
            <w:tcW w:w="3554" w:type="dxa"/>
            <w:noWrap w:val="0"/>
            <w:vAlign w:val="center"/>
          </w:tcPr>
          <w:p w14:paraId="2ACACB28">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1. 每发现一处不规范的，扣 2 分，扣完为止。 </w:t>
            </w:r>
          </w:p>
          <w:p w14:paraId="6E1E2BE5">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2. 清理不及时的，发现一次扣 1 分；设备故障未及时修理的，发现一次扣 2 分。</w:t>
            </w:r>
          </w:p>
          <w:p w14:paraId="5C6A0470">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3.设施设备未按要求配置的扣 2 分。 </w:t>
            </w:r>
          </w:p>
          <w:p w14:paraId="03337B9D">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4.以上单项分值扣完为止。</w:t>
            </w:r>
          </w:p>
        </w:tc>
        <w:tc>
          <w:tcPr>
            <w:tcW w:w="569" w:type="dxa"/>
            <w:noWrap w:val="0"/>
            <w:vAlign w:val="center"/>
          </w:tcPr>
          <w:p w14:paraId="25DF817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116F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5F5A78E0">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七</w:t>
            </w:r>
          </w:p>
        </w:tc>
        <w:tc>
          <w:tcPr>
            <w:tcW w:w="1175" w:type="dxa"/>
            <w:noWrap w:val="0"/>
            <w:vAlign w:val="center"/>
          </w:tcPr>
          <w:p w14:paraId="54586F4B">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宣传氛围及成果公示</w:t>
            </w:r>
          </w:p>
          <w:p w14:paraId="7EF5323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(10 分)</w:t>
            </w:r>
          </w:p>
        </w:tc>
        <w:tc>
          <w:tcPr>
            <w:tcW w:w="4117" w:type="dxa"/>
            <w:noWrap w:val="0"/>
            <w:vAlign w:val="center"/>
          </w:tcPr>
          <w:p w14:paraId="26C8E17F">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在正式实施精准分类前，完成小区氛围营造，每个小区开展不少于 1 次的宣传活动，小区内设置“居民垃圾分类成绩公布牌”，尺寸不得小于 W150cm*H120cm，内容完整，包含小 </w:t>
            </w:r>
          </w:p>
          <w:p w14:paraId="790BFB97">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区内所有的住户（含空置房屋、非常住户、常住户）且应半月更新一次；楼道内须公示分类责任单位名称及联系、咨询、投诉电话等；在每个单元入口处进行居民月度分类成果展示， </w:t>
            </w:r>
          </w:p>
          <w:p w14:paraId="624D234D">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尺寸不得小于长 W30cm*H20cm，家用易腐垃圾桶上有收集电话（实施单位）和投诉电话（区或街道），住户信息（单元及户号）。小区内的所有垃圾分类宣传内容标识统一、清晰完整，与省标保持一致。按照要求，开展垃圾分类主题宣传及积分兑换活动。</w:t>
            </w:r>
          </w:p>
        </w:tc>
        <w:tc>
          <w:tcPr>
            <w:tcW w:w="729" w:type="dxa"/>
            <w:noWrap w:val="0"/>
            <w:vAlign w:val="center"/>
          </w:tcPr>
          <w:p w14:paraId="4F5247DB">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10</w:t>
            </w:r>
          </w:p>
        </w:tc>
        <w:tc>
          <w:tcPr>
            <w:tcW w:w="3554" w:type="dxa"/>
            <w:noWrap w:val="0"/>
            <w:vAlign w:val="center"/>
          </w:tcPr>
          <w:p w14:paraId="3065012F">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1.未按要求开展宣传活动的，扣 1 分/处； </w:t>
            </w:r>
          </w:p>
          <w:p w14:paraId="08EAA9B2">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2.未按要求设置“居民垃圾分类成绩公布牌”的，扣 1 分/ 处； </w:t>
            </w:r>
          </w:p>
          <w:p w14:paraId="20CA63BE">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3.楼道内未按要求设置公示牌的，扣 1 分/处； </w:t>
            </w:r>
          </w:p>
          <w:p w14:paraId="2525C92C">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4.家用易腐垃圾桶上未标明收集电话、投诉电话、住户信息的，扣 1 分/处。 </w:t>
            </w:r>
          </w:p>
          <w:p w14:paraId="13485187">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5. 标识不统一的，每发现一处扣 1 分；与省标不一致的，每发现一处扣 2 分，扣完为止。</w:t>
            </w:r>
          </w:p>
          <w:p w14:paraId="39873D13">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6、未按要求开展相关活动的，每少一处扣 1 分。 </w:t>
            </w:r>
          </w:p>
          <w:p w14:paraId="2032DFD2">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7.以上单项分值扣完为止。</w:t>
            </w:r>
          </w:p>
          <w:p w14:paraId="1F4046FB">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p>
        </w:tc>
        <w:tc>
          <w:tcPr>
            <w:tcW w:w="569" w:type="dxa"/>
            <w:noWrap w:val="0"/>
            <w:vAlign w:val="center"/>
          </w:tcPr>
          <w:p w14:paraId="532B4E5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349C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0F31E2CB">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八</w:t>
            </w:r>
          </w:p>
        </w:tc>
        <w:tc>
          <w:tcPr>
            <w:tcW w:w="1175" w:type="dxa"/>
            <w:noWrap w:val="0"/>
            <w:vAlign w:val="center"/>
          </w:tcPr>
          <w:p w14:paraId="08B42ABD">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垃圾容器日常管理情况（10 分）</w:t>
            </w:r>
          </w:p>
        </w:tc>
        <w:tc>
          <w:tcPr>
            <w:tcW w:w="4117" w:type="dxa"/>
            <w:noWrap w:val="0"/>
            <w:vAlign w:val="center"/>
          </w:tcPr>
          <w:p w14:paraId="7A4C4B8B">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各类垃圾收集容器（设施）日常管理到位，日常保持容器等设施设备干净、整洁，定期清洗、维护、更新，做到无污垢、无破损、无积水、垃圾不满溢、周边无散落垃圾；建立日常自查自纠机制，并完善台账资料。小区垃圾分类驿站日常管理到位，有污水排放系统，有洗手台，有照明设施，通水通电，摄像头正常使用。垃圾分类驿站内有两种以上分类垃圾投放处，各投放箱外观干净整洁，无污垢、无破损，箱体上有明显的分类标识，且与省标相统一。垃圾分类驿站地面清洁，无垃圾包，无异味。垃圾分类驿站中安排专管员，对非投放时间段的投放行为进行劝导等。每个小区安排专职巡检员，全天候确保无垃圾包现象。</w:t>
            </w:r>
          </w:p>
        </w:tc>
        <w:tc>
          <w:tcPr>
            <w:tcW w:w="729" w:type="dxa"/>
            <w:noWrap w:val="0"/>
            <w:vAlign w:val="center"/>
          </w:tcPr>
          <w:p w14:paraId="54A703A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10</w:t>
            </w:r>
          </w:p>
          <w:p w14:paraId="5C61CD98">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p>
        </w:tc>
        <w:tc>
          <w:tcPr>
            <w:tcW w:w="3554" w:type="dxa"/>
            <w:noWrap w:val="0"/>
            <w:vAlign w:val="center"/>
          </w:tcPr>
          <w:p w14:paraId="1DE0339B">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1.垃圾容器脏污、破损、桶内积水、垃圾满溢、地面散落垃圾的，扣 1 分/处。未建立自查自纠机制及日常巡查台账的，发现一个小区扣 2 分。 </w:t>
            </w:r>
          </w:p>
          <w:p w14:paraId="11A0DBBA">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2. 每发现一处不规范的扣 1 分，扣完为止。 </w:t>
            </w:r>
          </w:p>
          <w:p w14:paraId="3B68C9B9">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3.非投放时间段内未见专管员，扣5分。 </w:t>
            </w:r>
          </w:p>
          <w:p w14:paraId="277FABB3">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 xml:space="preserve">4.每发现一处垃圾包，扣 1 分，该项分值扣完为止。 </w:t>
            </w:r>
          </w:p>
          <w:p w14:paraId="5BA78440">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val="0"/>
                <w:bCs w:val="0"/>
                <w:color w:val="auto"/>
                <w:kern w:val="0"/>
                <w:sz w:val="24"/>
                <w:highlight w:val="none"/>
                <w:vertAlign w:val="baseline"/>
                <w:lang w:val="en-US" w:eastAsia="zh-CN"/>
              </w:rPr>
              <w:t>5.以上单项分值扣完为止。</w:t>
            </w:r>
          </w:p>
          <w:p w14:paraId="26D51FE7">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val="0"/>
                <w:bCs w:val="0"/>
                <w:color w:val="auto"/>
                <w:kern w:val="0"/>
                <w:sz w:val="24"/>
                <w:highlight w:val="none"/>
                <w:vertAlign w:val="baseline"/>
                <w:lang w:val="en-US" w:eastAsia="zh-CN"/>
              </w:rPr>
            </w:pPr>
          </w:p>
        </w:tc>
        <w:tc>
          <w:tcPr>
            <w:tcW w:w="569" w:type="dxa"/>
            <w:noWrap w:val="0"/>
            <w:vAlign w:val="center"/>
          </w:tcPr>
          <w:p w14:paraId="449F3E6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5959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2" w:type="dxa"/>
            <w:gridSpan w:val="5"/>
            <w:noWrap w:val="0"/>
            <w:vAlign w:val="center"/>
          </w:tcPr>
          <w:p w14:paraId="2FBF3F8C">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合 计</w:t>
            </w:r>
          </w:p>
        </w:tc>
        <w:tc>
          <w:tcPr>
            <w:tcW w:w="569" w:type="dxa"/>
            <w:noWrap w:val="0"/>
            <w:vAlign w:val="center"/>
          </w:tcPr>
          <w:p w14:paraId="030E02E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bl>
    <w:p w14:paraId="0785C595">
      <w:pPr>
        <w:keepNext w:val="0"/>
        <w:keepLines w:val="0"/>
        <w:pageBreakBefore w:val="0"/>
        <w:widowControl/>
        <w:kinsoku/>
        <w:wordWrap/>
        <w:overflowPunct/>
        <w:topLinePunct w:val="0"/>
        <w:autoSpaceDE/>
        <w:autoSpaceDN/>
        <w:bidi w:val="0"/>
        <w:adjustRightInd/>
        <w:snapToGrid/>
        <w:spacing w:line="240" w:lineRule="auto"/>
        <w:ind w:right="0"/>
        <w:jc w:val="left"/>
        <w:textAlignment w:val="auto"/>
        <w:outlineLvl w:val="1"/>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附加表：奖惩措施及反向扣分（不封顶）</w:t>
      </w:r>
    </w:p>
    <w:tbl>
      <w:tblPr>
        <w:tblStyle w:val="22"/>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75"/>
        <w:gridCol w:w="3787"/>
        <w:gridCol w:w="729"/>
        <w:gridCol w:w="3701"/>
        <w:gridCol w:w="569"/>
      </w:tblGrid>
      <w:tr w14:paraId="62F9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0"/>
            <w:vAlign w:val="center"/>
          </w:tcPr>
          <w:p w14:paraId="29E5EBD6">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序号</w:t>
            </w:r>
          </w:p>
        </w:tc>
        <w:tc>
          <w:tcPr>
            <w:tcW w:w="1175" w:type="dxa"/>
            <w:noWrap w:val="0"/>
            <w:vAlign w:val="center"/>
          </w:tcPr>
          <w:p w14:paraId="51882D3B">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考核内容</w:t>
            </w:r>
          </w:p>
        </w:tc>
        <w:tc>
          <w:tcPr>
            <w:tcW w:w="3787" w:type="dxa"/>
            <w:noWrap w:val="0"/>
            <w:vAlign w:val="center"/>
          </w:tcPr>
          <w:p w14:paraId="603AE22C">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工作标准</w:t>
            </w:r>
          </w:p>
        </w:tc>
        <w:tc>
          <w:tcPr>
            <w:tcW w:w="729" w:type="dxa"/>
            <w:noWrap w:val="0"/>
            <w:vAlign w:val="center"/>
          </w:tcPr>
          <w:p w14:paraId="2636FC31">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分值</w:t>
            </w:r>
          </w:p>
        </w:tc>
        <w:tc>
          <w:tcPr>
            <w:tcW w:w="3701" w:type="dxa"/>
            <w:noWrap w:val="0"/>
            <w:vAlign w:val="center"/>
          </w:tcPr>
          <w:p w14:paraId="49FF6838">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评分标准</w:t>
            </w:r>
          </w:p>
        </w:tc>
        <w:tc>
          <w:tcPr>
            <w:tcW w:w="569" w:type="dxa"/>
            <w:noWrap w:val="0"/>
            <w:vAlign w:val="center"/>
          </w:tcPr>
          <w:p w14:paraId="022CC140">
            <w:pPr>
              <w:widowControl/>
              <w:spacing w:line="500" w:lineRule="exact"/>
              <w:ind w:right="60"/>
              <w:jc w:val="center"/>
              <w:outlineLvl w:val="1"/>
              <w:rPr>
                <w:rFonts w:hint="eastAsia" w:ascii="宋体" w:hAnsi="宋体" w:eastAsia="宋体" w:cs="宋体"/>
                <w:b/>
                <w:bCs/>
                <w:color w:val="auto"/>
                <w:kern w:val="0"/>
                <w:sz w:val="24"/>
                <w:highlight w:val="none"/>
                <w:vertAlign w:val="baseline"/>
                <w:lang w:val="en-US" w:eastAsia="zh-CN"/>
              </w:rPr>
            </w:pPr>
            <w:r>
              <w:rPr>
                <w:rFonts w:hint="eastAsia" w:ascii="宋体" w:hAnsi="宋体" w:eastAsia="宋体" w:cs="宋体"/>
                <w:b/>
                <w:bCs/>
                <w:color w:val="auto"/>
                <w:kern w:val="0"/>
                <w:sz w:val="24"/>
                <w:highlight w:val="none"/>
                <w:vertAlign w:val="baseline"/>
                <w:lang w:val="en-US" w:eastAsia="zh-CN"/>
              </w:rPr>
              <w:t>评分</w:t>
            </w:r>
          </w:p>
        </w:tc>
      </w:tr>
      <w:tr w14:paraId="5030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noWrap w:val="0"/>
            <w:vAlign w:val="center"/>
          </w:tcPr>
          <w:p w14:paraId="275006C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1</w:t>
            </w:r>
          </w:p>
        </w:tc>
        <w:tc>
          <w:tcPr>
            <w:tcW w:w="1175" w:type="dxa"/>
            <w:vMerge w:val="restart"/>
            <w:noWrap w:val="0"/>
            <w:vAlign w:val="center"/>
          </w:tcPr>
          <w:p w14:paraId="39E4D642">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vertAlign w:val="baseline"/>
                <w:lang w:val="en-US" w:eastAsia="zh-CN"/>
              </w:rPr>
              <w:t>奖惩措施及反向扣分（不封顶）</w:t>
            </w:r>
          </w:p>
        </w:tc>
        <w:tc>
          <w:tcPr>
            <w:tcW w:w="3787" w:type="dxa"/>
            <w:noWrap w:val="0"/>
            <w:vAlign w:val="center"/>
          </w:tcPr>
          <w:p w14:paraId="25A73DDC">
            <w:pPr>
              <w:keepNext w:val="0"/>
              <w:keepLines w:val="0"/>
              <w:widowControl/>
              <w:suppressLineNumbers w:val="0"/>
              <w:jc w:val="left"/>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日常工作中媒体被国家级、省级、市级媒体录用的信息，按照情况给予加分；受到省主管、分管领导，市主管、分管领导表扬的给予加分；</w:t>
            </w:r>
          </w:p>
        </w:tc>
        <w:tc>
          <w:tcPr>
            <w:tcW w:w="729" w:type="dxa"/>
            <w:noWrap w:val="0"/>
            <w:vAlign w:val="center"/>
          </w:tcPr>
          <w:p w14:paraId="5F5ACD2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szCs w:val="24"/>
                <w:highlight w:val="none"/>
                <w:vertAlign w:val="baseline"/>
                <w:lang w:val="en-US" w:eastAsia="zh-CN"/>
              </w:rPr>
            </w:pPr>
          </w:p>
        </w:tc>
        <w:tc>
          <w:tcPr>
            <w:tcW w:w="3701" w:type="dxa"/>
            <w:noWrap w:val="0"/>
            <w:vAlign w:val="center"/>
          </w:tcPr>
          <w:p w14:paraId="67E1C58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1.国家级录用的加 1-2 分/次，省级及市级以上录用的加0.5 分/次。 </w:t>
            </w:r>
          </w:p>
          <w:p w14:paraId="0938758B">
            <w:pPr>
              <w:keepNext w:val="0"/>
              <w:keepLines w:val="0"/>
              <w:widowControl/>
              <w:suppressLineNumbers w:val="0"/>
              <w:jc w:val="left"/>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2.受到省主管、分管领导，市主管、分管领导表扬的，加2 分/次。</w:t>
            </w:r>
          </w:p>
        </w:tc>
        <w:tc>
          <w:tcPr>
            <w:tcW w:w="569" w:type="dxa"/>
            <w:noWrap w:val="0"/>
            <w:vAlign w:val="center"/>
          </w:tcPr>
          <w:p w14:paraId="346F2C6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r w14:paraId="04BE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noWrap w:val="0"/>
            <w:vAlign w:val="center"/>
          </w:tcPr>
          <w:p w14:paraId="7F1D33A6">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szCs w:val="24"/>
                <w:highlight w:val="none"/>
                <w:vertAlign w:val="baseline"/>
                <w:lang w:val="en-US" w:eastAsia="zh-CN"/>
              </w:rPr>
            </w:pPr>
          </w:p>
        </w:tc>
        <w:tc>
          <w:tcPr>
            <w:tcW w:w="1175" w:type="dxa"/>
            <w:vMerge w:val="continue"/>
            <w:noWrap w:val="0"/>
            <w:vAlign w:val="center"/>
          </w:tcPr>
          <w:p w14:paraId="757F5E0B">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szCs w:val="24"/>
                <w:highlight w:val="none"/>
                <w:vertAlign w:val="baseline"/>
                <w:lang w:val="en-US" w:eastAsia="zh-CN"/>
              </w:rPr>
            </w:pPr>
          </w:p>
        </w:tc>
        <w:tc>
          <w:tcPr>
            <w:tcW w:w="3787" w:type="dxa"/>
            <w:noWrap w:val="0"/>
            <w:vAlign w:val="center"/>
          </w:tcPr>
          <w:p w14:paraId="2B6F8AD6">
            <w:pPr>
              <w:keepNext w:val="0"/>
              <w:keepLines w:val="0"/>
              <w:widowControl/>
              <w:suppressLineNumbers w:val="0"/>
              <w:jc w:val="left"/>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日常工作中发现问题的，群众、媒体反映的，市级以上领导作出批示的工作不当情况，应予以扣分。街道将进行明察暗访，街道发现问题形成交办单通报后未及时整改的，将进行扣分；按照上级围绕考核中心街道分类办在布置各项工作未及时响应、未在时限内上交、不配合执行的进行扣分；市精细化垃圾分类考核排名前后的街道将根据实际情况进行加分；</w:t>
            </w:r>
          </w:p>
        </w:tc>
        <w:tc>
          <w:tcPr>
            <w:tcW w:w="729" w:type="dxa"/>
            <w:noWrap w:val="0"/>
            <w:vAlign w:val="center"/>
          </w:tcPr>
          <w:p w14:paraId="5FFA3CE9">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szCs w:val="24"/>
                <w:highlight w:val="none"/>
                <w:vertAlign w:val="baseline"/>
                <w:lang w:val="en-US" w:eastAsia="zh-CN"/>
              </w:rPr>
            </w:pPr>
          </w:p>
        </w:tc>
        <w:tc>
          <w:tcPr>
            <w:tcW w:w="3701" w:type="dxa"/>
            <w:noWrap w:val="0"/>
            <w:vAlign w:val="center"/>
          </w:tcPr>
          <w:p w14:paraId="581000D2">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1、日常管理工作不到位，被副县级以上领导批评或媒体反映的，扣 2 分/次。 </w:t>
            </w:r>
          </w:p>
          <w:p w14:paraId="31552AE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2.街道发现问题形成交办单通报后未及时整改的，每次在总分扣 0.5 分，同一问题，出现三次以上扣 0.5 分。 </w:t>
            </w:r>
          </w:p>
          <w:p w14:paraId="4DD5B51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 围绕上级考核、街道分类办在布置各项工作未及时响应、未在时限内上交、不配合执行的发现存在一起扣 0.1 分。 </w:t>
            </w:r>
          </w:p>
          <w:p w14:paraId="217AF2DB">
            <w:pPr>
              <w:keepNext w:val="0"/>
              <w:keepLines w:val="0"/>
              <w:widowControl/>
              <w:suppressLineNumbers w:val="0"/>
              <w:jc w:val="left"/>
              <w:rPr>
                <w:rFonts w:hint="eastAsia" w:ascii="宋体" w:hAnsi="宋体" w:eastAsia="宋体" w:cs="宋体"/>
                <w:b w:val="0"/>
                <w:bCs w:val="0"/>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3.市精细化垃圾分类考核成绩排名，前五名给予 1-5 分奖励；后五名给予 1-5 分处罚。</w:t>
            </w:r>
          </w:p>
        </w:tc>
        <w:tc>
          <w:tcPr>
            <w:tcW w:w="569" w:type="dxa"/>
            <w:noWrap w:val="0"/>
            <w:vAlign w:val="center"/>
          </w:tcPr>
          <w:p w14:paraId="14C5CA1E">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outlineLvl w:val="1"/>
              <w:rPr>
                <w:rFonts w:hint="eastAsia" w:ascii="宋体" w:hAnsi="宋体" w:eastAsia="宋体" w:cs="宋体"/>
                <w:b w:val="0"/>
                <w:bCs w:val="0"/>
                <w:color w:val="auto"/>
                <w:kern w:val="0"/>
                <w:sz w:val="24"/>
                <w:highlight w:val="none"/>
                <w:vertAlign w:val="baseline"/>
                <w:lang w:val="en-US" w:eastAsia="zh-CN"/>
              </w:rPr>
            </w:pPr>
          </w:p>
        </w:tc>
      </w:tr>
    </w:tbl>
    <w:p w14:paraId="60DFB45A">
      <w:pPr>
        <w:keepNext w:val="0"/>
        <w:keepLines w:val="0"/>
        <w:widowControl/>
        <w:suppressLineNumbers w:val="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 xml:space="preserve">备注：本考核表满分 100 分，每月评定一次。 </w:t>
      </w:r>
    </w:p>
    <w:p w14:paraId="350356E0">
      <w:pPr>
        <w:keepNext w:val="0"/>
        <w:keepLines w:val="0"/>
        <w:widowControl/>
        <w:suppressLineNumbers w:val="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 xml:space="preserve">1.综合考核分最终组成组成为市考核分占 50%+街道考核分占 50%。+奖惩措施（正向加分+反向扣分组成）。 </w:t>
      </w:r>
    </w:p>
    <w:p w14:paraId="5B05588A">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2.最终每月评分将以“季度平均分”作为支付运营服务费的依据。</w:t>
      </w:r>
    </w:p>
    <w:bookmarkEnd w:id="65"/>
    <w:bookmarkEnd w:id="66"/>
    <w:p w14:paraId="0C7CCE67">
      <w:pPr>
        <w:spacing w:line="430" w:lineRule="exact"/>
        <w:rPr>
          <w:rFonts w:ascii="宋体" w:hAnsi="宋体"/>
          <w:b/>
          <w:color w:val="auto"/>
          <w:sz w:val="24"/>
          <w:highlight w:val="none"/>
        </w:rPr>
      </w:pPr>
      <w:r>
        <w:rPr>
          <w:rFonts w:hint="eastAsia" w:ascii="宋体" w:hAnsi="宋体"/>
          <w:b/>
          <w:color w:val="auto"/>
          <w:sz w:val="24"/>
          <w:highlight w:val="none"/>
        </w:rPr>
        <w:t>十、其他要求：</w:t>
      </w:r>
    </w:p>
    <w:p w14:paraId="35377E85">
      <w:pPr>
        <w:pageBreakBefore w:val="0"/>
        <w:widowControl/>
        <w:kinsoku/>
        <w:wordWrap/>
        <w:overflowPunct/>
        <w:topLinePunct w:val="0"/>
        <w:bidi w:val="0"/>
        <w:snapToGrid w:val="0"/>
        <w:spacing w:beforeAutospacing="0" w:afterAutospacing="0" w:line="560" w:lineRule="exact"/>
        <w:ind w:left="0" w:leftChars="0" w:firstLine="480" w:firstLineChars="200"/>
        <w:jc w:val="left"/>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1.服务期限内精准分类标准如有变动以上级部门最新标准执行</w:t>
      </w: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b w:val="0"/>
          <w:bCs w:val="0"/>
          <w:color w:val="auto"/>
          <w:kern w:val="0"/>
          <w:sz w:val="24"/>
          <w:szCs w:val="24"/>
          <w:highlight w:val="none"/>
          <w:u w:val="none"/>
          <w:lang w:val="en-US" w:eastAsia="zh-CN" w:bidi="ar-SA"/>
        </w:rPr>
        <w:t>具体由以甲方书面变更通知为准。</w:t>
      </w:r>
    </w:p>
    <w:p w14:paraId="234AE391">
      <w:pPr>
        <w:pageBreakBefore w:val="0"/>
        <w:widowControl/>
        <w:kinsoku/>
        <w:wordWrap/>
        <w:overflowPunct/>
        <w:topLinePunct w:val="0"/>
        <w:bidi w:val="0"/>
        <w:snapToGrid w:val="0"/>
        <w:spacing w:beforeAutospacing="0" w:afterAutospacing="0" w:line="560" w:lineRule="exact"/>
        <w:ind w:left="0" w:leftChars="0" w:firstLine="480" w:firstLineChars="200"/>
        <w:jc w:val="left"/>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2.根据《易腐垃圾积分规则》，做好服务期限内的积分及兑换工作。</w:t>
      </w:r>
    </w:p>
    <w:p w14:paraId="6E756F3F">
      <w:pPr>
        <w:pageBreakBefore w:val="0"/>
        <w:widowControl/>
        <w:kinsoku/>
        <w:wordWrap/>
        <w:overflowPunct/>
        <w:topLinePunct w:val="0"/>
        <w:bidi w:val="0"/>
        <w:snapToGrid w:val="0"/>
        <w:spacing w:beforeAutospacing="0" w:afterAutospacing="0" w:line="560" w:lineRule="exact"/>
        <w:ind w:left="0" w:leftChars="0" w:firstLine="480" w:firstLineChars="200"/>
        <w:jc w:val="left"/>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3.在服务期内，乙方负责设备及系统的所有维护、维修、设备更换和系统优化升级等工作，保证能正常使用系统。</w:t>
      </w:r>
    </w:p>
    <w:p w14:paraId="51299AAB">
      <w:pPr>
        <w:pageBreakBefore w:val="0"/>
        <w:widowControl/>
        <w:kinsoku/>
        <w:wordWrap/>
        <w:overflowPunct/>
        <w:topLinePunct w:val="0"/>
        <w:bidi w:val="0"/>
        <w:snapToGrid w:val="0"/>
        <w:spacing w:beforeAutospacing="0" w:afterAutospacing="0" w:line="560" w:lineRule="exact"/>
        <w:ind w:left="0" w:leftChars="0" w:firstLine="480" w:firstLineChars="200"/>
        <w:jc w:val="left"/>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4.乙方未能按规定内容提供服务时，严重情况的（由各街道具体细化情况列出），甲方可以终止协议。</w:t>
      </w:r>
    </w:p>
    <w:p w14:paraId="04B64149">
      <w:pPr>
        <w:pageBreakBefore w:val="0"/>
        <w:widowControl/>
        <w:kinsoku/>
        <w:wordWrap/>
        <w:overflowPunct/>
        <w:topLinePunct w:val="0"/>
        <w:bidi w:val="0"/>
        <w:snapToGrid w:val="0"/>
        <w:spacing w:beforeAutospacing="0" w:afterAutospacing="0" w:line="560" w:lineRule="exact"/>
        <w:ind w:left="0" w:leftChars="0" w:firstLine="480" w:firstLineChars="200"/>
        <w:jc w:val="left"/>
        <w:textAlignment w:val="auto"/>
        <w:rPr>
          <w:rFonts w:hint="eastAsia" w:ascii="宋体" w:hAnsi="宋体" w:eastAsia="宋体" w:cs="宋体"/>
          <w:b w:val="0"/>
          <w:bCs w:val="0"/>
          <w:color w:val="auto"/>
          <w:kern w:val="0"/>
          <w:sz w:val="24"/>
          <w:szCs w:val="24"/>
          <w:highlight w:val="none"/>
          <w:u w:val="non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5.待服务期满及乙方撤场等因素，小区内配置的所有分类驿站、智能可回收箱、有毒有害箱及智能积分兑换一体机等分类工作运维设备归小区全体业主所有。</w:t>
      </w:r>
    </w:p>
    <w:p w14:paraId="0A94136C">
      <w:pPr>
        <w:pageBreakBefore w:val="0"/>
        <w:widowControl/>
        <w:kinsoku/>
        <w:wordWrap/>
        <w:overflowPunct/>
        <w:topLinePunct w:val="0"/>
        <w:bidi w:val="0"/>
        <w:snapToGrid w:val="0"/>
        <w:spacing w:beforeAutospacing="0" w:afterAutospacing="0" w:line="560" w:lineRule="exact"/>
        <w:ind w:left="0" w:leftChars="0" w:firstLine="480" w:firstLineChars="200"/>
        <w:jc w:val="left"/>
        <w:textAlignment w:val="auto"/>
        <w:rPr>
          <w:color w:val="auto"/>
          <w:highlight w:val="none"/>
        </w:rPr>
      </w:pPr>
      <w:r>
        <w:rPr>
          <w:rFonts w:hint="eastAsia" w:ascii="宋体" w:hAnsi="宋体" w:eastAsia="宋体" w:cs="宋体"/>
          <w:b w:val="0"/>
          <w:bCs w:val="0"/>
          <w:color w:val="auto"/>
          <w:kern w:val="0"/>
          <w:sz w:val="24"/>
          <w:szCs w:val="24"/>
          <w:highlight w:val="none"/>
          <w:u w:val="none"/>
          <w:lang w:val="en-US" w:eastAsia="zh-CN" w:bidi="ar-SA"/>
        </w:rPr>
        <w:t>6.甲方每月将乙方的生活垃圾精准分类服务质量评价结果上报建设局报备，作为物业综合服务合同履约考核评价排名指标内容。</w:t>
      </w:r>
    </w:p>
    <w:p w14:paraId="3867C1C7">
      <w:pPr>
        <w:numPr>
          <w:ilvl w:val="0"/>
          <w:numId w:val="0"/>
        </w:numPr>
        <w:adjustRightInd w:val="0"/>
        <w:snapToGrid w:val="0"/>
        <w:spacing w:line="360" w:lineRule="auto"/>
        <w:ind w:left="0" w:leftChars="0" w:firstLine="400" w:firstLineChars="0"/>
        <w:rPr>
          <w:color w:val="auto"/>
          <w:sz w:val="24"/>
          <w:highlight w:val="none"/>
        </w:rPr>
      </w:pPr>
      <w:r>
        <w:rPr>
          <w:rFonts w:hint="eastAsia"/>
          <w:color w:val="auto"/>
          <w:sz w:val="24"/>
          <w:highlight w:val="none"/>
          <w:lang w:val="en-US" w:eastAsia="zh-CN"/>
        </w:rPr>
        <w:t xml:space="preserve">7. </w:t>
      </w:r>
      <w:r>
        <w:rPr>
          <w:rFonts w:hint="eastAsia"/>
          <w:color w:val="auto"/>
          <w:sz w:val="24"/>
          <w:highlight w:val="none"/>
        </w:rPr>
        <w:t>所有宣传资料等需要符合国家、</w:t>
      </w:r>
      <w:r>
        <w:rPr>
          <w:color w:val="auto"/>
          <w:sz w:val="24"/>
          <w:highlight w:val="none"/>
        </w:rPr>
        <w:t>省、市</w:t>
      </w:r>
      <w:r>
        <w:rPr>
          <w:rFonts w:hint="eastAsia"/>
          <w:color w:val="auto"/>
          <w:sz w:val="24"/>
          <w:highlight w:val="none"/>
        </w:rPr>
        <w:t>要求、符合南太湖新区垃圾分类领导小组办公室及</w:t>
      </w:r>
      <w:r>
        <w:rPr>
          <w:color w:val="auto"/>
          <w:sz w:val="24"/>
          <w:highlight w:val="none"/>
        </w:rPr>
        <w:t>街道</w:t>
      </w:r>
      <w:r>
        <w:rPr>
          <w:rFonts w:hint="eastAsia"/>
          <w:color w:val="auto"/>
          <w:sz w:val="24"/>
          <w:highlight w:val="none"/>
        </w:rPr>
        <w:t>的要求，宣传资料、设备、设施等建设投放前需甲方确认。</w:t>
      </w:r>
    </w:p>
    <w:p w14:paraId="63333147">
      <w:pPr>
        <w:numPr>
          <w:ilvl w:val="0"/>
          <w:numId w:val="0"/>
        </w:numPr>
        <w:adjustRightInd w:val="0"/>
        <w:snapToGrid w:val="0"/>
        <w:spacing w:line="360" w:lineRule="auto"/>
        <w:ind w:left="0" w:leftChars="0" w:firstLine="400" w:firstLineChars="0"/>
        <w:rPr>
          <w:color w:val="auto"/>
          <w:sz w:val="24"/>
          <w:highlight w:val="none"/>
        </w:rPr>
      </w:pPr>
      <w:r>
        <w:rPr>
          <w:rFonts w:hint="eastAsia" w:cs="Times New Roman"/>
          <w:color w:val="auto"/>
          <w:kern w:val="2"/>
          <w:sz w:val="24"/>
          <w:szCs w:val="24"/>
          <w:highlight w:val="none"/>
          <w:lang w:val="en-US" w:eastAsia="zh-CN" w:bidi="ar-SA"/>
        </w:rPr>
        <w:t xml:space="preserve">8. </w:t>
      </w:r>
      <w:r>
        <w:rPr>
          <w:rFonts w:hint="eastAsia"/>
          <w:color w:val="auto"/>
          <w:sz w:val="24"/>
          <w:highlight w:val="none"/>
        </w:rPr>
        <w:t>分类设施设备按街道要求完成。</w:t>
      </w:r>
    </w:p>
    <w:p w14:paraId="76F77F39">
      <w:pPr>
        <w:numPr>
          <w:ilvl w:val="0"/>
          <w:numId w:val="0"/>
        </w:numPr>
        <w:adjustRightInd w:val="0"/>
        <w:snapToGrid w:val="0"/>
        <w:spacing w:line="360" w:lineRule="auto"/>
        <w:ind w:left="0" w:leftChars="0" w:firstLine="400" w:firstLineChars="0"/>
        <w:rPr>
          <w:color w:val="auto"/>
          <w:sz w:val="24"/>
          <w:highlight w:val="none"/>
        </w:rPr>
      </w:pPr>
      <w:r>
        <w:rPr>
          <w:rFonts w:hint="eastAsia" w:cs="Times New Roman"/>
          <w:color w:val="auto"/>
          <w:kern w:val="2"/>
          <w:sz w:val="24"/>
          <w:szCs w:val="24"/>
          <w:highlight w:val="none"/>
          <w:lang w:val="en-US" w:eastAsia="zh-CN" w:bidi="ar-SA"/>
        </w:rPr>
        <w:t xml:space="preserve">9. </w:t>
      </w:r>
      <w:r>
        <w:rPr>
          <w:rFonts w:hint="eastAsia"/>
          <w:color w:val="auto"/>
          <w:sz w:val="24"/>
          <w:highlight w:val="none"/>
        </w:rPr>
        <w:t>中途服务过程中，如遇居民小区增减数量，根据补贴单价实行结算费用。</w:t>
      </w:r>
    </w:p>
    <w:p w14:paraId="0EBBA215">
      <w:pPr>
        <w:numPr>
          <w:ilvl w:val="0"/>
          <w:numId w:val="0"/>
        </w:numPr>
        <w:adjustRightInd w:val="0"/>
        <w:snapToGrid w:val="0"/>
        <w:spacing w:line="360" w:lineRule="auto"/>
        <w:ind w:left="0" w:leftChars="0" w:firstLine="400" w:firstLineChars="0"/>
        <w:rPr>
          <w:color w:val="auto"/>
          <w:sz w:val="24"/>
          <w:highlight w:val="none"/>
        </w:rPr>
      </w:pPr>
      <w:r>
        <w:rPr>
          <w:rFonts w:hint="eastAsia" w:cs="Times New Roman"/>
          <w:color w:val="auto"/>
          <w:kern w:val="2"/>
          <w:sz w:val="24"/>
          <w:szCs w:val="24"/>
          <w:highlight w:val="none"/>
          <w:lang w:val="en-US" w:eastAsia="zh-CN" w:bidi="ar-SA"/>
        </w:rPr>
        <w:t xml:space="preserve">10. </w:t>
      </w:r>
      <w:r>
        <w:rPr>
          <w:rFonts w:hint="eastAsia"/>
          <w:color w:val="auto"/>
          <w:sz w:val="24"/>
          <w:highlight w:val="none"/>
        </w:rPr>
        <w:t>甲方适时引进第三方绩效评估公司对该项目进行评估，如评估结果不合格，甲方有权中止合同。</w:t>
      </w:r>
    </w:p>
    <w:p w14:paraId="49DF3D36">
      <w:pPr>
        <w:numPr>
          <w:ilvl w:val="0"/>
          <w:numId w:val="0"/>
        </w:numPr>
        <w:adjustRightInd w:val="0"/>
        <w:snapToGrid w:val="0"/>
        <w:spacing w:line="348" w:lineRule="auto"/>
        <w:ind w:left="0" w:leftChars="0" w:firstLine="400" w:firstLineChars="0"/>
        <w:rPr>
          <w:color w:val="auto"/>
          <w:sz w:val="24"/>
          <w:highlight w:val="none"/>
        </w:rPr>
      </w:pPr>
      <w:r>
        <w:rPr>
          <w:rFonts w:hint="eastAsia" w:cs="Times New Roman"/>
          <w:color w:val="auto"/>
          <w:kern w:val="2"/>
          <w:sz w:val="24"/>
          <w:szCs w:val="24"/>
          <w:highlight w:val="none"/>
          <w:lang w:val="en-US" w:eastAsia="zh-CN" w:bidi="ar-SA"/>
        </w:rPr>
        <w:t xml:space="preserve">11. </w:t>
      </w:r>
      <w:r>
        <w:rPr>
          <w:rFonts w:hint="eastAsia"/>
          <w:color w:val="auto"/>
          <w:sz w:val="24"/>
          <w:highlight w:val="none"/>
        </w:rPr>
        <w:t>为方便管理，中标单位须在各小区设置固定场所用于日常工作安排及人员培训，项目人员应统一制服，样式体现街道特色。</w:t>
      </w:r>
    </w:p>
    <w:p w14:paraId="5A3CB773">
      <w:pPr>
        <w:numPr>
          <w:ilvl w:val="0"/>
          <w:numId w:val="0"/>
        </w:numPr>
        <w:adjustRightInd w:val="0"/>
        <w:snapToGrid w:val="0"/>
        <w:spacing w:line="348" w:lineRule="auto"/>
        <w:ind w:left="0" w:leftChars="0" w:firstLine="400" w:firstLineChars="0"/>
        <w:rPr>
          <w:color w:val="auto"/>
          <w:sz w:val="24"/>
          <w:highlight w:val="none"/>
        </w:rPr>
      </w:pPr>
      <w:r>
        <w:rPr>
          <w:rFonts w:hint="eastAsia" w:cs="Times New Roman"/>
          <w:color w:val="auto"/>
          <w:kern w:val="2"/>
          <w:sz w:val="24"/>
          <w:szCs w:val="24"/>
          <w:highlight w:val="none"/>
          <w:lang w:val="en-US" w:eastAsia="zh-CN" w:bidi="ar-SA"/>
        </w:rPr>
        <w:t xml:space="preserve">12. </w:t>
      </w:r>
      <w:r>
        <w:rPr>
          <w:rFonts w:hint="eastAsia"/>
          <w:color w:val="auto"/>
          <w:sz w:val="24"/>
          <w:highlight w:val="none"/>
        </w:rPr>
        <w:t>中标单位应制定详尽的人员考勤机制并配备相应设备，同时中标单位垃圾分类工作人员须接受中标单位内部及街道的双重管理。</w:t>
      </w:r>
    </w:p>
    <w:p w14:paraId="165F83B1">
      <w:pPr>
        <w:numPr>
          <w:ilvl w:val="0"/>
          <w:numId w:val="0"/>
        </w:numPr>
        <w:adjustRightInd w:val="0"/>
        <w:snapToGrid w:val="0"/>
        <w:spacing w:line="348" w:lineRule="auto"/>
        <w:ind w:left="0" w:leftChars="0" w:firstLine="400" w:firstLineChars="0"/>
        <w:rPr>
          <w:bCs/>
          <w:color w:val="auto"/>
          <w:sz w:val="24"/>
          <w:highlight w:val="none"/>
        </w:rPr>
      </w:pPr>
      <w:r>
        <w:rPr>
          <w:rFonts w:hint="eastAsia" w:cs="Times New Roman"/>
          <w:bCs/>
          <w:color w:val="auto"/>
          <w:kern w:val="2"/>
          <w:sz w:val="24"/>
          <w:szCs w:val="24"/>
          <w:highlight w:val="none"/>
          <w:lang w:val="en-US" w:eastAsia="zh-CN" w:bidi="ar-SA"/>
        </w:rPr>
        <w:t xml:space="preserve">13. </w:t>
      </w:r>
      <w:r>
        <w:rPr>
          <w:rFonts w:hint="eastAsia"/>
          <w:bCs/>
          <w:color w:val="auto"/>
          <w:sz w:val="24"/>
          <w:highlight w:val="none"/>
        </w:rPr>
        <w:t>中标单位应按照甲方要求落实对分类工作的创新、改进、提升以及上级工作要求等。</w:t>
      </w:r>
    </w:p>
    <w:p w14:paraId="73ACE5A1">
      <w:pPr>
        <w:numPr>
          <w:ilvl w:val="0"/>
          <w:numId w:val="0"/>
        </w:numPr>
        <w:adjustRightInd w:val="0"/>
        <w:snapToGrid w:val="0"/>
        <w:spacing w:line="348" w:lineRule="auto"/>
        <w:ind w:left="0" w:leftChars="0" w:firstLine="400" w:firstLineChars="0"/>
        <w:rPr>
          <w:rFonts w:hint="eastAsia"/>
          <w:bCs/>
          <w:color w:val="auto"/>
          <w:sz w:val="24"/>
          <w:highlight w:val="none"/>
        </w:rPr>
      </w:pPr>
      <w:r>
        <w:rPr>
          <w:rFonts w:hint="eastAsia" w:ascii="宋体" w:hAnsi="宋体" w:cs="宋体"/>
          <w:b/>
          <w:color w:val="auto"/>
          <w:kern w:val="2"/>
          <w:sz w:val="24"/>
          <w:szCs w:val="24"/>
          <w:highlight w:val="none"/>
          <w:lang w:val="en-US" w:eastAsia="zh-CN" w:bidi="ar"/>
        </w:rPr>
        <w:t xml:space="preserve">14. </w:t>
      </w:r>
      <w:r>
        <w:rPr>
          <w:rFonts w:hint="eastAsia"/>
          <w:bCs/>
          <w:color w:val="auto"/>
          <w:sz w:val="24"/>
          <w:highlight w:val="none"/>
        </w:rPr>
        <w:t>待服务期满及中标单位撤场等因素，小区内配置的所有分类驿站、智能可回收箱、有毒有害箱及智能积分兑换一体机等分类工作设备，无偿归小区全体业主所有。</w:t>
      </w:r>
    </w:p>
    <w:p w14:paraId="365B919E">
      <w:pPr>
        <w:pStyle w:val="2"/>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5</w:t>
      </w:r>
      <w:r>
        <w:rPr>
          <w:rFonts w:hint="eastAsia"/>
          <w:color w:val="auto"/>
          <w:sz w:val="24"/>
          <w:szCs w:val="24"/>
          <w:highlight w:val="none"/>
        </w:rPr>
        <w:t>.根据《易腐垃圾积分规则》，做好服务期内积分兑换工作。</w:t>
      </w:r>
    </w:p>
    <w:p w14:paraId="31516E60">
      <w:pPr>
        <w:pStyle w:val="2"/>
        <w:ind w:firstLine="280"/>
        <w:rPr>
          <w:color w:val="auto"/>
          <w:highlight w:val="none"/>
        </w:rPr>
      </w:pPr>
    </w:p>
    <w:p w14:paraId="7D0DB3A7">
      <w:pPr>
        <w:spacing w:line="480" w:lineRule="exact"/>
        <w:rPr>
          <w:rFonts w:ascii="宋体" w:hAnsi="宋体"/>
          <w:bCs/>
          <w:color w:val="auto"/>
          <w:sz w:val="24"/>
          <w:highlight w:val="none"/>
        </w:rPr>
      </w:pPr>
      <w:r>
        <w:rPr>
          <w:rFonts w:hint="eastAsia" w:ascii="宋体" w:hAnsi="宋体"/>
          <w:color w:val="auto"/>
          <w:sz w:val="24"/>
          <w:highlight w:val="none"/>
          <w:u w:val="single"/>
        </w:rPr>
        <w:t>本招标文件中带 “</w:t>
      </w:r>
      <w:r>
        <w:rPr>
          <w:rFonts w:hint="eastAsia" w:ascii="宋体" w:hAnsi="宋体"/>
          <w:color w:val="auto"/>
          <w:kern w:val="0"/>
          <w:sz w:val="24"/>
          <w:highlight w:val="none"/>
          <w:u w:val="single"/>
        </w:rPr>
        <w:t>▲</w:t>
      </w:r>
      <w:r>
        <w:rPr>
          <w:rFonts w:hint="eastAsia" w:ascii="宋体" w:hAnsi="宋体"/>
          <w:color w:val="auto"/>
          <w:sz w:val="24"/>
          <w:highlight w:val="none"/>
          <w:u w:val="single"/>
        </w:rPr>
        <w:t>”的有关技术和商务条款为实质性条款，投标人必须在投标文件中作出实质性响应，否则投标无效。</w:t>
      </w:r>
    </w:p>
    <w:p w14:paraId="715B5D51">
      <w:pPr>
        <w:pStyle w:val="4"/>
        <w:ind w:left="2800"/>
        <w:rPr>
          <w:color w:val="auto"/>
          <w:highlight w:val="none"/>
        </w:rPr>
        <w:sectPr>
          <w:headerReference r:id="rId12" w:type="default"/>
          <w:footerReference r:id="rId13" w:type="default"/>
          <w:pgSz w:w="11906" w:h="16838"/>
          <w:pgMar w:top="1440" w:right="1080" w:bottom="1440" w:left="1080" w:header="851" w:footer="907" w:gutter="0"/>
          <w:pgNumType w:fmt="numberInDash"/>
          <w:cols w:space="720" w:num="1"/>
          <w:docGrid w:linePitch="312" w:charSpace="0"/>
        </w:sectPr>
      </w:pPr>
    </w:p>
    <w:p w14:paraId="2EC463AE">
      <w:pPr>
        <w:spacing w:line="360" w:lineRule="auto"/>
        <w:ind w:left="402"/>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第三章 评标办法及评分标准</w:t>
      </w:r>
    </w:p>
    <w:p w14:paraId="5232F3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为公正、公平、科学地选择中标人，根据《中华人民共和国政府采购法》、《政府采购货物和服务招投标管理办法》等有关法律法规的规定，并结合本项目的实际，制定本办法。</w:t>
      </w:r>
    </w:p>
    <w:p w14:paraId="437C730A">
      <w:pPr>
        <w:spacing w:line="360" w:lineRule="auto"/>
        <w:ind w:firstLine="480" w:firstLineChars="200"/>
        <w:rPr>
          <w:rFonts w:ascii="宋体" w:hAnsi="宋体" w:cs="宋体"/>
          <w:bCs/>
          <w:color w:val="auto"/>
          <w:sz w:val="24"/>
          <w:szCs w:val="48"/>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u w:val="single"/>
        </w:rPr>
        <w:t xml:space="preserve">2024年滨湖街道城市小区生活垃圾精准分类项目 </w:t>
      </w:r>
      <w:r>
        <w:rPr>
          <w:rFonts w:hint="eastAsia" w:ascii="宋体" w:hAnsi="宋体" w:cs="宋体"/>
          <w:bCs/>
          <w:color w:val="auto"/>
          <w:sz w:val="24"/>
          <w:szCs w:val="48"/>
          <w:highlight w:val="none"/>
        </w:rPr>
        <w:t>的评标。</w:t>
      </w:r>
    </w:p>
    <w:p w14:paraId="63EA9246">
      <w:pPr>
        <w:spacing w:line="360" w:lineRule="auto"/>
        <w:ind w:firstLine="562" w:firstLineChars="200"/>
        <w:outlineLvl w:val="1"/>
        <w:rPr>
          <w:rFonts w:ascii="宋体" w:hAnsi="宋体" w:cs="宋体"/>
          <w:b/>
          <w:color w:val="auto"/>
          <w:szCs w:val="28"/>
          <w:highlight w:val="none"/>
        </w:rPr>
      </w:pPr>
      <w:bookmarkStart w:id="67" w:name="_Toc23132"/>
      <w:r>
        <w:rPr>
          <w:rFonts w:hint="eastAsia" w:ascii="宋体" w:hAnsi="宋体" w:cs="宋体"/>
          <w:b/>
          <w:color w:val="auto"/>
          <w:szCs w:val="28"/>
          <w:highlight w:val="none"/>
        </w:rPr>
        <w:t>一、总则</w:t>
      </w:r>
      <w:bookmarkEnd w:id="67"/>
    </w:p>
    <w:p w14:paraId="68600EFF">
      <w:pPr>
        <w:snapToGrid w:val="0"/>
        <w:spacing w:line="360" w:lineRule="auto"/>
        <w:ind w:firstLine="480" w:firstLineChars="200"/>
        <w:textAlignment w:val="baseline"/>
        <w:rPr>
          <w:rFonts w:ascii="宋体" w:hAnsi="宋体" w:cs="宋体"/>
          <w:color w:val="auto"/>
          <w:sz w:val="24"/>
          <w:highlight w:val="none"/>
        </w:rPr>
      </w:pPr>
      <w:bookmarkStart w:id="68" w:name="_Toc25886"/>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分；技术、商务、资信及其他</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分。合格投标人的评标得分为各项目汇总得分。评标结果按评审后得分由高到低顺序排列。得分相同的，按投标报价由低到高顺序排列；投标报价仍相同的，以技术标排名靠前的优先；投标报价及技术标排名均相同的，以递交投标文件较前的投标人优先。评分过程中采用四舍五入法，并保留小数2位。</w:t>
      </w:r>
    </w:p>
    <w:p w14:paraId="328B9900">
      <w:pPr>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投标人评标综合得分=价格分+(技术、商务资信及其他分)</w:t>
      </w:r>
    </w:p>
    <w:p w14:paraId="5D724328">
      <w:pPr>
        <w:spacing w:line="360" w:lineRule="auto"/>
        <w:ind w:firstLine="480" w:firstLineChars="200"/>
        <w:outlineLvl w:val="1"/>
        <w:rPr>
          <w:rFonts w:ascii="宋体" w:hAnsi="宋体" w:cs="宋体"/>
          <w:color w:val="auto"/>
          <w:sz w:val="24"/>
          <w:highlight w:val="none"/>
          <w:lang w:eastAsia="zh-TW"/>
        </w:rPr>
      </w:pPr>
      <w:r>
        <w:rPr>
          <w:rFonts w:hint="eastAsia" w:ascii="宋体" w:hAnsi="宋体" w:cs="宋体"/>
          <w:color w:val="auto"/>
          <w:sz w:val="24"/>
          <w:highlight w:val="none"/>
          <w:lang w:eastAsia="zh-TW"/>
        </w:rPr>
        <w:t>本项目共分两个标项，按标项1、标项2标项顺序开标、评标，采取兼投不兼中原则，投标人可以参加所有标项的投标，但同一投标人最多只能中一个标项，当该投标人在多个标项中同时得分最高时，则按照标项顺序进行中标，且该投标人在其所投剩余标项中，只参加评审、不推荐中标。如标项1第一中标候选人放弃中标或被取消中标资格，不影响标项2的中标</w:t>
      </w:r>
      <w:r>
        <w:rPr>
          <w:rFonts w:hint="eastAsia" w:ascii="宋体" w:hAnsi="宋体" w:cs="宋体"/>
          <w:color w:val="auto"/>
          <w:sz w:val="24"/>
          <w:highlight w:val="none"/>
        </w:rPr>
        <w:t>结果</w:t>
      </w:r>
      <w:r>
        <w:rPr>
          <w:rFonts w:hint="eastAsia" w:ascii="宋体" w:hAnsi="宋体" w:cs="宋体"/>
          <w:color w:val="auto"/>
          <w:sz w:val="24"/>
          <w:highlight w:val="none"/>
          <w:lang w:eastAsia="zh-TW"/>
        </w:rPr>
        <w:t>；按同一投标人最多只能中一个标项原则，标项1由第三候选中标人中标。</w:t>
      </w:r>
    </w:p>
    <w:p w14:paraId="14EC59C1">
      <w:pPr>
        <w:spacing w:line="360" w:lineRule="auto"/>
        <w:ind w:firstLine="562" w:firstLineChars="200"/>
        <w:outlineLvl w:val="1"/>
        <w:rPr>
          <w:rFonts w:ascii="宋体" w:hAnsi="宋体" w:cs="宋体"/>
          <w:b/>
          <w:color w:val="auto"/>
          <w:szCs w:val="28"/>
          <w:highlight w:val="none"/>
        </w:rPr>
      </w:pPr>
      <w:r>
        <w:rPr>
          <w:rFonts w:hint="eastAsia" w:ascii="宋体" w:hAnsi="宋体" w:cs="宋体"/>
          <w:b/>
          <w:color w:val="auto"/>
          <w:szCs w:val="28"/>
          <w:highlight w:val="none"/>
        </w:rPr>
        <w:t>二、评标内容及标准</w:t>
      </w:r>
      <w:bookmarkEnd w:id="68"/>
    </w:p>
    <w:p w14:paraId="595E94F5">
      <w:pPr>
        <w:pStyle w:val="8"/>
        <w:spacing w:line="360" w:lineRule="auto"/>
        <w:ind w:firstLine="482" w:firstLineChars="200"/>
        <w:outlineLvl w:val="2"/>
        <w:rPr>
          <w:rFonts w:hAnsi="宋体" w:cs="宋体"/>
          <w:b/>
          <w:bCs/>
          <w:color w:val="auto"/>
          <w:sz w:val="24"/>
          <w:highlight w:val="none"/>
        </w:rPr>
      </w:pPr>
      <w:r>
        <w:rPr>
          <w:rFonts w:hint="eastAsia" w:hAnsi="宋体" w:cs="宋体"/>
          <w:b/>
          <w:color w:val="auto"/>
          <w:sz w:val="24"/>
          <w:highlight w:val="none"/>
        </w:rPr>
        <w:t>（一）</w:t>
      </w:r>
      <w:r>
        <w:rPr>
          <w:rFonts w:hint="eastAsia" w:hAnsi="宋体" w:cs="宋体"/>
          <w:b/>
          <w:bCs/>
          <w:color w:val="auto"/>
          <w:sz w:val="24"/>
          <w:highlight w:val="none"/>
        </w:rPr>
        <w:t>价格分（</w:t>
      </w:r>
      <w:r>
        <w:rPr>
          <w:rFonts w:hint="eastAsia" w:hAnsi="宋体" w:cs="宋体"/>
          <w:b/>
          <w:bCs/>
          <w:color w:val="auto"/>
          <w:sz w:val="24"/>
          <w:highlight w:val="none"/>
          <w:lang w:val="en-US" w:eastAsia="zh-CN"/>
        </w:rPr>
        <w:t>10</w:t>
      </w:r>
      <w:r>
        <w:rPr>
          <w:rFonts w:hint="eastAsia" w:hAnsi="宋体" w:cs="宋体"/>
          <w:b/>
          <w:bCs/>
          <w:color w:val="auto"/>
          <w:sz w:val="24"/>
          <w:highlight w:val="none"/>
        </w:rPr>
        <w:t>分）</w:t>
      </w:r>
    </w:p>
    <w:p w14:paraId="15291164">
      <w:pPr>
        <w:pStyle w:val="8"/>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cs="宋体"/>
          <w:bCs/>
          <w:color w:val="auto"/>
          <w:sz w:val="24"/>
          <w:highlight w:val="none"/>
        </w:rPr>
      </w:pPr>
      <w:r>
        <w:rPr>
          <w:rFonts w:hint="eastAsia" w:hAnsi="宋体" w:cs="宋体"/>
          <w:bCs/>
          <w:color w:val="auto"/>
          <w:sz w:val="24"/>
          <w:highlight w:val="none"/>
          <w:lang w:val="en-US" w:eastAsia="zh-CN"/>
        </w:rPr>
        <w:t>1.1</w:t>
      </w:r>
      <w:r>
        <w:rPr>
          <w:rFonts w:hint="eastAsia" w:hAnsi="宋体" w:cs="宋体"/>
          <w:bCs/>
          <w:color w:val="auto"/>
          <w:sz w:val="24"/>
          <w:highlight w:val="none"/>
        </w:rPr>
        <w:t>价格分采用低价优先法计算，</w:t>
      </w:r>
      <w:r>
        <w:rPr>
          <w:rFonts w:hint="eastAsia" w:hAnsi="宋体" w:cs="宋体"/>
          <w:bCs/>
          <w:color w:val="auto"/>
          <w:sz w:val="24"/>
          <w:szCs w:val="24"/>
          <w:highlight w:val="none"/>
        </w:rPr>
        <w:t>即满足招标文件要求且投标价格最低的投标报价为评标基准价，</w:t>
      </w:r>
      <w:r>
        <w:rPr>
          <w:rFonts w:hint="eastAsia" w:hAnsi="宋体" w:cs="宋体"/>
          <w:bCs/>
          <w:color w:val="auto"/>
          <w:sz w:val="24"/>
          <w:highlight w:val="none"/>
        </w:rPr>
        <w:t>其他供应商的价格分按照下列公式计算：</w:t>
      </w:r>
    </w:p>
    <w:p w14:paraId="181AB0E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价格分=（评标基准价/投标报价）×</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0%×100</w:t>
      </w:r>
    </w:p>
    <w:p w14:paraId="17AE825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14:paraId="46865A4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二分之一以上的评委认为供应商报价明显高于市场平均价的将作为无效投标处理</w:t>
      </w:r>
      <w:r>
        <w:rPr>
          <w:rFonts w:hint="eastAsia" w:ascii="宋体" w:hAnsi="宋体" w:eastAsia="宋体" w:cs="宋体"/>
          <w:color w:val="auto"/>
          <w:sz w:val="24"/>
          <w:szCs w:val="24"/>
          <w:highlight w:val="none"/>
          <w:lang w:eastAsia="zh-CN"/>
        </w:rPr>
        <w:t>。</w:t>
      </w:r>
    </w:p>
    <w:p w14:paraId="0B825401">
      <w:pPr>
        <w:pStyle w:val="8"/>
        <w:numPr>
          <w:ilvl w:val="0"/>
          <w:numId w:val="19"/>
        </w:numPr>
        <w:spacing w:line="360" w:lineRule="auto"/>
        <w:ind w:firstLine="482" w:firstLineChars="200"/>
        <w:outlineLvl w:val="2"/>
        <w:rPr>
          <w:rFonts w:hAnsi="宋体" w:cs="宋体"/>
          <w:b/>
          <w:bCs/>
          <w:color w:val="auto"/>
          <w:sz w:val="24"/>
          <w:highlight w:val="none"/>
        </w:rPr>
      </w:pPr>
      <w:r>
        <w:rPr>
          <w:rFonts w:hint="eastAsia" w:hAnsi="宋体" w:cs="宋体"/>
          <w:b/>
          <w:bCs/>
          <w:color w:val="auto"/>
          <w:sz w:val="24"/>
          <w:highlight w:val="none"/>
        </w:rPr>
        <w:t>技术、商务、资信及其他分（</w:t>
      </w:r>
      <w:r>
        <w:rPr>
          <w:rFonts w:hint="eastAsia" w:hAnsi="宋体" w:cs="宋体"/>
          <w:b/>
          <w:bCs/>
          <w:color w:val="auto"/>
          <w:sz w:val="24"/>
          <w:highlight w:val="none"/>
          <w:lang w:val="en-US" w:eastAsia="zh-CN"/>
        </w:rPr>
        <w:t>9</w:t>
      </w:r>
      <w:r>
        <w:rPr>
          <w:rFonts w:hint="eastAsia" w:hAnsi="宋体" w:cs="宋体"/>
          <w:b/>
          <w:bCs/>
          <w:color w:val="auto"/>
          <w:sz w:val="24"/>
          <w:highlight w:val="none"/>
        </w:rPr>
        <w:t>0分）</w:t>
      </w:r>
    </w:p>
    <w:p w14:paraId="22545F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技术、商务、资信及其他分按照全体评标委员会成员的独立评分结果的算术平均分计算，结果保留2位小数，第3位四舍五入。计算公式为：</w:t>
      </w:r>
    </w:p>
    <w:p w14:paraId="6F5AA84F">
      <w:pPr>
        <w:pStyle w:val="2"/>
        <w:spacing w:line="360" w:lineRule="auto"/>
        <w:ind w:firstLine="240"/>
        <w:rPr>
          <w:rFonts w:ascii="宋体" w:hAnsi="宋体" w:cs="宋体"/>
          <w:color w:val="auto"/>
          <w:sz w:val="24"/>
          <w:highlight w:val="none"/>
        </w:rPr>
      </w:pPr>
      <w:r>
        <w:rPr>
          <w:rFonts w:hint="eastAsia" w:ascii="宋体" w:hAnsi="宋体" w:cs="宋体"/>
          <w:color w:val="auto"/>
          <w:sz w:val="24"/>
          <w:szCs w:val="24"/>
          <w:highlight w:val="none"/>
        </w:rPr>
        <w:t>技术商务资信分=（评标委员会所有成员评分合计数）/（评标委员会组成人员数）</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1004"/>
        <w:gridCol w:w="7933"/>
        <w:gridCol w:w="762"/>
      </w:tblGrid>
      <w:tr w14:paraId="6B708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16BE39F8">
            <w:pPr>
              <w:pStyle w:val="17"/>
              <w:spacing w:line="380" w:lineRule="exact"/>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0B010219">
            <w:pPr>
              <w:pStyle w:val="17"/>
              <w:spacing w:line="380" w:lineRule="exact"/>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0" w:type="auto"/>
            <w:tcBorders>
              <w:top w:val="single" w:color="auto" w:sz="4" w:space="0"/>
              <w:left w:val="single" w:color="auto" w:sz="4" w:space="0"/>
              <w:bottom w:val="single" w:color="auto" w:sz="4" w:space="0"/>
              <w:right w:val="single" w:color="auto" w:sz="4" w:space="0"/>
            </w:tcBorders>
            <w:vAlign w:val="center"/>
          </w:tcPr>
          <w:p w14:paraId="005C84D6">
            <w:pPr>
              <w:pStyle w:val="17"/>
              <w:spacing w:line="380" w:lineRule="exact"/>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0" w:type="auto"/>
            <w:tcBorders>
              <w:top w:val="single" w:color="auto" w:sz="4" w:space="0"/>
              <w:left w:val="single" w:color="auto" w:sz="4" w:space="0"/>
              <w:bottom w:val="single" w:color="auto" w:sz="4" w:space="0"/>
              <w:right w:val="single" w:color="auto" w:sz="4" w:space="0"/>
            </w:tcBorders>
            <w:vAlign w:val="center"/>
          </w:tcPr>
          <w:p w14:paraId="34370C07">
            <w:pPr>
              <w:pStyle w:val="17"/>
              <w:spacing w:line="380" w:lineRule="exact"/>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764BD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14:paraId="49BF4912">
            <w:pPr>
              <w:pStyle w:val="17"/>
              <w:spacing w:line="380" w:lineRule="exact"/>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c>
          <w:tcPr>
            <w:tcW w:w="0" w:type="auto"/>
            <w:tcBorders>
              <w:top w:val="single" w:color="auto" w:sz="4" w:space="0"/>
              <w:left w:val="single" w:color="auto" w:sz="4" w:space="0"/>
              <w:bottom w:val="single" w:color="auto" w:sz="4" w:space="0"/>
              <w:right w:val="single" w:color="auto" w:sz="4" w:space="0"/>
            </w:tcBorders>
            <w:vAlign w:val="center"/>
          </w:tcPr>
          <w:p w14:paraId="456BFA88">
            <w:pPr>
              <w:pStyle w:val="17"/>
              <w:spacing w:line="380" w:lineRule="exact"/>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73</w:t>
            </w:r>
            <w:r>
              <w:rPr>
                <w:rFonts w:hint="eastAsia" w:ascii="宋体" w:hAnsi="宋体" w:eastAsia="宋体" w:cs="宋体"/>
                <w:b/>
                <w:bCs/>
                <w:color w:val="auto"/>
                <w:sz w:val="24"/>
                <w:szCs w:val="24"/>
                <w:highlight w:val="none"/>
              </w:rPr>
              <w:t>分</w:t>
            </w:r>
          </w:p>
        </w:tc>
      </w:tr>
      <w:tr w14:paraId="013FB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right w:val="single" w:color="auto" w:sz="4" w:space="0"/>
            </w:tcBorders>
            <w:vAlign w:val="center"/>
          </w:tcPr>
          <w:p w14:paraId="5E1F715D">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single" w:color="auto" w:sz="4" w:space="0"/>
              <w:left w:val="single" w:color="auto" w:sz="4" w:space="0"/>
              <w:right w:val="single" w:color="auto" w:sz="4" w:space="0"/>
            </w:tcBorders>
            <w:vAlign w:val="center"/>
          </w:tcPr>
          <w:p w14:paraId="3B62E267">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计划方案</w:t>
            </w:r>
          </w:p>
        </w:tc>
        <w:tc>
          <w:tcPr>
            <w:tcW w:w="0" w:type="auto"/>
            <w:tcBorders>
              <w:top w:val="single" w:color="auto" w:sz="4" w:space="0"/>
              <w:left w:val="single" w:color="auto" w:sz="4" w:space="0"/>
              <w:right w:val="single" w:color="auto" w:sz="4" w:space="0"/>
            </w:tcBorders>
            <w:vAlign w:val="center"/>
          </w:tcPr>
          <w:p w14:paraId="1EF30459">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评审根据投标人对本项目性质特点对提供的计划方案进行综合评审，拟定的运营和计划方案的组织架构合理完整，人员、技术力量、组织架构安排充足有创新得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分，方案存在欠缺，或不符合本项目需求的每项扣1分；扣完为止。</w:t>
            </w:r>
          </w:p>
        </w:tc>
        <w:tc>
          <w:tcPr>
            <w:tcW w:w="0" w:type="auto"/>
            <w:tcBorders>
              <w:top w:val="single" w:color="auto" w:sz="4" w:space="0"/>
              <w:left w:val="single" w:color="auto" w:sz="4" w:space="0"/>
              <w:right w:val="single" w:color="auto" w:sz="4" w:space="0"/>
            </w:tcBorders>
            <w:vAlign w:val="center"/>
          </w:tcPr>
          <w:p w14:paraId="1CAA6050">
            <w:pPr>
              <w:pStyle w:val="17"/>
              <w:spacing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26D4C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0" w:type="auto"/>
            <w:tcBorders>
              <w:top w:val="single" w:color="auto" w:sz="4" w:space="0"/>
              <w:left w:val="single" w:color="auto" w:sz="4" w:space="0"/>
              <w:bottom w:val="nil"/>
              <w:right w:val="single" w:color="auto" w:sz="4" w:space="0"/>
            </w:tcBorders>
            <w:vAlign w:val="center"/>
          </w:tcPr>
          <w:p w14:paraId="4F2A4E5C">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0" w:type="auto"/>
            <w:tcBorders>
              <w:top w:val="single" w:color="auto" w:sz="4" w:space="0"/>
              <w:left w:val="single" w:color="auto" w:sz="4" w:space="0"/>
              <w:bottom w:val="nil"/>
              <w:right w:val="single" w:color="auto" w:sz="4" w:space="0"/>
            </w:tcBorders>
            <w:vAlign w:val="center"/>
          </w:tcPr>
          <w:p w14:paraId="21D0D226">
            <w:pPr>
              <w:tabs>
                <w:tab w:val="left" w:pos="1080"/>
              </w:tabs>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宣传方案及垃圾收集收运方案</w:t>
            </w:r>
          </w:p>
        </w:tc>
        <w:tc>
          <w:tcPr>
            <w:tcW w:w="0" w:type="auto"/>
            <w:tcBorders>
              <w:top w:val="single" w:color="auto" w:sz="4" w:space="0"/>
              <w:left w:val="single" w:color="auto" w:sz="4" w:space="0"/>
              <w:bottom w:val="nil"/>
              <w:right w:val="single" w:color="auto" w:sz="4" w:space="0"/>
            </w:tcBorders>
            <w:vAlign w:val="center"/>
          </w:tcPr>
          <w:p w14:paraId="4F08A7EC">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1、评审根据投标人提供垃圾分宣传方案进行综合评审，方案合理可行，有照片及文档记录，提供环保主题活动方案，方案合理可行得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分，方案存在欠缺，或不符合本项目需求的每项扣1分；扣完为止。</w:t>
            </w:r>
          </w:p>
          <w:p w14:paraId="0550CB05">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根据投标人提供的易腐垃圾分类收集方案进行综合评审，方案包括提升居民参与率、提高易腐垃圾回收纯度，易腐垃圾收集点位布局合理、外观整洁，维护及时，易腐回收数据准确、实时，方案优秀合理、可行且具有针对性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分，方案存在欠缺，或不符合本项目需求的每项扣1分；扣完为止。</w:t>
            </w:r>
          </w:p>
          <w:p w14:paraId="333DE024">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有害垃圾收集方案。要求做到从小区有害垃圾收集点收集有害垃圾，有效监管，转运至环卫指定的暂存库房。方案中有害垃圾做到及时清运，运输过程封闭没有垃圾异味散出，有提高收集重量的具体措施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分，方案存在欠缺，或不符合本项目需求的每项扣1分；扣完为止。</w:t>
            </w:r>
          </w:p>
          <w:p w14:paraId="7B251C96">
            <w:pPr>
              <w:pStyle w:val="40"/>
              <w:autoSpaceDE w:val="0"/>
              <w:autoSpaceDN w:val="0"/>
              <w:spacing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4、评审根据投标人提供的低附加值清运、处置方案进行综合评审，方案优秀合理、可行且具有针对性的得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分，方案存在欠缺，或不符合本项目需求的每项扣1分；扣完为止。</w:t>
            </w:r>
          </w:p>
          <w:p w14:paraId="431455EA">
            <w:pPr>
              <w:pStyle w:val="40"/>
              <w:autoSpaceDE w:val="0"/>
              <w:autoSpaceDN w:val="0"/>
              <w:spacing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5、提供可回收物收运方案。要求做到从居民处收购（收集）规范化处理可回收物。方案可以提升可回收物的收集重量，有将可回收与不可回收垃圾进行规范化分类的具体措施得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分，方案存在欠缺，或不符合本项目需求的每项扣1分；扣完为止。</w:t>
            </w:r>
          </w:p>
          <w:p w14:paraId="33552C54">
            <w:pPr>
              <w:autoSpaceDE w:val="0"/>
              <w:autoSpaceDN w:val="0"/>
              <w:spacing w:line="380" w:lineRule="exact"/>
              <w:ind w:firstLine="422" w:firstLineChars="17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以上方案不提供不得分。</w:t>
            </w:r>
          </w:p>
        </w:tc>
        <w:tc>
          <w:tcPr>
            <w:tcW w:w="0" w:type="auto"/>
            <w:tcBorders>
              <w:top w:val="single" w:color="auto" w:sz="4" w:space="0"/>
              <w:left w:val="single" w:color="auto" w:sz="4" w:space="0"/>
              <w:right w:val="single" w:color="auto" w:sz="4" w:space="0"/>
            </w:tcBorders>
            <w:vAlign w:val="center"/>
          </w:tcPr>
          <w:p w14:paraId="71C1B8FA">
            <w:pPr>
              <w:spacing w:line="3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14:paraId="5790D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right w:val="single" w:color="auto" w:sz="4" w:space="0"/>
            </w:tcBorders>
            <w:vAlign w:val="center"/>
          </w:tcPr>
          <w:p w14:paraId="7D1DB5D0">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0" w:type="auto"/>
            <w:tcBorders>
              <w:top w:val="single" w:color="auto" w:sz="4" w:space="0"/>
              <w:left w:val="single" w:color="auto" w:sz="4" w:space="0"/>
              <w:right w:val="single" w:color="auto" w:sz="4" w:space="0"/>
            </w:tcBorders>
            <w:vAlign w:val="center"/>
          </w:tcPr>
          <w:p w14:paraId="79698039">
            <w:pPr>
              <w:pStyle w:val="40"/>
              <w:autoSpaceDE w:val="0"/>
              <w:autoSpaceDN w:val="0"/>
              <w:spacing w:line="380" w:lineRule="exact"/>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垃圾分类驿站管理方案</w:t>
            </w:r>
          </w:p>
        </w:tc>
        <w:tc>
          <w:tcPr>
            <w:tcW w:w="0" w:type="auto"/>
            <w:tcBorders>
              <w:top w:val="single" w:color="auto" w:sz="4" w:space="0"/>
              <w:left w:val="single" w:color="auto" w:sz="4" w:space="0"/>
              <w:right w:val="single" w:color="auto" w:sz="4" w:space="0"/>
            </w:tcBorders>
            <w:vAlign w:val="center"/>
          </w:tcPr>
          <w:p w14:paraId="0E187548">
            <w:pPr>
              <w:pStyle w:val="40"/>
              <w:autoSpaceDE w:val="0"/>
              <w:autoSpaceDN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驿站专管员管理方案、垃圾分类驿站设备设施运营维护方案，方案优秀完整，可行且针对性强，无明显瑕疵得6分；有明显瑕疵（管理员工作内容、工作时间、运营维护方案不全面等）每处扣2分；一般瑕疵，每处扣1分；</w:t>
            </w:r>
            <w:r>
              <w:rPr>
                <w:rFonts w:hint="eastAsia" w:ascii="宋体" w:hAnsi="宋体" w:eastAsia="宋体" w:cs="宋体"/>
                <w:b/>
                <w:bCs/>
                <w:color w:val="auto"/>
                <w:sz w:val="24"/>
                <w:szCs w:val="24"/>
                <w:highlight w:val="none"/>
              </w:rPr>
              <w:t>不提供不得分。</w:t>
            </w:r>
          </w:p>
        </w:tc>
        <w:tc>
          <w:tcPr>
            <w:tcW w:w="0" w:type="auto"/>
            <w:tcBorders>
              <w:top w:val="single" w:color="auto" w:sz="4" w:space="0"/>
              <w:left w:val="single" w:color="auto" w:sz="4" w:space="0"/>
              <w:right w:val="single" w:color="auto" w:sz="4" w:space="0"/>
            </w:tcBorders>
            <w:vAlign w:val="center"/>
          </w:tcPr>
          <w:p w14:paraId="3E05B092">
            <w:pPr>
              <w:pStyle w:val="40"/>
              <w:autoSpaceDE w:val="0"/>
              <w:autoSpaceDN w:val="0"/>
              <w:spacing w:line="380" w:lineRule="exact"/>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0-6分</w:t>
            </w:r>
          </w:p>
        </w:tc>
      </w:tr>
      <w:tr w14:paraId="3370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right w:val="single" w:color="auto" w:sz="4" w:space="0"/>
            </w:tcBorders>
            <w:vAlign w:val="center"/>
          </w:tcPr>
          <w:p w14:paraId="747B5D05">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0" w:type="auto"/>
            <w:tcBorders>
              <w:top w:val="single" w:color="auto" w:sz="4" w:space="0"/>
              <w:left w:val="single" w:color="auto" w:sz="4" w:space="0"/>
              <w:right w:val="single" w:color="auto" w:sz="4" w:space="0"/>
            </w:tcBorders>
            <w:vAlign w:val="center"/>
          </w:tcPr>
          <w:p w14:paraId="6336F3BC">
            <w:pPr>
              <w:tabs>
                <w:tab w:val="left" w:pos="1080"/>
              </w:tabs>
              <w:spacing w:line="38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安全措施方案</w:t>
            </w:r>
          </w:p>
        </w:tc>
        <w:tc>
          <w:tcPr>
            <w:tcW w:w="0" w:type="auto"/>
            <w:tcBorders>
              <w:top w:val="single" w:color="auto" w:sz="4" w:space="0"/>
              <w:left w:val="single" w:color="auto" w:sz="4" w:space="0"/>
              <w:right w:val="single" w:color="auto" w:sz="4" w:space="0"/>
            </w:tcBorders>
            <w:vAlign w:val="center"/>
          </w:tcPr>
          <w:p w14:paraId="07F17CEC">
            <w:pPr>
              <w:pStyle w:val="40"/>
              <w:autoSpaceDE w:val="0"/>
              <w:autoSpaceDN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安全措施进行综合评审，应急抢险（突击保障）方案安全措施周全、可靠，制度完善；针对项目作业点有重大活动、重大会议等人员暴增造成的生活垃圾增加的情况下对垃圾分类工作安排合理；安全措施周全、可靠，制度完善，定期进行安全防护、应急抢险演练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分。方案存在欠缺，或不符合本项目需求的每项扣1分；扣完为止。</w:t>
            </w:r>
          </w:p>
        </w:tc>
        <w:tc>
          <w:tcPr>
            <w:tcW w:w="0" w:type="auto"/>
            <w:tcBorders>
              <w:top w:val="single" w:color="auto" w:sz="4" w:space="0"/>
              <w:left w:val="single" w:color="auto" w:sz="4" w:space="0"/>
              <w:right w:val="single" w:color="auto" w:sz="4" w:space="0"/>
            </w:tcBorders>
            <w:vAlign w:val="center"/>
          </w:tcPr>
          <w:p w14:paraId="56278DB4">
            <w:pPr>
              <w:spacing w:line="38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0C5B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68C71FE">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14:paraId="75D414E3">
            <w:pPr>
              <w:tabs>
                <w:tab w:val="left" w:pos="1080"/>
              </w:tabs>
              <w:spacing w:line="3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智能化垃圾分类积分系统</w:t>
            </w:r>
          </w:p>
        </w:tc>
        <w:tc>
          <w:tcPr>
            <w:tcW w:w="0" w:type="auto"/>
            <w:tcBorders>
              <w:top w:val="single" w:color="auto" w:sz="4" w:space="0"/>
              <w:left w:val="single" w:color="auto" w:sz="4" w:space="0"/>
              <w:bottom w:val="single" w:color="auto" w:sz="4" w:space="0"/>
              <w:right w:val="single" w:color="auto" w:sz="4" w:space="0"/>
            </w:tcBorders>
            <w:vAlign w:val="center"/>
          </w:tcPr>
          <w:p w14:paraId="4144CEA5">
            <w:pPr>
              <w:pStyle w:val="40"/>
              <w:autoSpaceDE w:val="0"/>
              <w:autoSpaceDN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垃圾分类智能化积分系统平台功能需完整可行，至少需包含：数据实时上传；垃圾重量、用户信息、满溢报警、垃圾投放等记录查询；垃圾汇总查询；导出EXCEL数据；支持积分查询；支持积分兑换；支持积分提现等功能，每少1项扣1分，扣完为止，满分10分。</w:t>
            </w:r>
            <w:r>
              <w:rPr>
                <w:rFonts w:hint="eastAsia" w:ascii="宋体" w:hAnsi="宋体" w:eastAsia="宋体" w:cs="宋体"/>
                <w:b/>
                <w:bCs/>
                <w:color w:val="auto"/>
                <w:sz w:val="24"/>
                <w:szCs w:val="24"/>
                <w:highlight w:val="none"/>
              </w:rPr>
              <w:t>（需提供相关系统功能界面截图图片并加盖投标人单位公章）</w:t>
            </w:r>
          </w:p>
          <w:p w14:paraId="6D6288C7">
            <w:pPr>
              <w:pStyle w:val="40"/>
              <w:keepNext/>
              <w:keepLines/>
              <w:spacing w:line="380" w:lineRule="exac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（2）投标人垃圾分类积分系统成熟、应用广泛，在业主方得到实时应用的得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（需提供相关系统功能界面截图图片并加盖投标人单位公章）</w:t>
            </w:r>
          </w:p>
          <w:p w14:paraId="35BAF783">
            <w:pPr>
              <w:pStyle w:val="40"/>
              <w:keepNext/>
              <w:keepLines/>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（3）有系统APP或小程序并实时应用，系统积分兑换功能具备线上线下功能的，得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（需提供相关系统功能界面截图图片并加盖投标人单位公章）</w:t>
            </w:r>
          </w:p>
          <w:p w14:paraId="461887E5">
            <w:pPr>
              <w:autoSpaceDE w:val="0"/>
              <w:autoSpaceDN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（4）承诺系统平台能与湖州市垃圾分类数据对接的得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b/>
                <w:bCs/>
                <w:color w:val="auto"/>
                <w:kern w:val="0"/>
                <w:sz w:val="24"/>
                <w:szCs w:val="24"/>
                <w:highlight w:val="none"/>
              </w:rPr>
              <w:t>（需提供承诺书，加盖公章，格式自拟）</w:t>
            </w:r>
          </w:p>
        </w:tc>
        <w:tc>
          <w:tcPr>
            <w:tcW w:w="0" w:type="auto"/>
            <w:tcBorders>
              <w:top w:val="single" w:color="auto" w:sz="4" w:space="0"/>
              <w:left w:val="single" w:color="auto" w:sz="4" w:space="0"/>
              <w:right w:val="single" w:color="auto" w:sz="4" w:space="0"/>
            </w:tcBorders>
            <w:vAlign w:val="center"/>
          </w:tcPr>
          <w:p w14:paraId="15FE18FC">
            <w:pPr>
              <w:spacing w:line="38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分</w:t>
            </w:r>
          </w:p>
        </w:tc>
      </w:tr>
      <w:tr w14:paraId="18808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7DEB12F7">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14:paraId="0E67D702">
            <w:pPr>
              <w:tabs>
                <w:tab w:val="left" w:pos="1080"/>
              </w:tabs>
              <w:spacing w:line="38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驿站监控智能化系统</w:t>
            </w:r>
          </w:p>
        </w:tc>
        <w:tc>
          <w:tcPr>
            <w:tcW w:w="0" w:type="auto"/>
            <w:tcBorders>
              <w:top w:val="single" w:color="auto" w:sz="4" w:space="0"/>
              <w:left w:val="single" w:color="auto" w:sz="4" w:space="0"/>
              <w:bottom w:val="single" w:color="auto" w:sz="4" w:space="0"/>
              <w:right w:val="single" w:color="auto" w:sz="4" w:space="0"/>
            </w:tcBorders>
            <w:vAlign w:val="center"/>
          </w:tcPr>
          <w:p w14:paraId="5251A19F">
            <w:pPr>
              <w:pStyle w:val="40"/>
              <w:autoSpaceDE w:val="0"/>
              <w:autoSpaceDN w:val="0"/>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驿站监控智能化系统平台功能完整可行，具有实时监控、违规提醒、智能抓拍、语音播报、数据分析服务等功能，全部满足得5分，每少1项扣1分，扣完为止。</w:t>
            </w:r>
            <w:r>
              <w:rPr>
                <w:rFonts w:hint="eastAsia" w:ascii="宋体" w:hAnsi="宋体" w:eastAsia="宋体" w:cs="宋体"/>
                <w:b/>
                <w:bCs/>
                <w:color w:val="auto"/>
                <w:sz w:val="24"/>
                <w:szCs w:val="24"/>
                <w:highlight w:val="none"/>
              </w:rPr>
              <w:t>（需提供驿站监控智能化系统平台截图，未提供不得分）</w:t>
            </w:r>
          </w:p>
        </w:tc>
        <w:tc>
          <w:tcPr>
            <w:tcW w:w="0" w:type="auto"/>
            <w:tcBorders>
              <w:top w:val="single" w:color="auto" w:sz="4" w:space="0"/>
              <w:left w:val="single" w:color="auto" w:sz="4" w:space="0"/>
              <w:right w:val="single" w:color="auto" w:sz="4" w:space="0"/>
            </w:tcBorders>
            <w:vAlign w:val="center"/>
          </w:tcPr>
          <w:p w14:paraId="1DEA3A33">
            <w:pPr>
              <w:spacing w:line="380"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0-5分</w:t>
            </w:r>
          </w:p>
        </w:tc>
      </w:tr>
      <w:tr w14:paraId="764B5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F6F999C">
            <w:pPr>
              <w:widowControl/>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0" w:type="auto"/>
            <w:tcBorders>
              <w:top w:val="single" w:color="auto" w:sz="4" w:space="0"/>
              <w:left w:val="single" w:color="auto" w:sz="4" w:space="0"/>
              <w:bottom w:val="single" w:color="auto" w:sz="4" w:space="0"/>
              <w:right w:val="single" w:color="auto" w:sz="4" w:space="0"/>
            </w:tcBorders>
            <w:vAlign w:val="center"/>
          </w:tcPr>
          <w:p w14:paraId="603B5638">
            <w:pPr>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服务能力</w:t>
            </w:r>
          </w:p>
        </w:tc>
        <w:tc>
          <w:tcPr>
            <w:tcW w:w="0" w:type="auto"/>
            <w:tcBorders>
              <w:top w:val="single" w:color="auto" w:sz="4" w:space="0"/>
              <w:left w:val="single" w:color="auto" w:sz="4" w:space="0"/>
              <w:bottom w:val="single" w:color="auto" w:sz="4" w:space="0"/>
              <w:right w:val="single" w:color="auto" w:sz="4" w:space="0"/>
            </w:tcBorders>
            <w:vAlign w:val="center"/>
          </w:tcPr>
          <w:p w14:paraId="0B568407">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1、从事垃圾分类工作的</w:t>
            </w:r>
            <w:r>
              <w:rPr>
                <w:rFonts w:hint="eastAsia" w:ascii="宋体" w:hAnsi="宋体" w:eastAsia="宋体" w:cs="宋体"/>
                <w:color w:val="auto"/>
                <w:kern w:val="0"/>
                <w:sz w:val="24"/>
                <w:szCs w:val="24"/>
                <w:highlight w:val="none"/>
                <w:lang w:val="en-US" w:eastAsia="zh-CN"/>
              </w:rPr>
              <w:t>在职</w:t>
            </w:r>
            <w:r>
              <w:rPr>
                <w:rFonts w:hint="eastAsia" w:ascii="宋体" w:hAnsi="宋体" w:eastAsia="宋体" w:cs="宋体"/>
                <w:color w:val="auto"/>
                <w:kern w:val="0"/>
                <w:sz w:val="24"/>
                <w:szCs w:val="24"/>
                <w:highlight w:val="none"/>
              </w:rPr>
              <w:t>人员在</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人得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19</w:t>
            </w:r>
            <w:r>
              <w:rPr>
                <w:rFonts w:hint="eastAsia" w:ascii="宋体" w:hAnsi="宋体" w:eastAsia="宋体" w:cs="宋体"/>
                <w:color w:val="auto"/>
                <w:kern w:val="0"/>
                <w:sz w:val="24"/>
                <w:szCs w:val="24"/>
                <w:highlight w:val="none"/>
              </w:rPr>
              <w:t>人的得3分，</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人及</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人以上得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2B9EDB9B">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需提供人员名单并近一个月社保证明复印件加盖公章。</w:t>
            </w:r>
          </w:p>
          <w:p w14:paraId="328B1E4D">
            <w:pPr>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2、具有专用运输车辆保障，1-5辆得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分，6-9辆得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分，10辆及以上得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63609973">
            <w:pPr>
              <w:spacing w:line="38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注：自有车辆提供购置发票、车辆行驶证复印件，需体现投标人公司名称并加盖公章，否则不得分。租赁车辆提供租赁合同、行驶证复印件并加盖公章，否则不得分。</w:t>
            </w:r>
          </w:p>
          <w:p w14:paraId="67794F15">
            <w:pPr>
              <w:pStyle w:val="20"/>
              <w:spacing w:after="0"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3、投标人承诺中标后30天内在本市提供可回收二次分拣场地作为应急备用场地的得3分。</w:t>
            </w:r>
          </w:p>
          <w:p w14:paraId="08134426">
            <w:pPr>
              <w:pStyle w:val="20"/>
              <w:spacing w:after="0"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注：须提供承诺书，格式自拟，并加盖公章，否则不得分。</w:t>
            </w:r>
          </w:p>
        </w:tc>
        <w:tc>
          <w:tcPr>
            <w:tcW w:w="0" w:type="auto"/>
            <w:tcBorders>
              <w:top w:val="single" w:color="auto" w:sz="4" w:space="0"/>
              <w:left w:val="single" w:color="auto" w:sz="4" w:space="0"/>
              <w:right w:val="single" w:color="auto" w:sz="4" w:space="0"/>
            </w:tcBorders>
            <w:vAlign w:val="center"/>
          </w:tcPr>
          <w:p w14:paraId="00CD59B5">
            <w:pPr>
              <w:pStyle w:val="17"/>
              <w:spacing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14:paraId="49AB0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14:paraId="5C185DB4">
            <w:pPr>
              <w:pStyle w:val="17"/>
              <w:spacing w:line="380" w:lineRule="exact"/>
              <w:ind w:firstLine="38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商务、</w:t>
            </w:r>
            <w:r>
              <w:rPr>
                <w:rFonts w:hint="eastAsia" w:ascii="宋体" w:hAnsi="宋体" w:eastAsia="宋体" w:cs="宋体"/>
                <w:b/>
                <w:color w:val="auto"/>
                <w:sz w:val="24"/>
                <w:szCs w:val="24"/>
                <w:highlight w:val="none"/>
              </w:rPr>
              <w:t>资信及其他分</w:t>
            </w:r>
          </w:p>
        </w:tc>
        <w:tc>
          <w:tcPr>
            <w:tcW w:w="0" w:type="auto"/>
            <w:tcBorders>
              <w:top w:val="single" w:color="auto" w:sz="4" w:space="0"/>
              <w:left w:val="single" w:color="auto" w:sz="4" w:space="0"/>
              <w:bottom w:val="single" w:color="auto" w:sz="4" w:space="0"/>
              <w:right w:val="single" w:color="auto" w:sz="4" w:space="0"/>
            </w:tcBorders>
            <w:vAlign w:val="center"/>
          </w:tcPr>
          <w:p w14:paraId="2B9A34F6">
            <w:pPr>
              <w:pStyle w:val="17"/>
              <w:spacing w:line="380" w:lineRule="exact"/>
              <w:ind w:left="0" w:leftChars="0" w:firstLine="0" w:firstLineChars="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17</w:t>
            </w:r>
            <w:r>
              <w:rPr>
                <w:rFonts w:hint="eastAsia" w:ascii="宋体" w:hAnsi="宋体" w:eastAsia="宋体" w:cs="宋体"/>
                <w:b/>
                <w:color w:val="auto"/>
                <w:sz w:val="24"/>
                <w:szCs w:val="24"/>
                <w:highlight w:val="none"/>
              </w:rPr>
              <w:t>分</w:t>
            </w:r>
          </w:p>
        </w:tc>
      </w:tr>
      <w:tr w14:paraId="180B4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right w:val="single" w:color="auto" w:sz="4" w:space="0"/>
            </w:tcBorders>
            <w:vAlign w:val="center"/>
          </w:tcPr>
          <w:p w14:paraId="75012A03">
            <w:pPr>
              <w:widowControl/>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0" w:type="auto"/>
            <w:tcBorders>
              <w:top w:val="single" w:color="auto" w:sz="4" w:space="0"/>
              <w:left w:val="single" w:color="auto" w:sz="4" w:space="0"/>
              <w:right w:val="single" w:color="auto" w:sz="4" w:space="0"/>
            </w:tcBorders>
            <w:vAlign w:val="center"/>
          </w:tcPr>
          <w:p w14:paraId="6103893F">
            <w:pPr>
              <w:widowControl/>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tc>
        <w:tc>
          <w:tcPr>
            <w:tcW w:w="0" w:type="auto"/>
            <w:tcBorders>
              <w:top w:val="single" w:color="auto" w:sz="4" w:space="0"/>
              <w:left w:val="single" w:color="auto" w:sz="4" w:space="0"/>
              <w:right w:val="single" w:color="auto" w:sz="4" w:space="0"/>
            </w:tcBorders>
            <w:vAlign w:val="center"/>
          </w:tcPr>
          <w:p w14:paraId="6B98F2BA">
            <w:pPr>
              <w:pStyle w:val="20"/>
              <w:spacing w:after="0"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自2021年1月1日以来(以合同签订时间为准）完成的同类案例业绩，每提供一个业绩得</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EC28790">
            <w:pPr>
              <w:pStyle w:val="20"/>
              <w:spacing w:after="0"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注：需提供中标通知书、合同扫描件并加盖公章，否则不予认可。</w:t>
            </w:r>
          </w:p>
        </w:tc>
        <w:tc>
          <w:tcPr>
            <w:tcW w:w="0" w:type="auto"/>
            <w:tcBorders>
              <w:top w:val="single" w:color="auto" w:sz="4" w:space="0"/>
              <w:left w:val="single" w:color="auto" w:sz="4" w:space="0"/>
              <w:right w:val="single" w:color="auto" w:sz="4" w:space="0"/>
            </w:tcBorders>
            <w:vAlign w:val="center"/>
          </w:tcPr>
          <w:p w14:paraId="044928C3">
            <w:pPr>
              <w:pStyle w:val="17"/>
              <w:spacing w:line="380" w:lineRule="exact"/>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5FE36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right w:val="single" w:color="auto" w:sz="4" w:space="0"/>
            </w:tcBorders>
            <w:vAlign w:val="center"/>
          </w:tcPr>
          <w:p w14:paraId="77112C0E">
            <w:pPr>
              <w:widowControl/>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0" w:type="auto"/>
            <w:tcBorders>
              <w:top w:val="single" w:color="auto" w:sz="4" w:space="0"/>
              <w:left w:val="single" w:color="auto" w:sz="4" w:space="0"/>
              <w:right w:val="single" w:color="auto" w:sz="4" w:space="0"/>
            </w:tcBorders>
            <w:vAlign w:val="center"/>
          </w:tcPr>
          <w:p w14:paraId="52761F2E">
            <w:pPr>
              <w:widowControl/>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企业荣誉</w:t>
            </w:r>
          </w:p>
        </w:tc>
        <w:tc>
          <w:tcPr>
            <w:tcW w:w="0" w:type="auto"/>
            <w:tcBorders>
              <w:top w:val="single" w:color="auto" w:sz="4" w:space="0"/>
              <w:left w:val="single" w:color="auto" w:sz="4" w:space="0"/>
              <w:right w:val="single" w:color="auto" w:sz="4" w:space="0"/>
            </w:tcBorders>
            <w:vAlign w:val="center"/>
          </w:tcPr>
          <w:p w14:paraId="5FAA65E3">
            <w:pPr>
              <w:widowControl/>
              <w:spacing w:line="38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投标人获得政府行政职能部门或环卫主管部门授予的投标企业荣誉证书、奖牌、荣誉称号的每项得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（提供相关证明材料的复印件，证明材料需体现投标人名称，并加盖公章，否则不得分）。</w:t>
            </w:r>
          </w:p>
        </w:tc>
        <w:tc>
          <w:tcPr>
            <w:tcW w:w="0" w:type="auto"/>
            <w:tcBorders>
              <w:top w:val="single" w:color="auto" w:sz="4" w:space="0"/>
              <w:left w:val="single" w:color="auto" w:sz="4" w:space="0"/>
              <w:right w:val="single" w:color="auto" w:sz="4" w:space="0"/>
            </w:tcBorders>
            <w:vAlign w:val="center"/>
          </w:tcPr>
          <w:p w14:paraId="147ED714">
            <w:pPr>
              <w:pStyle w:val="17"/>
              <w:spacing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3FE7D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15CC90B">
            <w:pPr>
              <w:widowControl/>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0" w:type="auto"/>
            <w:tcBorders>
              <w:top w:val="single" w:color="auto" w:sz="4" w:space="0"/>
              <w:left w:val="single" w:color="auto" w:sz="4" w:space="0"/>
              <w:bottom w:val="single" w:color="auto" w:sz="4" w:space="0"/>
              <w:right w:val="single" w:color="auto" w:sz="4" w:space="0"/>
            </w:tcBorders>
            <w:vAlign w:val="center"/>
          </w:tcPr>
          <w:p w14:paraId="47251777">
            <w:pPr>
              <w:widowControl/>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企业综合实力</w:t>
            </w:r>
          </w:p>
        </w:tc>
        <w:tc>
          <w:tcPr>
            <w:tcW w:w="0" w:type="auto"/>
            <w:tcBorders>
              <w:top w:val="single" w:color="auto" w:sz="4" w:space="0"/>
              <w:left w:val="single" w:color="auto" w:sz="4" w:space="0"/>
              <w:bottom w:val="single" w:color="auto" w:sz="4" w:space="0"/>
              <w:right w:val="single" w:color="auto" w:sz="4" w:space="0"/>
            </w:tcBorders>
            <w:vAlign w:val="center"/>
          </w:tcPr>
          <w:p w14:paraId="7F902C13">
            <w:pPr>
              <w:widowControl/>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有有效期内的①环境管理体系、②职业健康安全管理体系、③质量管理体系认证、④信息技术服务管理体系认证、⑤信息安全管理体系认证、⑥商品售后服务评价体系认证、⑦生活垃圾分类服务能力认证（认证范围含“垃圾分类”）每项得1分，最高得7分。（0-7分）</w:t>
            </w:r>
          </w:p>
          <w:p w14:paraId="03D720E3">
            <w:pPr>
              <w:widowControl/>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注：须提供相关证书复印件并加盖公章，不提供不得分。</w:t>
            </w:r>
          </w:p>
          <w:p w14:paraId="5DE41F53">
            <w:pPr>
              <w:widowControl/>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2、投标人获得垃圾分类相关软件或硬件方面的专利权、商标权、著作权等知识产权的，得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0B54FBC">
            <w:pPr>
              <w:widowControl/>
              <w:spacing w:line="380" w:lineRule="exact"/>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注：投标文件中须提供相关证书复印件并加盖公章。</w:t>
            </w:r>
          </w:p>
        </w:tc>
        <w:tc>
          <w:tcPr>
            <w:tcW w:w="0" w:type="auto"/>
            <w:tcBorders>
              <w:top w:val="single" w:color="auto" w:sz="4" w:space="0"/>
              <w:left w:val="single" w:color="auto" w:sz="4" w:space="0"/>
              <w:bottom w:val="single" w:color="auto" w:sz="4" w:space="0"/>
              <w:right w:val="single" w:color="auto" w:sz="4" w:space="0"/>
            </w:tcBorders>
            <w:vAlign w:val="center"/>
          </w:tcPr>
          <w:p w14:paraId="76E5CA72">
            <w:pPr>
              <w:pStyle w:val="17"/>
              <w:spacing w:line="38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bl>
    <w:p w14:paraId="4AC24447">
      <w:pPr>
        <w:pStyle w:val="11"/>
        <w:spacing w:before="120" w:line="360" w:lineRule="auto"/>
        <w:jc w:val="center"/>
        <w:rPr>
          <w:rFonts w:hAnsi="宋体" w:cs="宋体"/>
          <w:b/>
          <w:color w:val="auto"/>
          <w:sz w:val="44"/>
          <w:szCs w:val="44"/>
          <w:highlight w:val="none"/>
        </w:rPr>
        <w:sectPr>
          <w:headerReference r:id="rId14" w:type="default"/>
          <w:footerReference r:id="rId15" w:type="default"/>
          <w:pgSz w:w="11906" w:h="16838"/>
          <w:pgMar w:top="1531" w:right="779" w:bottom="1134" w:left="1134" w:header="851" w:footer="427" w:gutter="0"/>
          <w:cols w:space="720" w:num="1"/>
          <w:docGrid w:linePitch="312" w:charSpace="0"/>
        </w:sectPr>
      </w:pPr>
    </w:p>
    <w:p w14:paraId="65984781">
      <w:pPr>
        <w:spacing w:line="360" w:lineRule="auto"/>
        <w:ind w:left="402"/>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第四章 合同主要条款</w:t>
      </w:r>
    </w:p>
    <w:p w14:paraId="39689F3C">
      <w:pPr>
        <w:spacing w:line="400" w:lineRule="exact"/>
        <w:ind w:firstLine="482" w:firstLineChars="200"/>
        <w:jc w:val="center"/>
        <w:rPr>
          <w:rFonts w:ascii="仿宋_GB2312" w:hAnsi="仿宋" w:eastAsia="仿宋_GB2312"/>
          <w:b/>
          <w:color w:val="auto"/>
          <w:spacing w:val="-20"/>
          <w:szCs w:val="28"/>
          <w:highlight w:val="none"/>
        </w:rPr>
      </w:pPr>
      <w:r>
        <w:rPr>
          <w:rFonts w:hint="eastAsia" w:ascii="仿宋_GB2312" w:hAnsi="仿宋" w:eastAsia="仿宋_GB2312"/>
          <w:b/>
          <w:bCs/>
          <w:color w:val="auto"/>
          <w:spacing w:val="-20"/>
          <w:szCs w:val="28"/>
          <w:highlight w:val="none"/>
        </w:rPr>
        <w:t xml:space="preserve">财政审批编号:              ; 招标文件编号:             </w:t>
      </w:r>
    </w:p>
    <w:p w14:paraId="143461AD">
      <w:pPr>
        <w:spacing w:line="360" w:lineRule="atLeast"/>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物业管理服务合同（参考）</w:t>
      </w:r>
    </w:p>
    <w:p w14:paraId="539EC181">
      <w:pPr>
        <w:widowControl/>
        <w:snapToGrid w:val="0"/>
        <w:spacing w:line="500" w:lineRule="exact"/>
        <w:jc w:val="left"/>
        <w:rPr>
          <w:rFonts w:ascii="宋体" w:hAnsi="宋体"/>
          <w:color w:val="auto"/>
          <w:kern w:val="0"/>
          <w:sz w:val="24"/>
          <w:highlight w:val="none"/>
        </w:rPr>
      </w:pPr>
      <w:bookmarkStart w:id="69" w:name="_Toc503015149"/>
      <w:bookmarkStart w:id="70" w:name="_Toc419045098"/>
      <w:bookmarkStart w:id="71" w:name="_Toc467855692"/>
      <w:r>
        <w:rPr>
          <w:rFonts w:ascii="宋体" w:hAnsi="宋体"/>
          <w:color w:val="auto"/>
          <w:kern w:val="0"/>
          <w:sz w:val="24"/>
          <w:highlight w:val="none"/>
        </w:rPr>
        <w:t>甲方：</w:t>
      </w:r>
      <w:r>
        <w:rPr>
          <w:rFonts w:hint="eastAsia" w:ascii="宋体" w:hAnsi="宋体" w:cs="Arial"/>
          <w:color w:val="auto"/>
          <w:sz w:val="24"/>
          <w:highlight w:val="none"/>
          <w:u w:val="single"/>
        </w:rPr>
        <w:t xml:space="preserve">                                </w:t>
      </w:r>
    </w:p>
    <w:p w14:paraId="435CA582">
      <w:pPr>
        <w:widowControl/>
        <w:snapToGrid w:val="0"/>
        <w:spacing w:line="500" w:lineRule="exact"/>
        <w:jc w:val="left"/>
        <w:rPr>
          <w:rFonts w:ascii="宋体" w:hAnsi="宋体" w:cs="Arial"/>
          <w:color w:val="auto"/>
          <w:sz w:val="24"/>
          <w:highlight w:val="none"/>
          <w:u w:val="single"/>
        </w:rPr>
      </w:pPr>
      <w:r>
        <w:rPr>
          <w:rFonts w:ascii="宋体" w:hAnsi="宋体"/>
          <w:color w:val="auto"/>
          <w:kern w:val="0"/>
          <w:sz w:val="24"/>
          <w:highlight w:val="none"/>
        </w:rPr>
        <w:t>乙方：</w:t>
      </w:r>
      <w:r>
        <w:rPr>
          <w:rFonts w:hint="eastAsia" w:ascii="宋体" w:hAnsi="宋体" w:cs="Arial"/>
          <w:color w:val="auto"/>
          <w:sz w:val="24"/>
          <w:highlight w:val="none"/>
          <w:u w:val="single"/>
        </w:rPr>
        <w:t xml:space="preserve">                                </w:t>
      </w:r>
    </w:p>
    <w:p w14:paraId="2D200872">
      <w:pPr>
        <w:widowControl/>
        <w:snapToGrid w:val="0"/>
        <w:jc w:val="left"/>
        <w:rPr>
          <w:rFonts w:ascii="宋体" w:hAnsi="宋体"/>
          <w:color w:val="auto"/>
          <w:kern w:val="0"/>
          <w:sz w:val="24"/>
          <w:highlight w:val="none"/>
        </w:rPr>
      </w:pPr>
      <w:r>
        <w:rPr>
          <w:rFonts w:hint="eastAsia" w:ascii="宋体" w:hAnsi="宋体"/>
          <w:color w:val="auto"/>
          <w:kern w:val="0"/>
          <w:sz w:val="24"/>
          <w:highlight w:val="none"/>
        </w:rPr>
        <w:t xml:space="preserve">    甲、</w:t>
      </w:r>
      <w:r>
        <w:rPr>
          <w:rFonts w:ascii="宋体" w:hAnsi="宋体"/>
          <w:color w:val="auto"/>
          <w:kern w:val="0"/>
          <w:sz w:val="24"/>
          <w:highlight w:val="none"/>
        </w:rPr>
        <w:t>乙双方根据</w:t>
      </w:r>
      <w:r>
        <w:rPr>
          <w:rFonts w:hint="eastAsia" w:ascii="宋体" w:hAnsi="宋体" w:cs="Arial"/>
          <w:color w:val="auto"/>
          <w:sz w:val="24"/>
          <w:highlight w:val="none"/>
          <w:u w:val="single"/>
        </w:rPr>
        <w:t xml:space="preserve">                                            </w:t>
      </w:r>
      <w:r>
        <w:rPr>
          <w:rFonts w:hint="eastAsia" w:ascii="宋体" w:hAnsi="宋体"/>
          <w:color w:val="auto"/>
          <w:kern w:val="0"/>
          <w:sz w:val="24"/>
          <w:highlight w:val="none"/>
        </w:rPr>
        <w:t xml:space="preserve"> 招标</w:t>
      </w:r>
      <w:r>
        <w:rPr>
          <w:rFonts w:ascii="宋体" w:hAnsi="宋体"/>
          <w:color w:val="auto"/>
          <w:kern w:val="0"/>
          <w:sz w:val="24"/>
          <w:highlight w:val="none"/>
        </w:rPr>
        <w:t>的结果，签署本合同。</w:t>
      </w:r>
    </w:p>
    <w:p w14:paraId="73ABCC6F">
      <w:pPr>
        <w:pStyle w:val="38"/>
        <w:ind w:left="481" w:firstLine="0"/>
        <w:rPr>
          <w:color w:val="auto"/>
          <w:highlight w:val="none"/>
        </w:rPr>
      </w:pPr>
    </w:p>
    <w:p w14:paraId="110B99E6">
      <w:pPr>
        <w:widowControl/>
        <w:snapToGrid w:val="0"/>
        <w:spacing w:line="500" w:lineRule="exact"/>
        <w:jc w:val="left"/>
        <w:rPr>
          <w:rFonts w:ascii="宋体" w:hAnsi="宋体"/>
          <w:b/>
          <w:color w:val="auto"/>
          <w:kern w:val="0"/>
          <w:sz w:val="24"/>
          <w:highlight w:val="none"/>
        </w:rPr>
      </w:pPr>
      <w:r>
        <w:rPr>
          <w:rFonts w:ascii="宋体" w:hAnsi="宋体"/>
          <w:b/>
          <w:color w:val="auto"/>
          <w:kern w:val="0"/>
          <w:sz w:val="24"/>
          <w:highlight w:val="none"/>
        </w:rPr>
        <w:t>一、服务内容</w:t>
      </w:r>
      <w:r>
        <w:rPr>
          <w:rFonts w:hint="eastAsia" w:ascii="宋体" w:hAnsi="宋体"/>
          <w:b/>
          <w:color w:val="auto"/>
          <w:kern w:val="0"/>
          <w:sz w:val="24"/>
          <w:highlight w:val="none"/>
        </w:rPr>
        <w:t>和要求(详见招标需求)</w:t>
      </w:r>
    </w:p>
    <w:p w14:paraId="06407752">
      <w:pPr>
        <w:widowControl/>
        <w:snapToGrid w:val="0"/>
        <w:spacing w:line="500" w:lineRule="exact"/>
        <w:ind w:firstLine="480" w:firstLineChars="200"/>
        <w:jc w:val="left"/>
        <w:rPr>
          <w:rFonts w:ascii="宋体" w:hAnsi="宋体"/>
          <w:color w:val="auto"/>
          <w:kern w:val="0"/>
          <w:sz w:val="24"/>
          <w:highlight w:val="none"/>
          <w:u w:val="single"/>
        </w:rPr>
      </w:pPr>
      <w:r>
        <w:rPr>
          <w:rFonts w:ascii="宋体" w:hAnsi="宋体"/>
          <w:color w:val="auto"/>
          <w:kern w:val="0"/>
          <w:sz w:val="24"/>
          <w:highlight w:val="none"/>
        </w:rPr>
        <w:t xml:space="preserve">1. </w:t>
      </w:r>
      <w:r>
        <w:rPr>
          <w:rFonts w:hint="eastAsia" w:ascii="宋体" w:hAnsi="宋体"/>
          <w:color w:val="auto"/>
          <w:kern w:val="0"/>
          <w:sz w:val="24"/>
          <w:highlight w:val="none"/>
        </w:rPr>
        <w:t>项目名称</w:t>
      </w:r>
      <w:r>
        <w:rPr>
          <w:rFonts w:ascii="宋体" w:hAnsi="宋体"/>
          <w:color w:val="auto"/>
          <w:kern w:val="0"/>
          <w:sz w:val="24"/>
          <w:highlight w:val="none"/>
        </w:rPr>
        <w:t>：</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hint="eastAsia" w:ascii="宋体" w:hAnsi="宋体" w:cs="Arial"/>
          <w:color w:val="auto"/>
          <w:sz w:val="24"/>
          <w:highlight w:val="none"/>
          <w:u w:val="single"/>
        </w:rPr>
        <w:t xml:space="preserve">                          </w:t>
      </w:r>
      <w:r>
        <w:rPr>
          <w:rFonts w:ascii="宋体" w:hAnsi="宋体"/>
          <w:color w:val="auto"/>
          <w:kern w:val="0"/>
          <w:sz w:val="24"/>
          <w:highlight w:val="none"/>
          <w:u w:val="single"/>
        </w:rPr>
        <w:t xml:space="preserve">    </w:t>
      </w:r>
    </w:p>
    <w:p w14:paraId="00671070">
      <w:pPr>
        <w:widowControl/>
        <w:snapToGrid w:val="0"/>
        <w:spacing w:line="50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 xml:space="preserve">2. 招标规模： </w:t>
      </w:r>
      <w:r>
        <w:rPr>
          <w:rFonts w:hint="eastAsia" w:ascii="宋体" w:hAnsi="宋体"/>
          <w:color w:val="auto"/>
          <w:kern w:val="0"/>
          <w:sz w:val="24"/>
          <w:highlight w:val="none"/>
          <w:u w:val="single"/>
        </w:rPr>
        <w:t xml:space="preserve">              </w:t>
      </w:r>
      <w:r>
        <w:rPr>
          <w:rFonts w:hint="eastAsia"/>
          <w:color w:val="auto"/>
          <w:sz w:val="24"/>
          <w:highlight w:val="none"/>
          <w:u w:val="single"/>
        </w:rPr>
        <w:t xml:space="preserve"> </w:t>
      </w:r>
      <w:r>
        <w:rPr>
          <w:rFonts w:ascii="宋体" w:hAnsi="宋体"/>
          <w:color w:val="auto"/>
          <w:kern w:val="0"/>
          <w:sz w:val="24"/>
          <w:highlight w:val="none"/>
          <w:u w:val="single"/>
        </w:rPr>
        <w:t xml:space="preserve">                       </w:t>
      </w:r>
    </w:p>
    <w:p w14:paraId="7737EC78">
      <w:pPr>
        <w:widowControl/>
        <w:snapToGrid w:val="0"/>
        <w:spacing w:line="500" w:lineRule="exact"/>
        <w:ind w:firstLine="480" w:firstLineChars="200"/>
        <w:jc w:val="left"/>
        <w:rPr>
          <w:rFonts w:ascii="宋体" w:hAnsi="宋体"/>
          <w:color w:val="auto"/>
          <w:kern w:val="0"/>
          <w:sz w:val="24"/>
          <w:highlight w:val="none"/>
          <w:u w:val="single"/>
        </w:rPr>
      </w:pPr>
      <w:r>
        <w:rPr>
          <w:rFonts w:hint="eastAsia" w:ascii="宋体" w:hAnsi="宋体"/>
          <w:color w:val="auto"/>
          <w:kern w:val="0"/>
          <w:sz w:val="24"/>
          <w:highlight w:val="none"/>
        </w:rPr>
        <w:t>3．服务内容及质量要求：</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p>
    <w:p w14:paraId="5021FCB9">
      <w:pPr>
        <w:snapToGrid w:val="0"/>
        <w:spacing w:line="500" w:lineRule="exact"/>
        <w:ind w:firstLine="480" w:firstLineChars="200"/>
        <w:rPr>
          <w:rFonts w:ascii="宋体" w:hAnsi="宋体" w:cs="宋体"/>
          <w:color w:val="auto"/>
          <w:sz w:val="24"/>
          <w:highlight w:val="none"/>
        </w:rPr>
      </w:pPr>
      <w:r>
        <w:rPr>
          <w:rFonts w:hint="eastAsia" w:ascii="宋体" w:hAnsi="宋体"/>
          <w:color w:val="auto"/>
          <w:kern w:val="0"/>
          <w:sz w:val="24"/>
          <w:highlight w:val="none"/>
        </w:rPr>
        <w:t>4 .</w:t>
      </w:r>
      <w:r>
        <w:rPr>
          <w:rFonts w:hint="eastAsia" w:ascii="宋体" w:hAnsi="宋体" w:cs="宋体"/>
          <w:color w:val="auto"/>
          <w:sz w:val="24"/>
          <w:highlight w:val="none"/>
        </w:rPr>
        <w:t>易腐垃圾积分兑换按照湖分类办〔2021〕11号《关于进一步规范中心城市居民易腐垃圾分类积分管理工作的指导意见》文件及相关要求执行。</w:t>
      </w:r>
    </w:p>
    <w:p w14:paraId="2E43AFBD">
      <w:pPr>
        <w:widowControl/>
        <w:snapToGrid w:val="0"/>
        <w:spacing w:line="500" w:lineRule="exact"/>
        <w:jc w:val="left"/>
        <w:rPr>
          <w:rFonts w:ascii="宋体" w:hAnsi="宋体"/>
          <w:b/>
          <w:color w:val="auto"/>
          <w:kern w:val="0"/>
          <w:sz w:val="24"/>
          <w:highlight w:val="none"/>
        </w:rPr>
      </w:pPr>
      <w:r>
        <w:rPr>
          <w:rFonts w:ascii="宋体" w:hAnsi="宋体"/>
          <w:b/>
          <w:color w:val="auto"/>
          <w:kern w:val="0"/>
          <w:sz w:val="24"/>
          <w:highlight w:val="none"/>
        </w:rPr>
        <w:t>二、合同金额</w:t>
      </w:r>
    </w:p>
    <w:p w14:paraId="7EA20B3D">
      <w:pPr>
        <w:widowControl/>
        <w:snapToGrid w:val="0"/>
        <w:spacing w:line="500" w:lineRule="exact"/>
        <w:ind w:left="1" w:firstLine="480" w:firstLineChars="200"/>
        <w:jc w:val="left"/>
        <w:rPr>
          <w:rFonts w:ascii="宋体" w:hAnsi="宋体"/>
          <w:color w:val="auto"/>
          <w:kern w:val="0"/>
          <w:sz w:val="24"/>
          <w:highlight w:val="none"/>
        </w:rPr>
      </w:pPr>
      <w:r>
        <w:rPr>
          <w:rFonts w:ascii="宋体" w:hAnsi="宋体"/>
          <w:color w:val="auto"/>
          <w:kern w:val="0"/>
          <w:sz w:val="24"/>
          <w:highlight w:val="none"/>
        </w:rPr>
        <w:t>1.合同</w:t>
      </w:r>
      <w:r>
        <w:rPr>
          <w:rFonts w:hint="eastAsia" w:ascii="宋体" w:hAnsi="宋体"/>
          <w:color w:val="auto"/>
          <w:kern w:val="0"/>
          <w:sz w:val="24"/>
          <w:highlight w:val="none"/>
        </w:rPr>
        <w:t>含税</w:t>
      </w:r>
      <w:r>
        <w:rPr>
          <w:rFonts w:ascii="宋体" w:hAnsi="宋体"/>
          <w:color w:val="auto"/>
          <w:kern w:val="0"/>
          <w:sz w:val="24"/>
          <w:highlight w:val="none"/>
        </w:rPr>
        <w:t>金额为（大写）：</w:t>
      </w:r>
      <w:r>
        <w:rPr>
          <w:rFonts w:hint="eastAsia" w:ascii="宋体" w:hAnsi="宋体"/>
          <w:color w:val="auto"/>
          <w:kern w:val="0"/>
          <w:sz w:val="24"/>
          <w:highlight w:val="none"/>
        </w:rPr>
        <w:t>人民币</w:t>
      </w:r>
      <w:r>
        <w:rPr>
          <w:rFonts w:hint="eastAsia" w:ascii="宋体" w:hAnsi="宋体"/>
          <w:color w:val="auto"/>
          <w:kern w:val="0"/>
          <w:sz w:val="24"/>
          <w:highlight w:val="none"/>
          <w:u w:val="single"/>
        </w:rPr>
        <w:t xml:space="preserve">                      </w:t>
      </w:r>
      <w:r>
        <w:rPr>
          <w:rFonts w:ascii="宋体" w:hAnsi="宋体"/>
          <w:color w:val="auto"/>
          <w:kern w:val="0"/>
          <w:sz w:val="24"/>
          <w:highlight w:val="none"/>
        </w:rPr>
        <w:t>元（￥</w:t>
      </w:r>
      <w:r>
        <w:rPr>
          <w:rFonts w:hint="eastAsia" w:ascii="宋体" w:hAnsi="宋体"/>
          <w:color w:val="auto"/>
          <w:kern w:val="0"/>
          <w:sz w:val="24"/>
          <w:highlight w:val="none"/>
          <w:u w:val="single"/>
        </w:rPr>
        <w:t xml:space="preserve">     </w:t>
      </w:r>
      <w:r>
        <w:rPr>
          <w:rFonts w:ascii="宋体" w:hAnsi="宋体"/>
          <w:color w:val="auto"/>
          <w:kern w:val="0"/>
          <w:sz w:val="24"/>
          <w:highlight w:val="none"/>
        </w:rPr>
        <w:t>元）。</w:t>
      </w:r>
    </w:p>
    <w:p w14:paraId="5C6D04D6">
      <w:pPr>
        <w:pStyle w:val="12"/>
        <w:snapToGrid w:val="0"/>
        <w:spacing w:line="360" w:lineRule="auto"/>
        <w:ind w:firstLine="480"/>
        <w:rPr>
          <w:color w:val="auto"/>
          <w:kern w:val="0"/>
          <w:sz w:val="24"/>
          <w:szCs w:val="24"/>
          <w:highlight w:val="none"/>
        </w:rPr>
      </w:pPr>
      <w:r>
        <w:rPr>
          <w:rFonts w:hint="eastAsia"/>
          <w:color w:val="auto"/>
          <w:kern w:val="0"/>
          <w:sz w:val="24"/>
          <w:szCs w:val="24"/>
          <w:highlight w:val="none"/>
        </w:rPr>
        <w:t>2.费用说明。日常运行经费中标单价为</w:t>
      </w:r>
      <w:r>
        <w:rPr>
          <w:rFonts w:hint="eastAsia"/>
          <w:color w:val="auto"/>
          <w:kern w:val="0"/>
          <w:sz w:val="24"/>
          <w:szCs w:val="24"/>
          <w:highlight w:val="none"/>
          <w:u w:val="single"/>
        </w:rPr>
        <w:t xml:space="preserve">      </w:t>
      </w:r>
      <w:r>
        <w:rPr>
          <w:rFonts w:hint="eastAsia"/>
          <w:color w:val="auto"/>
          <w:kern w:val="0"/>
          <w:sz w:val="24"/>
          <w:szCs w:val="24"/>
          <w:highlight w:val="none"/>
        </w:rPr>
        <w:t>，按运营小区总户数*中标单价结算。</w:t>
      </w:r>
      <w:r>
        <w:rPr>
          <w:rFonts w:hint="eastAsia"/>
          <w:b/>
          <w:color w:val="auto"/>
          <w:kern w:val="0"/>
          <w:sz w:val="24"/>
          <w:szCs w:val="24"/>
          <w:highlight w:val="none"/>
        </w:rPr>
        <w:t>具体服务范围根据甲方要求为准，乙方须无条件响应。</w:t>
      </w:r>
    </w:p>
    <w:p w14:paraId="73A9CB55">
      <w:pPr>
        <w:widowControl/>
        <w:snapToGrid w:val="0"/>
        <w:spacing w:line="500" w:lineRule="exact"/>
        <w:ind w:left="1" w:firstLine="480" w:firstLineChars="200"/>
        <w:jc w:val="left"/>
        <w:rPr>
          <w:rFonts w:ascii="宋体" w:hAnsi="宋体"/>
          <w:color w:val="auto"/>
          <w:kern w:val="0"/>
          <w:sz w:val="24"/>
          <w:highlight w:val="none"/>
        </w:rPr>
      </w:pPr>
      <w:r>
        <w:rPr>
          <w:rFonts w:hint="eastAsia" w:ascii="宋体" w:hAnsi="宋体"/>
          <w:color w:val="auto"/>
          <w:kern w:val="0"/>
          <w:sz w:val="24"/>
          <w:highlight w:val="none"/>
        </w:rPr>
        <w:t>3.本合同金额包括完成项目工作中所需的所有费用，</w:t>
      </w:r>
      <w:r>
        <w:rPr>
          <w:rFonts w:ascii="宋体" w:hAnsi="宋体"/>
          <w:color w:val="auto"/>
          <w:kern w:val="0"/>
          <w:sz w:val="24"/>
          <w:highlight w:val="none"/>
        </w:rPr>
        <w:t>包括但不限于</w:t>
      </w:r>
      <w:r>
        <w:rPr>
          <w:rFonts w:hint="eastAsia" w:ascii="宋体" w:hAnsi="宋体"/>
          <w:color w:val="auto"/>
          <w:kern w:val="0"/>
          <w:sz w:val="24"/>
          <w:highlight w:val="none"/>
        </w:rPr>
        <w:t>全部服务货物采购所需、货物设备、机械、安装、</w:t>
      </w:r>
      <w:r>
        <w:rPr>
          <w:rFonts w:ascii="宋体" w:hAnsi="宋体"/>
          <w:color w:val="auto"/>
          <w:kern w:val="0"/>
          <w:sz w:val="24"/>
          <w:highlight w:val="none"/>
        </w:rPr>
        <w:t>劳务、</w:t>
      </w:r>
      <w:r>
        <w:rPr>
          <w:rFonts w:hint="eastAsia" w:ascii="宋体" w:hAnsi="宋体"/>
          <w:color w:val="auto"/>
          <w:kern w:val="0"/>
          <w:sz w:val="24"/>
          <w:highlight w:val="none"/>
        </w:rPr>
        <w:t>人员工资、各类保险社保、高温费、夜班费、加班费、通讯费、网络费、宣传、管理、利润、税金、水电、招投标费</w:t>
      </w:r>
      <w:r>
        <w:rPr>
          <w:rFonts w:ascii="宋体" w:hAnsi="宋体"/>
          <w:color w:val="auto"/>
          <w:kern w:val="0"/>
          <w:sz w:val="24"/>
          <w:highlight w:val="none"/>
        </w:rPr>
        <w:t>等政策性文件规定及合同明示或暗示的所有风险、责任、义务等各项应有的费用，</w:t>
      </w:r>
      <w:r>
        <w:rPr>
          <w:rFonts w:hint="eastAsia" w:ascii="宋体" w:hAnsi="宋体"/>
          <w:color w:val="auto"/>
          <w:kern w:val="0"/>
          <w:sz w:val="24"/>
          <w:highlight w:val="none"/>
        </w:rPr>
        <w:t>其市场风险由乙方承担</w:t>
      </w:r>
      <w:r>
        <w:rPr>
          <w:rFonts w:ascii="宋体" w:hAnsi="宋体"/>
          <w:color w:val="auto"/>
          <w:kern w:val="0"/>
          <w:sz w:val="24"/>
          <w:highlight w:val="none"/>
        </w:rPr>
        <w:t>。</w:t>
      </w:r>
    </w:p>
    <w:p w14:paraId="0FF7C5B8">
      <w:pPr>
        <w:widowControl/>
        <w:snapToGrid w:val="0"/>
        <w:spacing w:line="500" w:lineRule="exact"/>
        <w:ind w:left="1" w:firstLine="482" w:firstLineChars="200"/>
        <w:jc w:val="left"/>
        <w:rPr>
          <w:rFonts w:ascii="宋体" w:hAnsi="宋体"/>
          <w:b/>
          <w:color w:val="auto"/>
          <w:kern w:val="0"/>
          <w:sz w:val="24"/>
          <w:highlight w:val="none"/>
        </w:rPr>
      </w:pPr>
      <w:r>
        <w:rPr>
          <w:rFonts w:hint="eastAsia" w:ascii="宋体" w:hAnsi="宋体"/>
          <w:b/>
          <w:color w:val="auto"/>
          <w:kern w:val="0"/>
          <w:sz w:val="24"/>
          <w:highlight w:val="none"/>
        </w:rPr>
        <w:t>注：在服务期内因实施生活垃圾精准分类产生的设备设施维修、更换费及其他可能发生的完成本项目所需的全部费用均由中标供应商承担。</w:t>
      </w:r>
    </w:p>
    <w:p w14:paraId="6E652B0D">
      <w:pPr>
        <w:widowControl/>
        <w:snapToGrid w:val="0"/>
        <w:spacing w:line="500" w:lineRule="exact"/>
        <w:jc w:val="left"/>
        <w:rPr>
          <w:rFonts w:ascii="宋体" w:hAnsi="宋体"/>
          <w:b/>
          <w:color w:val="auto"/>
          <w:kern w:val="0"/>
          <w:sz w:val="24"/>
          <w:highlight w:val="none"/>
        </w:rPr>
      </w:pPr>
      <w:r>
        <w:rPr>
          <w:rFonts w:ascii="宋体" w:hAnsi="宋体"/>
          <w:b/>
          <w:color w:val="auto"/>
          <w:kern w:val="0"/>
          <w:sz w:val="24"/>
          <w:highlight w:val="none"/>
        </w:rPr>
        <w:t>三、技术资料</w:t>
      </w:r>
    </w:p>
    <w:p w14:paraId="7669E8D6">
      <w:pPr>
        <w:widowControl/>
        <w:snapToGrid w:val="0"/>
        <w:spacing w:line="500" w:lineRule="exact"/>
        <w:ind w:left="476" w:leftChars="170"/>
        <w:jc w:val="left"/>
        <w:rPr>
          <w:rFonts w:ascii="宋体" w:hAnsi="宋体"/>
          <w:color w:val="auto"/>
          <w:kern w:val="0"/>
          <w:sz w:val="24"/>
          <w:highlight w:val="none"/>
        </w:rPr>
      </w:pPr>
      <w:r>
        <w:rPr>
          <w:rFonts w:ascii="宋体" w:hAnsi="宋体"/>
          <w:color w:val="auto"/>
          <w:kern w:val="0"/>
          <w:sz w:val="24"/>
          <w:highlight w:val="none"/>
        </w:rPr>
        <w:t>1.乙方应按招标文件规定的时间向甲方提供使用</w:t>
      </w:r>
      <w:r>
        <w:rPr>
          <w:rFonts w:hint="eastAsia" w:ascii="宋体" w:hAnsi="宋体"/>
          <w:color w:val="auto"/>
          <w:kern w:val="0"/>
          <w:sz w:val="24"/>
          <w:highlight w:val="none"/>
        </w:rPr>
        <w:t>服务及</w:t>
      </w:r>
      <w:r>
        <w:rPr>
          <w:rFonts w:ascii="宋体" w:hAnsi="宋体"/>
          <w:color w:val="auto"/>
          <w:kern w:val="0"/>
          <w:sz w:val="24"/>
          <w:highlight w:val="none"/>
        </w:rPr>
        <w:t>货物的有关技术资料。</w:t>
      </w:r>
    </w:p>
    <w:p w14:paraId="25771190">
      <w:pPr>
        <w:widowControl/>
        <w:snapToGrid w:val="0"/>
        <w:spacing w:line="500" w:lineRule="exact"/>
        <w:ind w:left="1" w:right="-1" w:firstLine="480" w:firstLineChars="200"/>
        <w:jc w:val="left"/>
        <w:rPr>
          <w:rFonts w:ascii="宋体" w:hAnsi="宋体"/>
          <w:color w:val="auto"/>
          <w:kern w:val="0"/>
          <w:sz w:val="24"/>
          <w:highlight w:val="none"/>
        </w:rPr>
      </w:pPr>
      <w:r>
        <w:rPr>
          <w:rFonts w:ascii="宋体" w:hAnsi="宋体"/>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宋体" w:hAnsi="宋体"/>
          <w:color w:val="auto"/>
          <w:kern w:val="0"/>
          <w:sz w:val="24"/>
          <w:highlight w:val="none"/>
        </w:rPr>
        <w:t>若以上资料在乙方期间发生的被盗、泄露或其他有损保密资料保密性的事件，乙方应承担全部责任，因此造成甲方损失的，乙方应负责赔偿。</w:t>
      </w:r>
    </w:p>
    <w:p w14:paraId="0E5A59B1">
      <w:pPr>
        <w:widowControl/>
        <w:snapToGrid w:val="0"/>
        <w:spacing w:line="500" w:lineRule="exact"/>
        <w:ind w:left="1" w:right="-1" w:firstLine="480" w:firstLineChars="200"/>
        <w:jc w:val="left"/>
        <w:rPr>
          <w:rFonts w:ascii="宋体" w:hAnsi="宋体"/>
          <w:color w:val="auto"/>
          <w:kern w:val="0"/>
          <w:sz w:val="24"/>
          <w:highlight w:val="none"/>
        </w:rPr>
      </w:pPr>
      <w:r>
        <w:rPr>
          <w:rFonts w:hint="eastAsia" w:ascii="宋体" w:hAnsi="宋体"/>
          <w:color w:val="auto"/>
          <w:kern w:val="0"/>
          <w:sz w:val="24"/>
          <w:highlight w:val="none"/>
        </w:rPr>
        <w:t>3.服务到期后10天内乙方须无条件移交所有服务期间平台相关的垃圾分类数据，并销毁所有留存的居民及相关信息，乙方应无条件响应并确保新的服务单位顺利开展垃圾分类服务，否则甲方可暂停支付季度服务费，待顺利移交后再行支付。</w:t>
      </w:r>
    </w:p>
    <w:p w14:paraId="0BBD3AB6">
      <w:pPr>
        <w:widowControl/>
        <w:snapToGrid w:val="0"/>
        <w:spacing w:line="500" w:lineRule="exact"/>
        <w:ind w:left="412" w:hanging="412" w:hangingChars="171"/>
        <w:jc w:val="left"/>
        <w:rPr>
          <w:rFonts w:ascii="宋体" w:hAnsi="宋体"/>
          <w:b/>
          <w:color w:val="auto"/>
          <w:kern w:val="0"/>
          <w:sz w:val="24"/>
          <w:highlight w:val="none"/>
        </w:rPr>
      </w:pPr>
      <w:r>
        <w:rPr>
          <w:rFonts w:ascii="宋体" w:hAnsi="宋体"/>
          <w:b/>
          <w:color w:val="auto"/>
          <w:kern w:val="0"/>
          <w:sz w:val="24"/>
          <w:highlight w:val="none"/>
        </w:rPr>
        <w:t>四、知识产权</w:t>
      </w:r>
    </w:p>
    <w:p w14:paraId="5ED64C92">
      <w:pPr>
        <w:widowControl/>
        <w:snapToGrid w:val="0"/>
        <w:spacing w:line="500" w:lineRule="exact"/>
        <w:ind w:firstLine="480" w:firstLineChars="200"/>
        <w:jc w:val="left"/>
        <w:rPr>
          <w:rFonts w:ascii="宋体" w:hAnsi="宋体"/>
          <w:bCs/>
          <w:color w:val="auto"/>
          <w:kern w:val="0"/>
          <w:sz w:val="24"/>
          <w:highlight w:val="none"/>
        </w:rPr>
      </w:pPr>
      <w:r>
        <w:rPr>
          <w:rFonts w:ascii="宋体" w:hAnsi="宋体"/>
          <w:color w:val="auto"/>
          <w:kern w:val="0"/>
          <w:sz w:val="24"/>
          <w:highlight w:val="none"/>
        </w:rPr>
        <w:t>乙方应保证所提供的</w:t>
      </w:r>
      <w:r>
        <w:rPr>
          <w:rFonts w:hint="eastAsia" w:ascii="宋体" w:hAnsi="宋体"/>
          <w:color w:val="auto"/>
          <w:kern w:val="0"/>
          <w:sz w:val="24"/>
          <w:highlight w:val="none"/>
        </w:rPr>
        <w:t>技术服务、</w:t>
      </w:r>
      <w:r>
        <w:rPr>
          <w:rFonts w:ascii="宋体" w:hAnsi="宋体"/>
          <w:color w:val="auto"/>
          <w:kern w:val="0"/>
          <w:sz w:val="24"/>
          <w:highlight w:val="none"/>
        </w:rPr>
        <w:t>货物或其任何一部分均不会侵犯任何第三方的知识产权</w:t>
      </w:r>
      <w:r>
        <w:rPr>
          <w:rFonts w:ascii="宋体" w:hAnsi="宋体"/>
          <w:bCs/>
          <w:color w:val="auto"/>
          <w:kern w:val="0"/>
          <w:sz w:val="24"/>
          <w:highlight w:val="none"/>
        </w:rPr>
        <w:t>。</w:t>
      </w:r>
      <w:r>
        <w:rPr>
          <w:rFonts w:hint="eastAsia" w:ascii="宋体" w:hAnsi="宋体"/>
          <w:bCs/>
          <w:color w:val="auto"/>
          <w:kern w:val="0"/>
          <w:sz w:val="24"/>
          <w:highlight w:val="none"/>
        </w:rPr>
        <w:t>若任何第三方提出此方面赔偿请求等均与甲方无关，应由乙方与第三方交涉，并承担可能发生的一切法律责任、费用和后果；若甲方因此而遭致损失，则乙方应赔偿该损失。</w:t>
      </w:r>
    </w:p>
    <w:p w14:paraId="530F8DB6">
      <w:pPr>
        <w:widowControl/>
        <w:snapToGrid w:val="0"/>
        <w:spacing w:line="500" w:lineRule="exact"/>
        <w:jc w:val="left"/>
        <w:rPr>
          <w:rFonts w:ascii="宋体" w:hAnsi="宋体"/>
          <w:color w:val="auto"/>
          <w:kern w:val="0"/>
          <w:sz w:val="24"/>
          <w:highlight w:val="none"/>
          <w:u w:val="single"/>
        </w:rPr>
      </w:pPr>
      <w:r>
        <w:rPr>
          <w:rFonts w:ascii="宋体" w:hAnsi="宋体"/>
          <w:b/>
          <w:color w:val="auto"/>
          <w:kern w:val="0"/>
          <w:sz w:val="24"/>
          <w:highlight w:val="none"/>
        </w:rPr>
        <w:t>五、产权担保</w:t>
      </w:r>
    </w:p>
    <w:p w14:paraId="5DC66EB5">
      <w:pPr>
        <w:widowControl/>
        <w:snapToGrid w:val="0"/>
        <w:spacing w:line="500" w:lineRule="exact"/>
        <w:ind w:left="476" w:leftChars="170"/>
        <w:jc w:val="left"/>
        <w:rPr>
          <w:rFonts w:ascii="宋体" w:hAnsi="宋体"/>
          <w:color w:val="auto"/>
          <w:kern w:val="0"/>
          <w:sz w:val="24"/>
          <w:highlight w:val="none"/>
        </w:rPr>
      </w:pPr>
      <w:r>
        <w:rPr>
          <w:rFonts w:ascii="宋体" w:hAnsi="宋体"/>
          <w:color w:val="auto"/>
          <w:kern w:val="0"/>
          <w:sz w:val="24"/>
          <w:highlight w:val="none"/>
        </w:rPr>
        <w:t>乙方保证所交付的货物的所有权完全属于乙方且无任何抵押、查封等产权瑕疵。</w:t>
      </w:r>
    </w:p>
    <w:p w14:paraId="153584D9">
      <w:pPr>
        <w:widowControl/>
        <w:snapToGrid w:val="0"/>
        <w:spacing w:line="500" w:lineRule="exact"/>
        <w:ind w:left="410" w:hanging="410" w:hangingChars="170"/>
        <w:jc w:val="left"/>
        <w:rPr>
          <w:rFonts w:ascii="宋体" w:hAnsi="宋体"/>
          <w:b/>
          <w:color w:val="auto"/>
          <w:kern w:val="0"/>
          <w:sz w:val="24"/>
          <w:highlight w:val="none"/>
        </w:rPr>
      </w:pPr>
      <w:r>
        <w:rPr>
          <w:rFonts w:hint="eastAsia" w:ascii="宋体" w:hAnsi="宋体"/>
          <w:b/>
          <w:color w:val="auto"/>
          <w:kern w:val="0"/>
          <w:sz w:val="24"/>
          <w:highlight w:val="none"/>
        </w:rPr>
        <w:t>六</w:t>
      </w:r>
      <w:r>
        <w:rPr>
          <w:rFonts w:ascii="宋体" w:hAnsi="宋体"/>
          <w:b/>
          <w:color w:val="auto"/>
          <w:kern w:val="0"/>
          <w:sz w:val="24"/>
          <w:highlight w:val="none"/>
        </w:rPr>
        <w:t>、转包或分包</w:t>
      </w:r>
    </w:p>
    <w:p w14:paraId="28133AAB">
      <w:pPr>
        <w:snapToGrid w:val="0"/>
        <w:spacing w:line="5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.本合同范围的服务和货物，应由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44BC5512">
      <w:pPr>
        <w:snapToGrid w:val="0"/>
        <w:spacing w:line="5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.如有转让和未经</w:t>
      </w:r>
      <w:r>
        <w:rPr>
          <w:rFonts w:ascii="宋体" w:hAnsi="宋体"/>
          <w:color w:val="auto"/>
          <w:sz w:val="24"/>
          <w:highlight w:val="none"/>
        </w:rPr>
        <w:t>甲</w:t>
      </w:r>
      <w:r>
        <w:rPr>
          <w:rFonts w:hint="eastAsia" w:ascii="宋体" w:hAnsi="宋体"/>
          <w:color w:val="auto"/>
          <w:sz w:val="24"/>
          <w:highlight w:val="none"/>
        </w:rPr>
        <w:t>方同意的分包行为，</w:t>
      </w:r>
      <w:r>
        <w:rPr>
          <w:rFonts w:ascii="宋体" w:hAnsi="宋体"/>
          <w:color w:val="auto"/>
          <w:sz w:val="24"/>
          <w:highlight w:val="none"/>
        </w:rPr>
        <w:t>甲</w:t>
      </w:r>
      <w:r>
        <w:rPr>
          <w:rFonts w:hint="eastAsia" w:ascii="宋体" w:hAnsi="宋体"/>
          <w:color w:val="auto"/>
          <w:sz w:val="24"/>
          <w:highlight w:val="none"/>
        </w:rPr>
        <w:t>方有权解除合同，并追究乙方的违约责任。</w:t>
      </w:r>
    </w:p>
    <w:p w14:paraId="63D0EEBD">
      <w:pPr>
        <w:widowControl/>
        <w:snapToGrid w:val="0"/>
        <w:spacing w:line="500" w:lineRule="exact"/>
        <w:jc w:val="left"/>
        <w:rPr>
          <w:rFonts w:ascii="宋体" w:hAnsi="宋体"/>
          <w:b/>
          <w:color w:val="auto"/>
          <w:kern w:val="0"/>
          <w:sz w:val="24"/>
          <w:highlight w:val="none"/>
        </w:rPr>
      </w:pPr>
      <w:r>
        <w:rPr>
          <w:rFonts w:hint="eastAsia" w:ascii="宋体" w:hAnsi="宋体"/>
          <w:b/>
          <w:color w:val="auto"/>
          <w:kern w:val="0"/>
          <w:sz w:val="24"/>
          <w:highlight w:val="none"/>
        </w:rPr>
        <w:t>七</w:t>
      </w:r>
      <w:r>
        <w:rPr>
          <w:rFonts w:ascii="宋体" w:hAnsi="宋体"/>
          <w:b/>
          <w:color w:val="auto"/>
          <w:kern w:val="0"/>
          <w:sz w:val="24"/>
          <w:highlight w:val="none"/>
        </w:rPr>
        <w:t>、合同履约时间及履约地点</w:t>
      </w:r>
    </w:p>
    <w:p w14:paraId="68D9E8CF">
      <w:pPr>
        <w:widowControl/>
        <w:snapToGrid w:val="0"/>
        <w:spacing w:line="500" w:lineRule="exact"/>
        <w:ind w:firstLine="480" w:firstLineChars="200"/>
        <w:jc w:val="left"/>
        <w:rPr>
          <w:color w:val="auto"/>
          <w:highlight w:val="none"/>
          <w:u w:val="single"/>
        </w:rPr>
      </w:pPr>
      <w:r>
        <w:rPr>
          <w:rFonts w:hint="eastAsia" w:ascii="宋体" w:hAnsi="宋体"/>
          <w:bCs/>
          <w:color w:val="auto"/>
          <w:kern w:val="0"/>
          <w:sz w:val="24"/>
          <w:highlight w:val="none"/>
        </w:rPr>
        <w:t>1. 合同期限</w:t>
      </w:r>
      <w:r>
        <w:rPr>
          <w:rFonts w:ascii="宋体" w:hAnsi="宋体"/>
          <w:bCs/>
          <w:color w:val="auto"/>
          <w:kern w:val="0"/>
          <w:sz w:val="24"/>
          <w:highlight w:val="none"/>
        </w:rPr>
        <w:t>：</w:t>
      </w:r>
      <w:r>
        <w:rPr>
          <w:rFonts w:hint="eastAsia" w:ascii="宋体" w:hAnsi="宋体"/>
          <w:bCs/>
          <w:color w:val="auto"/>
          <w:kern w:val="0"/>
          <w:szCs w:val="21"/>
          <w:highlight w:val="none"/>
          <w:u w:val="single"/>
        </w:rPr>
        <w:t xml:space="preserve">  </w:t>
      </w:r>
      <w:r>
        <w:rPr>
          <w:rFonts w:hint="eastAsia" w:ascii="宋体" w:hAnsi="宋体"/>
          <w:color w:val="auto"/>
          <w:sz w:val="24"/>
          <w:highlight w:val="none"/>
          <w:u w:val="single"/>
        </w:rPr>
        <w:t xml:space="preserve">   </w:t>
      </w:r>
      <w:r>
        <w:rPr>
          <w:rFonts w:hint="eastAsia" w:ascii="宋体" w:hAnsi="宋体"/>
          <w:bCs/>
          <w:color w:val="auto"/>
          <w:kern w:val="0"/>
          <w:szCs w:val="21"/>
          <w:highlight w:val="none"/>
          <w:u w:val="single"/>
        </w:rPr>
        <w:t xml:space="preserve">                                      </w:t>
      </w:r>
    </w:p>
    <w:p w14:paraId="6979602C">
      <w:pPr>
        <w:widowControl/>
        <w:snapToGrid w:val="0"/>
        <w:spacing w:line="500" w:lineRule="exact"/>
        <w:ind w:firstLine="480" w:firstLineChars="200"/>
        <w:jc w:val="left"/>
        <w:rPr>
          <w:rFonts w:ascii="宋体" w:hAnsi="宋体"/>
          <w:bCs/>
          <w:color w:val="auto"/>
          <w:kern w:val="0"/>
          <w:sz w:val="24"/>
          <w:highlight w:val="none"/>
          <w:u w:val="single"/>
        </w:rPr>
      </w:pPr>
      <w:r>
        <w:rPr>
          <w:rFonts w:hint="eastAsia" w:ascii="宋体" w:hAnsi="宋体"/>
          <w:bCs/>
          <w:color w:val="auto"/>
          <w:kern w:val="0"/>
          <w:sz w:val="24"/>
          <w:highlight w:val="none"/>
        </w:rPr>
        <w:t>2</w:t>
      </w:r>
      <w:r>
        <w:rPr>
          <w:rFonts w:ascii="宋体" w:hAnsi="宋体"/>
          <w:bCs/>
          <w:color w:val="auto"/>
          <w:kern w:val="0"/>
          <w:sz w:val="24"/>
          <w:highlight w:val="none"/>
        </w:rPr>
        <w:t>. 履约时间：</w:t>
      </w:r>
      <w:r>
        <w:rPr>
          <w:rFonts w:hint="eastAsia" w:ascii="宋体" w:hAnsi="宋体"/>
          <w:bCs/>
          <w:color w:val="auto"/>
          <w:kern w:val="0"/>
          <w:sz w:val="24"/>
          <w:highlight w:val="none"/>
          <w:u w:val="single"/>
        </w:rPr>
        <w:t xml:space="preserve">                                         </w:t>
      </w:r>
      <w:r>
        <w:rPr>
          <w:rFonts w:hint="eastAsia" w:ascii="宋体" w:hAnsi="宋体"/>
          <w:color w:val="auto"/>
          <w:spacing w:val="-20"/>
          <w:sz w:val="24"/>
          <w:highlight w:val="none"/>
          <w:u w:val="single"/>
        </w:rPr>
        <w:t xml:space="preserve">    </w:t>
      </w:r>
      <w:r>
        <w:rPr>
          <w:rFonts w:hint="eastAsia" w:ascii="宋体" w:hAnsi="宋体"/>
          <w:bCs/>
          <w:color w:val="auto"/>
          <w:kern w:val="0"/>
          <w:sz w:val="24"/>
          <w:highlight w:val="none"/>
          <w:u w:val="single"/>
        </w:rPr>
        <w:t xml:space="preserve">       </w:t>
      </w:r>
    </w:p>
    <w:p w14:paraId="0B56FDC0">
      <w:pPr>
        <w:widowControl/>
        <w:snapToGrid w:val="0"/>
        <w:spacing w:line="500" w:lineRule="exact"/>
        <w:ind w:firstLine="480" w:firstLineChars="200"/>
        <w:jc w:val="left"/>
        <w:rPr>
          <w:rFonts w:ascii="宋体" w:hAnsi="宋体"/>
          <w:bCs/>
          <w:color w:val="auto"/>
          <w:kern w:val="0"/>
          <w:sz w:val="24"/>
          <w:highlight w:val="none"/>
          <w:u w:val="single"/>
        </w:rPr>
      </w:pPr>
      <w:r>
        <w:rPr>
          <w:rFonts w:ascii="宋体" w:hAnsi="宋体"/>
          <w:bCs/>
          <w:color w:val="auto"/>
          <w:kern w:val="0"/>
          <w:sz w:val="24"/>
          <w:highlight w:val="none"/>
        </w:rPr>
        <w:t>3. 履约地点：</w:t>
      </w:r>
      <w:r>
        <w:rPr>
          <w:rFonts w:hint="eastAsia" w:ascii="宋体" w:hAnsi="宋体"/>
          <w:bCs/>
          <w:color w:val="auto"/>
          <w:kern w:val="0"/>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bCs/>
          <w:color w:val="auto"/>
          <w:kern w:val="0"/>
          <w:sz w:val="24"/>
          <w:highlight w:val="none"/>
          <w:u w:val="single"/>
        </w:rPr>
        <w:t xml:space="preserve">                           </w:t>
      </w:r>
    </w:p>
    <w:p w14:paraId="7E8AE054">
      <w:pPr>
        <w:widowControl/>
        <w:snapToGrid w:val="0"/>
        <w:spacing w:line="360" w:lineRule="auto"/>
        <w:jc w:val="left"/>
        <w:rPr>
          <w:rFonts w:ascii="宋体" w:hAnsi="宋体"/>
          <w:b/>
          <w:color w:val="auto"/>
          <w:kern w:val="0"/>
          <w:sz w:val="24"/>
          <w:highlight w:val="none"/>
        </w:rPr>
      </w:pPr>
      <w:r>
        <w:rPr>
          <w:rFonts w:hint="eastAsia" w:ascii="宋体" w:hAnsi="宋体"/>
          <w:b/>
          <w:color w:val="auto"/>
          <w:kern w:val="0"/>
          <w:sz w:val="24"/>
          <w:highlight w:val="none"/>
        </w:rPr>
        <w:t>八</w:t>
      </w:r>
      <w:r>
        <w:rPr>
          <w:rFonts w:ascii="宋体" w:hAnsi="宋体"/>
          <w:b/>
          <w:color w:val="auto"/>
          <w:kern w:val="0"/>
          <w:sz w:val="24"/>
          <w:highlight w:val="none"/>
        </w:rPr>
        <w:t>、</w:t>
      </w:r>
      <w:r>
        <w:rPr>
          <w:rFonts w:hint="eastAsia" w:ascii="宋体" w:hAnsi="宋体"/>
          <w:b/>
          <w:color w:val="auto"/>
          <w:kern w:val="0"/>
          <w:sz w:val="24"/>
          <w:highlight w:val="none"/>
        </w:rPr>
        <w:t>付款方式</w:t>
      </w:r>
    </w:p>
    <w:p w14:paraId="31EB396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根据《保障中小企业款项支付条例》</w:t>
      </w:r>
      <w:r>
        <w:rPr>
          <w:rFonts w:ascii="宋体" w:hAnsi="宋体" w:cs="宋体"/>
          <w:color w:val="auto"/>
          <w:sz w:val="24"/>
          <w:highlight w:val="none"/>
        </w:rPr>
        <w:t>、</w:t>
      </w:r>
      <w:r>
        <w:rPr>
          <w:rFonts w:hint="eastAsia" w:ascii="宋体" w:hAnsi="宋体" w:cs="宋体"/>
          <w:color w:val="auto"/>
          <w:sz w:val="24"/>
          <w:highlight w:val="none"/>
        </w:rPr>
        <w:t>省财政厅《关于坚决打赢疫情防控阻击战进一步做好政府采购资金支持企业发展工作的通知》（浙财采监【2020】3号）、省财政厅《关于进一步发挥政府采购政策功能全力推动经济稳进提质的通知书》（浙财采监【2022】3号）及要求《关于进一步加大政府采购支持中小企业力度助力扎实稳住经济的通知》（浙财采监【2022】8号）,制定如以下付款方式：</w:t>
      </w:r>
    </w:p>
    <w:p w14:paraId="71BD2C60">
      <w:pPr>
        <w:snapToGrid w:val="0"/>
        <w:spacing w:line="400" w:lineRule="exact"/>
        <w:ind w:firstLine="482" w:firstLineChars="200"/>
        <w:rPr>
          <w:rFonts w:ascii="宋体" w:hAnsi="宋体" w:cs="仿宋_GB2312"/>
          <w:b/>
          <w:color w:val="auto"/>
          <w:kern w:val="28"/>
          <w:sz w:val="24"/>
          <w:szCs w:val="22"/>
          <w:highlight w:val="none"/>
        </w:rPr>
      </w:pPr>
      <w:r>
        <w:rPr>
          <w:rFonts w:hint="eastAsia" w:ascii="宋体" w:hAnsi="宋体" w:cs="仿宋_GB2312"/>
          <w:b/>
          <w:color w:val="auto"/>
          <w:kern w:val="28"/>
          <w:sz w:val="24"/>
          <w:szCs w:val="22"/>
          <w:highlight w:val="none"/>
        </w:rPr>
        <w:t>第一笔付款：合同签订生效且在履行财政相关资金审批手续后7个工作日内，采购人收到成交供应商提供的同等金额的正规发票后，向成交供应商支付年预付款（即年服务合同款的</w:t>
      </w:r>
      <w:r>
        <w:rPr>
          <w:rFonts w:hint="eastAsia" w:ascii="宋体" w:hAnsi="宋体" w:cs="仿宋_GB2312"/>
          <w:b/>
          <w:color w:val="auto"/>
          <w:kern w:val="28"/>
          <w:sz w:val="24"/>
          <w:szCs w:val="22"/>
          <w:highlight w:val="none"/>
          <w:lang w:val="en-US" w:eastAsia="zh-CN"/>
        </w:rPr>
        <w:t>3</w:t>
      </w:r>
      <w:r>
        <w:rPr>
          <w:rFonts w:hint="eastAsia" w:ascii="宋体" w:hAnsi="宋体" w:cs="仿宋_GB2312"/>
          <w:b/>
          <w:color w:val="auto"/>
          <w:kern w:val="28"/>
          <w:sz w:val="24"/>
          <w:szCs w:val="22"/>
          <w:highlight w:val="none"/>
        </w:rPr>
        <w:t>0%）；</w:t>
      </w:r>
    </w:p>
    <w:p w14:paraId="1818EC33">
      <w:pPr>
        <w:snapToGrid w:val="0"/>
        <w:spacing w:line="400" w:lineRule="exact"/>
        <w:ind w:firstLine="482" w:firstLineChars="200"/>
        <w:rPr>
          <w:rFonts w:ascii="宋体" w:hAnsi="宋体" w:cs="仿宋_GB2312"/>
          <w:b/>
          <w:color w:val="auto"/>
          <w:kern w:val="28"/>
          <w:sz w:val="24"/>
          <w:szCs w:val="22"/>
          <w:highlight w:val="none"/>
        </w:rPr>
      </w:pPr>
      <w:r>
        <w:rPr>
          <w:rFonts w:hint="eastAsia" w:ascii="宋体" w:hAnsi="宋体" w:cs="仿宋_GB2312"/>
          <w:b/>
          <w:color w:val="auto"/>
          <w:kern w:val="28"/>
          <w:sz w:val="24"/>
          <w:szCs w:val="22"/>
          <w:highlight w:val="none"/>
        </w:rPr>
        <w:t>第二笔付款：日常运营费用每月一考核，按季度支付，该季度服务费在下一季度进行支付，根据实际运营小区户数及上季度考核分数扣除应扣款后支付上季度服务费，同时扣回预付款（首次无法全部扣回的，剩余预付款在下次付款中进行扣回，以此类推，直至全部扣回）。供应商提供正规发票给采购人，采购人收到成交供应商提供的同等金额的正规发票后,在履行财政相关资金审批手续后向成交供应商进行支付。</w:t>
      </w:r>
    </w:p>
    <w:p w14:paraId="3A54097E">
      <w:pPr>
        <w:pStyle w:val="38"/>
        <w:spacing w:line="360" w:lineRule="auto"/>
        <w:ind w:left="0" w:firstLine="482" w:firstLineChars="200"/>
        <w:rPr>
          <w:rFonts w:ascii="宋体" w:hAnsi="宋体"/>
          <w:b/>
          <w:color w:val="auto"/>
          <w:kern w:val="28"/>
          <w:sz w:val="24"/>
          <w:szCs w:val="24"/>
          <w:highlight w:val="none"/>
        </w:rPr>
      </w:pPr>
      <w:r>
        <w:rPr>
          <w:rFonts w:hint="eastAsia" w:ascii="宋体" w:hAnsi="宋体"/>
          <w:b/>
          <w:color w:val="auto"/>
          <w:kern w:val="28"/>
          <w:sz w:val="24"/>
          <w:szCs w:val="24"/>
          <w:highlight w:val="none"/>
        </w:rPr>
        <w:t>注：①在签订合同时，供应商明确表示无需预付款或者主动要求降低预付款比例的，采购合同可不适用前述规定。</w:t>
      </w:r>
    </w:p>
    <w:p w14:paraId="0BA7247B">
      <w:pPr>
        <w:pStyle w:val="38"/>
        <w:spacing w:line="360" w:lineRule="auto"/>
        <w:ind w:left="0" w:firstLine="482" w:firstLineChars="200"/>
        <w:rPr>
          <w:rFonts w:ascii="宋体" w:hAnsi="宋体"/>
          <w:b/>
          <w:color w:val="auto"/>
          <w:kern w:val="28"/>
          <w:sz w:val="24"/>
          <w:szCs w:val="24"/>
          <w:highlight w:val="none"/>
        </w:rPr>
      </w:pPr>
      <w:r>
        <w:rPr>
          <w:rFonts w:hint="eastAsia" w:ascii="宋体" w:hAnsi="宋体"/>
          <w:b/>
          <w:color w:val="auto"/>
          <w:kern w:val="28"/>
          <w:sz w:val="24"/>
          <w:szCs w:val="24"/>
          <w:highlight w:val="none"/>
        </w:rPr>
        <w:t>采购人在向供应商支付预付款之前，有权要求供应商向采购人提供与预付款金额相对应的担保措施，担保措施可以是银行、保险公司等金融机构出具的预付款保函或其他担保措施。</w:t>
      </w:r>
    </w:p>
    <w:p w14:paraId="2E191399">
      <w:pPr>
        <w:pStyle w:val="38"/>
        <w:spacing w:line="360" w:lineRule="auto"/>
        <w:ind w:left="0" w:firstLine="482" w:firstLineChars="200"/>
        <w:rPr>
          <w:rFonts w:ascii="宋体" w:hAnsi="宋体"/>
          <w:b/>
          <w:color w:val="auto"/>
          <w:kern w:val="28"/>
          <w:sz w:val="24"/>
          <w:szCs w:val="24"/>
          <w:highlight w:val="none"/>
        </w:rPr>
      </w:pPr>
      <w:r>
        <w:rPr>
          <w:rFonts w:hint="eastAsia" w:ascii="宋体" w:hAnsi="宋体"/>
          <w:b/>
          <w:color w:val="auto"/>
          <w:kern w:val="28"/>
          <w:sz w:val="24"/>
          <w:szCs w:val="24"/>
          <w:highlight w:val="none"/>
        </w:rPr>
        <w:t>②中标单位应确保农民工工资的及时支付，如不及时支付引发事故的，责任由中标单位承担，因此给采购人造成损失的，赔偿损失。</w:t>
      </w:r>
    </w:p>
    <w:p w14:paraId="2F8A402E">
      <w:pPr>
        <w:pStyle w:val="38"/>
        <w:spacing w:line="360" w:lineRule="auto"/>
        <w:ind w:left="0" w:firstLine="482" w:firstLineChars="200"/>
        <w:rPr>
          <w:rFonts w:ascii="宋体" w:hAnsi="宋体"/>
          <w:b/>
          <w:color w:val="auto"/>
          <w:kern w:val="28"/>
          <w:sz w:val="24"/>
          <w:szCs w:val="24"/>
          <w:highlight w:val="none"/>
        </w:rPr>
      </w:pPr>
      <w:r>
        <w:rPr>
          <w:rFonts w:hint="eastAsia" w:ascii="宋体" w:hAnsi="宋体"/>
          <w:b/>
          <w:color w:val="auto"/>
          <w:kern w:val="28"/>
          <w:sz w:val="24"/>
          <w:szCs w:val="24"/>
          <w:highlight w:val="none"/>
        </w:rPr>
        <w:t>③参照《湖州市建筑施工领域农民工工资分账管理实施细则》（湖建发[2018]201号）及《湖州市住房和城乡建设局等3部门关于印发湖州市建筑施工领域农民工工资分账管理实施细则的通知》和《湖州市住房和城乡建设局 湖州市人力资源和社会保障局关于在本市部分建筑施工企业在同一县（区）试行农民工工资专用总账户工作的通知》的通知》，严格执行农民工工资支付相关要求，中标单位须办理农民工工资专用总账户，以确保确保农民工工资的及时支付。</w:t>
      </w:r>
    </w:p>
    <w:p w14:paraId="18CC3554">
      <w:pPr>
        <w:widowControl/>
        <w:snapToGrid w:val="0"/>
        <w:spacing w:line="360" w:lineRule="auto"/>
        <w:ind w:left="1"/>
        <w:jc w:val="left"/>
        <w:rPr>
          <w:rFonts w:ascii="宋体" w:hAnsi="宋体"/>
          <w:b/>
          <w:color w:val="auto"/>
          <w:kern w:val="0"/>
          <w:sz w:val="24"/>
          <w:highlight w:val="none"/>
        </w:rPr>
      </w:pPr>
      <w:r>
        <w:rPr>
          <w:rFonts w:hint="eastAsia" w:ascii="宋体" w:hAnsi="宋体"/>
          <w:b/>
          <w:color w:val="auto"/>
          <w:kern w:val="0"/>
          <w:sz w:val="24"/>
          <w:highlight w:val="none"/>
        </w:rPr>
        <w:t>九</w:t>
      </w:r>
      <w:r>
        <w:rPr>
          <w:rFonts w:ascii="宋体" w:hAnsi="宋体"/>
          <w:b/>
          <w:color w:val="auto"/>
          <w:kern w:val="0"/>
          <w:sz w:val="24"/>
          <w:highlight w:val="none"/>
        </w:rPr>
        <w:t>、质量要求</w:t>
      </w:r>
    </w:p>
    <w:p w14:paraId="0EEF357C">
      <w:pPr>
        <w:widowControl/>
        <w:snapToGrid w:val="0"/>
        <w:spacing w:line="360" w:lineRule="auto"/>
        <w:ind w:left="1" w:firstLine="480" w:firstLineChars="200"/>
        <w:jc w:val="left"/>
        <w:rPr>
          <w:rFonts w:ascii="宋体" w:hAnsi="宋体"/>
          <w:color w:val="auto"/>
          <w:kern w:val="0"/>
          <w:sz w:val="24"/>
          <w:highlight w:val="none"/>
        </w:rPr>
      </w:pPr>
      <w:r>
        <w:rPr>
          <w:rFonts w:ascii="宋体" w:hAnsi="宋体"/>
          <w:color w:val="auto"/>
          <w:kern w:val="0"/>
          <w:sz w:val="24"/>
          <w:highlight w:val="none"/>
        </w:rPr>
        <w:t>乙方应严格按照招标书和有关标准实施本工作，确保工作质量。</w:t>
      </w:r>
    </w:p>
    <w:p w14:paraId="76E7F6D3">
      <w:pPr>
        <w:snapToGrid w:val="0"/>
        <w:spacing w:line="360" w:lineRule="auto"/>
        <w:rPr>
          <w:rFonts w:ascii="宋体" w:hAnsi="宋体"/>
          <w:b/>
          <w:color w:val="auto"/>
          <w:sz w:val="24"/>
          <w:highlight w:val="none"/>
        </w:rPr>
      </w:pPr>
      <w:r>
        <w:rPr>
          <w:rFonts w:hint="eastAsia" w:ascii="宋体" w:hAnsi="宋体"/>
          <w:b/>
          <w:color w:val="auto"/>
          <w:sz w:val="24"/>
          <w:highlight w:val="none"/>
        </w:rPr>
        <w:t>十、税费</w:t>
      </w:r>
    </w:p>
    <w:p w14:paraId="74DEE21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37CD5899">
      <w:pPr>
        <w:widowControl/>
        <w:snapToGrid w:val="0"/>
        <w:spacing w:line="360" w:lineRule="auto"/>
        <w:ind w:left="412" w:hanging="412" w:hangingChars="171"/>
        <w:jc w:val="left"/>
        <w:rPr>
          <w:rFonts w:ascii="宋体" w:hAnsi="宋体"/>
          <w:color w:val="auto"/>
          <w:kern w:val="0"/>
          <w:sz w:val="24"/>
          <w:highlight w:val="none"/>
        </w:rPr>
      </w:pPr>
      <w:r>
        <w:rPr>
          <w:rFonts w:ascii="宋体" w:hAnsi="宋体"/>
          <w:b/>
          <w:color w:val="auto"/>
          <w:kern w:val="0"/>
          <w:sz w:val="24"/>
          <w:highlight w:val="none"/>
        </w:rPr>
        <w:t>十</w:t>
      </w:r>
      <w:r>
        <w:rPr>
          <w:rFonts w:hint="eastAsia" w:ascii="宋体" w:hAnsi="宋体"/>
          <w:b/>
          <w:color w:val="auto"/>
          <w:kern w:val="0"/>
          <w:sz w:val="24"/>
          <w:highlight w:val="none"/>
        </w:rPr>
        <w:t>一</w:t>
      </w:r>
      <w:r>
        <w:rPr>
          <w:rFonts w:ascii="宋体" w:hAnsi="宋体"/>
          <w:b/>
          <w:color w:val="auto"/>
          <w:kern w:val="0"/>
          <w:sz w:val="24"/>
          <w:highlight w:val="none"/>
        </w:rPr>
        <w:t>、</w:t>
      </w:r>
      <w:r>
        <w:rPr>
          <w:rFonts w:hint="eastAsia" w:ascii="宋体" w:hAnsi="宋体"/>
          <w:b/>
          <w:bCs/>
          <w:color w:val="auto"/>
          <w:sz w:val="24"/>
          <w:highlight w:val="none"/>
        </w:rPr>
        <w:t>履约保证、</w:t>
      </w:r>
      <w:r>
        <w:rPr>
          <w:rFonts w:ascii="宋体" w:hAnsi="宋体"/>
          <w:b/>
          <w:color w:val="auto"/>
          <w:kern w:val="0"/>
          <w:sz w:val="24"/>
          <w:highlight w:val="none"/>
        </w:rPr>
        <w:t>质量保证及售后服务</w:t>
      </w:r>
    </w:p>
    <w:p w14:paraId="46D60F9E">
      <w:pPr>
        <w:widowControl/>
        <w:snapToGrid w:val="0"/>
        <w:spacing w:line="360" w:lineRule="auto"/>
        <w:ind w:firstLine="480" w:firstLineChars="200"/>
        <w:jc w:val="left"/>
        <w:rPr>
          <w:rFonts w:ascii="宋体" w:hAnsi="宋体"/>
          <w:color w:val="auto"/>
          <w:kern w:val="0"/>
          <w:sz w:val="24"/>
          <w:highlight w:val="none"/>
        </w:rPr>
      </w:pPr>
      <w:r>
        <w:rPr>
          <w:rFonts w:hint="eastAsia" w:ascii="宋体" w:hAnsi="宋体"/>
          <w:bCs/>
          <w:color w:val="auto"/>
          <w:sz w:val="24"/>
          <w:highlight w:val="none"/>
        </w:rPr>
        <w:t>1.履约保证金：本项目无需提供。</w:t>
      </w:r>
    </w:p>
    <w:p w14:paraId="3BB3C611">
      <w:pPr>
        <w:widowControl/>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2．</w:t>
      </w:r>
      <w:r>
        <w:rPr>
          <w:rFonts w:ascii="宋体" w:hAnsi="宋体"/>
          <w:color w:val="auto"/>
          <w:kern w:val="0"/>
          <w:sz w:val="24"/>
          <w:highlight w:val="none"/>
        </w:rPr>
        <w:t>乙方应按招标文件规定向甲方提供服务。</w:t>
      </w:r>
    </w:p>
    <w:p w14:paraId="020BBFE5">
      <w:pPr>
        <w:widowControl/>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3．</w:t>
      </w:r>
      <w:r>
        <w:rPr>
          <w:rFonts w:ascii="宋体" w:hAnsi="宋体"/>
          <w:color w:val="auto"/>
          <w:kern w:val="0"/>
          <w:sz w:val="24"/>
          <w:highlight w:val="none"/>
        </w:rPr>
        <w:t>乙方提供的服务达不到要求，根据实际情况，甲方可按以下办法处理：</w:t>
      </w:r>
    </w:p>
    <w:p w14:paraId="7C83D15C">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（1）重做：由乙方承担所发生的全部费用。</w:t>
      </w:r>
    </w:p>
    <w:p w14:paraId="1B1003DD">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（2）贬值处理：由甲乙双方合议定价。</w:t>
      </w:r>
    </w:p>
    <w:p w14:paraId="17FC1FA2">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3</w:t>
      </w:r>
      <w:r>
        <w:rPr>
          <w:rFonts w:ascii="宋体" w:hAnsi="宋体"/>
          <w:color w:val="auto"/>
          <w:kern w:val="0"/>
          <w:sz w:val="24"/>
          <w:highlight w:val="none"/>
        </w:rPr>
        <w:t>）解除合同。</w:t>
      </w:r>
    </w:p>
    <w:p w14:paraId="69C04E93">
      <w:pPr>
        <w:widowControl/>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4</w:t>
      </w:r>
      <w:r>
        <w:rPr>
          <w:rFonts w:ascii="宋体" w:hAnsi="宋体"/>
          <w:color w:val="auto"/>
          <w:kern w:val="0"/>
          <w:sz w:val="24"/>
          <w:highlight w:val="none"/>
        </w:rPr>
        <w:t>．如在使用过程中发生问题，乙方在接到甲方通知后在1小时内到达甲方现场。</w:t>
      </w:r>
    </w:p>
    <w:p w14:paraId="69CDE2C0">
      <w:pPr>
        <w:widowControl/>
        <w:snapToGri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5</w:t>
      </w:r>
      <w:r>
        <w:rPr>
          <w:rFonts w:ascii="宋体" w:hAnsi="宋体"/>
          <w:color w:val="auto"/>
          <w:kern w:val="0"/>
          <w:sz w:val="24"/>
          <w:highlight w:val="none"/>
        </w:rPr>
        <w:t>．在服务质量保证期内，乙方应对出现的质量及安全问题负责处理解决并承担一切费用。</w:t>
      </w:r>
    </w:p>
    <w:p w14:paraId="196C124B">
      <w:pPr>
        <w:widowControl/>
        <w:snapToGrid w:val="0"/>
        <w:spacing w:line="360" w:lineRule="auto"/>
        <w:jc w:val="left"/>
        <w:rPr>
          <w:rFonts w:ascii="宋体" w:hAnsi="宋体"/>
          <w:b/>
          <w:color w:val="auto"/>
          <w:kern w:val="0"/>
          <w:sz w:val="24"/>
          <w:highlight w:val="none"/>
        </w:rPr>
      </w:pPr>
      <w:r>
        <w:rPr>
          <w:rFonts w:ascii="宋体" w:hAnsi="宋体"/>
          <w:b/>
          <w:color w:val="auto"/>
          <w:kern w:val="0"/>
          <w:sz w:val="24"/>
          <w:highlight w:val="none"/>
        </w:rPr>
        <w:t>十</w:t>
      </w:r>
      <w:r>
        <w:rPr>
          <w:rFonts w:hint="eastAsia" w:ascii="宋体" w:hAnsi="宋体"/>
          <w:b/>
          <w:color w:val="auto"/>
          <w:kern w:val="0"/>
          <w:sz w:val="24"/>
          <w:highlight w:val="none"/>
        </w:rPr>
        <w:t>二</w:t>
      </w:r>
      <w:r>
        <w:rPr>
          <w:rFonts w:ascii="宋体" w:hAnsi="宋体"/>
          <w:b/>
          <w:color w:val="auto"/>
          <w:kern w:val="0"/>
          <w:sz w:val="24"/>
          <w:highlight w:val="none"/>
        </w:rPr>
        <w:t>、违约责任</w:t>
      </w:r>
    </w:p>
    <w:p w14:paraId="13308EFD">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乙方不能按合同规定的内容提供服务时，甲方有权从</w:t>
      </w:r>
      <w:r>
        <w:rPr>
          <w:rFonts w:hint="eastAsia" w:ascii="宋体" w:hAnsi="宋体"/>
          <w:color w:val="auto"/>
          <w:kern w:val="0"/>
          <w:sz w:val="24"/>
          <w:highlight w:val="none"/>
        </w:rPr>
        <w:t>运营</w:t>
      </w:r>
      <w:r>
        <w:rPr>
          <w:rFonts w:ascii="宋体" w:hAnsi="宋体"/>
          <w:color w:val="auto"/>
          <w:kern w:val="0"/>
          <w:sz w:val="24"/>
          <w:highlight w:val="none"/>
        </w:rPr>
        <w:t>费中扣除相应款项；如遇严重情况，甲方可以终止合同。严重情况指甲方</w:t>
      </w:r>
      <w:r>
        <w:rPr>
          <w:rFonts w:hint="eastAsia" w:ascii="宋体" w:hAnsi="宋体"/>
          <w:color w:val="auto"/>
          <w:kern w:val="0"/>
          <w:sz w:val="24"/>
          <w:highlight w:val="none"/>
        </w:rPr>
        <w:t>两次</w:t>
      </w:r>
      <w:r>
        <w:rPr>
          <w:rFonts w:ascii="宋体" w:hAnsi="宋体"/>
          <w:color w:val="auto"/>
          <w:kern w:val="0"/>
          <w:sz w:val="24"/>
          <w:highlight w:val="none"/>
        </w:rPr>
        <w:t>书面通知</w:t>
      </w:r>
      <w:r>
        <w:rPr>
          <w:rFonts w:hint="eastAsia" w:ascii="宋体" w:hAnsi="宋体"/>
          <w:color w:val="auto"/>
          <w:kern w:val="0"/>
          <w:sz w:val="24"/>
          <w:highlight w:val="none"/>
        </w:rPr>
        <w:t>乙方整改，乙方</w:t>
      </w:r>
      <w:r>
        <w:rPr>
          <w:rFonts w:ascii="宋体" w:hAnsi="宋体"/>
          <w:color w:val="auto"/>
          <w:kern w:val="0"/>
          <w:sz w:val="24"/>
          <w:highlight w:val="none"/>
        </w:rPr>
        <w:t>仍不执行的。</w:t>
      </w:r>
    </w:p>
    <w:p w14:paraId="7FBF2345">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1．甲方无正当理由拒绝接受服务的，甲方向乙方偿付合同款项百分之五作为违约金。</w:t>
      </w:r>
    </w:p>
    <w:p w14:paraId="1CF36A41">
      <w:pPr>
        <w:widowControl/>
        <w:snapToGrid w:val="0"/>
        <w:spacing w:line="360" w:lineRule="auto"/>
        <w:ind w:firstLine="464" w:firstLineChars="200"/>
        <w:jc w:val="left"/>
        <w:rPr>
          <w:rFonts w:ascii="宋体" w:hAnsi="宋体"/>
          <w:color w:val="auto"/>
          <w:spacing w:val="-4"/>
          <w:kern w:val="0"/>
          <w:sz w:val="24"/>
          <w:highlight w:val="none"/>
        </w:rPr>
      </w:pPr>
      <w:r>
        <w:rPr>
          <w:rFonts w:ascii="宋体" w:hAnsi="宋体"/>
          <w:color w:val="auto"/>
          <w:spacing w:val="-4"/>
          <w:kern w:val="0"/>
          <w:sz w:val="24"/>
          <w:highlight w:val="none"/>
        </w:rPr>
        <w:t>2．甲方无故逾期验收</w:t>
      </w:r>
      <w:r>
        <w:rPr>
          <w:rFonts w:hint="eastAsia" w:ascii="宋体" w:hAnsi="宋体"/>
          <w:color w:val="auto"/>
          <w:spacing w:val="-4"/>
          <w:kern w:val="0"/>
          <w:sz w:val="24"/>
          <w:highlight w:val="none"/>
        </w:rPr>
        <w:t>或</w:t>
      </w:r>
      <w:r>
        <w:rPr>
          <w:rFonts w:ascii="宋体" w:hAnsi="宋体"/>
          <w:color w:val="auto"/>
          <w:spacing w:val="-4"/>
          <w:kern w:val="0"/>
          <w:sz w:val="24"/>
          <w:highlight w:val="none"/>
        </w:rPr>
        <w:t>办理款项支付手续的,甲方应按逾期付款总额每日万分之五向乙方支付违约金。</w:t>
      </w:r>
    </w:p>
    <w:p w14:paraId="338A8BA9">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w:t>
      </w:r>
      <w:r>
        <w:rPr>
          <w:rFonts w:hint="eastAsia" w:ascii="宋体" w:hAnsi="宋体"/>
          <w:color w:val="auto"/>
          <w:kern w:val="0"/>
          <w:sz w:val="24"/>
          <w:highlight w:val="none"/>
        </w:rPr>
        <w:t>5%</w:t>
      </w:r>
      <w:r>
        <w:rPr>
          <w:rFonts w:ascii="宋体" w:hAnsi="宋体"/>
          <w:color w:val="auto"/>
          <w:kern w:val="0"/>
          <w:sz w:val="24"/>
          <w:highlight w:val="none"/>
        </w:rPr>
        <w:t>的违约金，如造成甲方损失超过违约金的，超出部分由乙方继续承担赔偿责任。</w:t>
      </w:r>
    </w:p>
    <w:p w14:paraId="04999EC7">
      <w:pPr>
        <w:widowControl/>
        <w:snapToGrid w:val="0"/>
        <w:spacing w:line="360" w:lineRule="auto"/>
        <w:ind w:firstLine="480" w:firstLineChars="200"/>
        <w:jc w:val="left"/>
        <w:rPr>
          <w:color w:val="auto"/>
          <w:highlight w:val="none"/>
        </w:rPr>
      </w:pPr>
      <w:r>
        <w:rPr>
          <w:rFonts w:hint="eastAsia" w:ascii="宋体" w:hAnsi="宋体"/>
          <w:color w:val="auto"/>
          <w:kern w:val="0"/>
          <w:sz w:val="24"/>
          <w:highlight w:val="none"/>
        </w:rPr>
        <w:t xml:space="preserve"> 4.项目经理必须在湖州市办公且只服务于本项目，不得兼职其他项目。未达标的扣罚5万元；驿站督导员等其他人员配置不足影响运营效果的，扣罚5万元；多个分类设施设备损坏或无法正常使用的，超过1个月未维修的每次扣罚2万元。以上情况甲方书面通知乙方后仍不整改的扣罚10万元。</w:t>
      </w:r>
      <w:r>
        <w:rPr>
          <w:rFonts w:ascii="宋体" w:hAnsi="宋体"/>
          <w:color w:val="auto"/>
          <w:kern w:val="0"/>
          <w:sz w:val="24"/>
          <w:highlight w:val="none"/>
        </w:rPr>
        <w:t>甲方</w:t>
      </w:r>
      <w:r>
        <w:rPr>
          <w:rFonts w:hint="eastAsia" w:ascii="宋体" w:hAnsi="宋体"/>
          <w:color w:val="auto"/>
          <w:kern w:val="0"/>
          <w:sz w:val="24"/>
          <w:highlight w:val="none"/>
        </w:rPr>
        <w:t>两次</w:t>
      </w:r>
      <w:r>
        <w:rPr>
          <w:rFonts w:ascii="宋体" w:hAnsi="宋体"/>
          <w:color w:val="auto"/>
          <w:kern w:val="0"/>
          <w:sz w:val="24"/>
          <w:highlight w:val="none"/>
        </w:rPr>
        <w:t>书面通知</w:t>
      </w:r>
      <w:r>
        <w:rPr>
          <w:rFonts w:hint="eastAsia" w:ascii="宋体" w:hAnsi="宋体"/>
          <w:color w:val="auto"/>
          <w:kern w:val="0"/>
          <w:sz w:val="24"/>
          <w:highlight w:val="none"/>
        </w:rPr>
        <w:t>乙方整改，乙方</w:t>
      </w:r>
      <w:r>
        <w:rPr>
          <w:rFonts w:ascii="宋体" w:hAnsi="宋体"/>
          <w:color w:val="auto"/>
          <w:kern w:val="0"/>
          <w:sz w:val="24"/>
          <w:highlight w:val="none"/>
        </w:rPr>
        <w:t>仍不执行的</w:t>
      </w:r>
      <w:r>
        <w:rPr>
          <w:rFonts w:hint="eastAsia" w:ascii="宋体" w:hAnsi="宋体"/>
          <w:color w:val="auto"/>
          <w:kern w:val="0"/>
          <w:sz w:val="24"/>
          <w:highlight w:val="none"/>
        </w:rPr>
        <w:t>，</w:t>
      </w:r>
      <w:r>
        <w:rPr>
          <w:rFonts w:ascii="宋体" w:hAnsi="宋体"/>
          <w:color w:val="auto"/>
          <w:kern w:val="0"/>
          <w:sz w:val="24"/>
          <w:highlight w:val="none"/>
        </w:rPr>
        <w:t>甲方可以终止合同</w:t>
      </w:r>
      <w:r>
        <w:rPr>
          <w:rFonts w:hint="eastAsia" w:ascii="宋体" w:hAnsi="宋体"/>
          <w:color w:val="auto"/>
          <w:kern w:val="0"/>
          <w:sz w:val="24"/>
          <w:highlight w:val="none"/>
        </w:rPr>
        <w:t xml:space="preserve">。    </w:t>
      </w:r>
    </w:p>
    <w:p w14:paraId="7480FB58">
      <w:pPr>
        <w:pStyle w:val="38"/>
        <w:ind w:left="0" w:firstLine="0"/>
        <w:rPr>
          <w:color w:val="auto"/>
          <w:highlight w:val="none"/>
        </w:rPr>
      </w:pPr>
      <w:r>
        <w:rPr>
          <w:rFonts w:hint="eastAsia"/>
          <w:color w:val="auto"/>
          <w:highlight w:val="none"/>
        </w:rPr>
        <w:t xml:space="preserve">    </w:t>
      </w:r>
    </w:p>
    <w:p w14:paraId="3C51B37E">
      <w:pPr>
        <w:widowControl/>
        <w:snapToGrid w:val="0"/>
        <w:spacing w:line="360" w:lineRule="auto"/>
        <w:jc w:val="left"/>
        <w:rPr>
          <w:rFonts w:ascii="宋体" w:hAnsi="宋体"/>
          <w:b/>
          <w:color w:val="auto"/>
          <w:kern w:val="0"/>
          <w:sz w:val="24"/>
          <w:highlight w:val="none"/>
        </w:rPr>
      </w:pPr>
      <w:r>
        <w:rPr>
          <w:rFonts w:ascii="宋体" w:hAnsi="宋体"/>
          <w:b/>
          <w:color w:val="auto"/>
          <w:kern w:val="0"/>
          <w:sz w:val="24"/>
          <w:highlight w:val="none"/>
        </w:rPr>
        <w:t>十</w:t>
      </w:r>
      <w:r>
        <w:rPr>
          <w:rFonts w:hint="eastAsia" w:ascii="宋体" w:hAnsi="宋体"/>
          <w:b/>
          <w:color w:val="auto"/>
          <w:kern w:val="0"/>
          <w:sz w:val="24"/>
          <w:highlight w:val="none"/>
        </w:rPr>
        <w:t>三</w:t>
      </w:r>
      <w:r>
        <w:rPr>
          <w:rFonts w:ascii="宋体" w:hAnsi="宋体"/>
          <w:b/>
          <w:color w:val="auto"/>
          <w:kern w:val="0"/>
          <w:sz w:val="24"/>
          <w:highlight w:val="none"/>
        </w:rPr>
        <w:t>、不可抗力事件处理</w:t>
      </w:r>
    </w:p>
    <w:p w14:paraId="607F712D">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1. 在合同有效期内，任何一方因不可抗力事件导致不能履行合同，则合同履行期可延长，其延长期与不可抗力影响期相同。</w:t>
      </w:r>
    </w:p>
    <w:p w14:paraId="2764831A">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2. 不可抗力事件发生后，应立即通知对方，并寄送有关权威机构出具的证明。</w:t>
      </w:r>
    </w:p>
    <w:p w14:paraId="62397D15">
      <w:pPr>
        <w:widowControl/>
        <w:snapToGri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3. 不可抗力事件延续120天以上，双方应通过友好协商，确定是否继续履行合同。</w:t>
      </w:r>
    </w:p>
    <w:p w14:paraId="3479E5DA">
      <w:pPr>
        <w:widowControl/>
        <w:snapToGrid w:val="0"/>
        <w:spacing w:line="360" w:lineRule="auto"/>
        <w:jc w:val="left"/>
        <w:rPr>
          <w:rFonts w:ascii="宋体" w:hAnsi="宋体"/>
          <w:b/>
          <w:bCs/>
          <w:color w:val="auto"/>
          <w:kern w:val="0"/>
          <w:sz w:val="24"/>
          <w:highlight w:val="none"/>
        </w:rPr>
      </w:pPr>
      <w:r>
        <w:rPr>
          <w:rFonts w:ascii="宋体" w:hAnsi="宋体"/>
          <w:b/>
          <w:bCs/>
          <w:color w:val="auto"/>
          <w:kern w:val="0"/>
          <w:sz w:val="24"/>
          <w:highlight w:val="none"/>
        </w:rPr>
        <w:t>十</w:t>
      </w:r>
      <w:r>
        <w:rPr>
          <w:rFonts w:hint="eastAsia" w:ascii="宋体" w:hAnsi="宋体"/>
          <w:b/>
          <w:bCs/>
          <w:color w:val="auto"/>
          <w:kern w:val="0"/>
          <w:sz w:val="24"/>
          <w:highlight w:val="none"/>
        </w:rPr>
        <w:t>四</w:t>
      </w:r>
      <w:r>
        <w:rPr>
          <w:rFonts w:ascii="宋体" w:hAnsi="宋体"/>
          <w:b/>
          <w:bCs/>
          <w:color w:val="auto"/>
          <w:kern w:val="0"/>
          <w:sz w:val="24"/>
          <w:highlight w:val="none"/>
        </w:rPr>
        <w:t>、诉讼</w:t>
      </w:r>
    </w:p>
    <w:p w14:paraId="4A39FD3E">
      <w:pPr>
        <w:widowControl/>
        <w:snapToGrid w:val="0"/>
        <w:spacing w:line="360" w:lineRule="auto"/>
        <w:ind w:left="1" w:firstLine="480" w:firstLineChars="200"/>
        <w:jc w:val="left"/>
        <w:rPr>
          <w:rFonts w:ascii="宋体" w:hAnsi="宋体"/>
          <w:color w:val="auto"/>
          <w:kern w:val="0"/>
          <w:sz w:val="24"/>
          <w:highlight w:val="none"/>
        </w:rPr>
      </w:pPr>
      <w:r>
        <w:rPr>
          <w:rFonts w:ascii="宋体" w:hAnsi="宋体"/>
          <w:color w:val="auto"/>
          <w:kern w:val="0"/>
          <w:sz w:val="24"/>
          <w:highlight w:val="none"/>
        </w:rPr>
        <w:t>双方在执行合同中所发生的一切争议，应通过协商解决。如协商不成，可向</w:t>
      </w:r>
      <w:r>
        <w:rPr>
          <w:rFonts w:hint="eastAsia" w:ascii="宋体" w:hAnsi="宋体"/>
          <w:color w:val="auto"/>
          <w:kern w:val="0"/>
          <w:sz w:val="24"/>
          <w:highlight w:val="none"/>
          <w:u w:val="single"/>
        </w:rPr>
        <w:t>湖州市</w:t>
      </w:r>
      <w:r>
        <w:rPr>
          <w:rFonts w:ascii="宋体" w:hAnsi="宋体"/>
          <w:color w:val="auto"/>
          <w:kern w:val="0"/>
          <w:sz w:val="24"/>
          <w:highlight w:val="none"/>
        </w:rPr>
        <w:t>法院起诉。</w:t>
      </w:r>
    </w:p>
    <w:p w14:paraId="2A47905B">
      <w:pPr>
        <w:spacing w:line="440" w:lineRule="exact"/>
        <w:rPr>
          <w:rFonts w:ascii="宋体" w:hAnsi="宋体"/>
          <w:b/>
          <w:bCs/>
          <w:color w:val="auto"/>
          <w:sz w:val="24"/>
          <w:highlight w:val="none"/>
        </w:rPr>
      </w:pPr>
      <w:r>
        <w:rPr>
          <w:rFonts w:hint="eastAsia" w:ascii="宋体" w:hAnsi="宋体"/>
          <w:b/>
          <w:bCs/>
          <w:color w:val="auto"/>
          <w:sz w:val="24"/>
          <w:highlight w:val="none"/>
        </w:rPr>
        <w:t>十五、适用法律</w:t>
      </w:r>
    </w:p>
    <w:p w14:paraId="28A4CFB3">
      <w:pPr>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合同适用法律有《中华人民共和国政府采购法》、《中华人民共和国民法典》、《中华人民共和国产品质量法》和浙江省有关条例等。</w:t>
      </w:r>
    </w:p>
    <w:p w14:paraId="1D85EA8B">
      <w:pPr>
        <w:spacing w:line="440" w:lineRule="exact"/>
        <w:rPr>
          <w:rFonts w:ascii="宋体" w:hAnsi="宋体"/>
          <w:b/>
          <w:bCs/>
          <w:color w:val="auto"/>
          <w:sz w:val="24"/>
          <w:highlight w:val="none"/>
        </w:rPr>
      </w:pPr>
      <w:r>
        <w:rPr>
          <w:rFonts w:hint="eastAsia" w:ascii="宋体" w:hAnsi="宋体"/>
          <w:b/>
          <w:bCs/>
          <w:color w:val="auto"/>
          <w:sz w:val="24"/>
          <w:highlight w:val="none"/>
        </w:rPr>
        <w:t>十六、合同生效及其他</w:t>
      </w:r>
    </w:p>
    <w:p w14:paraId="194884CF">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1.本合同经双方法人及法定代表人签字盖章生效；</w:t>
      </w:r>
    </w:p>
    <w:p w14:paraId="7192D0B7">
      <w:pPr>
        <w:spacing w:line="440" w:lineRule="exact"/>
        <w:ind w:firstLine="480" w:firstLineChars="200"/>
        <w:rPr>
          <w:rFonts w:ascii="宋体" w:hAnsi="宋体"/>
          <w:bCs/>
          <w:color w:val="auto"/>
          <w:sz w:val="24"/>
          <w:highlight w:val="none"/>
        </w:rPr>
      </w:pPr>
      <w:r>
        <w:rPr>
          <w:rFonts w:hint="eastAsia" w:ascii="宋体" w:hAnsi="宋体"/>
          <w:bCs/>
          <w:color w:val="auto"/>
          <w:sz w:val="24"/>
          <w:highlight w:val="none"/>
        </w:rPr>
        <w:t>2.本合同一式四份，供应商、采购人各执贰份。</w:t>
      </w:r>
    </w:p>
    <w:p w14:paraId="4A94D164">
      <w:pPr>
        <w:tabs>
          <w:tab w:val="left" w:pos="144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甲方：                                   乙方：</w:t>
      </w:r>
    </w:p>
    <w:p w14:paraId="18F2DA72">
      <w:pPr>
        <w:tabs>
          <w:tab w:val="left" w:pos="144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法定代表人：                             法定代表人：</w:t>
      </w:r>
    </w:p>
    <w:p w14:paraId="429B0549">
      <w:pPr>
        <w:tabs>
          <w:tab w:val="left" w:pos="1440"/>
        </w:tabs>
        <w:spacing w:line="440" w:lineRule="exact"/>
        <w:ind w:firstLine="480" w:firstLineChars="200"/>
        <w:rPr>
          <w:color w:val="auto"/>
          <w:highlight w:val="none"/>
        </w:rPr>
      </w:pPr>
      <w:r>
        <w:rPr>
          <w:rFonts w:hint="eastAsia" w:ascii="宋体" w:hAnsi="宋体"/>
          <w:color w:val="auto"/>
          <w:sz w:val="24"/>
          <w:highlight w:val="none"/>
        </w:rPr>
        <w:t>日期：                                   日期：</w:t>
      </w:r>
      <w:bookmarkEnd w:id="69"/>
      <w:bookmarkEnd w:id="70"/>
      <w:bookmarkEnd w:id="71"/>
    </w:p>
    <w:p w14:paraId="2E3DA2FD">
      <w:pPr>
        <w:tabs>
          <w:tab w:val="left" w:pos="1440"/>
        </w:tabs>
        <w:spacing w:line="530" w:lineRule="exact"/>
        <w:jc w:val="left"/>
        <w:rPr>
          <w:rFonts w:ascii="宋体" w:hAnsi="宋体"/>
          <w:b/>
          <w:color w:val="auto"/>
          <w:sz w:val="24"/>
          <w:highlight w:val="none"/>
        </w:rPr>
      </w:pPr>
      <w:r>
        <w:rPr>
          <w:rFonts w:hint="eastAsia" w:ascii="宋体" w:hAnsi="宋体"/>
          <w:b/>
          <w:color w:val="auto"/>
          <w:sz w:val="24"/>
          <w:highlight w:val="none"/>
        </w:rPr>
        <w:t>注：本合同仅作参考文本，具体以双方签定的正式合同为准，合同内容不得违背本招标文件实质性要求。</w:t>
      </w:r>
    </w:p>
    <w:p w14:paraId="26F6BEF9">
      <w:pPr>
        <w:pStyle w:val="8"/>
        <w:rPr>
          <w:rFonts w:hAnsi="宋体" w:cs="宋体"/>
          <w:color w:val="auto"/>
          <w:sz w:val="24"/>
          <w:highlight w:val="none"/>
        </w:rPr>
      </w:pPr>
    </w:p>
    <w:p w14:paraId="7E614F61">
      <w:pPr>
        <w:numPr>
          <w:ilvl w:val="0"/>
          <w:numId w:val="10"/>
        </w:numPr>
        <w:spacing w:line="360" w:lineRule="auto"/>
        <w:jc w:val="center"/>
        <w:outlineLvl w:val="0"/>
        <w:rPr>
          <w:rFonts w:ascii="宋体" w:hAnsi="宋体" w:cs="宋体"/>
          <w:b/>
          <w:color w:val="auto"/>
          <w:sz w:val="32"/>
          <w:szCs w:val="32"/>
          <w:highlight w:val="none"/>
        </w:rPr>
        <w:sectPr>
          <w:pgSz w:w="11906" w:h="16838"/>
          <w:pgMar w:top="1531" w:right="779" w:bottom="1134" w:left="1134" w:header="851" w:footer="427" w:gutter="0"/>
          <w:cols w:space="720" w:num="1"/>
          <w:docGrid w:linePitch="312" w:charSpace="0"/>
        </w:sectPr>
      </w:pPr>
    </w:p>
    <w:p w14:paraId="5B454909">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第五章 投标格式与附件</w:t>
      </w:r>
      <w:bookmarkEnd w:id="61"/>
    </w:p>
    <w:p w14:paraId="55340C81">
      <w:pPr>
        <w:pStyle w:val="6"/>
        <w:spacing w:before="195"/>
        <w:ind w:left="0" w:right="757"/>
        <w:jc w:val="center"/>
        <w:rPr>
          <w:rFonts w:ascii="宋体" w:hAnsi="宋体" w:eastAsia="宋体" w:cs="宋体"/>
          <w:color w:val="auto"/>
          <w:highlight w:val="none"/>
        </w:rPr>
      </w:pPr>
      <w:r>
        <w:rPr>
          <w:rFonts w:hint="eastAsia" w:ascii="宋体" w:hAnsi="宋体" w:eastAsia="宋体" w:cs="宋体"/>
          <w:color w:val="auto"/>
          <w:highlight w:val="none"/>
        </w:rPr>
        <w:t>（本章仅提供部分标准通用表格，其余请根据招标文件要求格式自拟。）</w:t>
      </w:r>
    </w:p>
    <w:p w14:paraId="77579BD9">
      <w:pPr>
        <w:pStyle w:val="2"/>
        <w:ind w:firstLine="280"/>
        <w:rPr>
          <w:rFonts w:ascii="宋体" w:hAnsi="宋体" w:cs="宋体"/>
          <w:color w:val="auto"/>
          <w:highlight w:val="none"/>
        </w:rPr>
      </w:pPr>
    </w:p>
    <w:p w14:paraId="20DF99DB">
      <w:pPr>
        <w:snapToGrid w:val="0"/>
        <w:spacing w:before="120" w:beforeLines="50" w:after="50"/>
        <w:rPr>
          <w:rFonts w:ascii="宋体" w:hAnsi="宋体" w:cs="宋体"/>
          <w:b/>
          <w:bCs/>
          <w:color w:val="auto"/>
          <w:szCs w:val="28"/>
          <w:highlight w:val="none"/>
        </w:rPr>
      </w:pPr>
    </w:p>
    <w:p w14:paraId="4D5EF40B">
      <w:pPr>
        <w:snapToGrid w:val="0"/>
        <w:spacing w:before="120" w:beforeLines="50" w:after="50"/>
        <w:rPr>
          <w:rFonts w:ascii="宋体" w:hAnsi="宋体" w:cs="宋体"/>
          <w:b/>
          <w:color w:val="auto"/>
          <w:szCs w:val="28"/>
          <w:highlight w:val="none"/>
        </w:rPr>
      </w:pPr>
      <w:r>
        <w:rPr>
          <w:rFonts w:hint="eastAsia" w:ascii="宋体" w:hAnsi="宋体" w:cs="宋体"/>
          <w:b/>
          <w:color w:val="auto"/>
          <w:szCs w:val="21"/>
          <w:highlight w:val="none"/>
        </w:rPr>
        <w:t>资格证明文件/技术、商务、资信及其他文件/报价文件封面格式：</w:t>
      </w:r>
    </w:p>
    <w:p w14:paraId="3AB0B1CE">
      <w:pPr>
        <w:pStyle w:val="2"/>
        <w:ind w:firstLine="281"/>
        <w:rPr>
          <w:rFonts w:ascii="宋体" w:hAnsi="宋体" w:cs="宋体"/>
          <w:b/>
          <w:bCs/>
          <w:color w:val="auto"/>
          <w:szCs w:val="28"/>
          <w:highlight w:val="none"/>
        </w:rPr>
      </w:pPr>
      <w:r>
        <w:rPr>
          <w:rFonts w:hint="eastAsia" w:ascii="宋体" w:hAnsi="宋体" w:cs="宋体"/>
          <w:b/>
          <w:bCs/>
          <w:color w:val="auto"/>
          <w:szCs w:val="28"/>
          <w:highlight w:val="none"/>
        </w:rPr>
        <w:t xml:space="preserve"> </w:t>
      </w:r>
    </w:p>
    <w:p w14:paraId="5176F49C">
      <w:pPr>
        <w:pStyle w:val="2"/>
        <w:ind w:firstLine="281"/>
        <w:rPr>
          <w:rFonts w:ascii="宋体" w:hAnsi="宋体" w:cs="宋体"/>
          <w:b/>
          <w:bCs/>
          <w:color w:val="auto"/>
          <w:szCs w:val="28"/>
          <w:highlight w:val="none"/>
        </w:rPr>
      </w:pPr>
    </w:p>
    <w:p w14:paraId="2FF32C77">
      <w:pPr>
        <w:adjustRightInd w:val="0"/>
        <w:snapToGrid w:val="0"/>
        <w:spacing w:line="360" w:lineRule="auto"/>
        <w:jc w:val="center"/>
        <w:rPr>
          <w:rFonts w:ascii="宋体" w:hAnsi="宋体" w:cs="宋体"/>
          <w:b/>
          <w:snapToGrid w:val="0"/>
          <w:color w:val="auto"/>
          <w:sz w:val="44"/>
          <w:szCs w:val="44"/>
          <w:highlight w:val="none"/>
        </w:rPr>
      </w:pPr>
      <w:r>
        <w:rPr>
          <w:rFonts w:hint="eastAsia" w:ascii="宋体" w:hAnsi="宋体" w:cs="宋体"/>
          <w:bCs/>
          <w:snapToGrid w:val="0"/>
          <w:color w:val="auto"/>
          <w:sz w:val="44"/>
          <w:szCs w:val="44"/>
          <w:highlight w:val="none"/>
        </w:rPr>
        <w:t xml:space="preserve">2024年滨湖街道城市小区生活垃圾精准分类项目 </w:t>
      </w:r>
    </w:p>
    <w:p w14:paraId="1B58AB4D">
      <w:pPr>
        <w:snapToGrid w:val="0"/>
        <w:spacing w:before="120" w:beforeLines="50" w:after="50"/>
        <w:rPr>
          <w:rFonts w:ascii="宋体" w:hAnsi="宋体" w:cs="宋体"/>
          <w:bCs/>
          <w:color w:val="auto"/>
          <w:sz w:val="24"/>
          <w:szCs w:val="20"/>
          <w:highlight w:val="none"/>
        </w:rPr>
      </w:pPr>
    </w:p>
    <w:p w14:paraId="64202C55">
      <w:pPr>
        <w:snapToGrid w:val="0"/>
        <w:spacing w:before="120" w:beforeLines="50" w:after="50"/>
        <w:jc w:val="center"/>
        <w:rPr>
          <w:rFonts w:ascii="宋体" w:hAnsi="宋体" w:cs="宋体"/>
          <w:bCs/>
          <w:color w:val="auto"/>
          <w:sz w:val="30"/>
          <w:szCs w:val="30"/>
          <w:highlight w:val="none"/>
        </w:rPr>
      </w:pPr>
      <w:r>
        <w:rPr>
          <w:rFonts w:hint="eastAsia" w:ascii="宋体" w:hAnsi="宋体" w:cs="宋体"/>
          <w:bCs/>
          <w:color w:val="auto"/>
          <w:sz w:val="30"/>
          <w:szCs w:val="30"/>
          <w:highlight w:val="none"/>
        </w:rPr>
        <w:t>资格文件/技术、商务、资信及其他部分文件/报价文件</w:t>
      </w:r>
    </w:p>
    <w:p w14:paraId="4CE08522">
      <w:pPr>
        <w:snapToGrid w:val="0"/>
        <w:spacing w:before="120" w:beforeLines="50" w:after="50"/>
        <w:rPr>
          <w:rFonts w:ascii="宋体" w:hAnsi="宋体" w:cs="宋体"/>
          <w:bCs/>
          <w:color w:val="auto"/>
          <w:sz w:val="24"/>
          <w:szCs w:val="20"/>
          <w:highlight w:val="none"/>
        </w:rPr>
      </w:pPr>
    </w:p>
    <w:p w14:paraId="5E512EB8">
      <w:pPr>
        <w:snapToGrid w:val="0"/>
        <w:spacing w:before="120" w:beforeLines="50" w:after="50"/>
        <w:jc w:val="center"/>
        <w:rPr>
          <w:rFonts w:ascii="宋体" w:hAnsi="宋体" w:cs="宋体"/>
          <w:bCs/>
          <w:color w:val="auto"/>
          <w:sz w:val="24"/>
          <w:szCs w:val="20"/>
          <w:highlight w:val="none"/>
        </w:rPr>
      </w:pPr>
    </w:p>
    <w:p w14:paraId="5D4EC200">
      <w:pPr>
        <w:adjustRightInd w:val="0"/>
        <w:snapToGrid w:val="0"/>
        <w:spacing w:before="120" w:beforeLines="50" w:after="120" w:afterLines="50" w:line="500" w:lineRule="exact"/>
        <w:ind w:firstLine="1120" w:firstLineChars="400"/>
        <w:rPr>
          <w:rFonts w:ascii="宋体" w:hAnsi="宋体" w:cs="宋体"/>
          <w:bCs/>
          <w:color w:val="auto"/>
          <w:szCs w:val="21"/>
          <w:highlight w:val="none"/>
          <w:u w:val="single"/>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rPr>
        <w:t xml:space="preserve">                                     </w:t>
      </w:r>
    </w:p>
    <w:p w14:paraId="0D8CFF62">
      <w:pPr>
        <w:pStyle w:val="2"/>
        <w:ind w:firstLine="280"/>
        <w:rPr>
          <w:color w:val="auto"/>
          <w:highlight w:val="none"/>
        </w:rPr>
      </w:pPr>
      <w:r>
        <w:rPr>
          <w:rFonts w:hint="eastAsia" w:ascii="宋体" w:hAnsi="宋体" w:cs="宋体"/>
          <w:bCs/>
          <w:color w:val="auto"/>
          <w:szCs w:val="21"/>
          <w:highlight w:val="none"/>
        </w:rPr>
        <w:t xml:space="preserve">      标    段：</w:t>
      </w:r>
      <w:r>
        <w:rPr>
          <w:rFonts w:hint="eastAsia" w:ascii="宋体" w:hAnsi="宋体" w:cs="宋体"/>
          <w:bCs/>
          <w:color w:val="auto"/>
          <w:szCs w:val="21"/>
          <w:highlight w:val="none"/>
          <w:u w:val="single"/>
        </w:rPr>
        <w:t xml:space="preserve">                                     </w:t>
      </w:r>
    </w:p>
    <w:p w14:paraId="554813CE">
      <w:pPr>
        <w:adjustRightInd w:val="0"/>
        <w:snapToGrid w:val="0"/>
        <w:spacing w:before="120" w:beforeLines="50" w:after="120" w:afterLines="50" w:line="500" w:lineRule="exact"/>
        <w:ind w:firstLine="1120" w:firstLineChars="400"/>
        <w:rPr>
          <w:rFonts w:ascii="宋体" w:hAnsi="宋体" w:cs="宋体"/>
          <w:bCs/>
          <w:color w:val="auto"/>
          <w:szCs w:val="21"/>
          <w:highlight w:val="none"/>
          <w:u w:val="single"/>
        </w:rPr>
      </w:pPr>
      <w:r>
        <w:rPr>
          <w:rFonts w:hint="eastAsia" w:ascii="宋体" w:hAnsi="宋体" w:cs="宋体"/>
          <w:bCs/>
          <w:color w:val="auto"/>
          <w:szCs w:val="21"/>
          <w:highlight w:val="none"/>
        </w:rPr>
        <w:t>项目编号：</w:t>
      </w:r>
      <w:r>
        <w:rPr>
          <w:rFonts w:hint="eastAsia" w:ascii="宋体" w:hAnsi="宋体" w:cs="宋体"/>
          <w:bCs/>
          <w:color w:val="auto"/>
          <w:szCs w:val="21"/>
          <w:highlight w:val="none"/>
          <w:u w:val="single"/>
        </w:rPr>
        <w:t xml:space="preserve">                                     </w:t>
      </w:r>
    </w:p>
    <w:p w14:paraId="2F1473AD">
      <w:pPr>
        <w:adjustRightInd w:val="0"/>
        <w:snapToGrid w:val="0"/>
        <w:spacing w:before="120" w:beforeLines="50" w:after="120" w:afterLines="50" w:line="500" w:lineRule="exact"/>
        <w:ind w:firstLine="1120" w:firstLineChars="400"/>
        <w:rPr>
          <w:rFonts w:ascii="宋体" w:hAnsi="宋体" w:cs="宋体"/>
          <w:color w:val="auto"/>
          <w:szCs w:val="21"/>
          <w:highlight w:val="none"/>
        </w:rPr>
      </w:pPr>
      <w:r>
        <w:rPr>
          <w:rFonts w:hint="eastAsia" w:ascii="宋体" w:hAnsi="宋体" w:cs="宋体"/>
          <w:color w:val="auto"/>
          <w:szCs w:val="21"/>
          <w:highlight w:val="none"/>
        </w:rPr>
        <w:t>投标人名称（盖章）：</w:t>
      </w:r>
      <w:r>
        <w:rPr>
          <w:rFonts w:hint="eastAsia" w:ascii="宋体" w:hAnsi="宋体" w:cs="宋体"/>
          <w:bCs/>
          <w:color w:val="auto"/>
          <w:szCs w:val="21"/>
          <w:highlight w:val="none"/>
          <w:u w:val="single"/>
        </w:rPr>
        <w:t xml:space="preserve">                            </w:t>
      </w:r>
    </w:p>
    <w:p w14:paraId="5A3670E4">
      <w:pPr>
        <w:adjustRightInd w:val="0"/>
        <w:snapToGrid w:val="0"/>
        <w:spacing w:before="120" w:beforeLines="50" w:after="120" w:afterLines="50" w:line="500" w:lineRule="exact"/>
        <w:ind w:firstLine="1120" w:firstLineChars="400"/>
        <w:rPr>
          <w:rFonts w:ascii="宋体" w:hAnsi="宋体" w:cs="宋体"/>
          <w:color w:val="auto"/>
          <w:szCs w:val="21"/>
          <w:highlight w:val="none"/>
        </w:rPr>
      </w:pPr>
      <w:r>
        <w:rPr>
          <w:rFonts w:hint="eastAsia" w:ascii="宋体" w:hAnsi="宋体" w:cs="宋体"/>
          <w:color w:val="auto"/>
          <w:szCs w:val="21"/>
          <w:highlight w:val="none"/>
        </w:rPr>
        <w:t>投标人地址：</w:t>
      </w:r>
      <w:r>
        <w:rPr>
          <w:rFonts w:hint="eastAsia" w:ascii="宋体" w:hAnsi="宋体" w:cs="宋体"/>
          <w:bCs/>
          <w:color w:val="auto"/>
          <w:szCs w:val="21"/>
          <w:highlight w:val="none"/>
          <w:u w:val="single"/>
        </w:rPr>
        <w:t xml:space="preserve">                                   </w:t>
      </w:r>
    </w:p>
    <w:p w14:paraId="7189B4FF">
      <w:pPr>
        <w:adjustRightInd w:val="0"/>
        <w:snapToGrid w:val="0"/>
        <w:spacing w:before="120" w:beforeLines="50" w:after="120" w:afterLines="50" w:line="500" w:lineRule="exact"/>
        <w:ind w:firstLine="1120" w:firstLineChars="400"/>
        <w:rPr>
          <w:rFonts w:ascii="宋体" w:hAnsi="宋体" w:cs="宋体"/>
          <w:bCs/>
          <w:color w:val="auto"/>
          <w:szCs w:val="21"/>
          <w:highlight w:val="none"/>
        </w:rPr>
      </w:pPr>
      <w:r>
        <w:rPr>
          <w:rFonts w:hint="eastAsia" w:ascii="宋体" w:hAnsi="宋体" w:cs="宋体"/>
          <w:bCs/>
          <w:color w:val="auto"/>
          <w:szCs w:val="21"/>
          <w:highlight w:val="none"/>
        </w:rPr>
        <w:t>授权代表签字：</w:t>
      </w:r>
      <w:r>
        <w:rPr>
          <w:rFonts w:hint="eastAsia" w:ascii="宋体" w:hAnsi="宋体" w:cs="宋体"/>
          <w:bCs/>
          <w:color w:val="auto"/>
          <w:szCs w:val="21"/>
          <w:highlight w:val="none"/>
          <w:u w:val="single"/>
        </w:rPr>
        <w:t xml:space="preserve">                                 </w:t>
      </w:r>
    </w:p>
    <w:p w14:paraId="2FA526D0">
      <w:pPr>
        <w:adjustRightInd w:val="0"/>
        <w:snapToGrid w:val="0"/>
        <w:spacing w:before="120" w:beforeLines="50" w:after="120" w:afterLines="50" w:line="500" w:lineRule="exact"/>
        <w:ind w:firstLine="1120" w:firstLineChars="400"/>
        <w:rPr>
          <w:rFonts w:ascii="宋体" w:hAnsi="宋体" w:cs="宋体"/>
          <w:bCs/>
          <w:color w:val="auto"/>
          <w:szCs w:val="21"/>
          <w:highlight w:val="none"/>
        </w:rPr>
      </w:pP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w:t>
      </w:r>
    </w:p>
    <w:p w14:paraId="3A490A14">
      <w:pPr>
        <w:snapToGrid w:val="0"/>
        <w:spacing w:before="120" w:beforeLines="50" w:after="50"/>
        <w:rPr>
          <w:rFonts w:ascii="宋体" w:hAnsi="宋体" w:cs="宋体"/>
          <w:bCs/>
          <w:color w:val="auto"/>
          <w:sz w:val="24"/>
          <w:highlight w:val="none"/>
        </w:rPr>
      </w:pPr>
    </w:p>
    <w:p w14:paraId="45EC0381">
      <w:pPr>
        <w:snapToGrid w:val="0"/>
        <w:spacing w:before="120" w:beforeLines="50" w:after="50"/>
        <w:jc w:val="center"/>
        <w:rPr>
          <w:rFonts w:ascii="宋体" w:hAnsi="宋体" w:cs="宋体"/>
          <w:bCs/>
          <w:color w:val="auto"/>
          <w:sz w:val="24"/>
          <w:highlight w:val="none"/>
        </w:rPr>
      </w:pPr>
    </w:p>
    <w:p w14:paraId="195F823A">
      <w:pPr>
        <w:pStyle w:val="2"/>
        <w:ind w:firstLine="0" w:firstLineChars="0"/>
        <w:rPr>
          <w:rFonts w:ascii="宋体" w:hAnsi="宋体" w:cs="宋体"/>
          <w:b/>
          <w:color w:val="auto"/>
          <w:sz w:val="44"/>
          <w:szCs w:val="44"/>
          <w:highlight w:val="none"/>
        </w:rPr>
      </w:pPr>
    </w:p>
    <w:p w14:paraId="32658EFF">
      <w:pPr>
        <w:rPr>
          <w:rFonts w:ascii="宋体" w:hAnsi="宋体" w:cs="宋体"/>
          <w:color w:val="auto"/>
          <w:highlight w:val="none"/>
        </w:rPr>
      </w:pPr>
    </w:p>
    <w:p w14:paraId="0826C801">
      <w:pPr>
        <w:adjustRightInd w:val="0"/>
        <w:snapToGrid w:val="0"/>
        <w:spacing w:line="360" w:lineRule="exact"/>
        <w:rPr>
          <w:rFonts w:ascii="宋体" w:hAnsi="宋体" w:cs="宋体"/>
          <w:b/>
          <w:color w:val="auto"/>
          <w:szCs w:val="21"/>
          <w:highlight w:val="none"/>
        </w:rPr>
      </w:pPr>
    </w:p>
    <w:p w14:paraId="0CEEF8AF">
      <w:pPr>
        <w:adjustRightInd w:val="0"/>
        <w:snapToGrid w:val="0"/>
        <w:spacing w:line="360" w:lineRule="exact"/>
        <w:rPr>
          <w:rFonts w:ascii="宋体" w:hAnsi="宋体" w:cs="宋体"/>
          <w:b/>
          <w:color w:val="auto"/>
          <w:szCs w:val="28"/>
          <w:highlight w:val="none"/>
        </w:rPr>
      </w:pPr>
    </w:p>
    <w:p w14:paraId="38DD3C7D">
      <w:pPr>
        <w:pStyle w:val="2"/>
        <w:ind w:firstLine="280"/>
        <w:rPr>
          <w:color w:val="auto"/>
          <w:highlight w:val="none"/>
        </w:rPr>
      </w:pPr>
    </w:p>
    <w:p w14:paraId="7E5D29ED">
      <w:pPr>
        <w:adjustRightInd w:val="0"/>
        <w:snapToGrid w:val="0"/>
        <w:spacing w:line="360" w:lineRule="exact"/>
        <w:rPr>
          <w:rFonts w:ascii="宋体" w:hAnsi="宋体" w:cs="宋体"/>
          <w:b/>
          <w:color w:val="auto"/>
          <w:szCs w:val="28"/>
          <w:highlight w:val="none"/>
        </w:rPr>
      </w:pPr>
    </w:p>
    <w:p w14:paraId="67E7D60A">
      <w:pPr>
        <w:adjustRightInd w:val="0"/>
        <w:snapToGrid w:val="0"/>
        <w:spacing w:line="360" w:lineRule="exact"/>
        <w:rPr>
          <w:rFonts w:ascii="宋体" w:hAnsi="宋体" w:cs="宋体"/>
          <w:b/>
          <w:color w:val="auto"/>
          <w:szCs w:val="28"/>
          <w:highlight w:val="none"/>
        </w:rPr>
      </w:pPr>
      <w:r>
        <w:rPr>
          <w:rFonts w:hint="eastAsia" w:ascii="宋体" w:hAnsi="宋体" w:cs="宋体"/>
          <w:b/>
          <w:color w:val="auto"/>
          <w:szCs w:val="28"/>
          <w:highlight w:val="none"/>
        </w:rPr>
        <w:t>三、资格证明文件目录（具体参考投标须知“投标文件的组成”）</w:t>
      </w:r>
    </w:p>
    <w:p w14:paraId="542CA97A">
      <w:pPr>
        <w:snapToGrid w:val="0"/>
        <w:spacing w:line="440" w:lineRule="exact"/>
        <w:jc w:val="left"/>
        <w:rPr>
          <w:rFonts w:ascii="宋体" w:hAnsi="宋体" w:cs="宋体"/>
          <w:b/>
          <w:color w:val="auto"/>
          <w:szCs w:val="28"/>
          <w:highlight w:val="none"/>
        </w:rPr>
      </w:pPr>
      <w:r>
        <w:rPr>
          <w:rFonts w:hint="eastAsia" w:ascii="宋体" w:hAnsi="宋体" w:cs="宋体"/>
          <w:b/>
          <w:color w:val="auto"/>
          <w:szCs w:val="28"/>
          <w:highlight w:val="none"/>
        </w:rPr>
        <w:t>四、技术、商务、资信及其他文件目录（具体参考投标须知“投标文件的组成”）</w:t>
      </w:r>
    </w:p>
    <w:p w14:paraId="61F91104">
      <w:pPr>
        <w:snapToGrid w:val="0"/>
        <w:spacing w:line="440" w:lineRule="exact"/>
        <w:jc w:val="left"/>
        <w:rPr>
          <w:rFonts w:ascii="宋体" w:hAnsi="宋体" w:cs="宋体"/>
          <w:b/>
          <w:color w:val="auto"/>
          <w:szCs w:val="28"/>
          <w:highlight w:val="none"/>
        </w:rPr>
        <w:sectPr>
          <w:pgSz w:w="11906" w:h="16838"/>
          <w:pgMar w:top="1531" w:right="779" w:bottom="1134" w:left="1134" w:header="851" w:footer="427" w:gutter="0"/>
          <w:cols w:space="720" w:num="1"/>
          <w:docGrid w:linePitch="312" w:charSpace="0"/>
        </w:sectPr>
      </w:pPr>
      <w:r>
        <w:rPr>
          <w:rFonts w:hint="eastAsia" w:ascii="宋体" w:hAnsi="宋体" w:cs="宋体"/>
          <w:b/>
          <w:color w:val="auto"/>
          <w:szCs w:val="28"/>
          <w:highlight w:val="none"/>
        </w:rPr>
        <w:t>五、报价文件目录（具体参考投标须知“投标文件的组成</w:t>
      </w:r>
    </w:p>
    <w:p w14:paraId="709037F5">
      <w:pPr>
        <w:pStyle w:val="2"/>
        <w:ind w:firstLine="0" w:firstLineChars="0"/>
        <w:rPr>
          <w:rFonts w:ascii="宋体" w:hAnsi="宋体" w:cs="宋体"/>
          <w:b/>
          <w:color w:val="auto"/>
          <w:sz w:val="44"/>
          <w:szCs w:val="44"/>
          <w:highlight w:val="none"/>
        </w:rPr>
      </w:pPr>
    </w:p>
    <w:p w14:paraId="4558FF2C">
      <w:pPr>
        <w:adjustRightInd w:val="0"/>
        <w:snapToGrid w:val="0"/>
        <w:spacing w:before="120" w:beforeLines="50" w:after="120" w:afterLines="50" w:line="500" w:lineRule="exact"/>
        <w:rPr>
          <w:rFonts w:ascii="宋体" w:hAnsi="宋体" w:cs="宋体"/>
          <w:b/>
          <w:color w:val="auto"/>
          <w:sz w:val="24"/>
          <w:highlight w:val="none"/>
        </w:rPr>
      </w:pPr>
      <w:r>
        <w:rPr>
          <w:rFonts w:hint="eastAsia" w:ascii="宋体" w:hAnsi="宋体" w:cs="宋体"/>
          <w:b/>
          <w:color w:val="auto"/>
          <w:sz w:val="24"/>
          <w:highlight w:val="none"/>
        </w:rPr>
        <w:t>1、投标声明书格式：</w:t>
      </w:r>
    </w:p>
    <w:p w14:paraId="1DB6D595">
      <w:pPr>
        <w:adjustRightInd w:val="0"/>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投标声明书</w:t>
      </w:r>
    </w:p>
    <w:p w14:paraId="48B2B789">
      <w:pPr>
        <w:adjustRightInd w:val="0"/>
        <w:snapToGrid w:val="0"/>
        <w:spacing w:line="440" w:lineRule="exact"/>
        <w:rPr>
          <w:rFonts w:ascii="宋体" w:hAnsi="宋体" w:cs="宋体"/>
          <w:color w:val="auto"/>
          <w:sz w:val="24"/>
          <w:highlight w:val="none"/>
        </w:rPr>
      </w:pPr>
    </w:p>
    <w:p w14:paraId="62F6F3F6">
      <w:pPr>
        <w:spacing w:line="4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D43F6F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33953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s="宋体"/>
          <w:color w:val="auto"/>
          <w:sz w:val="24"/>
          <w:highlight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的投标，为便于贵方公正、择优地确定中标人及其投标产品和服务，我方就本次投标有关事项郑重声明如下</w:t>
      </w:r>
      <w:bookmarkStart w:id="78" w:name="_GoBack"/>
      <w:bookmarkEnd w:id="78"/>
      <w:r>
        <w:rPr>
          <w:rFonts w:hint="eastAsia" w:ascii="宋体" w:hAnsi="宋体" w:cs="宋体"/>
          <w:color w:val="auto"/>
          <w:sz w:val="24"/>
          <w:highlight w:val="none"/>
        </w:rPr>
        <w:t>：</w:t>
      </w:r>
    </w:p>
    <w:p w14:paraId="6CCA6053">
      <w:pPr>
        <w:snapToGrid w:val="0"/>
        <w:spacing w:line="400" w:lineRule="exact"/>
        <w:ind w:right="6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1、我方已详细审查全部招标文件，同意招标文件的各项要求。</w:t>
      </w:r>
    </w:p>
    <w:p w14:paraId="4F9AD86E">
      <w:pPr>
        <w:snapToGrid w:val="0"/>
        <w:spacing w:line="400" w:lineRule="exact"/>
        <w:ind w:right="6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2、我方向贵方提交的所有投标文件、资料都是准确的和真实的。</w:t>
      </w:r>
    </w:p>
    <w:p w14:paraId="268E6949">
      <w:pPr>
        <w:snapToGrid w:val="0"/>
        <w:spacing w:line="400" w:lineRule="exact"/>
        <w:ind w:right="6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3、若中标，我方将按招标文件规定履行合同责任和义务。</w:t>
      </w:r>
    </w:p>
    <w:p w14:paraId="3E39C213">
      <w:pPr>
        <w:snapToGrid w:val="0"/>
        <w:spacing w:line="400" w:lineRule="exact"/>
        <w:ind w:right="6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4、我方不是采购人的附属机构，在获知本项目采购信息后，与采购人聘请的为此项目提供咨询服务的公司及其附属机构没有任何联系。</w:t>
      </w:r>
    </w:p>
    <w:p w14:paraId="44B66FCB">
      <w:pPr>
        <w:snapToGrid w:val="0"/>
        <w:spacing w:line="400" w:lineRule="exact"/>
        <w:ind w:right="6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5、投标文件自开标日起有效期为120天。</w:t>
      </w:r>
    </w:p>
    <w:p w14:paraId="7E4CB425">
      <w:pPr>
        <w:snapToGrid w:val="0"/>
        <w:spacing w:line="400" w:lineRule="exact"/>
        <w:ind w:right="6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6、我方参与本项目前3年内的经营活动中没有重大违法记录；</w:t>
      </w:r>
    </w:p>
    <w:p w14:paraId="3A191340">
      <w:pPr>
        <w:snapToGrid w:val="0"/>
        <w:spacing w:line="400" w:lineRule="exact"/>
        <w:ind w:right="6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7、我方通过“信用中国”网站（www.creditchina.gov.cn）、中国政府采购网（www.ccgp.gov.cn）查询，未被列入失信被执行人、重大税收违法案件当事人名单、政府采购严重违法失信行为记录名单。</w:t>
      </w:r>
    </w:p>
    <w:p w14:paraId="23AAFA1E">
      <w:pPr>
        <w:snapToGrid w:val="0"/>
        <w:spacing w:line="400" w:lineRule="exact"/>
        <w:ind w:right="600" w:firstLine="120" w:firstLineChars="5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8、以上事项如有虚假或隐瞒，我方愿意承担一切后果，并不再寻求任何旨在减轻或免除法律责任的辩解。</w:t>
      </w:r>
    </w:p>
    <w:p w14:paraId="74BC4BEE">
      <w:pPr>
        <w:pStyle w:val="2"/>
        <w:spacing w:line="400" w:lineRule="exact"/>
        <w:ind w:firstLine="280"/>
        <w:rPr>
          <w:rFonts w:ascii="宋体" w:hAnsi="宋体" w:cs="宋体"/>
          <w:color w:val="auto"/>
          <w:highlight w:val="none"/>
        </w:rPr>
      </w:pPr>
    </w:p>
    <w:p w14:paraId="1701E36F">
      <w:pPr>
        <w:snapToGrid w:val="0"/>
        <w:spacing w:line="400" w:lineRule="exact"/>
        <w:ind w:right="600" w:firstLine="120" w:firstLineChars="50"/>
        <w:rPr>
          <w:rFonts w:ascii="宋体" w:hAnsi="宋体" w:cs="宋体"/>
          <w:color w:val="auto"/>
          <w:sz w:val="24"/>
          <w:highlight w:val="none"/>
          <w:u w:val="single"/>
        </w:rPr>
      </w:pPr>
      <w:r>
        <w:rPr>
          <w:rFonts w:hint="eastAsia" w:ascii="宋体" w:hAnsi="宋体" w:cs="宋体"/>
          <w:color w:val="auto"/>
          <w:sz w:val="24"/>
          <w:highlight w:val="none"/>
        </w:rPr>
        <w:t>法定代表人签名（或签名章）：  日 期：</w:t>
      </w:r>
    </w:p>
    <w:p w14:paraId="34F32F10">
      <w:pPr>
        <w:spacing w:line="400" w:lineRule="exact"/>
        <w:ind w:right="560" w:rightChars="200"/>
        <w:rPr>
          <w:rFonts w:ascii="宋体" w:hAnsi="宋体" w:cs="宋体"/>
          <w:b/>
          <w:color w:val="auto"/>
          <w:szCs w:val="28"/>
          <w:highlight w:val="none"/>
        </w:rPr>
      </w:pPr>
      <w:r>
        <w:rPr>
          <w:rFonts w:hint="eastAsia" w:ascii="宋体" w:hAnsi="宋体" w:cs="宋体"/>
          <w:color w:val="auto"/>
          <w:sz w:val="24"/>
          <w:highlight w:val="none"/>
        </w:rPr>
        <w:t>投标人全称（电子签章）：</w:t>
      </w:r>
      <w:r>
        <w:rPr>
          <w:rFonts w:hint="eastAsia" w:ascii="宋体" w:hAnsi="宋体" w:cs="宋体"/>
          <w:color w:val="auto"/>
          <w:sz w:val="24"/>
          <w:highlight w:val="none"/>
        </w:rPr>
        <w:br w:type="page"/>
      </w:r>
    </w:p>
    <w:p w14:paraId="2B35C6CD">
      <w:pPr>
        <w:adjustRightInd w:val="0"/>
        <w:snapToGrid w:val="0"/>
        <w:spacing w:before="120" w:beforeLines="50" w:after="120" w:afterLines="50" w:line="500" w:lineRule="exact"/>
        <w:rPr>
          <w:rFonts w:ascii="宋体" w:hAnsi="宋体" w:cs="宋体"/>
          <w:b/>
          <w:color w:val="auto"/>
          <w:sz w:val="24"/>
          <w:highlight w:val="none"/>
        </w:rPr>
      </w:pPr>
      <w:r>
        <w:rPr>
          <w:rFonts w:hint="eastAsia" w:ascii="宋体" w:hAnsi="宋体" w:cs="宋体"/>
          <w:b/>
          <w:color w:val="auto"/>
          <w:sz w:val="24"/>
          <w:highlight w:val="none"/>
        </w:rPr>
        <w:t>2、法人代表身份证明书格式：</w:t>
      </w:r>
    </w:p>
    <w:p w14:paraId="66080917">
      <w:pPr>
        <w:jc w:val="center"/>
        <w:rPr>
          <w:rFonts w:ascii="宋体" w:hAnsi="宋体" w:cs="宋体"/>
          <w:b/>
          <w:color w:val="auto"/>
          <w:sz w:val="24"/>
          <w:highlight w:val="none"/>
        </w:rPr>
      </w:pPr>
    </w:p>
    <w:p w14:paraId="6A28CEBD">
      <w:pPr>
        <w:snapToGrid w:val="0"/>
        <w:spacing w:before="50" w:after="50"/>
        <w:jc w:val="center"/>
        <w:rPr>
          <w:rFonts w:ascii="宋体" w:hAnsi="宋体" w:cs="宋体"/>
          <w:b/>
          <w:color w:val="auto"/>
          <w:sz w:val="24"/>
          <w:highlight w:val="none"/>
        </w:rPr>
      </w:pPr>
      <w:r>
        <w:rPr>
          <w:rFonts w:hint="eastAsia" w:ascii="宋体" w:hAnsi="宋体" w:cs="宋体"/>
          <w:b/>
          <w:bCs/>
          <w:color w:val="auto"/>
          <w:spacing w:val="24"/>
          <w:sz w:val="24"/>
          <w:highlight w:val="none"/>
        </w:rPr>
        <w:t>法定代表人有效身份证明书</w:t>
      </w:r>
    </w:p>
    <w:p w14:paraId="1DDB09DB">
      <w:pPr>
        <w:pStyle w:val="7"/>
        <w:spacing w:line="500" w:lineRule="exact"/>
        <w:ind w:firstLine="451" w:firstLineChars="156"/>
        <w:jc w:val="center"/>
        <w:rPr>
          <w:rFonts w:ascii="宋体" w:hAnsi="宋体" w:cs="宋体"/>
          <w:b/>
          <w:bCs/>
          <w:color w:val="auto"/>
          <w:spacing w:val="24"/>
          <w:sz w:val="24"/>
          <w:szCs w:val="24"/>
          <w:highlight w:val="none"/>
        </w:rPr>
      </w:pPr>
    </w:p>
    <w:p w14:paraId="421A7CDE">
      <w:pPr>
        <w:pStyle w:val="7"/>
        <w:spacing w:line="500" w:lineRule="exact"/>
        <w:ind w:firstLine="451" w:firstLineChars="156"/>
        <w:jc w:val="center"/>
        <w:rPr>
          <w:rFonts w:ascii="宋体" w:hAnsi="宋体" w:cs="宋体"/>
          <w:b/>
          <w:bCs/>
          <w:color w:val="auto"/>
          <w:spacing w:val="24"/>
          <w:sz w:val="24"/>
          <w:szCs w:val="24"/>
          <w:highlight w:val="none"/>
        </w:rPr>
      </w:pPr>
    </w:p>
    <w:p w14:paraId="73BA95A1">
      <w:pPr>
        <w:pStyle w:val="7"/>
        <w:spacing w:line="500" w:lineRule="exact"/>
        <w:ind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是 （单位全称）</w:t>
      </w:r>
    </w:p>
    <w:p w14:paraId="06DE9E9E">
      <w:pPr>
        <w:pStyle w:val="7"/>
        <w:spacing w:line="500" w:lineRule="exact"/>
        <w:ind w:firstLine="374" w:firstLineChars="156"/>
        <w:rPr>
          <w:rFonts w:ascii="宋体" w:hAnsi="宋体" w:cs="宋体"/>
          <w:color w:val="auto"/>
          <w:sz w:val="24"/>
          <w:szCs w:val="24"/>
          <w:highlight w:val="none"/>
        </w:rPr>
      </w:pPr>
      <w:r>
        <w:rPr>
          <w:rFonts w:hint="eastAsia" w:ascii="宋体" w:hAnsi="宋体" w:cs="宋体"/>
          <w:color w:val="auto"/>
          <w:sz w:val="24"/>
          <w:szCs w:val="24"/>
          <w:highlight w:val="none"/>
        </w:rPr>
        <w:t>的法定代表人，身份证号码为 。</w:t>
      </w:r>
    </w:p>
    <w:p w14:paraId="09A4A184">
      <w:pPr>
        <w:pStyle w:val="7"/>
        <w:spacing w:line="500" w:lineRule="exact"/>
        <w:ind w:firstLine="374" w:firstLineChars="156"/>
        <w:rPr>
          <w:rFonts w:ascii="宋体" w:hAnsi="宋体" w:cs="宋体"/>
          <w:color w:val="auto"/>
          <w:sz w:val="24"/>
          <w:szCs w:val="24"/>
          <w:highlight w:val="none"/>
        </w:rPr>
      </w:pPr>
    </w:p>
    <w:p w14:paraId="0AC27010">
      <w:pPr>
        <w:pStyle w:val="7"/>
        <w:spacing w:line="500" w:lineRule="exact"/>
        <w:ind w:firstLine="374" w:firstLineChars="156"/>
        <w:rPr>
          <w:rFonts w:ascii="宋体" w:hAnsi="宋体" w:cs="宋体"/>
          <w:color w:val="auto"/>
          <w:sz w:val="24"/>
          <w:szCs w:val="24"/>
          <w:highlight w:val="none"/>
        </w:rPr>
      </w:pPr>
    </w:p>
    <w:p w14:paraId="1A18FAA7">
      <w:pPr>
        <w:pStyle w:val="7"/>
        <w:spacing w:line="500" w:lineRule="exact"/>
        <w:ind w:firstLine="374" w:firstLineChars="156"/>
        <w:rPr>
          <w:rFonts w:ascii="宋体" w:hAnsi="宋体" w:cs="宋体"/>
          <w:color w:val="auto"/>
          <w:sz w:val="24"/>
          <w:szCs w:val="24"/>
          <w:highlight w:val="none"/>
        </w:rPr>
      </w:pPr>
      <w:r>
        <w:rPr>
          <w:rFonts w:hint="eastAsia" w:ascii="宋体" w:hAnsi="宋体" w:cs="宋体"/>
          <w:color w:val="auto"/>
          <w:sz w:val="24"/>
          <w:szCs w:val="24"/>
          <w:highlight w:val="none"/>
        </w:rPr>
        <w:t xml:space="preserve">    特此证明</w:t>
      </w:r>
    </w:p>
    <w:p w14:paraId="6112C46E">
      <w:pPr>
        <w:pStyle w:val="7"/>
        <w:spacing w:line="500" w:lineRule="exact"/>
        <w:ind w:firstLine="374" w:firstLineChars="156"/>
        <w:rPr>
          <w:rFonts w:ascii="宋体" w:hAnsi="宋体" w:cs="宋体"/>
          <w:color w:val="auto"/>
          <w:sz w:val="24"/>
          <w:szCs w:val="24"/>
          <w:highlight w:val="none"/>
        </w:rPr>
      </w:pPr>
    </w:p>
    <w:p w14:paraId="55E27571">
      <w:pPr>
        <w:pStyle w:val="7"/>
        <w:spacing w:line="500" w:lineRule="exact"/>
        <w:ind w:firstLine="374" w:firstLineChars="156"/>
        <w:rPr>
          <w:rFonts w:ascii="宋体" w:hAnsi="宋体" w:cs="宋体"/>
          <w:color w:val="auto"/>
          <w:sz w:val="24"/>
          <w:szCs w:val="24"/>
          <w:highlight w:val="none"/>
        </w:rPr>
      </w:pPr>
    </w:p>
    <w:p w14:paraId="53EB97A2">
      <w:pPr>
        <w:pStyle w:val="7"/>
        <w:spacing w:line="500" w:lineRule="exact"/>
        <w:ind w:firstLine="374" w:firstLineChars="156"/>
        <w:rPr>
          <w:rFonts w:ascii="宋体" w:hAnsi="宋体" w:cs="宋体"/>
          <w:color w:val="auto"/>
          <w:sz w:val="24"/>
          <w:szCs w:val="24"/>
          <w:highlight w:val="none"/>
        </w:rPr>
      </w:pPr>
    </w:p>
    <w:p w14:paraId="183C3452">
      <w:pPr>
        <w:pStyle w:val="7"/>
        <w:spacing w:line="500" w:lineRule="exact"/>
        <w:ind w:firstLine="374" w:firstLineChars="156"/>
        <w:rPr>
          <w:rFonts w:ascii="宋体" w:hAnsi="宋体" w:cs="宋体"/>
          <w:color w:val="auto"/>
          <w:sz w:val="24"/>
          <w:szCs w:val="24"/>
          <w:highlight w:val="none"/>
        </w:rPr>
      </w:pPr>
    </w:p>
    <w:p w14:paraId="0A4AC02C">
      <w:pPr>
        <w:pStyle w:val="7"/>
        <w:spacing w:line="500" w:lineRule="exact"/>
        <w:ind w:firstLine="374" w:firstLineChars="156"/>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投标人：（电子签章）</w:t>
      </w:r>
    </w:p>
    <w:p w14:paraId="6DAAB66E">
      <w:pPr>
        <w:pStyle w:val="7"/>
        <w:spacing w:line="500" w:lineRule="exact"/>
        <w:ind w:firstLine="374" w:firstLineChars="156"/>
        <w:rPr>
          <w:rFonts w:ascii="宋体" w:hAnsi="宋体" w:cs="宋体"/>
          <w:color w:val="auto"/>
          <w:sz w:val="24"/>
          <w:szCs w:val="24"/>
          <w:highlight w:val="none"/>
        </w:rPr>
      </w:pPr>
    </w:p>
    <w:p w14:paraId="43B23543">
      <w:pPr>
        <w:pStyle w:val="7"/>
        <w:spacing w:line="500" w:lineRule="exact"/>
        <w:ind w:firstLine="1454" w:firstLineChars="606"/>
        <w:rPr>
          <w:rFonts w:ascii="宋体" w:hAnsi="宋体" w:cs="宋体"/>
          <w:color w:val="auto"/>
          <w:sz w:val="24"/>
          <w:szCs w:val="24"/>
          <w:highlight w:val="none"/>
        </w:rPr>
      </w:pPr>
      <w:r>
        <w:rPr>
          <w:rFonts w:hint="eastAsia" w:ascii="宋体" w:hAnsi="宋体" w:cs="宋体"/>
          <w:color w:val="auto"/>
          <w:sz w:val="24"/>
          <w:szCs w:val="24"/>
          <w:highlight w:val="none"/>
        </w:rPr>
        <w:t>法定代表人或其授权代理人（签名或盖章）</w:t>
      </w:r>
    </w:p>
    <w:p w14:paraId="495D7C28">
      <w:pPr>
        <w:pStyle w:val="7"/>
        <w:spacing w:line="500" w:lineRule="exact"/>
        <w:ind w:firstLine="374" w:firstLineChars="156"/>
        <w:jc w:val="center"/>
        <w:rPr>
          <w:rFonts w:ascii="宋体" w:hAnsi="宋体" w:cs="宋体"/>
          <w:color w:val="auto"/>
          <w:sz w:val="24"/>
          <w:szCs w:val="24"/>
          <w:highlight w:val="none"/>
        </w:rPr>
      </w:pPr>
    </w:p>
    <w:p w14:paraId="363B517C">
      <w:pPr>
        <w:pStyle w:val="7"/>
        <w:spacing w:line="500" w:lineRule="exact"/>
        <w:ind w:firstLine="374" w:firstLineChars="156"/>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312E9FB3">
      <w:pPr>
        <w:pStyle w:val="7"/>
        <w:spacing w:line="500" w:lineRule="exact"/>
        <w:ind w:firstLine="374" w:firstLineChars="156"/>
        <w:jc w:val="center"/>
        <w:rPr>
          <w:rFonts w:ascii="宋体" w:hAnsi="宋体" w:cs="宋体"/>
          <w:color w:val="auto"/>
          <w:sz w:val="24"/>
          <w:szCs w:val="24"/>
          <w:highlight w:val="none"/>
        </w:rPr>
      </w:pPr>
    </w:p>
    <w:p w14:paraId="476DF119">
      <w:pPr>
        <w:pStyle w:val="7"/>
        <w:spacing w:line="500" w:lineRule="exact"/>
        <w:ind w:firstLine="374" w:firstLineChars="156"/>
        <w:rPr>
          <w:rFonts w:ascii="宋体" w:hAnsi="宋体" w:cs="宋体"/>
          <w:color w:val="auto"/>
          <w:sz w:val="24"/>
          <w:szCs w:val="24"/>
          <w:highlight w:val="none"/>
        </w:rPr>
      </w:pPr>
      <w:r>
        <w:rPr>
          <w:rFonts w:hint="eastAsia" w:ascii="宋体" w:hAnsi="宋体" w:cs="宋体"/>
          <w:color w:val="auto"/>
          <w:sz w:val="24"/>
          <w:szCs w:val="24"/>
          <w:highlight w:val="none"/>
        </w:rPr>
        <w:t>————————————————————-----------</w:t>
      </w:r>
    </w:p>
    <w:p w14:paraId="76B82CD3">
      <w:pPr>
        <w:pStyle w:val="7"/>
        <w:spacing w:line="500" w:lineRule="exact"/>
        <w:ind w:firstLine="0"/>
        <w:rPr>
          <w:rFonts w:ascii="宋体" w:hAnsi="宋体" w:cs="宋体"/>
          <w:color w:val="auto"/>
          <w:sz w:val="24"/>
          <w:szCs w:val="24"/>
          <w:highlight w:val="none"/>
        </w:rPr>
      </w:pPr>
    </w:p>
    <w:p w14:paraId="5D84E5A3">
      <w:pPr>
        <w:pStyle w:val="7"/>
        <w:spacing w:line="500" w:lineRule="exact"/>
        <w:ind w:firstLine="374" w:firstLineChars="156"/>
        <w:jc w:val="center"/>
        <w:rPr>
          <w:rFonts w:ascii="宋体" w:hAnsi="宋体" w:cs="宋体"/>
          <w:color w:val="auto"/>
          <w:sz w:val="24"/>
          <w:szCs w:val="24"/>
          <w:highlight w:val="none"/>
        </w:rPr>
      </w:pPr>
      <w:r>
        <w:rPr>
          <w:rFonts w:hint="eastAsia" w:ascii="宋体" w:hAnsi="宋体" w:cs="宋体"/>
          <w:color w:val="auto"/>
          <w:sz w:val="24"/>
          <w:szCs w:val="24"/>
          <w:highlight w:val="none"/>
        </w:rPr>
        <w:t>有效身份证明复印件粘贴处</w:t>
      </w:r>
    </w:p>
    <w:p w14:paraId="77BD6AAB">
      <w:pPr>
        <w:pStyle w:val="7"/>
        <w:spacing w:line="440" w:lineRule="exact"/>
        <w:ind w:firstLine="640" w:firstLineChars="200"/>
        <w:jc w:val="center"/>
        <w:rPr>
          <w:rFonts w:ascii="宋体" w:hAnsi="宋体" w:cs="宋体"/>
          <w:color w:val="auto"/>
          <w:sz w:val="32"/>
          <w:szCs w:val="32"/>
          <w:highlight w:val="none"/>
        </w:rPr>
      </w:pPr>
    </w:p>
    <w:p w14:paraId="60CACFC1">
      <w:pPr>
        <w:spacing w:line="360" w:lineRule="auto"/>
        <w:ind w:right="560" w:rightChars="200"/>
        <w:rPr>
          <w:rFonts w:ascii="宋体" w:hAnsi="宋体" w:cs="宋体"/>
          <w:b/>
          <w:color w:val="auto"/>
          <w:sz w:val="24"/>
          <w:szCs w:val="20"/>
          <w:highlight w:val="none"/>
        </w:rPr>
      </w:pPr>
      <w:r>
        <w:rPr>
          <w:rFonts w:hint="eastAsia" w:ascii="宋体" w:hAnsi="宋体" w:cs="宋体"/>
          <w:b/>
          <w:color w:val="auto"/>
          <w:szCs w:val="28"/>
          <w:highlight w:val="none"/>
        </w:rPr>
        <w:br w:type="page"/>
      </w:r>
      <w:r>
        <w:rPr>
          <w:rFonts w:hint="eastAsia" w:ascii="宋体" w:hAnsi="宋体" w:cs="宋体"/>
          <w:b/>
          <w:color w:val="auto"/>
          <w:sz w:val="24"/>
          <w:highlight w:val="none"/>
        </w:rPr>
        <w:t>3、</w:t>
      </w:r>
      <w:r>
        <w:rPr>
          <w:rFonts w:hint="eastAsia" w:ascii="宋体" w:hAnsi="宋体" w:cs="宋体"/>
          <w:b/>
          <w:color w:val="auto"/>
          <w:sz w:val="24"/>
          <w:szCs w:val="20"/>
          <w:highlight w:val="none"/>
        </w:rPr>
        <w:t>法定</w:t>
      </w:r>
      <w:r>
        <w:rPr>
          <w:rFonts w:hint="eastAsia" w:ascii="宋体" w:hAnsi="宋体" w:cs="宋体"/>
          <w:b/>
          <w:color w:val="auto"/>
          <w:sz w:val="22"/>
          <w:szCs w:val="18"/>
          <w:highlight w:val="none"/>
        </w:rPr>
        <w:t>代表人授权委托书格式：</w:t>
      </w:r>
    </w:p>
    <w:p w14:paraId="336B1610">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法定代表人授权委托书</w:t>
      </w:r>
    </w:p>
    <w:p w14:paraId="242D7D11">
      <w:pPr>
        <w:snapToGrid w:val="0"/>
        <w:spacing w:before="120" w:beforeLines="50" w:after="50"/>
        <w:jc w:val="center"/>
        <w:rPr>
          <w:rFonts w:ascii="宋体" w:hAnsi="宋体" w:cs="宋体"/>
          <w:b/>
          <w:color w:val="auto"/>
          <w:sz w:val="24"/>
          <w:highlight w:val="none"/>
        </w:rPr>
      </w:pPr>
    </w:p>
    <w:p w14:paraId="746E5DB6">
      <w:pPr>
        <w:snapToGrid w:val="0"/>
        <w:spacing w:line="360" w:lineRule="auto"/>
        <w:rPr>
          <w:rFonts w:ascii="宋体" w:hAnsi="宋体" w:cs="宋体"/>
          <w:b/>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1B243B82">
      <w:pPr>
        <w:snapToGrid w:val="0"/>
        <w:spacing w:line="360" w:lineRule="auto"/>
        <w:ind w:firstLine="720" w:firstLineChars="300"/>
        <w:rPr>
          <w:rFonts w:ascii="宋体" w:hAnsi="宋体" w:cs="宋体"/>
          <w:color w:val="auto"/>
          <w:sz w:val="24"/>
          <w:highlight w:val="none"/>
          <w:u w:val="single"/>
        </w:rPr>
      </w:pPr>
      <w:r>
        <w:rPr>
          <w:rFonts w:hint="eastAsia" w:ascii="宋体" w:hAnsi="宋体" w:cs="宋体"/>
          <w:color w:val="auto"/>
          <w:sz w:val="24"/>
          <w:highlight w:val="none"/>
        </w:rPr>
        <w:t>我（姓名）系（投标人名称）的法定代表人，现授权委托本单位在职职工</w:t>
      </w:r>
      <w:r>
        <w:rPr>
          <w:rFonts w:hint="eastAsia" w:ascii="宋体" w:hAnsi="宋体" w:cs="宋体"/>
          <w:b/>
          <w:color w:val="auto"/>
          <w:sz w:val="24"/>
          <w:highlight w:val="none"/>
        </w:rPr>
        <w:t xml:space="preserve">(提供个人在本单位缴纳社保的证明) </w:t>
      </w:r>
    </w:p>
    <w:p w14:paraId="5C96B9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（姓名）为授权代表，以我方的名义参加项目编号：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color w:val="auto"/>
          <w:sz w:val="24"/>
          <w:highlight w:val="none"/>
          <w:u w:val="single"/>
        </w:rPr>
        <w:t>：2024年滨湖街道城市小区生活垃圾精准分类项目</w:t>
      </w:r>
      <w:r>
        <w:rPr>
          <w:rFonts w:hint="eastAsia" w:ascii="宋体" w:hAnsi="宋体" w:cs="宋体"/>
          <w:color w:val="auto"/>
          <w:sz w:val="24"/>
          <w:highlight w:val="none"/>
          <w:u w:val="none"/>
          <w:lang w:eastAsia="zh-CN"/>
        </w:rPr>
        <w:t>标项：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的投标活动，并代表我方全权办理针对上述项目的投标、开标、评标、签约等具体事务和签署相关文件。我方对授权代表的签名事项负全部责任。</w:t>
      </w:r>
    </w:p>
    <w:p w14:paraId="4C49103A">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在撤销授权的书面通知以前，本授权书一直有效。授权代表在授权书有效期内签署的所有文件不因授权的撤销而失效。</w:t>
      </w:r>
    </w:p>
    <w:p w14:paraId="5D5BC6E6">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授权代表无转委托权，特此委托。</w:t>
      </w:r>
    </w:p>
    <w:p w14:paraId="7004E2E2">
      <w:pPr>
        <w:snapToGrid w:val="0"/>
        <w:spacing w:before="120" w:beforeLines="50" w:after="50" w:line="460" w:lineRule="exact"/>
        <w:rPr>
          <w:rFonts w:ascii="宋体" w:hAnsi="宋体" w:cs="宋体"/>
          <w:color w:val="auto"/>
          <w:sz w:val="24"/>
          <w:highlight w:val="none"/>
        </w:rPr>
      </w:pPr>
      <w:r>
        <w:rPr>
          <w:rFonts w:hint="eastAsia" w:ascii="宋体" w:hAnsi="宋体" w:cs="宋体"/>
          <w:color w:val="auto"/>
          <w:sz w:val="24"/>
          <w:highlight w:val="none"/>
        </w:rPr>
        <w:t>授权代表签名：     职务：</w:t>
      </w:r>
    </w:p>
    <w:p w14:paraId="69097EE9">
      <w:pPr>
        <w:snapToGrid w:val="0"/>
        <w:spacing w:before="120" w:beforeLines="50" w:after="50" w:line="460" w:lineRule="exact"/>
        <w:rPr>
          <w:rFonts w:ascii="宋体" w:hAnsi="宋体" w:cs="宋体"/>
          <w:color w:val="auto"/>
          <w:sz w:val="24"/>
          <w:highlight w:val="none"/>
        </w:rPr>
      </w:pPr>
      <w:r>
        <w:rPr>
          <w:rFonts w:hint="eastAsia" w:ascii="宋体" w:hAnsi="宋体" w:cs="宋体"/>
          <w:color w:val="auto"/>
          <w:sz w:val="24"/>
          <w:highlight w:val="none"/>
        </w:rPr>
        <w:t>联系手机：（开评标期间务必保持通畅，用以询标联系）</w:t>
      </w:r>
    </w:p>
    <w:p w14:paraId="36F5D584">
      <w:pPr>
        <w:snapToGrid w:val="0"/>
        <w:spacing w:before="120" w:beforeLines="50" w:after="50" w:line="460" w:lineRule="exact"/>
        <w:rPr>
          <w:rFonts w:ascii="宋体" w:hAnsi="宋体" w:cs="宋体"/>
          <w:color w:val="auto"/>
          <w:sz w:val="24"/>
          <w:highlight w:val="none"/>
        </w:rPr>
      </w:pPr>
      <w:r>
        <w:rPr>
          <w:rFonts w:hint="eastAsia" w:ascii="宋体" w:hAnsi="宋体" w:cs="宋体"/>
          <w:color w:val="auto"/>
          <w:sz w:val="24"/>
          <w:highlight w:val="none"/>
        </w:rPr>
        <w:t>授权代表身份证号码：</w:t>
      </w:r>
    </w:p>
    <w:p w14:paraId="09F55C4B">
      <w:pPr>
        <w:snapToGrid w:val="0"/>
        <w:spacing w:before="120" w:beforeLines="50" w:after="50" w:line="460" w:lineRule="exact"/>
        <w:rPr>
          <w:rFonts w:ascii="宋体" w:hAnsi="宋体" w:cs="宋体"/>
          <w:color w:val="auto"/>
          <w:sz w:val="24"/>
          <w:highlight w:val="none"/>
        </w:rPr>
      </w:pPr>
      <w:r>
        <w:rPr>
          <w:rFonts w:hint="eastAsia" w:ascii="宋体" w:hAnsi="宋体" w:cs="宋体"/>
          <w:color w:val="auto"/>
          <w:sz w:val="24"/>
          <w:highlight w:val="none"/>
        </w:rPr>
        <w:t>法定代表人签名（或签名章）：   职务：</w:t>
      </w:r>
    </w:p>
    <w:p w14:paraId="45228403">
      <w:pPr>
        <w:snapToGrid w:val="0"/>
        <w:spacing w:before="120" w:beforeLines="50" w:after="50" w:line="460" w:lineRule="exact"/>
        <w:rPr>
          <w:rFonts w:ascii="宋体" w:hAnsi="宋体" w:cs="宋体"/>
          <w:color w:val="auto"/>
          <w:sz w:val="24"/>
          <w:highlight w:val="none"/>
        </w:rPr>
      </w:pPr>
    </w:p>
    <w:p w14:paraId="0D91F5A9">
      <w:pPr>
        <w:snapToGrid w:val="0"/>
        <w:spacing w:before="120" w:beforeLines="50" w:after="50" w:line="460" w:lineRule="exact"/>
        <w:rPr>
          <w:rFonts w:ascii="宋体" w:hAnsi="宋体" w:cs="宋体"/>
          <w:color w:val="auto"/>
          <w:sz w:val="24"/>
          <w:highlight w:val="none"/>
          <w:u w:val="single"/>
        </w:rPr>
      </w:pPr>
      <w:r>
        <w:rPr>
          <w:rFonts w:hint="eastAsia" w:ascii="宋体" w:hAnsi="宋体" w:cs="宋体"/>
          <w:color w:val="auto"/>
          <w:sz w:val="24"/>
          <w:highlight w:val="none"/>
        </w:rPr>
        <w:t>投标人全称（电子签章）：         日  期：</w:t>
      </w:r>
    </w:p>
    <w:p w14:paraId="1237CB7D">
      <w:pPr>
        <w:pStyle w:val="7"/>
        <w:spacing w:line="600" w:lineRule="exact"/>
        <w:ind w:firstLine="374" w:firstLineChars="156"/>
        <w:rPr>
          <w:rFonts w:ascii="宋体" w:hAnsi="宋体" w:cs="宋体"/>
          <w:color w:val="auto"/>
          <w:sz w:val="24"/>
          <w:szCs w:val="24"/>
          <w:highlight w:val="none"/>
        </w:rPr>
      </w:pPr>
      <w:r>
        <w:rPr>
          <w:rFonts w:hint="eastAsia" w:ascii="宋体" w:hAnsi="宋体" w:cs="宋体"/>
          <w:color w:val="auto"/>
          <w:sz w:val="24"/>
          <w:szCs w:val="24"/>
          <w:highlight w:val="none"/>
        </w:rPr>
        <w:t>————————————————————-----------</w:t>
      </w:r>
    </w:p>
    <w:p w14:paraId="7929BBAF">
      <w:pPr>
        <w:snapToGrid w:val="0"/>
        <w:spacing w:before="120" w:beforeLines="50" w:after="50" w:line="460" w:lineRule="exact"/>
        <w:jc w:val="center"/>
        <w:rPr>
          <w:rFonts w:ascii="宋体" w:hAnsi="宋体" w:cs="宋体"/>
          <w:color w:val="auto"/>
          <w:sz w:val="24"/>
          <w:highlight w:val="none"/>
          <w:u w:val="single"/>
        </w:rPr>
      </w:pPr>
      <w:r>
        <w:rPr>
          <w:rFonts w:hint="eastAsia" w:ascii="宋体" w:hAnsi="宋体" w:cs="宋体"/>
          <w:color w:val="auto"/>
          <w:sz w:val="24"/>
          <w:highlight w:val="none"/>
        </w:rPr>
        <w:t>授权代理人有效身份证明复印件粘贴处</w:t>
      </w:r>
    </w:p>
    <w:p w14:paraId="6F4CB561">
      <w:pPr>
        <w:snapToGrid w:val="0"/>
        <w:spacing w:before="120" w:beforeLines="50" w:after="50" w:line="460" w:lineRule="exact"/>
        <w:rPr>
          <w:rFonts w:ascii="宋体" w:hAnsi="宋体" w:cs="宋体"/>
          <w:color w:val="auto"/>
          <w:szCs w:val="28"/>
          <w:highlight w:val="none"/>
          <w:u w:val="single"/>
        </w:rPr>
      </w:pPr>
    </w:p>
    <w:p w14:paraId="20DA5CD1">
      <w:pPr>
        <w:rPr>
          <w:rFonts w:ascii="宋体" w:hAnsi="宋体" w:cs="宋体"/>
          <w:color w:val="auto"/>
          <w:szCs w:val="28"/>
          <w:highlight w:val="none"/>
        </w:rPr>
      </w:pPr>
    </w:p>
    <w:p w14:paraId="139B3E10">
      <w:pPr>
        <w:pStyle w:val="2"/>
        <w:ind w:firstLine="280"/>
        <w:rPr>
          <w:rFonts w:ascii="宋体" w:hAnsi="宋体" w:cs="宋体"/>
          <w:color w:val="auto"/>
          <w:szCs w:val="28"/>
          <w:highlight w:val="none"/>
        </w:rPr>
      </w:pPr>
    </w:p>
    <w:p w14:paraId="5204529B">
      <w:pPr>
        <w:pStyle w:val="4"/>
        <w:ind w:left="2800"/>
        <w:rPr>
          <w:rFonts w:ascii="宋体" w:hAnsi="宋体" w:cs="宋体"/>
          <w:color w:val="auto"/>
          <w:szCs w:val="28"/>
          <w:highlight w:val="none"/>
        </w:rPr>
      </w:pPr>
    </w:p>
    <w:p w14:paraId="59497921">
      <w:pPr>
        <w:rPr>
          <w:rFonts w:ascii="宋体" w:hAnsi="宋体" w:cs="宋体"/>
          <w:color w:val="auto"/>
          <w:szCs w:val="28"/>
          <w:highlight w:val="none"/>
        </w:rPr>
      </w:pPr>
    </w:p>
    <w:p w14:paraId="4A222DE0">
      <w:pPr>
        <w:pStyle w:val="2"/>
        <w:ind w:firstLine="280"/>
        <w:rPr>
          <w:color w:val="auto"/>
          <w:highlight w:val="none"/>
        </w:rPr>
      </w:pPr>
    </w:p>
    <w:p w14:paraId="6440B3F1">
      <w:pPr>
        <w:rPr>
          <w:rFonts w:ascii="宋体" w:hAnsi="宋体" w:cs="宋体"/>
          <w:color w:val="auto"/>
          <w:szCs w:val="28"/>
          <w:highlight w:val="none"/>
        </w:rPr>
      </w:pPr>
    </w:p>
    <w:p w14:paraId="09296CCE">
      <w:pPr>
        <w:pStyle w:val="2"/>
        <w:ind w:firstLine="280"/>
        <w:rPr>
          <w:rFonts w:ascii="宋体" w:hAnsi="宋体" w:cs="宋体"/>
          <w:color w:val="auto"/>
          <w:szCs w:val="28"/>
          <w:highlight w:val="none"/>
        </w:rPr>
      </w:pPr>
    </w:p>
    <w:p w14:paraId="40723230">
      <w:pPr>
        <w:pStyle w:val="4"/>
        <w:ind w:left="2800"/>
        <w:rPr>
          <w:color w:val="auto"/>
          <w:highlight w:val="none"/>
        </w:rPr>
      </w:pPr>
    </w:p>
    <w:p w14:paraId="417E4897">
      <w:pPr>
        <w:tabs>
          <w:tab w:val="left" w:pos="1650"/>
        </w:tabs>
        <w:spacing w:line="560" w:lineRule="exact"/>
        <w:jc w:val="left"/>
        <w:rPr>
          <w:rFonts w:ascii="宋体" w:hAnsi="宋体" w:cs="宋体"/>
          <w:b/>
          <w:bCs/>
          <w:color w:val="auto"/>
          <w:highlight w:val="none"/>
        </w:rPr>
      </w:pPr>
      <w:r>
        <w:rPr>
          <w:rFonts w:hint="eastAsia" w:ascii="宋体" w:hAnsi="宋体" w:cs="宋体"/>
          <w:b/>
          <w:bCs/>
          <w:color w:val="auto"/>
          <w:highlight w:val="none"/>
        </w:rPr>
        <w:t>4、信用承诺书格式</w:t>
      </w:r>
    </w:p>
    <w:p w14:paraId="3FD3ADCB">
      <w:pPr>
        <w:tabs>
          <w:tab w:val="left" w:pos="1650"/>
        </w:tabs>
        <w:spacing w:line="560" w:lineRule="exact"/>
        <w:jc w:val="center"/>
        <w:rPr>
          <w:rFonts w:ascii="宋体" w:hAnsi="宋体" w:cs="宋体"/>
          <w:b/>
          <w:bCs/>
          <w:color w:val="auto"/>
          <w:sz w:val="24"/>
          <w:szCs w:val="22"/>
          <w:highlight w:val="none"/>
        </w:rPr>
      </w:pPr>
      <w:r>
        <w:rPr>
          <w:rFonts w:hint="eastAsia" w:ascii="宋体" w:hAnsi="宋体" w:cs="宋体"/>
          <w:b/>
          <w:bCs/>
          <w:color w:val="auto"/>
          <w:sz w:val="24"/>
          <w:szCs w:val="22"/>
          <w:highlight w:val="none"/>
        </w:rPr>
        <w:t>信用承诺书</w:t>
      </w:r>
    </w:p>
    <w:p w14:paraId="175F4611">
      <w:pPr>
        <w:tabs>
          <w:tab w:val="left" w:pos="1650"/>
        </w:tabs>
        <w:spacing w:line="560" w:lineRule="exact"/>
        <w:rPr>
          <w:rFonts w:ascii="宋体" w:hAnsi="宋体" w:cs="宋体"/>
          <w:color w:val="auto"/>
          <w:sz w:val="24"/>
          <w:szCs w:val="22"/>
          <w:highlight w:val="none"/>
        </w:rPr>
      </w:pPr>
    </w:p>
    <w:p w14:paraId="102BC034">
      <w:pPr>
        <w:tabs>
          <w:tab w:val="left" w:pos="1650"/>
        </w:tabs>
        <w:jc w:val="left"/>
        <w:rPr>
          <w:rFonts w:ascii="宋体" w:hAnsi="宋体" w:cs="宋体"/>
          <w:color w:val="auto"/>
          <w:sz w:val="24"/>
          <w:szCs w:val="22"/>
          <w:highlight w:val="none"/>
        </w:rPr>
      </w:pP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（投标单位）现参加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（采购项目</w:t>
      </w:r>
      <w:r>
        <w:rPr>
          <w:rFonts w:hint="eastAsia" w:ascii="宋体" w:hAnsi="宋体" w:cs="宋体"/>
          <w:color w:val="auto"/>
          <w:sz w:val="24"/>
          <w:szCs w:val="22"/>
          <w:highlight w:val="none"/>
          <w:lang w:eastAsia="zh-CN"/>
        </w:rPr>
        <w:t>、标项</w:t>
      </w:r>
      <w:r>
        <w:rPr>
          <w:rFonts w:hint="eastAsia" w:ascii="宋体" w:hAnsi="宋体" w:cs="宋体"/>
          <w:color w:val="auto"/>
          <w:sz w:val="24"/>
          <w:szCs w:val="22"/>
          <w:highlight w:val="none"/>
        </w:rPr>
        <w:t>）政府采购活动，郑重承诺如下：</w:t>
      </w:r>
    </w:p>
    <w:p w14:paraId="116EBD42">
      <w:pPr>
        <w:tabs>
          <w:tab w:val="left" w:pos="1650"/>
        </w:tabs>
        <w:spacing w:line="560" w:lineRule="exact"/>
        <w:ind w:firstLine="630"/>
        <w:rPr>
          <w:rFonts w:ascii="宋体" w:hAnsi="宋体" w:cs="宋体"/>
          <w:color w:val="auto"/>
          <w:sz w:val="24"/>
          <w:szCs w:val="22"/>
          <w:highlight w:val="none"/>
        </w:rPr>
      </w:pPr>
      <w:r>
        <w:rPr>
          <w:rFonts w:hint="eastAsia" w:ascii="宋体" w:hAnsi="宋体" w:cs="宋体"/>
          <w:color w:val="auto"/>
          <w:sz w:val="24"/>
          <w:szCs w:val="22"/>
          <w:highlight w:val="none"/>
        </w:rPr>
        <w:t>对所提供的资料合法性、真实性、准确性和有效性负责；</w:t>
      </w:r>
    </w:p>
    <w:p w14:paraId="0F6F2B3D">
      <w:pPr>
        <w:tabs>
          <w:tab w:val="left" w:pos="1650"/>
        </w:tabs>
        <w:spacing w:line="560" w:lineRule="exact"/>
        <w:ind w:firstLine="630"/>
        <w:rPr>
          <w:rFonts w:ascii="宋体" w:hAnsi="宋体" w:cs="宋体"/>
          <w:color w:val="auto"/>
          <w:sz w:val="24"/>
          <w:szCs w:val="22"/>
          <w:highlight w:val="none"/>
        </w:rPr>
      </w:pPr>
      <w:r>
        <w:rPr>
          <w:rFonts w:hint="eastAsia" w:ascii="宋体" w:hAnsi="宋体" w:cs="宋体"/>
          <w:color w:val="auto"/>
          <w:sz w:val="24"/>
          <w:szCs w:val="22"/>
          <w:highlight w:val="none"/>
        </w:rPr>
        <w:t>严格按照国家法律、法规和规章，依法开展相关经济活动，全面履行应尽的责任和义务；</w:t>
      </w:r>
    </w:p>
    <w:p w14:paraId="21C6738B">
      <w:pPr>
        <w:tabs>
          <w:tab w:val="left" w:pos="1650"/>
        </w:tabs>
        <w:spacing w:line="560" w:lineRule="exact"/>
        <w:ind w:firstLine="630"/>
        <w:rPr>
          <w:rFonts w:ascii="宋体" w:hAnsi="宋体" w:cs="宋体"/>
          <w:color w:val="auto"/>
          <w:sz w:val="24"/>
          <w:szCs w:val="22"/>
          <w:highlight w:val="none"/>
        </w:rPr>
      </w:pPr>
      <w:r>
        <w:rPr>
          <w:rFonts w:hint="eastAsia" w:ascii="宋体" w:hAnsi="宋体" w:cs="宋体"/>
          <w:color w:val="auto"/>
          <w:sz w:val="24"/>
          <w:szCs w:val="22"/>
          <w:highlight w:val="none"/>
        </w:rPr>
        <w:t>加强自我约束、自我规范、自我管理，不制假售假、不虚假宣传、不违约毁约、不恶意逃债、不偷税漏税，诚信依法经营；</w:t>
      </w:r>
    </w:p>
    <w:p w14:paraId="3CEAFA93">
      <w:pPr>
        <w:tabs>
          <w:tab w:val="left" w:pos="1650"/>
        </w:tabs>
        <w:spacing w:line="560" w:lineRule="exact"/>
        <w:ind w:firstLine="630"/>
        <w:rPr>
          <w:rFonts w:ascii="宋体" w:hAnsi="宋体" w:cs="宋体"/>
          <w:color w:val="auto"/>
          <w:sz w:val="24"/>
          <w:szCs w:val="22"/>
          <w:highlight w:val="none"/>
        </w:rPr>
      </w:pPr>
      <w:r>
        <w:rPr>
          <w:rFonts w:hint="eastAsia" w:ascii="宋体" w:hAnsi="宋体" w:cs="宋体"/>
          <w:color w:val="auto"/>
          <w:sz w:val="24"/>
          <w:szCs w:val="22"/>
          <w:highlight w:val="none"/>
        </w:rPr>
        <w:t>自愿接受行政主管部门的依法检查、违背承诺约定将自愿承担违约责任，并接受法律法规和相关部门规章制度的惩戒和约束；</w:t>
      </w:r>
    </w:p>
    <w:p w14:paraId="0184931A">
      <w:pPr>
        <w:tabs>
          <w:tab w:val="left" w:pos="1650"/>
        </w:tabs>
        <w:spacing w:line="560" w:lineRule="exact"/>
        <w:ind w:firstLine="630"/>
        <w:rPr>
          <w:rFonts w:ascii="宋体" w:hAnsi="宋体" w:cs="宋体"/>
          <w:color w:val="auto"/>
          <w:sz w:val="24"/>
          <w:szCs w:val="22"/>
          <w:highlight w:val="none"/>
        </w:rPr>
      </w:pPr>
      <w:r>
        <w:rPr>
          <w:rFonts w:hint="eastAsia" w:ascii="宋体" w:hAnsi="宋体" w:cs="宋体"/>
          <w:color w:val="auto"/>
          <w:kern w:val="0"/>
          <w:sz w:val="24"/>
          <w:szCs w:val="22"/>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1C74D02F">
      <w:pPr>
        <w:tabs>
          <w:tab w:val="left" w:pos="1650"/>
        </w:tabs>
        <w:spacing w:line="560" w:lineRule="exact"/>
        <w:rPr>
          <w:rFonts w:ascii="宋体" w:hAnsi="宋体" w:cs="宋体"/>
          <w:color w:val="auto"/>
          <w:sz w:val="24"/>
          <w:szCs w:val="22"/>
          <w:highlight w:val="none"/>
          <w:u w:val="single"/>
        </w:rPr>
      </w:pPr>
    </w:p>
    <w:p w14:paraId="5B08AC3F">
      <w:pPr>
        <w:widowControl/>
        <w:spacing w:line="560" w:lineRule="exact"/>
        <w:ind w:firstLine="600" w:firstLineChars="250"/>
        <w:jc w:val="left"/>
        <w:rPr>
          <w:rFonts w:ascii="宋体" w:hAnsi="宋体" w:cs="宋体"/>
          <w:color w:val="auto"/>
          <w:spacing w:val="-7"/>
          <w:kern w:val="0"/>
          <w:sz w:val="24"/>
          <w:szCs w:val="22"/>
          <w:highlight w:val="none"/>
        </w:rPr>
      </w:pPr>
      <w:r>
        <w:rPr>
          <w:rFonts w:hint="eastAsia" w:ascii="宋体" w:hAnsi="宋体" w:cs="宋体"/>
          <w:color w:val="auto"/>
          <w:sz w:val="24"/>
          <w:szCs w:val="22"/>
          <w:highlight w:val="none"/>
        </w:rPr>
        <w:t>统一社会信用代码：</w:t>
      </w:r>
      <w:r>
        <w:rPr>
          <w:rFonts w:hint="eastAsia" w:ascii="宋体" w:hAnsi="宋体" w:cs="宋体"/>
          <w:color w:val="auto"/>
          <w:spacing w:val="-7"/>
          <w:kern w:val="0"/>
          <w:sz w:val="24"/>
          <w:szCs w:val="22"/>
          <w:highlight w:val="none"/>
          <w:u w:val="single"/>
        </w:rPr>
        <w:t xml:space="preserve">                      </w:t>
      </w:r>
      <w:r>
        <w:rPr>
          <w:rFonts w:hint="eastAsia" w:ascii="宋体" w:hAnsi="宋体" w:cs="宋体"/>
          <w:color w:val="auto"/>
          <w:spacing w:val="-7"/>
          <w:kern w:val="0"/>
          <w:sz w:val="24"/>
          <w:szCs w:val="22"/>
          <w:highlight w:val="none"/>
        </w:rPr>
        <w:t xml:space="preserve"> </w:t>
      </w:r>
    </w:p>
    <w:p w14:paraId="2B02ECEA">
      <w:pPr>
        <w:widowControl/>
        <w:spacing w:line="560" w:lineRule="exact"/>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14:paraId="482E9BFD">
      <w:pPr>
        <w:pStyle w:val="7"/>
        <w:spacing w:line="500" w:lineRule="exact"/>
        <w:ind w:firstLine="374" w:firstLineChars="156"/>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（电子签章）</w:t>
      </w:r>
    </w:p>
    <w:p w14:paraId="5DEE26AA">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p w14:paraId="3941209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签字或签名章）   </w:t>
      </w:r>
    </w:p>
    <w:p w14:paraId="794B74A4">
      <w:pPr>
        <w:widowControl/>
        <w:spacing w:line="560" w:lineRule="exact"/>
        <w:jc w:val="left"/>
        <w:rPr>
          <w:rFonts w:ascii="宋体" w:hAnsi="宋体" w:cs="宋体"/>
          <w:color w:val="auto"/>
          <w:sz w:val="24"/>
          <w:highlight w:val="none"/>
        </w:rPr>
      </w:pPr>
    </w:p>
    <w:p w14:paraId="39EFBA46">
      <w:pPr>
        <w:adjustRightInd w:val="0"/>
        <w:snapToGrid w:val="0"/>
        <w:spacing w:line="320" w:lineRule="exact"/>
        <w:rPr>
          <w:rFonts w:ascii="宋体" w:hAnsi="宋体" w:cs="宋体"/>
          <w:color w:val="auto"/>
          <w:sz w:val="24"/>
          <w:szCs w:val="22"/>
          <w:highlight w:val="none"/>
        </w:rPr>
      </w:pPr>
      <w:r>
        <w:rPr>
          <w:rFonts w:hint="eastAsia" w:ascii="宋体" w:hAnsi="宋体" w:cs="宋体"/>
          <w:color w:val="auto"/>
          <w:sz w:val="24"/>
          <w:szCs w:val="22"/>
          <w:highlight w:val="none"/>
        </w:rPr>
        <w:t xml:space="preserve">                                            时间：  年  月  日</w:t>
      </w:r>
    </w:p>
    <w:p w14:paraId="6A33D2B6">
      <w:pPr>
        <w:spacing w:line="360" w:lineRule="auto"/>
        <w:ind w:right="560" w:rightChars="200"/>
        <w:rPr>
          <w:rFonts w:ascii="宋体" w:hAnsi="宋体" w:cs="宋体"/>
          <w:color w:val="auto"/>
          <w:sz w:val="22"/>
          <w:szCs w:val="22"/>
          <w:highlight w:val="none"/>
        </w:rPr>
      </w:pPr>
    </w:p>
    <w:p w14:paraId="06914C9D">
      <w:pPr>
        <w:spacing w:line="360" w:lineRule="auto"/>
        <w:ind w:right="560" w:rightChars="200"/>
        <w:rPr>
          <w:rFonts w:ascii="宋体" w:hAnsi="宋体" w:cs="宋体"/>
          <w:color w:val="auto"/>
          <w:sz w:val="24"/>
          <w:highlight w:val="none"/>
        </w:rPr>
      </w:pPr>
    </w:p>
    <w:p w14:paraId="72E3AA87">
      <w:pPr>
        <w:pStyle w:val="8"/>
        <w:rPr>
          <w:rFonts w:hAnsi="宋体" w:cs="宋体"/>
          <w:color w:val="auto"/>
          <w:sz w:val="24"/>
          <w:highlight w:val="none"/>
        </w:rPr>
      </w:pPr>
    </w:p>
    <w:p w14:paraId="4C3E469F">
      <w:pPr>
        <w:pStyle w:val="8"/>
        <w:rPr>
          <w:rFonts w:hAnsi="宋体" w:cs="宋体"/>
          <w:color w:val="auto"/>
          <w:sz w:val="24"/>
          <w:highlight w:val="none"/>
        </w:rPr>
      </w:pPr>
    </w:p>
    <w:p w14:paraId="7FADD876">
      <w:pPr>
        <w:snapToGrid w:val="0"/>
        <w:spacing w:line="360" w:lineRule="auto"/>
        <w:jc w:val="left"/>
        <w:rPr>
          <w:rFonts w:ascii="宋体" w:hAnsi="宋体" w:cs="宋体"/>
          <w:b/>
          <w:color w:val="auto"/>
          <w:sz w:val="24"/>
          <w:highlight w:val="none"/>
        </w:rPr>
      </w:pPr>
    </w:p>
    <w:p w14:paraId="48DE7414">
      <w:pPr>
        <w:pStyle w:val="2"/>
        <w:ind w:firstLine="241"/>
        <w:rPr>
          <w:rFonts w:ascii="宋体" w:hAnsi="宋体" w:cs="宋体"/>
          <w:b/>
          <w:color w:val="auto"/>
          <w:sz w:val="24"/>
          <w:highlight w:val="none"/>
        </w:rPr>
      </w:pPr>
    </w:p>
    <w:p w14:paraId="61927CDC">
      <w:pPr>
        <w:spacing w:line="360" w:lineRule="auto"/>
        <w:rPr>
          <w:rFonts w:ascii="宋体" w:hAnsi="宋体" w:cs="宋体"/>
          <w:b/>
          <w:bCs/>
          <w:color w:val="auto"/>
          <w:szCs w:val="28"/>
          <w:highlight w:val="none"/>
        </w:rPr>
      </w:pPr>
    </w:p>
    <w:p w14:paraId="0D911E09">
      <w:pPr>
        <w:spacing w:line="360" w:lineRule="auto"/>
        <w:jc w:val="center"/>
        <w:rPr>
          <w:rFonts w:ascii="宋体" w:hAnsi="宋体" w:cs="宋体"/>
          <w:b/>
          <w:color w:val="auto"/>
          <w:sz w:val="24"/>
          <w:highlight w:val="none"/>
        </w:rPr>
      </w:pPr>
      <w:bookmarkStart w:id="72" w:name="_Toc20929_WPSOffice_Level2"/>
      <w:bookmarkStart w:id="73" w:name="_Toc9410_WPSOffice_Level2"/>
      <w:r>
        <w:rPr>
          <w:rFonts w:hint="eastAsia" w:ascii="宋体" w:hAnsi="宋体" w:cs="宋体"/>
          <w:b/>
          <w:color w:val="auto"/>
          <w:sz w:val="24"/>
          <w:highlight w:val="none"/>
        </w:rPr>
        <w:t>符合参加政府采购活动应当具备的一般条件的承诺函</w:t>
      </w:r>
    </w:p>
    <w:p w14:paraId="7D08E2D2">
      <w:pPr>
        <w:snapToGrid w:val="0"/>
        <w:spacing w:line="360" w:lineRule="auto"/>
        <w:rPr>
          <w:rFonts w:ascii="宋体" w:hAnsi="宋体" w:cs="宋体"/>
          <w:b/>
          <w:color w:val="auto"/>
          <w:sz w:val="24"/>
          <w:highlight w:val="none"/>
          <w:u w:val="single"/>
        </w:rPr>
      </w:pPr>
    </w:p>
    <w:p w14:paraId="6F093643">
      <w:pPr>
        <w:snapToGrid w:val="0"/>
        <w:spacing w:line="360" w:lineRule="auto"/>
        <w:rPr>
          <w:rFonts w:ascii="宋体" w:hAnsi="宋体" w:cs="宋体"/>
          <w:color w:val="auto"/>
          <w:sz w:val="24"/>
          <w:highlight w:val="none"/>
        </w:rPr>
      </w:pPr>
      <w:r>
        <w:rPr>
          <w:rFonts w:hint="eastAsia" w:ascii="宋体" w:hAnsi="宋体" w:cs="宋体"/>
          <w:b/>
          <w:color w:val="auto"/>
          <w:sz w:val="24"/>
          <w:highlight w:val="none"/>
          <w:u w:val="single"/>
        </w:rPr>
        <w:t>（采购人）、（采购代理机构）</w:t>
      </w:r>
      <w:r>
        <w:rPr>
          <w:rFonts w:hint="eastAsia" w:ascii="宋体" w:hAnsi="宋体" w:cs="宋体"/>
          <w:color w:val="auto"/>
          <w:sz w:val="24"/>
          <w:highlight w:val="none"/>
        </w:rPr>
        <w:t>：</w:t>
      </w:r>
    </w:p>
    <w:p w14:paraId="5CB359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eastAsia="zh-CN"/>
        </w:rPr>
        <w:t>、标项</w:t>
      </w:r>
      <w:r>
        <w:rPr>
          <w:rFonts w:hint="eastAsia" w:ascii="宋体" w:hAnsi="宋体" w:cs="宋体"/>
          <w:color w:val="auto"/>
          <w:sz w:val="24"/>
          <w:highlight w:val="none"/>
        </w:rPr>
        <w:t>）【招标编号：（采购编号）】政府采购活动，郑重承诺：</w:t>
      </w:r>
    </w:p>
    <w:p w14:paraId="1BACD5A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248D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42472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C42E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05DA2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BBE16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94DB9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6C09B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EAF2A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08823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7A1C5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2、为采购项目提供整体设计、规范编制或者项目管理、监理、检测等服务后再参加该采购项目的其他采购活动的。</w:t>
      </w:r>
    </w:p>
    <w:p w14:paraId="1C2F2B0B">
      <w:pPr>
        <w:spacing w:line="360" w:lineRule="auto"/>
        <w:jc w:val="lef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14:paraId="48610905">
      <w:pPr>
        <w:spacing w:line="360" w:lineRule="auto"/>
        <w:jc w:val="left"/>
        <w:rPr>
          <w:rFonts w:ascii="宋体" w:hAnsi="宋体" w:cs="宋体"/>
          <w:b/>
          <w:color w:val="auto"/>
          <w:sz w:val="24"/>
          <w:highlight w:val="none"/>
        </w:rPr>
      </w:pPr>
    </w:p>
    <w:p w14:paraId="7AF167BF">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投标人名称(电子签名)：</w:t>
      </w:r>
    </w:p>
    <w:p w14:paraId="2F17BB45">
      <w:pPr>
        <w:widowControl/>
        <w:spacing w:line="360" w:lineRule="auto"/>
        <w:jc w:val="left"/>
        <w:rPr>
          <w:rFonts w:ascii="宋体" w:hAnsi="宋体" w:cs="宋体"/>
          <w:b/>
          <w:color w:val="auto"/>
          <w:sz w:val="24"/>
          <w:highlight w:val="none"/>
        </w:rPr>
      </w:pPr>
      <w:r>
        <w:rPr>
          <w:rFonts w:hint="eastAsia" w:ascii="宋体" w:hAnsi="宋体" w:cs="宋体"/>
          <w:b/>
          <w:color w:val="auto"/>
          <w:sz w:val="24"/>
          <w:highlight w:val="none"/>
        </w:rPr>
        <w:t>日期：  年  月  日</w:t>
      </w:r>
    </w:p>
    <w:p w14:paraId="06042303">
      <w:pPr>
        <w:adjustRightInd w:val="0"/>
        <w:snapToGrid w:val="0"/>
        <w:spacing w:before="240" w:beforeLines="100" w:after="240" w:afterLines="100" w:line="360" w:lineRule="auto"/>
        <w:ind w:right="140" w:rightChars="50"/>
        <w:jc w:val="center"/>
        <w:rPr>
          <w:rFonts w:ascii="宋体" w:hAnsi="宋体" w:cs="宋体"/>
          <w:b/>
          <w:bCs/>
          <w:color w:val="auto"/>
          <w:sz w:val="32"/>
          <w:szCs w:val="32"/>
          <w:highlight w:val="none"/>
        </w:rPr>
      </w:pPr>
    </w:p>
    <w:p w14:paraId="467AF8CF">
      <w:pPr>
        <w:adjustRightInd w:val="0"/>
        <w:snapToGrid w:val="0"/>
        <w:spacing w:before="240" w:beforeLines="100" w:after="240" w:afterLines="100" w:line="360" w:lineRule="auto"/>
        <w:ind w:right="140" w:rightChars="50"/>
        <w:jc w:val="center"/>
        <w:rPr>
          <w:rFonts w:ascii="宋体" w:hAnsi="宋体" w:cs="宋体"/>
          <w:b/>
          <w:bCs/>
          <w:color w:val="auto"/>
          <w:sz w:val="32"/>
          <w:szCs w:val="32"/>
          <w:highlight w:val="none"/>
        </w:rPr>
      </w:pPr>
    </w:p>
    <w:p w14:paraId="5C2518B1">
      <w:pPr>
        <w:adjustRightInd w:val="0"/>
        <w:snapToGrid w:val="0"/>
        <w:spacing w:before="240" w:beforeLines="100" w:after="240" w:afterLines="100" w:line="360" w:lineRule="auto"/>
        <w:ind w:right="140" w:rightChars="50"/>
        <w:jc w:val="center"/>
        <w:rPr>
          <w:rFonts w:ascii="宋体" w:hAnsi="宋体" w:cs="宋体"/>
          <w:b/>
          <w:bCs/>
          <w:color w:val="auto"/>
          <w:sz w:val="32"/>
          <w:szCs w:val="32"/>
          <w:highlight w:val="none"/>
        </w:rPr>
      </w:pPr>
    </w:p>
    <w:p w14:paraId="009AD07C">
      <w:pPr>
        <w:adjustRightInd w:val="0"/>
        <w:snapToGrid w:val="0"/>
        <w:spacing w:before="240" w:beforeLines="100" w:after="240" w:afterLines="100" w:line="360" w:lineRule="auto"/>
        <w:ind w:right="140" w:rightChars="50"/>
        <w:jc w:val="center"/>
        <w:rPr>
          <w:rFonts w:ascii="宋体" w:hAnsi="宋体" w:cs="宋体"/>
          <w:b/>
          <w:bCs/>
          <w:color w:val="auto"/>
          <w:sz w:val="32"/>
          <w:szCs w:val="32"/>
          <w:highlight w:val="none"/>
        </w:rPr>
      </w:pPr>
    </w:p>
    <w:p w14:paraId="5D78BFD3">
      <w:pPr>
        <w:adjustRightInd w:val="0"/>
        <w:snapToGrid w:val="0"/>
        <w:spacing w:before="240" w:beforeLines="100" w:after="240" w:afterLines="100" w:line="360" w:lineRule="auto"/>
        <w:ind w:right="140" w:rightChars="50"/>
        <w:jc w:val="center"/>
        <w:rPr>
          <w:rFonts w:ascii="宋体" w:hAnsi="宋体" w:cs="宋体"/>
          <w:b/>
          <w:bCs/>
          <w:color w:val="auto"/>
          <w:sz w:val="24"/>
          <w:highlight w:val="none"/>
        </w:rPr>
      </w:pPr>
      <w:r>
        <w:rPr>
          <w:rFonts w:hint="eastAsia" w:ascii="宋体" w:hAnsi="宋体" w:cs="宋体"/>
          <w:b/>
          <w:bCs/>
          <w:color w:val="auto"/>
          <w:sz w:val="24"/>
          <w:highlight w:val="none"/>
        </w:rPr>
        <w:t>投标人关联单位的说明</w:t>
      </w:r>
      <w:bookmarkEnd w:id="72"/>
      <w:bookmarkEnd w:id="73"/>
    </w:p>
    <w:p w14:paraId="513C7643">
      <w:pPr>
        <w:adjustRightInd w:val="0"/>
        <w:snapToGrid w:val="0"/>
        <w:spacing w:line="360" w:lineRule="auto"/>
        <w:ind w:right="140" w:rightChars="50" w:firstLine="544" w:firstLineChars="227"/>
        <w:jc w:val="left"/>
        <w:rPr>
          <w:rFonts w:ascii="宋体" w:hAnsi="宋体" w:cs="宋体"/>
          <w:color w:val="auto"/>
          <w:sz w:val="24"/>
          <w:highlight w:val="none"/>
        </w:rPr>
      </w:pPr>
      <w:r>
        <w:rPr>
          <w:rFonts w:hint="eastAsia" w:ascii="宋体" w:hAnsi="宋体" w:cs="宋体"/>
          <w:color w:val="auto"/>
          <w:sz w:val="24"/>
          <w:highlight w:val="none"/>
        </w:rPr>
        <w:t>说明：投标人应当如实披露与本单位存在下列关联关系的单位名称：</w:t>
      </w:r>
    </w:p>
    <w:p w14:paraId="072C68E0">
      <w:pPr>
        <w:adjustRightInd w:val="0"/>
        <w:snapToGrid w:val="0"/>
        <w:spacing w:line="360" w:lineRule="auto"/>
        <w:ind w:right="140" w:rightChars="50" w:firstLine="544" w:firstLineChars="227"/>
        <w:jc w:val="left"/>
        <w:rPr>
          <w:rFonts w:ascii="宋体" w:hAnsi="宋体" w:cs="宋体"/>
          <w:color w:val="auto"/>
          <w:sz w:val="24"/>
          <w:highlight w:val="none"/>
        </w:rPr>
      </w:pPr>
      <w:bookmarkStart w:id="74" w:name="_Toc31070_WPSOffice_Level2"/>
      <w:bookmarkStart w:id="75" w:name="_Toc2074_WPSOffice_Level2"/>
      <w:r>
        <w:rPr>
          <w:rFonts w:hint="eastAsia" w:ascii="宋体" w:hAnsi="宋体" w:cs="宋体"/>
          <w:color w:val="auto"/>
          <w:sz w:val="24"/>
          <w:highlight w:val="none"/>
        </w:rPr>
        <w:t>（1）与投标人单位法定代表人（或非法人组织负责人）为同一人的其他单位；</w:t>
      </w:r>
      <w:bookmarkEnd w:id="74"/>
      <w:bookmarkEnd w:id="75"/>
    </w:p>
    <w:p w14:paraId="1E7D5DEE">
      <w:pPr>
        <w:adjustRightInd w:val="0"/>
        <w:snapToGrid w:val="0"/>
        <w:spacing w:line="360" w:lineRule="auto"/>
        <w:ind w:right="140" w:rightChars="50" w:firstLine="544" w:firstLineChars="227"/>
        <w:jc w:val="left"/>
        <w:rPr>
          <w:rFonts w:ascii="宋体" w:hAnsi="宋体" w:cs="宋体"/>
          <w:color w:val="auto"/>
          <w:sz w:val="24"/>
          <w:highlight w:val="none"/>
        </w:rPr>
      </w:pPr>
      <w:bookmarkStart w:id="76" w:name="_Toc889_WPSOffice_Level2"/>
      <w:bookmarkStart w:id="77" w:name="_Toc27053_WPSOffice_Level2"/>
      <w:r>
        <w:rPr>
          <w:rFonts w:hint="eastAsia" w:ascii="宋体" w:hAnsi="宋体" w:cs="宋体"/>
          <w:color w:val="auto"/>
          <w:sz w:val="24"/>
          <w:highlight w:val="none"/>
        </w:rPr>
        <w:t>（2）与投标人存在直接控股、管理关系的其他单位。</w:t>
      </w:r>
      <w:bookmarkEnd w:id="76"/>
      <w:bookmarkEnd w:id="77"/>
    </w:p>
    <w:p w14:paraId="01FD854E">
      <w:pPr>
        <w:adjustRightInd w:val="0"/>
        <w:snapToGrid w:val="0"/>
        <w:spacing w:line="360" w:lineRule="auto"/>
        <w:ind w:right="140" w:rightChars="50" w:firstLine="544" w:firstLineChars="227"/>
        <w:jc w:val="left"/>
        <w:rPr>
          <w:rFonts w:ascii="宋体" w:hAnsi="宋体" w:cs="宋体"/>
          <w:color w:val="auto"/>
          <w:sz w:val="24"/>
          <w:highlight w:val="none"/>
        </w:rPr>
      </w:pPr>
    </w:p>
    <w:p w14:paraId="33813FF6">
      <w:pPr>
        <w:adjustRightInd w:val="0"/>
        <w:snapToGrid w:val="0"/>
        <w:spacing w:line="360" w:lineRule="auto"/>
        <w:ind w:right="140" w:rightChars="50" w:firstLine="544" w:firstLineChars="227"/>
        <w:jc w:val="left"/>
        <w:rPr>
          <w:rFonts w:ascii="宋体" w:hAnsi="宋体" w:cs="宋体"/>
          <w:color w:val="auto"/>
          <w:sz w:val="24"/>
          <w:highlight w:val="none"/>
        </w:rPr>
      </w:pPr>
      <w:r>
        <w:rPr>
          <w:rFonts w:hint="eastAsia" w:ascii="宋体" w:hAnsi="宋体" w:cs="宋体"/>
          <w:color w:val="auto"/>
          <w:sz w:val="24"/>
          <w:highlight w:val="none"/>
        </w:rPr>
        <w:t>注：若无此情形，写“无”即可</w:t>
      </w:r>
    </w:p>
    <w:p w14:paraId="5A792427">
      <w:pPr>
        <w:adjustRightInd w:val="0"/>
        <w:snapToGrid w:val="0"/>
        <w:spacing w:line="360" w:lineRule="auto"/>
        <w:ind w:right="140" w:rightChars="50" w:firstLine="544" w:firstLineChars="227"/>
        <w:jc w:val="left"/>
        <w:rPr>
          <w:rFonts w:ascii="宋体" w:hAnsi="宋体" w:cs="宋体"/>
          <w:color w:val="auto"/>
          <w:sz w:val="24"/>
          <w:highlight w:val="none"/>
        </w:rPr>
      </w:pPr>
    </w:p>
    <w:p w14:paraId="42D28063">
      <w:pPr>
        <w:adjustRightInd w:val="0"/>
        <w:snapToGrid w:val="0"/>
        <w:spacing w:line="360" w:lineRule="auto"/>
        <w:ind w:right="140" w:rightChars="50" w:firstLine="544" w:firstLineChars="227"/>
        <w:jc w:val="left"/>
        <w:rPr>
          <w:rFonts w:ascii="宋体" w:hAnsi="宋体" w:cs="宋体"/>
          <w:color w:val="auto"/>
          <w:sz w:val="24"/>
          <w:highlight w:val="none"/>
        </w:rPr>
      </w:pPr>
    </w:p>
    <w:p w14:paraId="6E2BE29E">
      <w:pPr>
        <w:adjustRightInd w:val="0"/>
        <w:snapToGrid w:val="0"/>
        <w:spacing w:line="360" w:lineRule="auto"/>
        <w:ind w:right="140" w:rightChars="50" w:firstLine="544" w:firstLineChars="227"/>
        <w:jc w:val="left"/>
        <w:rPr>
          <w:rFonts w:ascii="宋体" w:hAnsi="宋体" w:cs="宋体"/>
          <w:color w:val="auto"/>
          <w:sz w:val="24"/>
          <w:highlight w:val="none"/>
        </w:rPr>
      </w:pPr>
    </w:p>
    <w:p w14:paraId="16D1BA31">
      <w:pPr>
        <w:adjustRightInd w:val="0"/>
        <w:snapToGrid w:val="0"/>
        <w:spacing w:line="360" w:lineRule="auto"/>
        <w:ind w:right="140" w:rightChars="50"/>
        <w:jc w:val="left"/>
        <w:rPr>
          <w:rFonts w:ascii="宋体" w:hAnsi="宋体" w:cs="宋体"/>
          <w:color w:val="auto"/>
          <w:sz w:val="24"/>
          <w:highlight w:val="none"/>
        </w:rPr>
      </w:pPr>
    </w:p>
    <w:p w14:paraId="4543225D">
      <w:pPr>
        <w:pStyle w:val="7"/>
        <w:spacing w:line="480" w:lineRule="exact"/>
        <w:ind w:firstLine="0"/>
        <w:rPr>
          <w:rFonts w:ascii="宋体" w:hAnsi="宋体" w:cs="宋体"/>
          <w:color w:val="auto"/>
          <w:sz w:val="24"/>
          <w:szCs w:val="24"/>
          <w:highlight w:val="none"/>
        </w:rPr>
      </w:pPr>
      <w:r>
        <w:rPr>
          <w:rFonts w:hint="eastAsia" w:ascii="宋体" w:hAnsi="宋体" w:cs="宋体"/>
          <w:color w:val="auto"/>
          <w:sz w:val="24"/>
          <w:szCs w:val="24"/>
          <w:highlight w:val="none"/>
        </w:rPr>
        <w:t xml:space="preserve">投标人全称：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（电子签章）</w:t>
      </w:r>
    </w:p>
    <w:p w14:paraId="57415DB0">
      <w:pPr>
        <w:snapToGrid w:val="0"/>
        <w:spacing w:line="480" w:lineRule="exact"/>
        <w:rPr>
          <w:rFonts w:ascii="宋体" w:hAnsi="宋体" w:cs="宋体"/>
          <w:color w:val="auto"/>
          <w:sz w:val="24"/>
          <w:highlight w:val="none"/>
          <w:u w:val="single"/>
        </w:rPr>
      </w:pPr>
      <w:r>
        <w:rPr>
          <w:rFonts w:hint="eastAsia" w:ascii="宋体" w:hAnsi="宋体" w:cs="宋体"/>
          <w:color w:val="auto"/>
          <w:sz w:val="24"/>
          <w:highlight w:val="none"/>
        </w:rPr>
        <w:t>法定代表人或其授权委托人(签字或盖章)：</w:t>
      </w:r>
      <w:r>
        <w:rPr>
          <w:rFonts w:hint="eastAsia" w:ascii="宋体" w:hAnsi="宋体" w:cs="宋体"/>
          <w:color w:val="auto"/>
          <w:sz w:val="24"/>
          <w:highlight w:val="none"/>
          <w:u w:val="single"/>
        </w:rPr>
        <w:t xml:space="preserve">           </w:t>
      </w:r>
    </w:p>
    <w:p w14:paraId="389A5B9D">
      <w:pPr>
        <w:snapToGrid w:val="0"/>
        <w:spacing w:line="480" w:lineRule="exact"/>
        <w:rPr>
          <w:rFonts w:ascii="宋体" w:hAnsi="宋体" w:cs="宋体"/>
          <w:color w:val="auto"/>
          <w:sz w:val="24"/>
          <w:highlight w:val="none"/>
          <w:u w:val="singl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5248376">
      <w:pPr>
        <w:tabs>
          <w:tab w:val="left" w:pos="1200"/>
        </w:tabs>
        <w:adjustRightInd w:val="0"/>
        <w:snapToGrid w:val="0"/>
        <w:spacing w:line="340" w:lineRule="exact"/>
        <w:jc w:val="center"/>
        <w:outlineLvl w:val="0"/>
        <w:rPr>
          <w:rFonts w:ascii="宋体" w:hAnsi="宋体" w:cs="宋体"/>
          <w:b/>
          <w:color w:val="auto"/>
          <w:sz w:val="30"/>
          <w:szCs w:val="30"/>
          <w:highlight w:val="none"/>
        </w:rPr>
      </w:pPr>
      <w:r>
        <w:rPr>
          <w:rFonts w:hint="eastAsia" w:ascii="宋体" w:hAnsi="宋体" w:cs="宋体"/>
          <w:b/>
          <w:color w:val="auto"/>
          <w:sz w:val="24"/>
          <w:highlight w:val="none"/>
        </w:rPr>
        <w:br w:type="page"/>
      </w:r>
      <w:r>
        <w:rPr>
          <w:rFonts w:hint="eastAsia" w:ascii="宋体" w:hAnsi="宋体" w:cs="宋体"/>
          <w:b/>
          <w:bCs/>
          <w:color w:val="auto"/>
          <w:szCs w:val="28"/>
          <w:highlight w:val="none"/>
        </w:rPr>
        <w:t>自评表</w:t>
      </w:r>
    </w:p>
    <w:p w14:paraId="4A5C6CCC">
      <w:pPr>
        <w:tabs>
          <w:tab w:val="left" w:pos="1200"/>
        </w:tabs>
        <w:adjustRightInd w:val="0"/>
        <w:snapToGrid w:val="0"/>
        <w:spacing w:line="340" w:lineRule="exact"/>
        <w:jc w:val="center"/>
        <w:outlineLvl w:val="0"/>
        <w:rPr>
          <w:rFonts w:ascii="宋体" w:hAnsi="宋体" w:cs="宋体"/>
          <w:color w:val="auto"/>
          <w:sz w:val="30"/>
          <w:szCs w:val="30"/>
          <w:highlight w:val="none"/>
        </w:rPr>
      </w:pPr>
    </w:p>
    <w:p w14:paraId="6F058127">
      <w:pPr>
        <w:pStyle w:val="20"/>
        <w:ind w:left="560"/>
        <w:rPr>
          <w:rFonts w:ascii="宋体" w:hAnsi="宋体" w:cs="宋体"/>
          <w:color w:val="auto"/>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14:paraId="1D3B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14:paraId="650B5CB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68" w:type="dxa"/>
            <w:vAlign w:val="center"/>
          </w:tcPr>
          <w:p w14:paraId="25AA183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1701" w:type="dxa"/>
            <w:vAlign w:val="center"/>
          </w:tcPr>
          <w:p w14:paraId="1007FB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标准分</w:t>
            </w:r>
          </w:p>
        </w:tc>
        <w:tc>
          <w:tcPr>
            <w:tcW w:w="1276" w:type="dxa"/>
            <w:vAlign w:val="center"/>
          </w:tcPr>
          <w:p w14:paraId="7E53BB9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自评分</w:t>
            </w:r>
          </w:p>
        </w:tc>
        <w:tc>
          <w:tcPr>
            <w:tcW w:w="930" w:type="dxa"/>
            <w:vAlign w:val="center"/>
          </w:tcPr>
          <w:p w14:paraId="50C5A8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自评</w:t>
            </w:r>
          </w:p>
          <w:p w14:paraId="0A63147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依据</w:t>
            </w:r>
          </w:p>
        </w:tc>
        <w:tc>
          <w:tcPr>
            <w:tcW w:w="1154" w:type="dxa"/>
            <w:vAlign w:val="center"/>
          </w:tcPr>
          <w:p w14:paraId="2C1BA65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在投标文件中所对应的页码</w:t>
            </w:r>
          </w:p>
        </w:tc>
      </w:tr>
      <w:tr w14:paraId="114A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99BE420">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1</w:t>
            </w:r>
          </w:p>
        </w:tc>
        <w:tc>
          <w:tcPr>
            <w:tcW w:w="2968" w:type="dxa"/>
            <w:vAlign w:val="center"/>
          </w:tcPr>
          <w:p w14:paraId="0410DE68">
            <w:pPr>
              <w:spacing w:line="300" w:lineRule="exact"/>
              <w:jc w:val="center"/>
              <w:rPr>
                <w:rFonts w:ascii="宋体" w:hAnsi="宋体" w:cs="宋体"/>
                <w:b/>
                <w:color w:val="auto"/>
                <w:szCs w:val="21"/>
                <w:highlight w:val="none"/>
              </w:rPr>
            </w:pPr>
          </w:p>
        </w:tc>
        <w:tc>
          <w:tcPr>
            <w:tcW w:w="1701" w:type="dxa"/>
            <w:vAlign w:val="center"/>
          </w:tcPr>
          <w:p w14:paraId="411B3C2D">
            <w:pPr>
              <w:spacing w:line="300" w:lineRule="exact"/>
              <w:jc w:val="center"/>
              <w:rPr>
                <w:rFonts w:ascii="宋体" w:hAnsi="宋体" w:cs="宋体"/>
                <w:color w:val="auto"/>
                <w:szCs w:val="21"/>
                <w:highlight w:val="none"/>
              </w:rPr>
            </w:pPr>
          </w:p>
        </w:tc>
        <w:tc>
          <w:tcPr>
            <w:tcW w:w="1276" w:type="dxa"/>
            <w:vAlign w:val="center"/>
          </w:tcPr>
          <w:p w14:paraId="57C7E137">
            <w:pPr>
              <w:spacing w:line="360" w:lineRule="exact"/>
              <w:rPr>
                <w:rFonts w:ascii="宋体" w:hAnsi="宋体" w:cs="宋体"/>
                <w:color w:val="auto"/>
                <w:szCs w:val="21"/>
                <w:highlight w:val="none"/>
              </w:rPr>
            </w:pPr>
          </w:p>
        </w:tc>
        <w:tc>
          <w:tcPr>
            <w:tcW w:w="930" w:type="dxa"/>
            <w:vAlign w:val="center"/>
          </w:tcPr>
          <w:p w14:paraId="02163055">
            <w:pPr>
              <w:spacing w:line="360" w:lineRule="exact"/>
              <w:rPr>
                <w:rFonts w:ascii="宋体" w:hAnsi="宋体" w:cs="宋体"/>
                <w:color w:val="auto"/>
                <w:szCs w:val="21"/>
                <w:highlight w:val="none"/>
              </w:rPr>
            </w:pPr>
          </w:p>
        </w:tc>
        <w:tc>
          <w:tcPr>
            <w:tcW w:w="1154" w:type="dxa"/>
            <w:vAlign w:val="center"/>
          </w:tcPr>
          <w:p w14:paraId="61E01A20">
            <w:pPr>
              <w:spacing w:line="360" w:lineRule="exact"/>
              <w:rPr>
                <w:rFonts w:ascii="宋体" w:hAnsi="宋体" w:cs="宋体"/>
                <w:color w:val="auto"/>
                <w:szCs w:val="21"/>
                <w:highlight w:val="none"/>
              </w:rPr>
            </w:pPr>
          </w:p>
        </w:tc>
      </w:tr>
      <w:tr w14:paraId="6BF5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BF395E5">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2968" w:type="dxa"/>
            <w:vAlign w:val="center"/>
          </w:tcPr>
          <w:p w14:paraId="458745D5">
            <w:pPr>
              <w:spacing w:line="300" w:lineRule="exact"/>
              <w:jc w:val="center"/>
              <w:rPr>
                <w:rFonts w:ascii="宋体" w:hAnsi="宋体" w:cs="宋体"/>
                <w:b/>
                <w:color w:val="auto"/>
                <w:szCs w:val="21"/>
                <w:highlight w:val="none"/>
              </w:rPr>
            </w:pPr>
          </w:p>
        </w:tc>
        <w:tc>
          <w:tcPr>
            <w:tcW w:w="1701" w:type="dxa"/>
            <w:vAlign w:val="center"/>
          </w:tcPr>
          <w:p w14:paraId="2BBDB20A">
            <w:pPr>
              <w:spacing w:line="300" w:lineRule="exact"/>
              <w:jc w:val="center"/>
              <w:rPr>
                <w:rFonts w:ascii="宋体" w:hAnsi="宋体" w:cs="宋体"/>
                <w:color w:val="auto"/>
                <w:szCs w:val="21"/>
                <w:highlight w:val="none"/>
              </w:rPr>
            </w:pPr>
          </w:p>
        </w:tc>
        <w:tc>
          <w:tcPr>
            <w:tcW w:w="1276" w:type="dxa"/>
            <w:vAlign w:val="center"/>
          </w:tcPr>
          <w:p w14:paraId="7D3516B8">
            <w:pPr>
              <w:spacing w:line="360" w:lineRule="exact"/>
              <w:rPr>
                <w:rFonts w:ascii="宋体" w:hAnsi="宋体" w:cs="宋体"/>
                <w:color w:val="auto"/>
                <w:szCs w:val="21"/>
                <w:highlight w:val="none"/>
              </w:rPr>
            </w:pPr>
          </w:p>
        </w:tc>
        <w:tc>
          <w:tcPr>
            <w:tcW w:w="930" w:type="dxa"/>
            <w:vAlign w:val="center"/>
          </w:tcPr>
          <w:p w14:paraId="02D39F12">
            <w:pPr>
              <w:spacing w:line="360" w:lineRule="exact"/>
              <w:rPr>
                <w:rFonts w:ascii="宋体" w:hAnsi="宋体" w:cs="宋体"/>
                <w:color w:val="auto"/>
                <w:szCs w:val="21"/>
                <w:highlight w:val="none"/>
              </w:rPr>
            </w:pPr>
          </w:p>
        </w:tc>
        <w:tc>
          <w:tcPr>
            <w:tcW w:w="1154" w:type="dxa"/>
            <w:vAlign w:val="center"/>
          </w:tcPr>
          <w:p w14:paraId="3C6294F0">
            <w:pPr>
              <w:spacing w:line="360" w:lineRule="exact"/>
              <w:rPr>
                <w:rFonts w:ascii="宋体" w:hAnsi="宋体" w:cs="宋体"/>
                <w:color w:val="auto"/>
                <w:szCs w:val="21"/>
                <w:highlight w:val="none"/>
              </w:rPr>
            </w:pPr>
          </w:p>
        </w:tc>
      </w:tr>
      <w:tr w14:paraId="149A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2834319">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3</w:t>
            </w:r>
          </w:p>
        </w:tc>
        <w:tc>
          <w:tcPr>
            <w:tcW w:w="2968" w:type="dxa"/>
            <w:vAlign w:val="center"/>
          </w:tcPr>
          <w:p w14:paraId="66F7E964">
            <w:pPr>
              <w:spacing w:line="300" w:lineRule="exact"/>
              <w:jc w:val="center"/>
              <w:rPr>
                <w:rFonts w:ascii="宋体" w:hAnsi="宋体" w:cs="宋体"/>
                <w:b/>
                <w:color w:val="auto"/>
                <w:szCs w:val="21"/>
                <w:highlight w:val="none"/>
              </w:rPr>
            </w:pPr>
          </w:p>
        </w:tc>
        <w:tc>
          <w:tcPr>
            <w:tcW w:w="1701" w:type="dxa"/>
            <w:vAlign w:val="center"/>
          </w:tcPr>
          <w:p w14:paraId="0939FD0A">
            <w:pPr>
              <w:spacing w:line="300" w:lineRule="exact"/>
              <w:jc w:val="center"/>
              <w:rPr>
                <w:rFonts w:ascii="宋体" w:hAnsi="宋体" w:cs="宋体"/>
                <w:color w:val="auto"/>
                <w:szCs w:val="21"/>
                <w:highlight w:val="none"/>
              </w:rPr>
            </w:pPr>
          </w:p>
        </w:tc>
        <w:tc>
          <w:tcPr>
            <w:tcW w:w="1276" w:type="dxa"/>
            <w:vAlign w:val="center"/>
          </w:tcPr>
          <w:p w14:paraId="51B33A51">
            <w:pPr>
              <w:spacing w:line="360" w:lineRule="exact"/>
              <w:rPr>
                <w:rFonts w:ascii="宋体" w:hAnsi="宋体" w:cs="宋体"/>
                <w:color w:val="auto"/>
                <w:szCs w:val="21"/>
                <w:highlight w:val="none"/>
              </w:rPr>
            </w:pPr>
          </w:p>
        </w:tc>
        <w:tc>
          <w:tcPr>
            <w:tcW w:w="930" w:type="dxa"/>
            <w:vAlign w:val="center"/>
          </w:tcPr>
          <w:p w14:paraId="7A02CFFE">
            <w:pPr>
              <w:spacing w:line="360" w:lineRule="exact"/>
              <w:rPr>
                <w:rFonts w:ascii="宋体" w:hAnsi="宋体" w:cs="宋体"/>
                <w:color w:val="auto"/>
                <w:szCs w:val="21"/>
                <w:highlight w:val="none"/>
              </w:rPr>
            </w:pPr>
          </w:p>
        </w:tc>
        <w:tc>
          <w:tcPr>
            <w:tcW w:w="1154" w:type="dxa"/>
            <w:vAlign w:val="center"/>
          </w:tcPr>
          <w:p w14:paraId="2680CBD8">
            <w:pPr>
              <w:spacing w:line="360" w:lineRule="exact"/>
              <w:rPr>
                <w:rFonts w:ascii="宋体" w:hAnsi="宋体" w:cs="宋体"/>
                <w:color w:val="auto"/>
                <w:szCs w:val="21"/>
                <w:highlight w:val="none"/>
              </w:rPr>
            </w:pPr>
          </w:p>
        </w:tc>
      </w:tr>
      <w:tr w14:paraId="356D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CE89400">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4</w:t>
            </w:r>
          </w:p>
        </w:tc>
        <w:tc>
          <w:tcPr>
            <w:tcW w:w="2968" w:type="dxa"/>
            <w:vAlign w:val="center"/>
          </w:tcPr>
          <w:p w14:paraId="1DD9E0CF">
            <w:pPr>
              <w:spacing w:line="300" w:lineRule="exact"/>
              <w:jc w:val="center"/>
              <w:rPr>
                <w:rFonts w:ascii="宋体" w:hAnsi="宋体" w:cs="宋体"/>
                <w:b/>
                <w:color w:val="auto"/>
                <w:szCs w:val="21"/>
                <w:highlight w:val="none"/>
              </w:rPr>
            </w:pPr>
          </w:p>
        </w:tc>
        <w:tc>
          <w:tcPr>
            <w:tcW w:w="1701" w:type="dxa"/>
            <w:vAlign w:val="center"/>
          </w:tcPr>
          <w:p w14:paraId="2DC4EE7A">
            <w:pPr>
              <w:spacing w:line="300" w:lineRule="exact"/>
              <w:jc w:val="center"/>
              <w:rPr>
                <w:rFonts w:ascii="宋体" w:hAnsi="宋体" w:cs="宋体"/>
                <w:color w:val="auto"/>
                <w:szCs w:val="21"/>
                <w:highlight w:val="none"/>
              </w:rPr>
            </w:pPr>
          </w:p>
        </w:tc>
        <w:tc>
          <w:tcPr>
            <w:tcW w:w="1276" w:type="dxa"/>
            <w:vAlign w:val="center"/>
          </w:tcPr>
          <w:p w14:paraId="1DAA0858">
            <w:pPr>
              <w:spacing w:line="360" w:lineRule="exact"/>
              <w:rPr>
                <w:rFonts w:ascii="宋体" w:hAnsi="宋体" w:cs="宋体"/>
                <w:color w:val="auto"/>
                <w:szCs w:val="21"/>
                <w:highlight w:val="none"/>
              </w:rPr>
            </w:pPr>
          </w:p>
        </w:tc>
        <w:tc>
          <w:tcPr>
            <w:tcW w:w="930" w:type="dxa"/>
            <w:vAlign w:val="center"/>
          </w:tcPr>
          <w:p w14:paraId="04AFD1CF">
            <w:pPr>
              <w:spacing w:line="360" w:lineRule="exact"/>
              <w:rPr>
                <w:rFonts w:ascii="宋体" w:hAnsi="宋体" w:cs="宋体"/>
                <w:color w:val="auto"/>
                <w:szCs w:val="21"/>
                <w:highlight w:val="none"/>
              </w:rPr>
            </w:pPr>
          </w:p>
        </w:tc>
        <w:tc>
          <w:tcPr>
            <w:tcW w:w="1154" w:type="dxa"/>
            <w:vAlign w:val="center"/>
          </w:tcPr>
          <w:p w14:paraId="52B1A949">
            <w:pPr>
              <w:spacing w:line="360" w:lineRule="exact"/>
              <w:rPr>
                <w:rFonts w:ascii="宋体" w:hAnsi="宋体" w:cs="宋体"/>
                <w:color w:val="auto"/>
                <w:szCs w:val="21"/>
                <w:highlight w:val="none"/>
              </w:rPr>
            </w:pPr>
          </w:p>
        </w:tc>
      </w:tr>
      <w:tr w14:paraId="4098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F115871">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5</w:t>
            </w:r>
          </w:p>
        </w:tc>
        <w:tc>
          <w:tcPr>
            <w:tcW w:w="2968" w:type="dxa"/>
            <w:vAlign w:val="center"/>
          </w:tcPr>
          <w:p w14:paraId="7DBE3E7B">
            <w:pPr>
              <w:spacing w:line="300" w:lineRule="exact"/>
              <w:jc w:val="center"/>
              <w:rPr>
                <w:rFonts w:ascii="宋体" w:hAnsi="宋体" w:cs="宋体"/>
                <w:b/>
                <w:color w:val="auto"/>
                <w:szCs w:val="21"/>
                <w:highlight w:val="none"/>
              </w:rPr>
            </w:pPr>
          </w:p>
        </w:tc>
        <w:tc>
          <w:tcPr>
            <w:tcW w:w="1701" w:type="dxa"/>
            <w:vAlign w:val="center"/>
          </w:tcPr>
          <w:p w14:paraId="71F62216">
            <w:pPr>
              <w:spacing w:line="300" w:lineRule="exact"/>
              <w:jc w:val="center"/>
              <w:rPr>
                <w:rFonts w:ascii="宋体" w:hAnsi="宋体" w:cs="宋体"/>
                <w:color w:val="auto"/>
                <w:szCs w:val="21"/>
                <w:highlight w:val="none"/>
              </w:rPr>
            </w:pPr>
          </w:p>
        </w:tc>
        <w:tc>
          <w:tcPr>
            <w:tcW w:w="1276" w:type="dxa"/>
            <w:vAlign w:val="center"/>
          </w:tcPr>
          <w:p w14:paraId="3DDFB60A">
            <w:pPr>
              <w:spacing w:line="360" w:lineRule="exact"/>
              <w:rPr>
                <w:rFonts w:ascii="宋体" w:hAnsi="宋体" w:cs="宋体"/>
                <w:color w:val="auto"/>
                <w:szCs w:val="21"/>
                <w:highlight w:val="none"/>
              </w:rPr>
            </w:pPr>
          </w:p>
        </w:tc>
        <w:tc>
          <w:tcPr>
            <w:tcW w:w="930" w:type="dxa"/>
            <w:vAlign w:val="center"/>
          </w:tcPr>
          <w:p w14:paraId="18F00B07">
            <w:pPr>
              <w:spacing w:line="360" w:lineRule="exact"/>
              <w:rPr>
                <w:rFonts w:ascii="宋体" w:hAnsi="宋体" w:cs="宋体"/>
                <w:color w:val="auto"/>
                <w:szCs w:val="21"/>
                <w:highlight w:val="none"/>
              </w:rPr>
            </w:pPr>
          </w:p>
        </w:tc>
        <w:tc>
          <w:tcPr>
            <w:tcW w:w="1154" w:type="dxa"/>
            <w:vAlign w:val="center"/>
          </w:tcPr>
          <w:p w14:paraId="35CEAF21">
            <w:pPr>
              <w:spacing w:line="360" w:lineRule="exact"/>
              <w:rPr>
                <w:rFonts w:ascii="宋体" w:hAnsi="宋体" w:cs="宋体"/>
                <w:color w:val="auto"/>
                <w:szCs w:val="21"/>
                <w:highlight w:val="none"/>
              </w:rPr>
            </w:pPr>
          </w:p>
        </w:tc>
      </w:tr>
      <w:tr w14:paraId="32C9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23800F63">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6</w:t>
            </w:r>
          </w:p>
        </w:tc>
        <w:tc>
          <w:tcPr>
            <w:tcW w:w="2968" w:type="dxa"/>
            <w:vAlign w:val="center"/>
          </w:tcPr>
          <w:p w14:paraId="3AF2B24F">
            <w:pPr>
              <w:spacing w:line="300" w:lineRule="exact"/>
              <w:jc w:val="center"/>
              <w:rPr>
                <w:rFonts w:ascii="宋体" w:hAnsi="宋体" w:cs="宋体"/>
                <w:b/>
                <w:color w:val="auto"/>
                <w:kern w:val="0"/>
                <w:szCs w:val="21"/>
                <w:highlight w:val="none"/>
              </w:rPr>
            </w:pPr>
          </w:p>
        </w:tc>
        <w:tc>
          <w:tcPr>
            <w:tcW w:w="1701" w:type="dxa"/>
            <w:vAlign w:val="center"/>
          </w:tcPr>
          <w:p w14:paraId="5487F154">
            <w:pPr>
              <w:spacing w:line="300" w:lineRule="exact"/>
              <w:jc w:val="center"/>
              <w:rPr>
                <w:rFonts w:ascii="宋体" w:hAnsi="宋体" w:cs="宋体"/>
                <w:color w:val="auto"/>
                <w:szCs w:val="21"/>
                <w:highlight w:val="none"/>
              </w:rPr>
            </w:pPr>
          </w:p>
        </w:tc>
        <w:tc>
          <w:tcPr>
            <w:tcW w:w="1276" w:type="dxa"/>
            <w:vAlign w:val="center"/>
          </w:tcPr>
          <w:p w14:paraId="02CF9EA2">
            <w:pPr>
              <w:spacing w:line="360" w:lineRule="exact"/>
              <w:rPr>
                <w:rFonts w:ascii="宋体" w:hAnsi="宋体" w:cs="宋体"/>
                <w:color w:val="auto"/>
                <w:szCs w:val="21"/>
                <w:highlight w:val="none"/>
              </w:rPr>
            </w:pPr>
          </w:p>
        </w:tc>
        <w:tc>
          <w:tcPr>
            <w:tcW w:w="930" w:type="dxa"/>
            <w:vAlign w:val="center"/>
          </w:tcPr>
          <w:p w14:paraId="4ADDDCE9">
            <w:pPr>
              <w:spacing w:line="360" w:lineRule="exact"/>
              <w:rPr>
                <w:rFonts w:ascii="宋体" w:hAnsi="宋体" w:cs="宋体"/>
                <w:color w:val="auto"/>
                <w:szCs w:val="21"/>
                <w:highlight w:val="none"/>
              </w:rPr>
            </w:pPr>
          </w:p>
        </w:tc>
        <w:tc>
          <w:tcPr>
            <w:tcW w:w="1154" w:type="dxa"/>
            <w:vAlign w:val="center"/>
          </w:tcPr>
          <w:p w14:paraId="6223CBED">
            <w:pPr>
              <w:spacing w:line="360" w:lineRule="exact"/>
              <w:rPr>
                <w:rFonts w:ascii="宋体" w:hAnsi="宋体" w:cs="宋体"/>
                <w:color w:val="auto"/>
                <w:szCs w:val="21"/>
                <w:highlight w:val="none"/>
              </w:rPr>
            </w:pPr>
          </w:p>
        </w:tc>
      </w:tr>
      <w:tr w14:paraId="3B9B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15117E5E">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7</w:t>
            </w:r>
          </w:p>
        </w:tc>
        <w:tc>
          <w:tcPr>
            <w:tcW w:w="2968" w:type="dxa"/>
            <w:vAlign w:val="center"/>
          </w:tcPr>
          <w:p w14:paraId="1477B740">
            <w:pPr>
              <w:spacing w:line="300" w:lineRule="exact"/>
              <w:jc w:val="center"/>
              <w:rPr>
                <w:rFonts w:ascii="宋体" w:hAnsi="宋体" w:cs="宋体"/>
                <w:b/>
                <w:snapToGrid w:val="0"/>
                <w:color w:val="auto"/>
                <w:szCs w:val="21"/>
                <w:highlight w:val="none"/>
              </w:rPr>
            </w:pPr>
          </w:p>
        </w:tc>
        <w:tc>
          <w:tcPr>
            <w:tcW w:w="1701" w:type="dxa"/>
            <w:vAlign w:val="center"/>
          </w:tcPr>
          <w:p w14:paraId="79A47D72">
            <w:pPr>
              <w:spacing w:line="300" w:lineRule="exact"/>
              <w:jc w:val="center"/>
              <w:rPr>
                <w:rFonts w:ascii="宋体" w:hAnsi="宋体" w:cs="宋体"/>
                <w:snapToGrid w:val="0"/>
                <w:color w:val="auto"/>
                <w:szCs w:val="21"/>
                <w:highlight w:val="none"/>
              </w:rPr>
            </w:pPr>
          </w:p>
        </w:tc>
        <w:tc>
          <w:tcPr>
            <w:tcW w:w="1276" w:type="dxa"/>
            <w:vAlign w:val="center"/>
          </w:tcPr>
          <w:p w14:paraId="130E7053">
            <w:pPr>
              <w:spacing w:line="360" w:lineRule="exact"/>
              <w:rPr>
                <w:rFonts w:ascii="宋体" w:hAnsi="宋体" w:cs="宋体"/>
                <w:color w:val="auto"/>
                <w:szCs w:val="21"/>
                <w:highlight w:val="none"/>
              </w:rPr>
            </w:pPr>
          </w:p>
        </w:tc>
        <w:tc>
          <w:tcPr>
            <w:tcW w:w="930" w:type="dxa"/>
            <w:vAlign w:val="center"/>
          </w:tcPr>
          <w:p w14:paraId="0BF1651F">
            <w:pPr>
              <w:spacing w:line="360" w:lineRule="exact"/>
              <w:rPr>
                <w:rFonts w:ascii="宋体" w:hAnsi="宋体" w:cs="宋体"/>
                <w:color w:val="auto"/>
                <w:szCs w:val="21"/>
                <w:highlight w:val="none"/>
              </w:rPr>
            </w:pPr>
          </w:p>
        </w:tc>
        <w:tc>
          <w:tcPr>
            <w:tcW w:w="1154" w:type="dxa"/>
            <w:vAlign w:val="center"/>
          </w:tcPr>
          <w:p w14:paraId="47B725DB">
            <w:pPr>
              <w:spacing w:line="360" w:lineRule="exact"/>
              <w:rPr>
                <w:rFonts w:ascii="宋体" w:hAnsi="宋体" w:cs="宋体"/>
                <w:color w:val="auto"/>
                <w:szCs w:val="21"/>
                <w:highlight w:val="none"/>
              </w:rPr>
            </w:pPr>
          </w:p>
        </w:tc>
      </w:tr>
      <w:tr w14:paraId="37A7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0861269">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8</w:t>
            </w:r>
          </w:p>
        </w:tc>
        <w:tc>
          <w:tcPr>
            <w:tcW w:w="2968" w:type="dxa"/>
            <w:vAlign w:val="center"/>
          </w:tcPr>
          <w:p w14:paraId="4E8F58B6">
            <w:pPr>
              <w:spacing w:line="300" w:lineRule="exact"/>
              <w:jc w:val="center"/>
              <w:rPr>
                <w:rFonts w:ascii="宋体" w:hAnsi="宋体" w:cs="宋体"/>
                <w:b/>
                <w:color w:val="auto"/>
                <w:szCs w:val="21"/>
                <w:highlight w:val="none"/>
              </w:rPr>
            </w:pPr>
          </w:p>
        </w:tc>
        <w:tc>
          <w:tcPr>
            <w:tcW w:w="1701" w:type="dxa"/>
            <w:vAlign w:val="center"/>
          </w:tcPr>
          <w:p w14:paraId="15AACBE3">
            <w:pPr>
              <w:spacing w:line="300" w:lineRule="exact"/>
              <w:jc w:val="center"/>
              <w:rPr>
                <w:rFonts w:ascii="宋体" w:hAnsi="宋体" w:cs="宋体"/>
                <w:snapToGrid w:val="0"/>
                <w:color w:val="auto"/>
                <w:szCs w:val="21"/>
                <w:highlight w:val="none"/>
              </w:rPr>
            </w:pPr>
          </w:p>
        </w:tc>
        <w:tc>
          <w:tcPr>
            <w:tcW w:w="1276" w:type="dxa"/>
            <w:vAlign w:val="center"/>
          </w:tcPr>
          <w:p w14:paraId="261C669D">
            <w:pPr>
              <w:spacing w:line="360" w:lineRule="exact"/>
              <w:rPr>
                <w:rFonts w:ascii="宋体" w:hAnsi="宋体" w:cs="宋体"/>
                <w:color w:val="auto"/>
                <w:szCs w:val="21"/>
                <w:highlight w:val="none"/>
              </w:rPr>
            </w:pPr>
          </w:p>
        </w:tc>
        <w:tc>
          <w:tcPr>
            <w:tcW w:w="930" w:type="dxa"/>
            <w:vAlign w:val="center"/>
          </w:tcPr>
          <w:p w14:paraId="1573762F">
            <w:pPr>
              <w:spacing w:line="360" w:lineRule="exact"/>
              <w:rPr>
                <w:rFonts w:ascii="宋体" w:hAnsi="宋体" w:cs="宋体"/>
                <w:color w:val="auto"/>
                <w:szCs w:val="21"/>
                <w:highlight w:val="none"/>
              </w:rPr>
            </w:pPr>
          </w:p>
        </w:tc>
        <w:tc>
          <w:tcPr>
            <w:tcW w:w="1154" w:type="dxa"/>
            <w:vAlign w:val="center"/>
          </w:tcPr>
          <w:p w14:paraId="1E74BDD0">
            <w:pPr>
              <w:spacing w:line="360" w:lineRule="exact"/>
              <w:rPr>
                <w:rFonts w:ascii="宋体" w:hAnsi="宋体" w:cs="宋体"/>
                <w:color w:val="auto"/>
                <w:szCs w:val="21"/>
                <w:highlight w:val="none"/>
              </w:rPr>
            </w:pPr>
          </w:p>
        </w:tc>
      </w:tr>
      <w:tr w14:paraId="0A1E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739ECFC">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9</w:t>
            </w:r>
          </w:p>
        </w:tc>
        <w:tc>
          <w:tcPr>
            <w:tcW w:w="2968" w:type="dxa"/>
            <w:vAlign w:val="center"/>
          </w:tcPr>
          <w:p w14:paraId="271DA4D3">
            <w:pPr>
              <w:spacing w:line="300" w:lineRule="exact"/>
              <w:jc w:val="center"/>
              <w:rPr>
                <w:rFonts w:ascii="宋体" w:hAnsi="宋体" w:cs="宋体"/>
                <w:b/>
                <w:color w:val="auto"/>
                <w:szCs w:val="21"/>
                <w:highlight w:val="none"/>
              </w:rPr>
            </w:pPr>
          </w:p>
        </w:tc>
        <w:tc>
          <w:tcPr>
            <w:tcW w:w="1701" w:type="dxa"/>
            <w:vAlign w:val="center"/>
          </w:tcPr>
          <w:p w14:paraId="064A5D30">
            <w:pPr>
              <w:spacing w:line="300" w:lineRule="exact"/>
              <w:jc w:val="center"/>
              <w:rPr>
                <w:rFonts w:ascii="宋体" w:hAnsi="宋体" w:cs="宋体"/>
                <w:color w:val="auto"/>
                <w:szCs w:val="21"/>
                <w:highlight w:val="none"/>
              </w:rPr>
            </w:pPr>
          </w:p>
        </w:tc>
        <w:tc>
          <w:tcPr>
            <w:tcW w:w="1276" w:type="dxa"/>
            <w:vAlign w:val="center"/>
          </w:tcPr>
          <w:p w14:paraId="03E855EB">
            <w:pPr>
              <w:spacing w:line="360" w:lineRule="exact"/>
              <w:rPr>
                <w:rFonts w:ascii="宋体" w:hAnsi="宋体" w:cs="宋体"/>
                <w:color w:val="auto"/>
                <w:szCs w:val="21"/>
                <w:highlight w:val="none"/>
              </w:rPr>
            </w:pPr>
          </w:p>
        </w:tc>
        <w:tc>
          <w:tcPr>
            <w:tcW w:w="930" w:type="dxa"/>
            <w:vAlign w:val="center"/>
          </w:tcPr>
          <w:p w14:paraId="5B2D018A">
            <w:pPr>
              <w:spacing w:line="360" w:lineRule="exact"/>
              <w:rPr>
                <w:rFonts w:ascii="宋体" w:hAnsi="宋体" w:cs="宋体"/>
                <w:color w:val="auto"/>
                <w:szCs w:val="21"/>
                <w:highlight w:val="none"/>
              </w:rPr>
            </w:pPr>
          </w:p>
        </w:tc>
        <w:tc>
          <w:tcPr>
            <w:tcW w:w="1154" w:type="dxa"/>
            <w:vAlign w:val="center"/>
          </w:tcPr>
          <w:p w14:paraId="47BDEC20">
            <w:pPr>
              <w:spacing w:line="360" w:lineRule="exact"/>
              <w:rPr>
                <w:rFonts w:ascii="宋体" w:hAnsi="宋体" w:cs="宋体"/>
                <w:color w:val="auto"/>
                <w:szCs w:val="21"/>
                <w:highlight w:val="none"/>
              </w:rPr>
            </w:pPr>
          </w:p>
        </w:tc>
      </w:tr>
      <w:tr w14:paraId="622B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1B325177">
            <w:pPr>
              <w:adjustRightInd w:val="0"/>
              <w:snapToGrid w:val="0"/>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10</w:t>
            </w:r>
          </w:p>
        </w:tc>
        <w:tc>
          <w:tcPr>
            <w:tcW w:w="2968" w:type="dxa"/>
            <w:vAlign w:val="center"/>
          </w:tcPr>
          <w:p w14:paraId="4010303B">
            <w:pPr>
              <w:spacing w:line="300" w:lineRule="exact"/>
              <w:jc w:val="center"/>
              <w:rPr>
                <w:rFonts w:ascii="宋体" w:hAnsi="宋体" w:cs="宋体"/>
                <w:b/>
                <w:color w:val="auto"/>
                <w:szCs w:val="21"/>
                <w:highlight w:val="none"/>
              </w:rPr>
            </w:pPr>
          </w:p>
        </w:tc>
        <w:tc>
          <w:tcPr>
            <w:tcW w:w="1701" w:type="dxa"/>
            <w:vAlign w:val="center"/>
          </w:tcPr>
          <w:p w14:paraId="06AB640D">
            <w:pPr>
              <w:spacing w:line="300" w:lineRule="exact"/>
              <w:jc w:val="center"/>
              <w:rPr>
                <w:rFonts w:ascii="宋体" w:hAnsi="宋体" w:cs="宋体"/>
                <w:color w:val="auto"/>
                <w:szCs w:val="21"/>
                <w:highlight w:val="none"/>
              </w:rPr>
            </w:pPr>
          </w:p>
        </w:tc>
        <w:tc>
          <w:tcPr>
            <w:tcW w:w="1276" w:type="dxa"/>
            <w:vAlign w:val="center"/>
          </w:tcPr>
          <w:p w14:paraId="6552A3A3">
            <w:pPr>
              <w:spacing w:line="360" w:lineRule="exact"/>
              <w:rPr>
                <w:rFonts w:ascii="宋体" w:hAnsi="宋体" w:cs="宋体"/>
                <w:color w:val="auto"/>
                <w:szCs w:val="21"/>
                <w:highlight w:val="none"/>
              </w:rPr>
            </w:pPr>
          </w:p>
        </w:tc>
        <w:tc>
          <w:tcPr>
            <w:tcW w:w="930" w:type="dxa"/>
            <w:vAlign w:val="center"/>
          </w:tcPr>
          <w:p w14:paraId="4B5B732F">
            <w:pPr>
              <w:spacing w:line="360" w:lineRule="exact"/>
              <w:rPr>
                <w:rFonts w:ascii="宋体" w:hAnsi="宋体" w:cs="宋体"/>
                <w:color w:val="auto"/>
                <w:szCs w:val="21"/>
                <w:highlight w:val="none"/>
              </w:rPr>
            </w:pPr>
          </w:p>
        </w:tc>
        <w:tc>
          <w:tcPr>
            <w:tcW w:w="1154" w:type="dxa"/>
            <w:vAlign w:val="center"/>
          </w:tcPr>
          <w:p w14:paraId="6CD43D79">
            <w:pPr>
              <w:spacing w:line="360" w:lineRule="exact"/>
              <w:rPr>
                <w:rFonts w:ascii="宋体" w:hAnsi="宋体" w:cs="宋体"/>
                <w:color w:val="auto"/>
                <w:szCs w:val="21"/>
                <w:highlight w:val="none"/>
              </w:rPr>
            </w:pPr>
          </w:p>
        </w:tc>
      </w:tr>
      <w:tr w14:paraId="49DB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14:paraId="716A7DBC">
            <w:pPr>
              <w:spacing w:line="360" w:lineRule="exact"/>
              <w:jc w:val="center"/>
              <w:rPr>
                <w:rFonts w:ascii="宋体" w:hAnsi="宋体" w:cs="宋体"/>
                <w:color w:val="auto"/>
                <w:szCs w:val="21"/>
                <w:highlight w:val="none"/>
              </w:rPr>
            </w:pPr>
          </w:p>
        </w:tc>
        <w:tc>
          <w:tcPr>
            <w:tcW w:w="2968" w:type="dxa"/>
            <w:vAlign w:val="center"/>
          </w:tcPr>
          <w:p w14:paraId="7BA6F9C2">
            <w:pPr>
              <w:spacing w:line="360" w:lineRule="exact"/>
              <w:jc w:val="center"/>
              <w:rPr>
                <w:rFonts w:ascii="宋体" w:hAnsi="宋体" w:cs="宋体"/>
                <w:color w:val="auto"/>
                <w:szCs w:val="21"/>
                <w:highlight w:val="none"/>
              </w:rPr>
            </w:pPr>
          </w:p>
        </w:tc>
        <w:tc>
          <w:tcPr>
            <w:tcW w:w="1701" w:type="dxa"/>
            <w:vAlign w:val="center"/>
          </w:tcPr>
          <w:p w14:paraId="68E59F71">
            <w:pPr>
              <w:spacing w:line="360" w:lineRule="exact"/>
              <w:jc w:val="center"/>
              <w:rPr>
                <w:rFonts w:ascii="宋体" w:hAnsi="宋体" w:cs="宋体"/>
                <w:color w:val="auto"/>
                <w:szCs w:val="21"/>
                <w:highlight w:val="none"/>
              </w:rPr>
            </w:pPr>
          </w:p>
        </w:tc>
        <w:tc>
          <w:tcPr>
            <w:tcW w:w="1276" w:type="dxa"/>
            <w:vAlign w:val="center"/>
          </w:tcPr>
          <w:p w14:paraId="46046D59">
            <w:pPr>
              <w:spacing w:line="360" w:lineRule="exact"/>
              <w:rPr>
                <w:rFonts w:ascii="宋体" w:hAnsi="宋体" w:cs="宋体"/>
                <w:color w:val="auto"/>
                <w:szCs w:val="21"/>
                <w:highlight w:val="none"/>
              </w:rPr>
            </w:pPr>
          </w:p>
        </w:tc>
        <w:tc>
          <w:tcPr>
            <w:tcW w:w="930" w:type="dxa"/>
            <w:vAlign w:val="center"/>
          </w:tcPr>
          <w:p w14:paraId="6E4C8B8B">
            <w:pPr>
              <w:spacing w:line="360" w:lineRule="exact"/>
              <w:rPr>
                <w:rFonts w:ascii="宋体" w:hAnsi="宋体" w:cs="宋体"/>
                <w:color w:val="auto"/>
                <w:szCs w:val="21"/>
                <w:highlight w:val="none"/>
              </w:rPr>
            </w:pPr>
          </w:p>
        </w:tc>
        <w:tc>
          <w:tcPr>
            <w:tcW w:w="1154" w:type="dxa"/>
            <w:vAlign w:val="center"/>
          </w:tcPr>
          <w:p w14:paraId="75B86C59">
            <w:pPr>
              <w:spacing w:line="360" w:lineRule="exact"/>
              <w:rPr>
                <w:rFonts w:ascii="宋体" w:hAnsi="宋体" w:cs="宋体"/>
                <w:color w:val="auto"/>
                <w:szCs w:val="21"/>
                <w:highlight w:val="none"/>
              </w:rPr>
            </w:pPr>
          </w:p>
        </w:tc>
      </w:tr>
    </w:tbl>
    <w:p w14:paraId="4577509B">
      <w:pPr>
        <w:spacing w:line="400" w:lineRule="exact"/>
        <w:ind w:left="546" w:leftChars="195"/>
        <w:rPr>
          <w:rFonts w:ascii="宋体" w:hAnsi="宋体" w:cs="宋体"/>
          <w:b/>
          <w:color w:val="auto"/>
          <w:szCs w:val="21"/>
          <w:highlight w:val="none"/>
        </w:rPr>
      </w:pPr>
      <w:r>
        <w:rPr>
          <w:rFonts w:hint="eastAsia" w:ascii="宋体" w:hAnsi="宋体" w:cs="宋体"/>
          <w:b/>
          <w:color w:val="auto"/>
          <w:szCs w:val="21"/>
          <w:highlight w:val="none"/>
        </w:rPr>
        <w:t>注：“自评表”放在技术商务文件首页。投标供应商应认真填写相关内容在投标文件中所对应的页码。</w:t>
      </w:r>
    </w:p>
    <w:p w14:paraId="57E2BA4B">
      <w:pPr>
        <w:spacing w:before="120" w:beforeLines="50" w:after="120" w:afterLines="50"/>
        <w:outlineLvl w:val="0"/>
        <w:rPr>
          <w:rFonts w:ascii="宋体" w:hAnsi="宋体" w:cs="宋体"/>
          <w:b/>
          <w:color w:val="auto"/>
          <w:szCs w:val="21"/>
          <w:highlight w:val="none"/>
        </w:rPr>
      </w:pPr>
    </w:p>
    <w:p w14:paraId="06CA8FDF">
      <w:pPr>
        <w:rPr>
          <w:rFonts w:ascii="宋体" w:hAnsi="宋体" w:cs="宋体"/>
          <w:color w:val="auto"/>
          <w:highlight w:val="none"/>
        </w:rPr>
      </w:pPr>
    </w:p>
    <w:p w14:paraId="54E64508">
      <w:pPr>
        <w:spacing w:line="360" w:lineRule="auto"/>
        <w:jc w:val="center"/>
        <w:rPr>
          <w:rFonts w:ascii="宋体" w:hAnsi="宋体" w:cs="宋体"/>
          <w:b/>
          <w:bCs/>
          <w:color w:val="auto"/>
          <w:szCs w:val="28"/>
          <w:highlight w:val="none"/>
        </w:rPr>
        <w:sectPr>
          <w:pgSz w:w="11906" w:h="16838"/>
          <w:pgMar w:top="1531" w:right="779" w:bottom="1134" w:left="1134" w:header="851" w:footer="427" w:gutter="0"/>
          <w:cols w:space="720" w:num="1"/>
          <w:docGrid w:linePitch="312" w:charSpace="0"/>
        </w:sectPr>
      </w:pPr>
    </w:p>
    <w:p w14:paraId="35E7208B">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企业荣誉</w:t>
      </w:r>
    </w:p>
    <w:p w14:paraId="61968180">
      <w:pPr>
        <w:spacing w:line="480" w:lineRule="exact"/>
        <w:rPr>
          <w:rFonts w:ascii="宋体" w:hAnsi="宋体" w:cs="宋体"/>
          <w:color w:val="auto"/>
          <w:sz w:val="24"/>
          <w:highlight w:val="none"/>
        </w:rPr>
      </w:pPr>
      <w:r>
        <w:rPr>
          <w:rFonts w:hint="eastAsia" w:ascii="宋体" w:hAnsi="宋体" w:cs="宋体"/>
          <w:color w:val="auto"/>
          <w:sz w:val="24"/>
          <w:highlight w:val="none"/>
        </w:rPr>
        <w:t>投标供应商全称（加盖公章）：             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36"/>
        <w:gridCol w:w="1721"/>
        <w:gridCol w:w="2136"/>
        <w:gridCol w:w="2668"/>
      </w:tblGrid>
      <w:tr w14:paraId="7409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Align w:val="center"/>
          </w:tcPr>
          <w:p w14:paraId="4AA75C2E">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2136" w:type="dxa"/>
            <w:vAlign w:val="center"/>
          </w:tcPr>
          <w:p w14:paraId="2AD79A53">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证书名称</w:t>
            </w:r>
          </w:p>
        </w:tc>
        <w:tc>
          <w:tcPr>
            <w:tcW w:w="1721" w:type="dxa"/>
            <w:vAlign w:val="center"/>
          </w:tcPr>
          <w:p w14:paraId="74844FC3">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颁发机构</w:t>
            </w:r>
          </w:p>
        </w:tc>
        <w:tc>
          <w:tcPr>
            <w:tcW w:w="2136" w:type="dxa"/>
            <w:vAlign w:val="center"/>
          </w:tcPr>
          <w:p w14:paraId="1BB67518">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颁发时间</w:t>
            </w:r>
          </w:p>
        </w:tc>
        <w:tc>
          <w:tcPr>
            <w:tcW w:w="2668" w:type="dxa"/>
            <w:vAlign w:val="center"/>
          </w:tcPr>
          <w:p w14:paraId="54776DAA">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53EE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54814E1A">
            <w:pPr>
              <w:spacing w:line="480" w:lineRule="exact"/>
              <w:rPr>
                <w:rFonts w:ascii="宋体" w:hAnsi="宋体" w:cs="宋体"/>
                <w:bCs/>
                <w:color w:val="auto"/>
                <w:sz w:val="24"/>
                <w:highlight w:val="none"/>
              </w:rPr>
            </w:pPr>
          </w:p>
        </w:tc>
        <w:tc>
          <w:tcPr>
            <w:tcW w:w="2136" w:type="dxa"/>
          </w:tcPr>
          <w:p w14:paraId="2FDF3828">
            <w:pPr>
              <w:spacing w:line="480" w:lineRule="exact"/>
              <w:rPr>
                <w:rFonts w:ascii="宋体" w:hAnsi="宋体" w:cs="宋体"/>
                <w:bCs/>
                <w:color w:val="auto"/>
                <w:sz w:val="24"/>
                <w:highlight w:val="none"/>
              </w:rPr>
            </w:pPr>
          </w:p>
        </w:tc>
        <w:tc>
          <w:tcPr>
            <w:tcW w:w="1721" w:type="dxa"/>
          </w:tcPr>
          <w:p w14:paraId="7107860D">
            <w:pPr>
              <w:spacing w:line="480" w:lineRule="exact"/>
              <w:rPr>
                <w:rFonts w:ascii="宋体" w:hAnsi="宋体" w:cs="宋体"/>
                <w:bCs/>
                <w:color w:val="auto"/>
                <w:sz w:val="24"/>
                <w:highlight w:val="none"/>
              </w:rPr>
            </w:pPr>
          </w:p>
        </w:tc>
        <w:tc>
          <w:tcPr>
            <w:tcW w:w="2136" w:type="dxa"/>
          </w:tcPr>
          <w:p w14:paraId="26FDDCFD">
            <w:pPr>
              <w:spacing w:line="480" w:lineRule="exact"/>
              <w:rPr>
                <w:rFonts w:ascii="宋体" w:hAnsi="宋体" w:cs="宋体"/>
                <w:bCs/>
                <w:color w:val="auto"/>
                <w:sz w:val="24"/>
                <w:highlight w:val="none"/>
              </w:rPr>
            </w:pPr>
          </w:p>
        </w:tc>
        <w:tc>
          <w:tcPr>
            <w:tcW w:w="2668" w:type="dxa"/>
          </w:tcPr>
          <w:p w14:paraId="0621228C">
            <w:pPr>
              <w:spacing w:line="480" w:lineRule="exact"/>
              <w:rPr>
                <w:rFonts w:ascii="宋体" w:hAnsi="宋体" w:cs="宋体"/>
                <w:bCs/>
                <w:color w:val="auto"/>
                <w:sz w:val="24"/>
                <w:highlight w:val="none"/>
              </w:rPr>
            </w:pPr>
          </w:p>
        </w:tc>
      </w:tr>
      <w:tr w14:paraId="51E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6A583716">
            <w:pPr>
              <w:spacing w:line="480" w:lineRule="exact"/>
              <w:rPr>
                <w:rFonts w:ascii="宋体" w:hAnsi="宋体" w:cs="宋体"/>
                <w:bCs/>
                <w:color w:val="auto"/>
                <w:sz w:val="24"/>
                <w:highlight w:val="none"/>
              </w:rPr>
            </w:pPr>
          </w:p>
        </w:tc>
        <w:tc>
          <w:tcPr>
            <w:tcW w:w="2136" w:type="dxa"/>
          </w:tcPr>
          <w:p w14:paraId="12C045AA">
            <w:pPr>
              <w:spacing w:line="480" w:lineRule="exact"/>
              <w:rPr>
                <w:rFonts w:ascii="宋体" w:hAnsi="宋体" w:cs="宋体"/>
                <w:bCs/>
                <w:color w:val="auto"/>
                <w:sz w:val="24"/>
                <w:highlight w:val="none"/>
              </w:rPr>
            </w:pPr>
          </w:p>
        </w:tc>
        <w:tc>
          <w:tcPr>
            <w:tcW w:w="1721" w:type="dxa"/>
          </w:tcPr>
          <w:p w14:paraId="027F94F5">
            <w:pPr>
              <w:spacing w:line="480" w:lineRule="exact"/>
              <w:rPr>
                <w:rFonts w:ascii="宋体" w:hAnsi="宋体" w:cs="宋体"/>
                <w:bCs/>
                <w:color w:val="auto"/>
                <w:sz w:val="24"/>
                <w:highlight w:val="none"/>
              </w:rPr>
            </w:pPr>
          </w:p>
        </w:tc>
        <w:tc>
          <w:tcPr>
            <w:tcW w:w="2136" w:type="dxa"/>
          </w:tcPr>
          <w:p w14:paraId="72B2A507">
            <w:pPr>
              <w:spacing w:line="480" w:lineRule="exact"/>
              <w:rPr>
                <w:rFonts w:ascii="宋体" w:hAnsi="宋体" w:cs="宋体"/>
                <w:bCs/>
                <w:color w:val="auto"/>
                <w:sz w:val="24"/>
                <w:highlight w:val="none"/>
              </w:rPr>
            </w:pPr>
          </w:p>
        </w:tc>
        <w:tc>
          <w:tcPr>
            <w:tcW w:w="2668" w:type="dxa"/>
          </w:tcPr>
          <w:p w14:paraId="415D933E">
            <w:pPr>
              <w:spacing w:line="480" w:lineRule="exact"/>
              <w:rPr>
                <w:rFonts w:ascii="宋体" w:hAnsi="宋体" w:cs="宋体"/>
                <w:bCs/>
                <w:color w:val="auto"/>
                <w:sz w:val="24"/>
                <w:highlight w:val="none"/>
              </w:rPr>
            </w:pPr>
          </w:p>
        </w:tc>
      </w:tr>
      <w:tr w14:paraId="68E7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5E029B46">
            <w:pPr>
              <w:spacing w:line="480" w:lineRule="exact"/>
              <w:rPr>
                <w:rFonts w:ascii="宋体" w:hAnsi="宋体" w:cs="宋体"/>
                <w:bCs/>
                <w:color w:val="auto"/>
                <w:sz w:val="24"/>
                <w:highlight w:val="none"/>
              </w:rPr>
            </w:pPr>
          </w:p>
        </w:tc>
        <w:tc>
          <w:tcPr>
            <w:tcW w:w="2136" w:type="dxa"/>
          </w:tcPr>
          <w:p w14:paraId="77865069">
            <w:pPr>
              <w:spacing w:line="480" w:lineRule="exact"/>
              <w:rPr>
                <w:rFonts w:ascii="宋体" w:hAnsi="宋体" w:cs="宋体"/>
                <w:bCs/>
                <w:color w:val="auto"/>
                <w:sz w:val="24"/>
                <w:highlight w:val="none"/>
              </w:rPr>
            </w:pPr>
          </w:p>
        </w:tc>
        <w:tc>
          <w:tcPr>
            <w:tcW w:w="1721" w:type="dxa"/>
          </w:tcPr>
          <w:p w14:paraId="0406CF11">
            <w:pPr>
              <w:spacing w:line="480" w:lineRule="exact"/>
              <w:rPr>
                <w:rFonts w:ascii="宋体" w:hAnsi="宋体" w:cs="宋体"/>
                <w:bCs/>
                <w:color w:val="auto"/>
                <w:sz w:val="24"/>
                <w:highlight w:val="none"/>
              </w:rPr>
            </w:pPr>
          </w:p>
        </w:tc>
        <w:tc>
          <w:tcPr>
            <w:tcW w:w="2136" w:type="dxa"/>
          </w:tcPr>
          <w:p w14:paraId="5D3CE7DD">
            <w:pPr>
              <w:spacing w:line="480" w:lineRule="exact"/>
              <w:rPr>
                <w:rFonts w:ascii="宋体" w:hAnsi="宋体" w:cs="宋体"/>
                <w:bCs/>
                <w:color w:val="auto"/>
                <w:sz w:val="24"/>
                <w:highlight w:val="none"/>
              </w:rPr>
            </w:pPr>
          </w:p>
        </w:tc>
        <w:tc>
          <w:tcPr>
            <w:tcW w:w="2668" w:type="dxa"/>
          </w:tcPr>
          <w:p w14:paraId="3AF26DAF">
            <w:pPr>
              <w:spacing w:line="480" w:lineRule="exact"/>
              <w:rPr>
                <w:rFonts w:ascii="宋体" w:hAnsi="宋体" w:cs="宋体"/>
                <w:bCs/>
                <w:color w:val="auto"/>
                <w:sz w:val="24"/>
                <w:highlight w:val="none"/>
              </w:rPr>
            </w:pPr>
          </w:p>
        </w:tc>
      </w:tr>
      <w:tr w14:paraId="6229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58DBAF03">
            <w:pPr>
              <w:spacing w:line="480" w:lineRule="exact"/>
              <w:rPr>
                <w:rFonts w:ascii="宋体" w:hAnsi="宋体" w:cs="宋体"/>
                <w:bCs/>
                <w:color w:val="auto"/>
                <w:sz w:val="24"/>
                <w:highlight w:val="none"/>
              </w:rPr>
            </w:pPr>
          </w:p>
        </w:tc>
        <w:tc>
          <w:tcPr>
            <w:tcW w:w="2136" w:type="dxa"/>
          </w:tcPr>
          <w:p w14:paraId="014AF84D">
            <w:pPr>
              <w:spacing w:line="480" w:lineRule="exact"/>
              <w:rPr>
                <w:rFonts w:ascii="宋体" w:hAnsi="宋体" w:cs="宋体"/>
                <w:bCs/>
                <w:color w:val="auto"/>
                <w:sz w:val="24"/>
                <w:highlight w:val="none"/>
              </w:rPr>
            </w:pPr>
          </w:p>
        </w:tc>
        <w:tc>
          <w:tcPr>
            <w:tcW w:w="1721" w:type="dxa"/>
          </w:tcPr>
          <w:p w14:paraId="23423913">
            <w:pPr>
              <w:spacing w:line="480" w:lineRule="exact"/>
              <w:rPr>
                <w:rFonts w:ascii="宋体" w:hAnsi="宋体" w:cs="宋体"/>
                <w:bCs/>
                <w:color w:val="auto"/>
                <w:sz w:val="24"/>
                <w:highlight w:val="none"/>
              </w:rPr>
            </w:pPr>
          </w:p>
        </w:tc>
        <w:tc>
          <w:tcPr>
            <w:tcW w:w="2136" w:type="dxa"/>
          </w:tcPr>
          <w:p w14:paraId="54076C10">
            <w:pPr>
              <w:spacing w:line="480" w:lineRule="exact"/>
              <w:rPr>
                <w:rFonts w:ascii="宋体" w:hAnsi="宋体" w:cs="宋体"/>
                <w:bCs/>
                <w:color w:val="auto"/>
                <w:sz w:val="24"/>
                <w:highlight w:val="none"/>
              </w:rPr>
            </w:pPr>
          </w:p>
        </w:tc>
        <w:tc>
          <w:tcPr>
            <w:tcW w:w="2668" w:type="dxa"/>
          </w:tcPr>
          <w:p w14:paraId="2339D818">
            <w:pPr>
              <w:spacing w:line="480" w:lineRule="exact"/>
              <w:rPr>
                <w:rFonts w:ascii="宋体" w:hAnsi="宋体" w:cs="宋体"/>
                <w:bCs/>
                <w:color w:val="auto"/>
                <w:sz w:val="24"/>
                <w:highlight w:val="none"/>
              </w:rPr>
            </w:pPr>
          </w:p>
        </w:tc>
      </w:tr>
      <w:tr w14:paraId="57EE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14C1CCEE">
            <w:pPr>
              <w:spacing w:line="480" w:lineRule="exact"/>
              <w:rPr>
                <w:rFonts w:ascii="宋体" w:hAnsi="宋体" w:cs="宋体"/>
                <w:bCs/>
                <w:color w:val="auto"/>
                <w:sz w:val="24"/>
                <w:highlight w:val="none"/>
              </w:rPr>
            </w:pPr>
          </w:p>
        </w:tc>
        <w:tc>
          <w:tcPr>
            <w:tcW w:w="2136" w:type="dxa"/>
          </w:tcPr>
          <w:p w14:paraId="24DE5E4F">
            <w:pPr>
              <w:spacing w:line="480" w:lineRule="exact"/>
              <w:rPr>
                <w:rFonts w:ascii="宋体" w:hAnsi="宋体" w:cs="宋体"/>
                <w:bCs/>
                <w:color w:val="auto"/>
                <w:sz w:val="24"/>
                <w:highlight w:val="none"/>
              </w:rPr>
            </w:pPr>
          </w:p>
        </w:tc>
        <w:tc>
          <w:tcPr>
            <w:tcW w:w="1721" w:type="dxa"/>
          </w:tcPr>
          <w:p w14:paraId="610C0A90">
            <w:pPr>
              <w:spacing w:line="480" w:lineRule="exact"/>
              <w:rPr>
                <w:rFonts w:ascii="宋体" w:hAnsi="宋体" w:cs="宋体"/>
                <w:bCs/>
                <w:color w:val="auto"/>
                <w:sz w:val="24"/>
                <w:highlight w:val="none"/>
              </w:rPr>
            </w:pPr>
          </w:p>
        </w:tc>
        <w:tc>
          <w:tcPr>
            <w:tcW w:w="2136" w:type="dxa"/>
          </w:tcPr>
          <w:p w14:paraId="095E6387">
            <w:pPr>
              <w:spacing w:line="480" w:lineRule="exact"/>
              <w:rPr>
                <w:rFonts w:ascii="宋体" w:hAnsi="宋体" w:cs="宋体"/>
                <w:bCs/>
                <w:color w:val="auto"/>
                <w:sz w:val="24"/>
                <w:highlight w:val="none"/>
              </w:rPr>
            </w:pPr>
          </w:p>
        </w:tc>
        <w:tc>
          <w:tcPr>
            <w:tcW w:w="2668" w:type="dxa"/>
          </w:tcPr>
          <w:p w14:paraId="3528559C">
            <w:pPr>
              <w:spacing w:line="480" w:lineRule="exact"/>
              <w:rPr>
                <w:rFonts w:ascii="宋体" w:hAnsi="宋体" w:cs="宋体"/>
                <w:bCs/>
                <w:color w:val="auto"/>
                <w:sz w:val="24"/>
                <w:highlight w:val="none"/>
              </w:rPr>
            </w:pPr>
          </w:p>
        </w:tc>
      </w:tr>
      <w:tr w14:paraId="7393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735A5C5B">
            <w:pPr>
              <w:spacing w:line="480" w:lineRule="exact"/>
              <w:rPr>
                <w:rFonts w:ascii="宋体" w:hAnsi="宋体" w:cs="宋体"/>
                <w:bCs/>
                <w:color w:val="auto"/>
                <w:sz w:val="24"/>
                <w:highlight w:val="none"/>
              </w:rPr>
            </w:pPr>
          </w:p>
        </w:tc>
        <w:tc>
          <w:tcPr>
            <w:tcW w:w="2136" w:type="dxa"/>
          </w:tcPr>
          <w:p w14:paraId="6D0913B2">
            <w:pPr>
              <w:spacing w:line="480" w:lineRule="exact"/>
              <w:rPr>
                <w:rFonts w:ascii="宋体" w:hAnsi="宋体" w:cs="宋体"/>
                <w:bCs/>
                <w:color w:val="auto"/>
                <w:sz w:val="24"/>
                <w:highlight w:val="none"/>
              </w:rPr>
            </w:pPr>
          </w:p>
        </w:tc>
        <w:tc>
          <w:tcPr>
            <w:tcW w:w="1721" w:type="dxa"/>
          </w:tcPr>
          <w:p w14:paraId="00719D53">
            <w:pPr>
              <w:spacing w:line="480" w:lineRule="exact"/>
              <w:rPr>
                <w:rFonts w:ascii="宋体" w:hAnsi="宋体" w:cs="宋体"/>
                <w:bCs/>
                <w:color w:val="auto"/>
                <w:sz w:val="24"/>
                <w:highlight w:val="none"/>
              </w:rPr>
            </w:pPr>
          </w:p>
        </w:tc>
        <w:tc>
          <w:tcPr>
            <w:tcW w:w="2136" w:type="dxa"/>
          </w:tcPr>
          <w:p w14:paraId="180A7C72">
            <w:pPr>
              <w:spacing w:line="480" w:lineRule="exact"/>
              <w:rPr>
                <w:rFonts w:ascii="宋体" w:hAnsi="宋体" w:cs="宋体"/>
                <w:bCs/>
                <w:color w:val="auto"/>
                <w:sz w:val="24"/>
                <w:highlight w:val="none"/>
              </w:rPr>
            </w:pPr>
          </w:p>
        </w:tc>
        <w:tc>
          <w:tcPr>
            <w:tcW w:w="2668" w:type="dxa"/>
          </w:tcPr>
          <w:p w14:paraId="3666E31D">
            <w:pPr>
              <w:spacing w:line="480" w:lineRule="exact"/>
              <w:rPr>
                <w:rFonts w:ascii="宋体" w:hAnsi="宋体" w:cs="宋体"/>
                <w:bCs/>
                <w:color w:val="auto"/>
                <w:sz w:val="24"/>
                <w:highlight w:val="none"/>
              </w:rPr>
            </w:pPr>
          </w:p>
        </w:tc>
      </w:tr>
      <w:tr w14:paraId="5C89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02E98973">
            <w:pPr>
              <w:spacing w:line="480" w:lineRule="exact"/>
              <w:rPr>
                <w:rFonts w:ascii="宋体" w:hAnsi="宋体" w:cs="宋体"/>
                <w:bCs/>
                <w:color w:val="auto"/>
                <w:sz w:val="24"/>
                <w:highlight w:val="none"/>
              </w:rPr>
            </w:pPr>
          </w:p>
        </w:tc>
        <w:tc>
          <w:tcPr>
            <w:tcW w:w="2136" w:type="dxa"/>
          </w:tcPr>
          <w:p w14:paraId="07DE2307">
            <w:pPr>
              <w:spacing w:line="480" w:lineRule="exact"/>
              <w:rPr>
                <w:rFonts w:ascii="宋体" w:hAnsi="宋体" w:cs="宋体"/>
                <w:bCs/>
                <w:color w:val="auto"/>
                <w:sz w:val="24"/>
                <w:highlight w:val="none"/>
              </w:rPr>
            </w:pPr>
          </w:p>
        </w:tc>
        <w:tc>
          <w:tcPr>
            <w:tcW w:w="1721" w:type="dxa"/>
          </w:tcPr>
          <w:p w14:paraId="66702528">
            <w:pPr>
              <w:spacing w:line="480" w:lineRule="exact"/>
              <w:rPr>
                <w:rFonts w:ascii="宋体" w:hAnsi="宋体" w:cs="宋体"/>
                <w:bCs/>
                <w:color w:val="auto"/>
                <w:sz w:val="24"/>
                <w:highlight w:val="none"/>
              </w:rPr>
            </w:pPr>
          </w:p>
        </w:tc>
        <w:tc>
          <w:tcPr>
            <w:tcW w:w="2136" w:type="dxa"/>
          </w:tcPr>
          <w:p w14:paraId="3DD95BF3">
            <w:pPr>
              <w:spacing w:line="480" w:lineRule="exact"/>
              <w:rPr>
                <w:rFonts w:ascii="宋体" w:hAnsi="宋体" w:cs="宋体"/>
                <w:bCs/>
                <w:color w:val="auto"/>
                <w:sz w:val="24"/>
                <w:highlight w:val="none"/>
              </w:rPr>
            </w:pPr>
          </w:p>
        </w:tc>
        <w:tc>
          <w:tcPr>
            <w:tcW w:w="2668" w:type="dxa"/>
          </w:tcPr>
          <w:p w14:paraId="0C09FC55">
            <w:pPr>
              <w:spacing w:line="480" w:lineRule="exact"/>
              <w:rPr>
                <w:rFonts w:ascii="宋体" w:hAnsi="宋体" w:cs="宋体"/>
                <w:bCs/>
                <w:color w:val="auto"/>
                <w:sz w:val="24"/>
                <w:highlight w:val="none"/>
              </w:rPr>
            </w:pPr>
          </w:p>
        </w:tc>
      </w:tr>
      <w:tr w14:paraId="0C25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1D850CC4">
            <w:pPr>
              <w:spacing w:line="480" w:lineRule="exact"/>
              <w:rPr>
                <w:rFonts w:ascii="宋体" w:hAnsi="宋体" w:cs="宋体"/>
                <w:bCs/>
                <w:color w:val="auto"/>
                <w:sz w:val="24"/>
                <w:highlight w:val="none"/>
              </w:rPr>
            </w:pPr>
          </w:p>
        </w:tc>
        <w:tc>
          <w:tcPr>
            <w:tcW w:w="2136" w:type="dxa"/>
          </w:tcPr>
          <w:p w14:paraId="22C524D2">
            <w:pPr>
              <w:spacing w:line="480" w:lineRule="exact"/>
              <w:rPr>
                <w:rFonts w:ascii="宋体" w:hAnsi="宋体" w:cs="宋体"/>
                <w:bCs/>
                <w:color w:val="auto"/>
                <w:sz w:val="24"/>
                <w:highlight w:val="none"/>
              </w:rPr>
            </w:pPr>
          </w:p>
        </w:tc>
        <w:tc>
          <w:tcPr>
            <w:tcW w:w="1721" w:type="dxa"/>
          </w:tcPr>
          <w:p w14:paraId="36450E4B">
            <w:pPr>
              <w:spacing w:line="480" w:lineRule="exact"/>
              <w:rPr>
                <w:rFonts w:ascii="宋体" w:hAnsi="宋体" w:cs="宋体"/>
                <w:bCs/>
                <w:color w:val="auto"/>
                <w:sz w:val="24"/>
                <w:highlight w:val="none"/>
              </w:rPr>
            </w:pPr>
          </w:p>
        </w:tc>
        <w:tc>
          <w:tcPr>
            <w:tcW w:w="2136" w:type="dxa"/>
          </w:tcPr>
          <w:p w14:paraId="044FDE21">
            <w:pPr>
              <w:spacing w:line="480" w:lineRule="exact"/>
              <w:rPr>
                <w:rFonts w:ascii="宋体" w:hAnsi="宋体" w:cs="宋体"/>
                <w:bCs/>
                <w:color w:val="auto"/>
                <w:sz w:val="24"/>
                <w:highlight w:val="none"/>
              </w:rPr>
            </w:pPr>
          </w:p>
        </w:tc>
        <w:tc>
          <w:tcPr>
            <w:tcW w:w="2668" w:type="dxa"/>
          </w:tcPr>
          <w:p w14:paraId="3DD9925D">
            <w:pPr>
              <w:spacing w:line="480" w:lineRule="exact"/>
              <w:rPr>
                <w:rFonts w:ascii="宋体" w:hAnsi="宋体" w:cs="宋体"/>
                <w:bCs/>
                <w:color w:val="auto"/>
                <w:sz w:val="24"/>
                <w:highlight w:val="none"/>
              </w:rPr>
            </w:pPr>
          </w:p>
        </w:tc>
      </w:tr>
      <w:tr w14:paraId="2B60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99" w:type="dxa"/>
          </w:tcPr>
          <w:p w14:paraId="6DD9378B">
            <w:pPr>
              <w:spacing w:line="480" w:lineRule="exact"/>
              <w:rPr>
                <w:rFonts w:ascii="宋体" w:hAnsi="宋体" w:cs="宋体"/>
                <w:bCs/>
                <w:color w:val="auto"/>
                <w:sz w:val="24"/>
                <w:highlight w:val="none"/>
              </w:rPr>
            </w:pPr>
          </w:p>
        </w:tc>
        <w:tc>
          <w:tcPr>
            <w:tcW w:w="2136" w:type="dxa"/>
          </w:tcPr>
          <w:p w14:paraId="3C040D03">
            <w:pPr>
              <w:spacing w:line="480" w:lineRule="exact"/>
              <w:rPr>
                <w:rFonts w:ascii="宋体" w:hAnsi="宋体" w:cs="宋体"/>
                <w:bCs/>
                <w:color w:val="auto"/>
                <w:sz w:val="24"/>
                <w:highlight w:val="none"/>
              </w:rPr>
            </w:pPr>
          </w:p>
        </w:tc>
        <w:tc>
          <w:tcPr>
            <w:tcW w:w="1721" w:type="dxa"/>
          </w:tcPr>
          <w:p w14:paraId="35626953">
            <w:pPr>
              <w:spacing w:line="480" w:lineRule="exact"/>
              <w:rPr>
                <w:rFonts w:ascii="宋体" w:hAnsi="宋体" w:cs="宋体"/>
                <w:bCs/>
                <w:color w:val="auto"/>
                <w:sz w:val="24"/>
                <w:highlight w:val="none"/>
              </w:rPr>
            </w:pPr>
          </w:p>
        </w:tc>
        <w:tc>
          <w:tcPr>
            <w:tcW w:w="2136" w:type="dxa"/>
          </w:tcPr>
          <w:p w14:paraId="1164D62F">
            <w:pPr>
              <w:spacing w:line="480" w:lineRule="exact"/>
              <w:rPr>
                <w:rFonts w:ascii="宋体" w:hAnsi="宋体" w:cs="宋体"/>
                <w:bCs/>
                <w:color w:val="auto"/>
                <w:sz w:val="24"/>
                <w:highlight w:val="none"/>
              </w:rPr>
            </w:pPr>
          </w:p>
        </w:tc>
        <w:tc>
          <w:tcPr>
            <w:tcW w:w="2668" w:type="dxa"/>
          </w:tcPr>
          <w:p w14:paraId="7913DA2D">
            <w:pPr>
              <w:spacing w:line="480" w:lineRule="exact"/>
              <w:rPr>
                <w:rFonts w:ascii="宋体" w:hAnsi="宋体" w:cs="宋体"/>
                <w:bCs/>
                <w:color w:val="auto"/>
                <w:sz w:val="24"/>
                <w:highlight w:val="none"/>
              </w:rPr>
            </w:pPr>
          </w:p>
        </w:tc>
      </w:tr>
      <w:tr w14:paraId="0452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14:paraId="199C2FAF">
            <w:pPr>
              <w:spacing w:line="480" w:lineRule="exact"/>
              <w:rPr>
                <w:rFonts w:ascii="宋体" w:hAnsi="宋体" w:cs="宋体"/>
                <w:bCs/>
                <w:color w:val="auto"/>
                <w:sz w:val="24"/>
                <w:highlight w:val="none"/>
              </w:rPr>
            </w:pPr>
          </w:p>
        </w:tc>
        <w:tc>
          <w:tcPr>
            <w:tcW w:w="2136" w:type="dxa"/>
          </w:tcPr>
          <w:p w14:paraId="7CFF1E46">
            <w:pPr>
              <w:spacing w:line="480" w:lineRule="exact"/>
              <w:rPr>
                <w:rFonts w:ascii="宋体" w:hAnsi="宋体" w:cs="宋体"/>
                <w:bCs/>
                <w:color w:val="auto"/>
                <w:sz w:val="24"/>
                <w:highlight w:val="none"/>
              </w:rPr>
            </w:pPr>
          </w:p>
        </w:tc>
        <w:tc>
          <w:tcPr>
            <w:tcW w:w="1721" w:type="dxa"/>
          </w:tcPr>
          <w:p w14:paraId="2DAFF0CC">
            <w:pPr>
              <w:spacing w:line="480" w:lineRule="exact"/>
              <w:rPr>
                <w:rFonts w:ascii="宋体" w:hAnsi="宋体" w:cs="宋体"/>
                <w:bCs/>
                <w:color w:val="auto"/>
                <w:sz w:val="24"/>
                <w:highlight w:val="none"/>
              </w:rPr>
            </w:pPr>
          </w:p>
        </w:tc>
        <w:tc>
          <w:tcPr>
            <w:tcW w:w="2136" w:type="dxa"/>
          </w:tcPr>
          <w:p w14:paraId="4EB67E1E">
            <w:pPr>
              <w:spacing w:line="480" w:lineRule="exact"/>
              <w:rPr>
                <w:rFonts w:ascii="宋体" w:hAnsi="宋体" w:cs="宋体"/>
                <w:bCs/>
                <w:color w:val="auto"/>
                <w:sz w:val="24"/>
                <w:highlight w:val="none"/>
              </w:rPr>
            </w:pPr>
          </w:p>
        </w:tc>
        <w:tc>
          <w:tcPr>
            <w:tcW w:w="2668" w:type="dxa"/>
          </w:tcPr>
          <w:p w14:paraId="19E151F7">
            <w:pPr>
              <w:spacing w:line="480" w:lineRule="exact"/>
              <w:rPr>
                <w:rFonts w:ascii="宋体" w:hAnsi="宋体" w:cs="宋体"/>
                <w:bCs/>
                <w:color w:val="auto"/>
                <w:sz w:val="24"/>
                <w:highlight w:val="none"/>
              </w:rPr>
            </w:pPr>
          </w:p>
        </w:tc>
      </w:tr>
    </w:tbl>
    <w:p w14:paraId="2C96F0FA">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法定代表人或其授权代理人签名或盖章：</w:t>
      </w:r>
    </w:p>
    <w:p w14:paraId="4C5633AF">
      <w:pPr>
        <w:spacing w:line="480" w:lineRule="exact"/>
        <w:rPr>
          <w:rFonts w:ascii="宋体" w:hAnsi="宋体" w:cs="宋体"/>
          <w:color w:val="auto"/>
          <w:sz w:val="24"/>
          <w:highlight w:val="none"/>
        </w:rPr>
      </w:pPr>
      <w:r>
        <w:rPr>
          <w:rFonts w:hint="eastAsia" w:ascii="宋体" w:hAnsi="宋体" w:cs="宋体"/>
          <w:color w:val="auto"/>
          <w:sz w:val="24"/>
          <w:highlight w:val="none"/>
        </w:rPr>
        <w:t>日期：     年  月  日</w:t>
      </w:r>
    </w:p>
    <w:p w14:paraId="77AE51BF">
      <w:pPr>
        <w:spacing w:line="480" w:lineRule="exact"/>
        <w:rPr>
          <w:rFonts w:ascii="宋体" w:hAnsi="宋体" w:cs="宋体"/>
          <w:color w:val="auto"/>
          <w:sz w:val="24"/>
          <w:highlight w:val="none"/>
        </w:rPr>
      </w:pPr>
    </w:p>
    <w:p w14:paraId="26FF1226">
      <w:pPr>
        <w:spacing w:line="480" w:lineRule="exact"/>
        <w:ind w:left="840" w:hanging="840" w:hangingChars="350"/>
        <w:rPr>
          <w:rFonts w:ascii="宋体" w:hAnsi="宋体" w:cs="宋体"/>
          <w:bCs/>
          <w:color w:val="auto"/>
          <w:sz w:val="24"/>
          <w:highlight w:val="none"/>
        </w:rPr>
      </w:pPr>
      <w:r>
        <w:rPr>
          <w:rFonts w:hint="eastAsia" w:ascii="宋体" w:hAnsi="宋体" w:cs="宋体"/>
          <w:color w:val="auto"/>
          <w:sz w:val="24"/>
          <w:highlight w:val="none"/>
        </w:rPr>
        <w:t>注：1、</w:t>
      </w:r>
      <w:r>
        <w:rPr>
          <w:rFonts w:hint="eastAsia" w:ascii="宋体" w:hAnsi="宋体" w:cs="宋体"/>
          <w:bCs/>
          <w:color w:val="auto"/>
          <w:sz w:val="24"/>
          <w:highlight w:val="none"/>
        </w:rPr>
        <w:t>荣誉证书扫描或复印件并加盖公章；</w:t>
      </w:r>
    </w:p>
    <w:p w14:paraId="12CEE751">
      <w:pPr>
        <w:spacing w:line="480" w:lineRule="exact"/>
        <w:ind w:firstLine="480" w:firstLineChars="200"/>
        <w:rPr>
          <w:rFonts w:ascii="宋体" w:hAnsi="宋体" w:cs="宋体"/>
          <w:bCs/>
          <w:color w:val="auto"/>
          <w:sz w:val="30"/>
          <w:highlight w:val="none"/>
        </w:rPr>
      </w:pPr>
      <w:r>
        <w:rPr>
          <w:rFonts w:hint="eastAsia" w:ascii="宋体" w:hAnsi="宋体" w:cs="宋体"/>
          <w:color w:val="auto"/>
          <w:sz w:val="24"/>
          <w:highlight w:val="none"/>
        </w:rPr>
        <w:t>2、此表仅提供了表格形式，投标供应商应根据需要准备足够数量的表格来填写。</w:t>
      </w:r>
    </w:p>
    <w:p w14:paraId="680C901A">
      <w:pPr>
        <w:spacing w:line="480" w:lineRule="exact"/>
        <w:rPr>
          <w:rFonts w:ascii="宋体" w:hAnsi="宋体" w:cs="宋体"/>
          <w:b/>
          <w:bCs/>
          <w:color w:val="auto"/>
          <w:spacing w:val="14"/>
          <w:sz w:val="30"/>
          <w:highlight w:val="none"/>
        </w:rPr>
      </w:pPr>
    </w:p>
    <w:p w14:paraId="0A0B2965">
      <w:pPr>
        <w:spacing w:line="360" w:lineRule="auto"/>
        <w:rPr>
          <w:rFonts w:ascii="宋体" w:hAnsi="宋体" w:cs="宋体"/>
          <w:b/>
          <w:bCs/>
          <w:color w:val="auto"/>
          <w:spacing w:val="14"/>
          <w:sz w:val="30"/>
          <w:highlight w:val="none"/>
        </w:rPr>
      </w:pPr>
    </w:p>
    <w:p w14:paraId="665EC5C8">
      <w:pPr>
        <w:spacing w:line="360" w:lineRule="auto"/>
        <w:rPr>
          <w:rFonts w:ascii="宋体" w:hAnsi="宋体" w:cs="宋体"/>
          <w:b/>
          <w:bCs/>
          <w:color w:val="auto"/>
          <w:spacing w:val="14"/>
          <w:szCs w:val="28"/>
          <w:highlight w:val="none"/>
        </w:rPr>
      </w:pPr>
    </w:p>
    <w:p w14:paraId="1BF7FA93">
      <w:pPr>
        <w:spacing w:line="360" w:lineRule="auto"/>
        <w:rPr>
          <w:rFonts w:ascii="宋体" w:hAnsi="宋体" w:cs="宋体"/>
          <w:b/>
          <w:bCs/>
          <w:color w:val="auto"/>
          <w:spacing w:val="14"/>
          <w:szCs w:val="28"/>
          <w:highlight w:val="none"/>
        </w:rPr>
      </w:pPr>
    </w:p>
    <w:p w14:paraId="66B2B80E">
      <w:pPr>
        <w:pStyle w:val="2"/>
        <w:ind w:firstLine="280"/>
        <w:rPr>
          <w:rFonts w:ascii="宋体" w:hAnsi="宋体" w:cs="宋体"/>
          <w:color w:val="auto"/>
          <w:highlight w:val="none"/>
        </w:rPr>
      </w:pPr>
    </w:p>
    <w:p w14:paraId="2C55E8EF">
      <w:pPr>
        <w:spacing w:line="480" w:lineRule="exact"/>
        <w:jc w:val="center"/>
        <w:rPr>
          <w:rFonts w:ascii="宋体" w:hAnsi="宋体" w:cs="宋体"/>
          <w:b/>
          <w:bCs/>
          <w:color w:val="auto"/>
          <w:szCs w:val="28"/>
          <w:highlight w:val="none"/>
        </w:rPr>
        <w:sectPr>
          <w:pgSz w:w="11906" w:h="16838"/>
          <w:pgMar w:top="1531" w:right="779" w:bottom="1134" w:left="1134" w:header="851" w:footer="427" w:gutter="0"/>
          <w:cols w:space="720" w:num="1"/>
          <w:docGrid w:linePitch="312" w:charSpace="0"/>
        </w:sectPr>
      </w:pPr>
    </w:p>
    <w:p w14:paraId="7F43B3F8">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企业业绩</w:t>
      </w:r>
    </w:p>
    <w:p w14:paraId="06F41932">
      <w:pPr>
        <w:spacing w:line="480" w:lineRule="exact"/>
        <w:rPr>
          <w:rFonts w:ascii="宋体" w:hAnsi="宋体" w:cs="宋体"/>
          <w:color w:val="auto"/>
          <w:sz w:val="24"/>
          <w:highlight w:val="none"/>
        </w:rPr>
      </w:pPr>
      <w:r>
        <w:rPr>
          <w:rFonts w:hint="eastAsia" w:ascii="宋体" w:hAnsi="宋体" w:cs="宋体"/>
          <w:color w:val="auto"/>
          <w:sz w:val="24"/>
          <w:highlight w:val="none"/>
        </w:rPr>
        <w:t>投标供应商全称（加盖公章）：             项目编号：</w:t>
      </w:r>
    </w:p>
    <w:tbl>
      <w:tblPr>
        <w:tblStyle w:val="21"/>
        <w:tblW w:w="10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94"/>
        <w:gridCol w:w="1594"/>
        <w:gridCol w:w="1347"/>
        <w:gridCol w:w="1347"/>
        <w:gridCol w:w="1909"/>
        <w:gridCol w:w="1460"/>
      </w:tblGrid>
      <w:tr w14:paraId="2EA4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288DCE74">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594" w:type="dxa"/>
          </w:tcPr>
          <w:p w14:paraId="030D939A">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1594" w:type="dxa"/>
          </w:tcPr>
          <w:p w14:paraId="476C89DE">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使用方</w:t>
            </w:r>
          </w:p>
        </w:tc>
        <w:tc>
          <w:tcPr>
            <w:tcW w:w="1347" w:type="dxa"/>
          </w:tcPr>
          <w:p w14:paraId="5C41A67C">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合同金额</w:t>
            </w:r>
          </w:p>
        </w:tc>
        <w:tc>
          <w:tcPr>
            <w:tcW w:w="1347" w:type="dxa"/>
          </w:tcPr>
          <w:p w14:paraId="19B6329B">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签订时间</w:t>
            </w:r>
          </w:p>
        </w:tc>
        <w:tc>
          <w:tcPr>
            <w:tcW w:w="1909" w:type="dxa"/>
          </w:tcPr>
          <w:p w14:paraId="6D564D40">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使用方联系人</w:t>
            </w:r>
          </w:p>
        </w:tc>
        <w:tc>
          <w:tcPr>
            <w:tcW w:w="1460" w:type="dxa"/>
          </w:tcPr>
          <w:p w14:paraId="7E5D2DED">
            <w:pPr>
              <w:spacing w:line="480" w:lineRule="exact"/>
              <w:jc w:val="center"/>
              <w:rPr>
                <w:rFonts w:ascii="宋体" w:hAnsi="宋体" w:cs="宋体"/>
                <w:bCs/>
                <w:color w:val="auto"/>
                <w:sz w:val="24"/>
                <w:highlight w:val="none"/>
              </w:rPr>
            </w:pPr>
            <w:r>
              <w:rPr>
                <w:rFonts w:hint="eastAsia" w:ascii="宋体" w:hAnsi="宋体" w:cs="宋体"/>
                <w:bCs/>
                <w:color w:val="auto"/>
                <w:sz w:val="24"/>
                <w:highlight w:val="none"/>
              </w:rPr>
              <w:t>联系方式</w:t>
            </w:r>
          </w:p>
        </w:tc>
      </w:tr>
      <w:tr w14:paraId="1F6D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303530E0">
            <w:pPr>
              <w:spacing w:line="480" w:lineRule="exact"/>
              <w:rPr>
                <w:rFonts w:ascii="宋体" w:hAnsi="宋体" w:cs="宋体"/>
                <w:bCs/>
                <w:color w:val="auto"/>
                <w:sz w:val="24"/>
                <w:highlight w:val="none"/>
              </w:rPr>
            </w:pPr>
          </w:p>
        </w:tc>
        <w:tc>
          <w:tcPr>
            <w:tcW w:w="1594" w:type="dxa"/>
          </w:tcPr>
          <w:p w14:paraId="25A3B22D">
            <w:pPr>
              <w:spacing w:line="480" w:lineRule="exact"/>
              <w:rPr>
                <w:rFonts w:ascii="宋体" w:hAnsi="宋体" w:cs="宋体"/>
                <w:bCs/>
                <w:color w:val="auto"/>
                <w:sz w:val="24"/>
                <w:highlight w:val="none"/>
              </w:rPr>
            </w:pPr>
          </w:p>
        </w:tc>
        <w:tc>
          <w:tcPr>
            <w:tcW w:w="1594" w:type="dxa"/>
          </w:tcPr>
          <w:p w14:paraId="6D8048B3">
            <w:pPr>
              <w:spacing w:line="480" w:lineRule="exact"/>
              <w:rPr>
                <w:rFonts w:ascii="宋体" w:hAnsi="宋体" w:cs="宋体"/>
                <w:bCs/>
                <w:color w:val="auto"/>
                <w:sz w:val="24"/>
                <w:highlight w:val="none"/>
              </w:rPr>
            </w:pPr>
          </w:p>
        </w:tc>
        <w:tc>
          <w:tcPr>
            <w:tcW w:w="1347" w:type="dxa"/>
          </w:tcPr>
          <w:p w14:paraId="6DA20033">
            <w:pPr>
              <w:spacing w:line="480" w:lineRule="exact"/>
              <w:rPr>
                <w:rFonts w:ascii="宋体" w:hAnsi="宋体" w:cs="宋体"/>
                <w:bCs/>
                <w:color w:val="auto"/>
                <w:sz w:val="24"/>
                <w:highlight w:val="none"/>
              </w:rPr>
            </w:pPr>
          </w:p>
        </w:tc>
        <w:tc>
          <w:tcPr>
            <w:tcW w:w="1347" w:type="dxa"/>
          </w:tcPr>
          <w:p w14:paraId="0F00875F">
            <w:pPr>
              <w:spacing w:line="480" w:lineRule="exact"/>
              <w:rPr>
                <w:rFonts w:ascii="宋体" w:hAnsi="宋体" w:cs="宋体"/>
                <w:bCs/>
                <w:color w:val="auto"/>
                <w:sz w:val="24"/>
                <w:highlight w:val="none"/>
              </w:rPr>
            </w:pPr>
          </w:p>
        </w:tc>
        <w:tc>
          <w:tcPr>
            <w:tcW w:w="1909" w:type="dxa"/>
          </w:tcPr>
          <w:p w14:paraId="3A7FB013">
            <w:pPr>
              <w:spacing w:line="480" w:lineRule="exact"/>
              <w:rPr>
                <w:rFonts w:ascii="宋体" w:hAnsi="宋体" w:cs="宋体"/>
                <w:bCs/>
                <w:color w:val="auto"/>
                <w:sz w:val="24"/>
                <w:highlight w:val="none"/>
              </w:rPr>
            </w:pPr>
          </w:p>
        </w:tc>
        <w:tc>
          <w:tcPr>
            <w:tcW w:w="1460" w:type="dxa"/>
          </w:tcPr>
          <w:p w14:paraId="637FFE5B">
            <w:pPr>
              <w:spacing w:line="480" w:lineRule="exact"/>
              <w:rPr>
                <w:rFonts w:ascii="宋体" w:hAnsi="宋体" w:cs="宋体"/>
                <w:bCs/>
                <w:color w:val="auto"/>
                <w:sz w:val="24"/>
                <w:highlight w:val="none"/>
              </w:rPr>
            </w:pPr>
          </w:p>
        </w:tc>
      </w:tr>
      <w:tr w14:paraId="18B2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5D103494">
            <w:pPr>
              <w:spacing w:line="480" w:lineRule="exact"/>
              <w:rPr>
                <w:rFonts w:ascii="宋体" w:hAnsi="宋体" w:cs="宋体"/>
                <w:bCs/>
                <w:color w:val="auto"/>
                <w:sz w:val="24"/>
                <w:highlight w:val="none"/>
              </w:rPr>
            </w:pPr>
          </w:p>
        </w:tc>
        <w:tc>
          <w:tcPr>
            <w:tcW w:w="1594" w:type="dxa"/>
          </w:tcPr>
          <w:p w14:paraId="2A93B176">
            <w:pPr>
              <w:spacing w:line="480" w:lineRule="exact"/>
              <w:rPr>
                <w:rFonts w:ascii="宋体" w:hAnsi="宋体" w:cs="宋体"/>
                <w:bCs/>
                <w:color w:val="auto"/>
                <w:sz w:val="24"/>
                <w:highlight w:val="none"/>
              </w:rPr>
            </w:pPr>
          </w:p>
        </w:tc>
        <w:tc>
          <w:tcPr>
            <w:tcW w:w="1594" w:type="dxa"/>
          </w:tcPr>
          <w:p w14:paraId="200E89CA">
            <w:pPr>
              <w:spacing w:line="480" w:lineRule="exact"/>
              <w:rPr>
                <w:rFonts w:ascii="宋体" w:hAnsi="宋体" w:cs="宋体"/>
                <w:bCs/>
                <w:color w:val="auto"/>
                <w:sz w:val="24"/>
                <w:highlight w:val="none"/>
              </w:rPr>
            </w:pPr>
          </w:p>
        </w:tc>
        <w:tc>
          <w:tcPr>
            <w:tcW w:w="1347" w:type="dxa"/>
          </w:tcPr>
          <w:p w14:paraId="31E4F7ED">
            <w:pPr>
              <w:spacing w:line="480" w:lineRule="exact"/>
              <w:rPr>
                <w:rFonts w:ascii="宋体" w:hAnsi="宋体" w:cs="宋体"/>
                <w:bCs/>
                <w:color w:val="auto"/>
                <w:sz w:val="24"/>
                <w:highlight w:val="none"/>
              </w:rPr>
            </w:pPr>
          </w:p>
        </w:tc>
        <w:tc>
          <w:tcPr>
            <w:tcW w:w="1347" w:type="dxa"/>
          </w:tcPr>
          <w:p w14:paraId="5F07A908">
            <w:pPr>
              <w:spacing w:line="480" w:lineRule="exact"/>
              <w:rPr>
                <w:rFonts w:ascii="宋体" w:hAnsi="宋体" w:cs="宋体"/>
                <w:bCs/>
                <w:color w:val="auto"/>
                <w:sz w:val="24"/>
                <w:highlight w:val="none"/>
              </w:rPr>
            </w:pPr>
          </w:p>
        </w:tc>
        <w:tc>
          <w:tcPr>
            <w:tcW w:w="1909" w:type="dxa"/>
          </w:tcPr>
          <w:p w14:paraId="3F5D7109">
            <w:pPr>
              <w:spacing w:line="480" w:lineRule="exact"/>
              <w:rPr>
                <w:rFonts w:ascii="宋体" w:hAnsi="宋体" w:cs="宋体"/>
                <w:bCs/>
                <w:color w:val="auto"/>
                <w:sz w:val="24"/>
                <w:highlight w:val="none"/>
              </w:rPr>
            </w:pPr>
          </w:p>
        </w:tc>
        <w:tc>
          <w:tcPr>
            <w:tcW w:w="1460" w:type="dxa"/>
          </w:tcPr>
          <w:p w14:paraId="3C227422">
            <w:pPr>
              <w:spacing w:line="480" w:lineRule="exact"/>
              <w:rPr>
                <w:rFonts w:ascii="宋体" w:hAnsi="宋体" w:cs="宋体"/>
                <w:bCs/>
                <w:color w:val="auto"/>
                <w:sz w:val="24"/>
                <w:highlight w:val="none"/>
              </w:rPr>
            </w:pPr>
          </w:p>
        </w:tc>
      </w:tr>
      <w:tr w14:paraId="0ACD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07D7A303">
            <w:pPr>
              <w:spacing w:line="480" w:lineRule="exact"/>
              <w:rPr>
                <w:rFonts w:ascii="宋体" w:hAnsi="宋体" w:cs="宋体"/>
                <w:bCs/>
                <w:color w:val="auto"/>
                <w:sz w:val="24"/>
                <w:highlight w:val="none"/>
              </w:rPr>
            </w:pPr>
          </w:p>
        </w:tc>
        <w:tc>
          <w:tcPr>
            <w:tcW w:w="1594" w:type="dxa"/>
          </w:tcPr>
          <w:p w14:paraId="4B6A9F49">
            <w:pPr>
              <w:spacing w:line="480" w:lineRule="exact"/>
              <w:rPr>
                <w:rFonts w:ascii="宋体" w:hAnsi="宋体" w:cs="宋体"/>
                <w:bCs/>
                <w:color w:val="auto"/>
                <w:sz w:val="24"/>
                <w:highlight w:val="none"/>
              </w:rPr>
            </w:pPr>
          </w:p>
        </w:tc>
        <w:tc>
          <w:tcPr>
            <w:tcW w:w="1594" w:type="dxa"/>
          </w:tcPr>
          <w:p w14:paraId="65B225B5">
            <w:pPr>
              <w:spacing w:line="480" w:lineRule="exact"/>
              <w:rPr>
                <w:rFonts w:ascii="宋体" w:hAnsi="宋体" w:cs="宋体"/>
                <w:bCs/>
                <w:color w:val="auto"/>
                <w:sz w:val="24"/>
                <w:highlight w:val="none"/>
              </w:rPr>
            </w:pPr>
          </w:p>
        </w:tc>
        <w:tc>
          <w:tcPr>
            <w:tcW w:w="1347" w:type="dxa"/>
          </w:tcPr>
          <w:p w14:paraId="34403D7D">
            <w:pPr>
              <w:spacing w:line="480" w:lineRule="exact"/>
              <w:rPr>
                <w:rFonts w:ascii="宋体" w:hAnsi="宋体" w:cs="宋体"/>
                <w:bCs/>
                <w:color w:val="auto"/>
                <w:sz w:val="24"/>
                <w:highlight w:val="none"/>
              </w:rPr>
            </w:pPr>
          </w:p>
        </w:tc>
        <w:tc>
          <w:tcPr>
            <w:tcW w:w="1347" w:type="dxa"/>
          </w:tcPr>
          <w:p w14:paraId="4E72D066">
            <w:pPr>
              <w:spacing w:line="480" w:lineRule="exact"/>
              <w:rPr>
                <w:rFonts w:ascii="宋体" w:hAnsi="宋体" w:cs="宋体"/>
                <w:bCs/>
                <w:color w:val="auto"/>
                <w:sz w:val="24"/>
                <w:highlight w:val="none"/>
              </w:rPr>
            </w:pPr>
          </w:p>
        </w:tc>
        <w:tc>
          <w:tcPr>
            <w:tcW w:w="1909" w:type="dxa"/>
          </w:tcPr>
          <w:p w14:paraId="181E4BD2">
            <w:pPr>
              <w:spacing w:line="480" w:lineRule="exact"/>
              <w:rPr>
                <w:rFonts w:ascii="宋体" w:hAnsi="宋体" w:cs="宋体"/>
                <w:bCs/>
                <w:color w:val="auto"/>
                <w:sz w:val="24"/>
                <w:highlight w:val="none"/>
              </w:rPr>
            </w:pPr>
          </w:p>
        </w:tc>
        <w:tc>
          <w:tcPr>
            <w:tcW w:w="1460" w:type="dxa"/>
          </w:tcPr>
          <w:p w14:paraId="564D53A9">
            <w:pPr>
              <w:spacing w:line="480" w:lineRule="exact"/>
              <w:rPr>
                <w:rFonts w:ascii="宋体" w:hAnsi="宋体" w:cs="宋体"/>
                <w:bCs/>
                <w:color w:val="auto"/>
                <w:sz w:val="24"/>
                <w:highlight w:val="none"/>
              </w:rPr>
            </w:pPr>
          </w:p>
        </w:tc>
      </w:tr>
      <w:tr w14:paraId="2917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66CFF333">
            <w:pPr>
              <w:spacing w:line="480" w:lineRule="exact"/>
              <w:rPr>
                <w:rFonts w:ascii="宋体" w:hAnsi="宋体" w:cs="宋体"/>
                <w:bCs/>
                <w:color w:val="auto"/>
                <w:sz w:val="24"/>
                <w:highlight w:val="none"/>
              </w:rPr>
            </w:pPr>
          </w:p>
        </w:tc>
        <w:tc>
          <w:tcPr>
            <w:tcW w:w="1594" w:type="dxa"/>
          </w:tcPr>
          <w:p w14:paraId="3F01B158">
            <w:pPr>
              <w:spacing w:line="480" w:lineRule="exact"/>
              <w:rPr>
                <w:rFonts w:ascii="宋体" w:hAnsi="宋体" w:cs="宋体"/>
                <w:bCs/>
                <w:color w:val="auto"/>
                <w:sz w:val="24"/>
                <w:highlight w:val="none"/>
              </w:rPr>
            </w:pPr>
          </w:p>
        </w:tc>
        <w:tc>
          <w:tcPr>
            <w:tcW w:w="1594" w:type="dxa"/>
          </w:tcPr>
          <w:p w14:paraId="7D4573B6">
            <w:pPr>
              <w:spacing w:line="480" w:lineRule="exact"/>
              <w:rPr>
                <w:rFonts w:ascii="宋体" w:hAnsi="宋体" w:cs="宋体"/>
                <w:bCs/>
                <w:color w:val="auto"/>
                <w:sz w:val="24"/>
                <w:highlight w:val="none"/>
              </w:rPr>
            </w:pPr>
          </w:p>
        </w:tc>
        <w:tc>
          <w:tcPr>
            <w:tcW w:w="1347" w:type="dxa"/>
          </w:tcPr>
          <w:p w14:paraId="29B11800">
            <w:pPr>
              <w:spacing w:line="480" w:lineRule="exact"/>
              <w:rPr>
                <w:rFonts w:ascii="宋体" w:hAnsi="宋体" w:cs="宋体"/>
                <w:bCs/>
                <w:color w:val="auto"/>
                <w:sz w:val="24"/>
                <w:highlight w:val="none"/>
              </w:rPr>
            </w:pPr>
          </w:p>
        </w:tc>
        <w:tc>
          <w:tcPr>
            <w:tcW w:w="1347" w:type="dxa"/>
          </w:tcPr>
          <w:p w14:paraId="69CA7BFF">
            <w:pPr>
              <w:spacing w:line="480" w:lineRule="exact"/>
              <w:rPr>
                <w:rFonts w:ascii="宋体" w:hAnsi="宋体" w:cs="宋体"/>
                <w:bCs/>
                <w:color w:val="auto"/>
                <w:sz w:val="24"/>
                <w:highlight w:val="none"/>
              </w:rPr>
            </w:pPr>
          </w:p>
        </w:tc>
        <w:tc>
          <w:tcPr>
            <w:tcW w:w="1909" w:type="dxa"/>
          </w:tcPr>
          <w:p w14:paraId="7A1CCCAE">
            <w:pPr>
              <w:spacing w:line="480" w:lineRule="exact"/>
              <w:rPr>
                <w:rFonts w:ascii="宋体" w:hAnsi="宋体" w:cs="宋体"/>
                <w:bCs/>
                <w:color w:val="auto"/>
                <w:sz w:val="24"/>
                <w:highlight w:val="none"/>
              </w:rPr>
            </w:pPr>
          </w:p>
        </w:tc>
        <w:tc>
          <w:tcPr>
            <w:tcW w:w="1460" w:type="dxa"/>
          </w:tcPr>
          <w:p w14:paraId="32CC603B">
            <w:pPr>
              <w:spacing w:line="480" w:lineRule="exact"/>
              <w:rPr>
                <w:rFonts w:ascii="宋体" w:hAnsi="宋体" w:cs="宋体"/>
                <w:bCs/>
                <w:color w:val="auto"/>
                <w:sz w:val="24"/>
                <w:highlight w:val="none"/>
              </w:rPr>
            </w:pPr>
          </w:p>
        </w:tc>
      </w:tr>
      <w:tr w14:paraId="223E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3A9819A0">
            <w:pPr>
              <w:spacing w:line="480" w:lineRule="exact"/>
              <w:rPr>
                <w:rFonts w:ascii="宋体" w:hAnsi="宋体" w:cs="宋体"/>
                <w:bCs/>
                <w:color w:val="auto"/>
                <w:sz w:val="24"/>
                <w:highlight w:val="none"/>
              </w:rPr>
            </w:pPr>
          </w:p>
        </w:tc>
        <w:tc>
          <w:tcPr>
            <w:tcW w:w="1594" w:type="dxa"/>
          </w:tcPr>
          <w:p w14:paraId="7AE722AF">
            <w:pPr>
              <w:spacing w:line="480" w:lineRule="exact"/>
              <w:rPr>
                <w:rFonts w:ascii="宋体" w:hAnsi="宋体" w:cs="宋体"/>
                <w:bCs/>
                <w:color w:val="auto"/>
                <w:sz w:val="24"/>
                <w:highlight w:val="none"/>
              </w:rPr>
            </w:pPr>
          </w:p>
        </w:tc>
        <w:tc>
          <w:tcPr>
            <w:tcW w:w="1594" w:type="dxa"/>
          </w:tcPr>
          <w:p w14:paraId="570FBE2D">
            <w:pPr>
              <w:spacing w:line="480" w:lineRule="exact"/>
              <w:rPr>
                <w:rFonts w:ascii="宋体" w:hAnsi="宋体" w:cs="宋体"/>
                <w:bCs/>
                <w:color w:val="auto"/>
                <w:sz w:val="24"/>
                <w:highlight w:val="none"/>
              </w:rPr>
            </w:pPr>
          </w:p>
        </w:tc>
        <w:tc>
          <w:tcPr>
            <w:tcW w:w="1347" w:type="dxa"/>
          </w:tcPr>
          <w:p w14:paraId="0A2A272A">
            <w:pPr>
              <w:spacing w:line="480" w:lineRule="exact"/>
              <w:rPr>
                <w:rFonts w:ascii="宋体" w:hAnsi="宋体" w:cs="宋体"/>
                <w:bCs/>
                <w:color w:val="auto"/>
                <w:sz w:val="24"/>
                <w:highlight w:val="none"/>
              </w:rPr>
            </w:pPr>
          </w:p>
        </w:tc>
        <w:tc>
          <w:tcPr>
            <w:tcW w:w="1347" w:type="dxa"/>
          </w:tcPr>
          <w:p w14:paraId="118039B7">
            <w:pPr>
              <w:spacing w:line="480" w:lineRule="exact"/>
              <w:rPr>
                <w:rFonts w:ascii="宋体" w:hAnsi="宋体" w:cs="宋体"/>
                <w:bCs/>
                <w:color w:val="auto"/>
                <w:sz w:val="24"/>
                <w:highlight w:val="none"/>
              </w:rPr>
            </w:pPr>
          </w:p>
        </w:tc>
        <w:tc>
          <w:tcPr>
            <w:tcW w:w="1909" w:type="dxa"/>
          </w:tcPr>
          <w:p w14:paraId="41BD3FB2">
            <w:pPr>
              <w:spacing w:line="480" w:lineRule="exact"/>
              <w:rPr>
                <w:rFonts w:ascii="宋体" w:hAnsi="宋体" w:cs="宋体"/>
                <w:bCs/>
                <w:color w:val="auto"/>
                <w:sz w:val="24"/>
                <w:highlight w:val="none"/>
              </w:rPr>
            </w:pPr>
          </w:p>
        </w:tc>
        <w:tc>
          <w:tcPr>
            <w:tcW w:w="1460" w:type="dxa"/>
          </w:tcPr>
          <w:p w14:paraId="0ED34B00">
            <w:pPr>
              <w:spacing w:line="480" w:lineRule="exact"/>
              <w:rPr>
                <w:rFonts w:ascii="宋体" w:hAnsi="宋体" w:cs="宋体"/>
                <w:bCs/>
                <w:color w:val="auto"/>
                <w:sz w:val="24"/>
                <w:highlight w:val="none"/>
              </w:rPr>
            </w:pPr>
          </w:p>
        </w:tc>
      </w:tr>
      <w:tr w14:paraId="453B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340737C4">
            <w:pPr>
              <w:spacing w:line="480" w:lineRule="exact"/>
              <w:rPr>
                <w:rFonts w:ascii="宋体" w:hAnsi="宋体" w:cs="宋体"/>
                <w:bCs/>
                <w:color w:val="auto"/>
                <w:sz w:val="24"/>
                <w:highlight w:val="none"/>
              </w:rPr>
            </w:pPr>
          </w:p>
        </w:tc>
        <w:tc>
          <w:tcPr>
            <w:tcW w:w="1594" w:type="dxa"/>
          </w:tcPr>
          <w:p w14:paraId="4CC02044">
            <w:pPr>
              <w:spacing w:line="480" w:lineRule="exact"/>
              <w:rPr>
                <w:rFonts w:ascii="宋体" w:hAnsi="宋体" w:cs="宋体"/>
                <w:bCs/>
                <w:color w:val="auto"/>
                <w:sz w:val="24"/>
                <w:highlight w:val="none"/>
              </w:rPr>
            </w:pPr>
          </w:p>
        </w:tc>
        <w:tc>
          <w:tcPr>
            <w:tcW w:w="1594" w:type="dxa"/>
          </w:tcPr>
          <w:p w14:paraId="7965CE99">
            <w:pPr>
              <w:spacing w:line="480" w:lineRule="exact"/>
              <w:rPr>
                <w:rFonts w:ascii="宋体" w:hAnsi="宋体" w:cs="宋体"/>
                <w:bCs/>
                <w:color w:val="auto"/>
                <w:sz w:val="24"/>
                <w:highlight w:val="none"/>
              </w:rPr>
            </w:pPr>
          </w:p>
        </w:tc>
        <w:tc>
          <w:tcPr>
            <w:tcW w:w="1347" w:type="dxa"/>
          </w:tcPr>
          <w:p w14:paraId="3B141E36">
            <w:pPr>
              <w:spacing w:line="480" w:lineRule="exact"/>
              <w:rPr>
                <w:rFonts w:ascii="宋体" w:hAnsi="宋体" w:cs="宋体"/>
                <w:bCs/>
                <w:color w:val="auto"/>
                <w:sz w:val="24"/>
                <w:highlight w:val="none"/>
              </w:rPr>
            </w:pPr>
          </w:p>
        </w:tc>
        <w:tc>
          <w:tcPr>
            <w:tcW w:w="1347" w:type="dxa"/>
          </w:tcPr>
          <w:p w14:paraId="1434E3FC">
            <w:pPr>
              <w:spacing w:line="480" w:lineRule="exact"/>
              <w:rPr>
                <w:rFonts w:ascii="宋体" w:hAnsi="宋体" w:cs="宋体"/>
                <w:bCs/>
                <w:color w:val="auto"/>
                <w:sz w:val="24"/>
                <w:highlight w:val="none"/>
              </w:rPr>
            </w:pPr>
          </w:p>
        </w:tc>
        <w:tc>
          <w:tcPr>
            <w:tcW w:w="1909" w:type="dxa"/>
          </w:tcPr>
          <w:p w14:paraId="3D21249D">
            <w:pPr>
              <w:spacing w:line="480" w:lineRule="exact"/>
              <w:rPr>
                <w:rFonts w:ascii="宋体" w:hAnsi="宋体" w:cs="宋体"/>
                <w:bCs/>
                <w:color w:val="auto"/>
                <w:sz w:val="24"/>
                <w:highlight w:val="none"/>
              </w:rPr>
            </w:pPr>
          </w:p>
        </w:tc>
        <w:tc>
          <w:tcPr>
            <w:tcW w:w="1460" w:type="dxa"/>
          </w:tcPr>
          <w:p w14:paraId="2AFE18D0">
            <w:pPr>
              <w:spacing w:line="480" w:lineRule="exact"/>
              <w:rPr>
                <w:rFonts w:ascii="宋体" w:hAnsi="宋体" w:cs="宋体"/>
                <w:bCs/>
                <w:color w:val="auto"/>
                <w:sz w:val="24"/>
                <w:highlight w:val="none"/>
              </w:rPr>
            </w:pPr>
          </w:p>
        </w:tc>
      </w:tr>
      <w:tr w14:paraId="4772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57DA37DB">
            <w:pPr>
              <w:spacing w:line="480" w:lineRule="exact"/>
              <w:rPr>
                <w:rFonts w:ascii="宋体" w:hAnsi="宋体" w:cs="宋体"/>
                <w:bCs/>
                <w:color w:val="auto"/>
                <w:sz w:val="24"/>
                <w:highlight w:val="none"/>
              </w:rPr>
            </w:pPr>
          </w:p>
        </w:tc>
        <w:tc>
          <w:tcPr>
            <w:tcW w:w="1594" w:type="dxa"/>
          </w:tcPr>
          <w:p w14:paraId="65A250B1">
            <w:pPr>
              <w:spacing w:line="480" w:lineRule="exact"/>
              <w:rPr>
                <w:rFonts w:ascii="宋体" w:hAnsi="宋体" w:cs="宋体"/>
                <w:bCs/>
                <w:color w:val="auto"/>
                <w:sz w:val="24"/>
                <w:highlight w:val="none"/>
              </w:rPr>
            </w:pPr>
          </w:p>
        </w:tc>
        <w:tc>
          <w:tcPr>
            <w:tcW w:w="1594" w:type="dxa"/>
          </w:tcPr>
          <w:p w14:paraId="49BC05C1">
            <w:pPr>
              <w:spacing w:line="480" w:lineRule="exact"/>
              <w:rPr>
                <w:rFonts w:ascii="宋体" w:hAnsi="宋体" w:cs="宋体"/>
                <w:bCs/>
                <w:color w:val="auto"/>
                <w:sz w:val="24"/>
                <w:highlight w:val="none"/>
              </w:rPr>
            </w:pPr>
          </w:p>
        </w:tc>
        <w:tc>
          <w:tcPr>
            <w:tcW w:w="1347" w:type="dxa"/>
          </w:tcPr>
          <w:p w14:paraId="13B48D4E">
            <w:pPr>
              <w:spacing w:line="480" w:lineRule="exact"/>
              <w:rPr>
                <w:rFonts w:ascii="宋体" w:hAnsi="宋体" w:cs="宋体"/>
                <w:bCs/>
                <w:color w:val="auto"/>
                <w:sz w:val="24"/>
                <w:highlight w:val="none"/>
              </w:rPr>
            </w:pPr>
          </w:p>
        </w:tc>
        <w:tc>
          <w:tcPr>
            <w:tcW w:w="1347" w:type="dxa"/>
          </w:tcPr>
          <w:p w14:paraId="6E78A38D">
            <w:pPr>
              <w:spacing w:line="480" w:lineRule="exact"/>
              <w:rPr>
                <w:rFonts w:ascii="宋体" w:hAnsi="宋体" w:cs="宋体"/>
                <w:bCs/>
                <w:color w:val="auto"/>
                <w:sz w:val="24"/>
                <w:highlight w:val="none"/>
              </w:rPr>
            </w:pPr>
          </w:p>
        </w:tc>
        <w:tc>
          <w:tcPr>
            <w:tcW w:w="1909" w:type="dxa"/>
          </w:tcPr>
          <w:p w14:paraId="19D7168E">
            <w:pPr>
              <w:spacing w:line="480" w:lineRule="exact"/>
              <w:rPr>
                <w:rFonts w:ascii="宋体" w:hAnsi="宋体" w:cs="宋体"/>
                <w:bCs/>
                <w:color w:val="auto"/>
                <w:sz w:val="24"/>
                <w:highlight w:val="none"/>
              </w:rPr>
            </w:pPr>
          </w:p>
        </w:tc>
        <w:tc>
          <w:tcPr>
            <w:tcW w:w="1460" w:type="dxa"/>
          </w:tcPr>
          <w:p w14:paraId="307EDC12">
            <w:pPr>
              <w:spacing w:line="480" w:lineRule="exact"/>
              <w:rPr>
                <w:rFonts w:ascii="宋体" w:hAnsi="宋体" w:cs="宋体"/>
                <w:bCs/>
                <w:color w:val="auto"/>
                <w:sz w:val="24"/>
                <w:highlight w:val="none"/>
              </w:rPr>
            </w:pPr>
          </w:p>
        </w:tc>
      </w:tr>
      <w:tr w14:paraId="2A72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2A04AB73">
            <w:pPr>
              <w:spacing w:line="480" w:lineRule="exact"/>
              <w:rPr>
                <w:rFonts w:ascii="宋体" w:hAnsi="宋体" w:cs="宋体"/>
                <w:bCs/>
                <w:color w:val="auto"/>
                <w:sz w:val="24"/>
                <w:highlight w:val="none"/>
              </w:rPr>
            </w:pPr>
          </w:p>
        </w:tc>
        <w:tc>
          <w:tcPr>
            <w:tcW w:w="1594" w:type="dxa"/>
          </w:tcPr>
          <w:p w14:paraId="25E5E681">
            <w:pPr>
              <w:spacing w:line="480" w:lineRule="exact"/>
              <w:rPr>
                <w:rFonts w:ascii="宋体" w:hAnsi="宋体" w:cs="宋体"/>
                <w:bCs/>
                <w:color w:val="auto"/>
                <w:sz w:val="24"/>
                <w:highlight w:val="none"/>
              </w:rPr>
            </w:pPr>
          </w:p>
        </w:tc>
        <w:tc>
          <w:tcPr>
            <w:tcW w:w="1594" w:type="dxa"/>
          </w:tcPr>
          <w:p w14:paraId="79E90103">
            <w:pPr>
              <w:spacing w:line="480" w:lineRule="exact"/>
              <w:rPr>
                <w:rFonts w:ascii="宋体" w:hAnsi="宋体" w:cs="宋体"/>
                <w:bCs/>
                <w:color w:val="auto"/>
                <w:sz w:val="24"/>
                <w:highlight w:val="none"/>
              </w:rPr>
            </w:pPr>
          </w:p>
        </w:tc>
        <w:tc>
          <w:tcPr>
            <w:tcW w:w="1347" w:type="dxa"/>
          </w:tcPr>
          <w:p w14:paraId="40E1B388">
            <w:pPr>
              <w:spacing w:line="480" w:lineRule="exact"/>
              <w:rPr>
                <w:rFonts w:ascii="宋体" w:hAnsi="宋体" w:cs="宋体"/>
                <w:bCs/>
                <w:color w:val="auto"/>
                <w:sz w:val="24"/>
                <w:highlight w:val="none"/>
              </w:rPr>
            </w:pPr>
          </w:p>
        </w:tc>
        <w:tc>
          <w:tcPr>
            <w:tcW w:w="1347" w:type="dxa"/>
          </w:tcPr>
          <w:p w14:paraId="44CE3046">
            <w:pPr>
              <w:spacing w:line="480" w:lineRule="exact"/>
              <w:rPr>
                <w:rFonts w:ascii="宋体" w:hAnsi="宋体" w:cs="宋体"/>
                <w:bCs/>
                <w:color w:val="auto"/>
                <w:sz w:val="24"/>
                <w:highlight w:val="none"/>
              </w:rPr>
            </w:pPr>
          </w:p>
        </w:tc>
        <w:tc>
          <w:tcPr>
            <w:tcW w:w="1909" w:type="dxa"/>
          </w:tcPr>
          <w:p w14:paraId="1E3E0D92">
            <w:pPr>
              <w:spacing w:line="480" w:lineRule="exact"/>
              <w:rPr>
                <w:rFonts w:ascii="宋体" w:hAnsi="宋体" w:cs="宋体"/>
                <w:bCs/>
                <w:color w:val="auto"/>
                <w:sz w:val="24"/>
                <w:highlight w:val="none"/>
              </w:rPr>
            </w:pPr>
          </w:p>
        </w:tc>
        <w:tc>
          <w:tcPr>
            <w:tcW w:w="1460" w:type="dxa"/>
          </w:tcPr>
          <w:p w14:paraId="7E697F82">
            <w:pPr>
              <w:spacing w:line="480" w:lineRule="exact"/>
              <w:rPr>
                <w:rFonts w:ascii="宋体" w:hAnsi="宋体" w:cs="宋体"/>
                <w:bCs/>
                <w:color w:val="auto"/>
                <w:sz w:val="24"/>
                <w:highlight w:val="none"/>
              </w:rPr>
            </w:pPr>
          </w:p>
        </w:tc>
      </w:tr>
      <w:tr w14:paraId="2DA3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4" w:type="dxa"/>
          </w:tcPr>
          <w:p w14:paraId="25494899">
            <w:pPr>
              <w:spacing w:line="480" w:lineRule="exact"/>
              <w:rPr>
                <w:rFonts w:ascii="宋体" w:hAnsi="宋体" w:cs="宋体"/>
                <w:bCs/>
                <w:color w:val="auto"/>
                <w:sz w:val="24"/>
                <w:highlight w:val="none"/>
              </w:rPr>
            </w:pPr>
          </w:p>
        </w:tc>
        <w:tc>
          <w:tcPr>
            <w:tcW w:w="1594" w:type="dxa"/>
          </w:tcPr>
          <w:p w14:paraId="7045F96D">
            <w:pPr>
              <w:spacing w:line="480" w:lineRule="exact"/>
              <w:rPr>
                <w:rFonts w:ascii="宋体" w:hAnsi="宋体" w:cs="宋体"/>
                <w:bCs/>
                <w:color w:val="auto"/>
                <w:sz w:val="24"/>
                <w:highlight w:val="none"/>
              </w:rPr>
            </w:pPr>
          </w:p>
        </w:tc>
        <w:tc>
          <w:tcPr>
            <w:tcW w:w="1594" w:type="dxa"/>
          </w:tcPr>
          <w:p w14:paraId="0905C35E">
            <w:pPr>
              <w:spacing w:line="480" w:lineRule="exact"/>
              <w:rPr>
                <w:rFonts w:ascii="宋体" w:hAnsi="宋体" w:cs="宋体"/>
                <w:bCs/>
                <w:color w:val="auto"/>
                <w:sz w:val="24"/>
                <w:highlight w:val="none"/>
              </w:rPr>
            </w:pPr>
          </w:p>
        </w:tc>
        <w:tc>
          <w:tcPr>
            <w:tcW w:w="1347" w:type="dxa"/>
          </w:tcPr>
          <w:p w14:paraId="0981BB16">
            <w:pPr>
              <w:spacing w:line="480" w:lineRule="exact"/>
              <w:rPr>
                <w:rFonts w:ascii="宋体" w:hAnsi="宋体" w:cs="宋体"/>
                <w:bCs/>
                <w:color w:val="auto"/>
                <w:sz w:val="24"/>
                <w:highlight w:val="none"/>
              </w:rPr>
            </w:pPr>
          </w:p>
        </w:tc>
        <w:tc>
          <w:tcPr>
            <w:tcW w:w="1347" w:type="dxa"/>
          </w:tcPr>
          <w:p w14:paraId="0FAFD165">
            <w:pPr>
              <w:spacing w:line="480" w:lineRule="exact"/>
              <w:rPr>
                <w:rFonts w:ascii="宋体" w:hAnsi="宋体" w:cs="宋体"/>
                <w:bCs/>
                <w:color w:val="auto"/>
                <w:sz w:val="24"/>
                <w:highlight w:val="none"/>
              </w:rPr>
            </w:pPr>
          </w:p>
        </w:tc>
        <w:tc>
          <w:tcPr>
            <w:tcW w:w="1909" w:type="dxa"/>
          </w:tcPr>
          <w:p w14:paraId="463FF53A">
            <w:pPr>
              <w:spacing w:line="480" w:lineRule="exact"/>
              <w:rPr>
                <w:rFonts w:ascii="宋体" w:hAnsi="宋体" w:cs="宋体"/>
                <w:bCs/>
                <w:color w:val="auto"/>
                <w:sz w:val="24"/>
                <w:highlight w:val="none"/>
              </w:rPr>
            </w:pPr>
          </w:p>
        </w:tc>
        <w:tc>
          <w:tcPr>
            <w:tcW w:w="1460" w:type="dxa"/>
          </w:tcPr>
          <w:p w14:paraId="168E15F4">
            <w:pPr>
              <w:spacing w:line="480" w:lineRule="exact"/>
              <w:rPr>
                <w:rFonts w:ascii="宋体" w:hAnsi="宋体" w:cs="宋体"/>
                <w:bCs/>
                <w:color w:val="auto"/>
                <w:sz w:val="24"/>
                <w:highlight w:val="none"/>
              </w:rPr>
            </w:pPr>
          </w:p>
        </w:tc>
      </w:tr>
      <w:tr w14:paraId="315F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4" w:type="dxa"/>
          </w:tcPr>
          <w:p w14:paraId="6336AEF4">
            <w:pPr>
              <w:spacing w:line="480" w:lineRule="exact"/>
              <w:rPr>
                <w:rFonts w:ascii="宋体" w:hAnsi="宋体" w:cs="宋体"/>
                <w:bCs/>
                <w:color w:val="auto"/>
                <w:sz w:val="24"/>
                <w:highlight w:val="none"/>
              </w:rPr>
            </w:pPr>
          </w:p>
        </w:tc>
        <w:tc>
          <w:tcPr>
            <w:tcW w:w="1594" w:type="dxa"/>
          </w:tcPr>
          <w:p w14:paraId="426AEB32">
            <w:pPr>
              <w:spacing w:line="480" w:lineRule="exact"/>
              <w:rPr>
                <w:rFonts w:ascii="宋体" w:hAnsi="宋体" w:cs="宋体"/>
                <w:bCs/>
                <w:color w:val="auto"/>
                <w:sz w:val="24"/>
                <w:highlight w:val="none"/>
              </w:rPr>
            </w:pPr>
          </w:p>
        </w:tc>
        <w:tc>
          <w:tcPr>
            <w:tcW w:w="1594" w:type="dxa"/>
          </w:tcPr>
          <w:p w14:paraId="21A9793D">
            <w:pPr>
              <w:spacing w:line="480" w:lineRule="exact"/>
              <w:rPr>
                <w:rFonts w:ascii="宋体" w:hAnsi="宋体" w:cs="宋体"/>
                <w:bCs/>
                <w:color w:val="auto"/>
                <w:sz w:val="24"/>
                <w:highlight w:val="none"/>
              </w:rPr>
            </w:pPr>
          </w:p>
        </w:tc>
        <w:tc>
          <w:tcPr>
            <w:tcW w:w="1347" w:type="dxa"/>
          </w:tcPr>
          <w:p w14:paraId="649874BB">
            <w:pPr>
              <w:spacing w:line="480" w:lineRule="exact"/>
              <w:rPr>
                <w:rFonts w:ascii="宋体" w:hAnsi="宋体" w:cs="宋体"/>
                <w:bCs/>
                <w:color w:val="auto"/>
                <w:sz w:val="24"/>
                <w:highlight w:val="none"/>
              </w:rPr>
            </w:pPr>
          </w:p>
        </w:tc>
        <w:tc>
          <w:tcPr>
            <w:tcW w:w="1347" w:type="dxa"/>
          </w:tcPr>
          <w:p w14:paraId="59D3546D">
            <w:pPr>
              <w:spacing w:line="480" w:lineRule="exact"/>
              <w:rPr>
                <w:rFonts w:ascii="宋体" w:hAnsi="宋体" w:cs="宋体"/>
                <w:bCs/>
                <w:color w:val="auto"/>
                <w:sz w:val="24"/>
                <w:highlight w:val="none"/>
              </w:rPr>
            </w:pPr>
          </w:p>
        </w:tc>
        <w:tc>
          <w:tcPr>
            <w:tcW w:w="1909" w:type="dxa"/>
          </w:tcPr>
          <w:p w14:paraId="3590F6EA">
            <w:pPr>
              <w:spacing w:line="480" w:lineRule="exact"/>
              <w:rPr>
                <w:rFonts w:ascii="宋体" w:hAnsi="宋体" w:cs="宋体"/>
                <w:bCs/>
                <w:color w:val="auto"/>
                <w:sz w:val="24"/>
                <w:highlight w:val="none"/>
              </w:rPr>
            </w:pPr>
          </w:p>
        </w:tc>
        <w:tc>
          <w:tcPr>
            <w:tcW w:w="1460" w:type="dxa"/>
          </w:tcPr>
          <w:p w14:paraId="0F8B26FB">
            <w:pPr>
              <w:spacing w:line="480" w:lineRule="exact"/>
              <w:rPr>
                <w:rFonts w:ascii="宋体" w:hAnsi="宋体" w:cs="宋体"/>
                <w:bCs/>
                <w:color w:val="auto"/>
                <w:sz w:val="24"/>
                <w:highlight w:val="none"/>
              </w:rPr>
            </w:pPr>
          </w:p>
        </w:tc>
      </w:tr>
    </w:tbl>
    <w:p w14:paraId="629718EE">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法定代表人或其授权代理人签名或盖章：</w:t>
      </w:r>
    </w:p>
    <w:p w14:paraId="0347F88B">
      <w:pPr>
        <w:spacing w:line="480" w:lineRule="exact"/>
        <w:rPr>
          <w:rFonts w:ascii="宋体" w:hAnsi="宋体" w:cs="宋体"/>
          <w:color w:val="auto"/>
          <w:sz w:val="24"/>
          <w:highlight w:val="none"/>
        </w:rPr>
      </w:pPr>
      <w:r>
        <w:rPr>
          <w:rFonts w:hint="eastAsia" w:ascii="宋体" w:hAnsi="宋体" w:cs="宋体"/>
          <w:color w:val="auto"/>
          <w:sz w:val="24"/>
          <w:highlight w:val="none"/>
        </w:rPr>
        <w:t>日期：    年   月  日</w:t>
      </w:r>
    </w:p>
    <w:p w14:paraId="0E2E783A">
      <w:pPr>
        <w:spacing w:line="480" w:lineRule="exact"/>
        <w:ind w:firstLine="480" w:firstLineChars="200"/>
        <w:rPr>
          <w:rFonts w:ascii="宋体" w:hAnsi="宋体" w:cs="宋体"/>
          <w:color w:val="auto"/>
          <w:sz w:val="24"/>
          <w:highlight w:val="none"/>
        </w:rPr>
      </w:pPr>
    </w:p>
    <w:p w14:paraId="2B7D1282">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sz w:val="24"/>
          <w:szCs w:val="21"/>
          <w:highlight w:val="none"/>
          <w:lang w:bidi="zh-CN"/>
        </w:rPr>
        <w:t>提供中标（成交）通知书及合同清晰扫描件并加盖投标供应商公章</w:t>
      </w:r>
      <w:r>
        <w:rPr>
          <w:rFonts w:hint="eastAsia" w:ascii="宋体" w:hAnsi="宋体" w:cs="宋体"/>
          <w:color w:val="auto"/>
          <w:spacing w:val="14"/>
          <w:sz w:val="24"/>
          <w:highlight w:val="none"/>
        </w:rPr>
        <w:t>。</w:t>
      </w:r>
    </w:p>
    <w:p w14:paraId="575B5E3D">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2、此表仅提供了表格形式，投标供应商应根据需要准备足够数量的表格来填写。</w:t>
      </w:r>
    </w:p>
    <w:p w14:paraId="7E0BABBE">
      <w:pPr>
        <w:spacing w:line="480" w:lineRule="exact"/>
        <w:ind w:firstLine="360" w:firstLineChars="150"/>
        <w:rPr>
          <w:rFonts w:ascii="宋体" w:hAnsi="宋体" w:cs="宋体"/>
          <w:color w:val="auto"/>
          <w:sz w:val="24"/>
          <w:highlight w:val="none"/>
        </w:rPr>
      </w:pPr>
    </w:p>
    <w:p w14:paraId="7AB18A0E">
      <w:pPr>
        <w:spacing w:line="360" w:lineRule="auto"/>
        <w:ind w:firstLine="450" w:firstLineChars="150"/>
        <w:rPr>
          <w:rFonts w:ascii="宋体" w:hAnsi="宋体" w:cs="宋体"/>
          <w:bCs/>
          <w:color w:val="auto"/>
          <w:sz w:val="30"/>
          <w:highlight w:val="none"/>
        </w:rPr>
      </w:pPr>
    </w:p>
    <w:p w14:paraId="4773C78B">
      <w:pPr>
        <w:spacing w:line="360" w:lineRule="auto"/>
        <w:rPr>
          <w:rFonts w:ascii="宋体" w:hAnsi="宋体" w:cs="宋体"/>
          <w:b/>
          <w:bCs/>
          <w:color w:val="auto"/>
          <w:spacing w:val="14"/>
          <w:szCs w:val="28"/>
          <w:highlight w:val="none"/>
        </w:rPr>
      </w:pPr>
    </w:p>
    <w:p w14:paraId="2F3AF5E3">
      <w:pPr>
        <w:spacing w:line="360" w:lineRule="auto"/>
        <w:rPr>
          <w:rFonts w:ascii="宋体" w:hAnsi="宋体" w:cs="宋体"/>
          <w:b/>
          <w:bCs/>
          <w:color w:val="auto"/>
          <w:spacing w:val="14"/>
          <w:szCs w:val="28"/>
          <w:highlight w:val="none"/>
        </w:rPr>
      </w:pPr>
    </w:p>
    <w:p w14:paraId="47B4E4E5">
      <w:pPr>
        <w:pStyle w:val="2"/>
        <w:ind w:firstLine="309"/>
        <w:rPr>
          <w:rFonts w:ascii="宋体" w:hAnsi="宋体" w:cs="宋体"/>
          <w:b/>
          <w:bCs/>
          <w:color w:val="auto"/>
          <w:spacing w:val="14"/>
          <w:szCs w:val="28"/>
          <w:highlight w:val="none"/>
        </w:rPr>
      </w:pPr>
    </w:p>
    <w:p w14:paraId="2537E1E6">
      <w:pPr>
        <w:pStyle w:val="4"/>
        <w:ind w:left="2800"/>
        <w:rPr>
          <w:color w:val="auto"/>
          <w:highlight w:val="none"/>
        </w:rPr>
      </w:pPr>
    </w:p>
    <w:p w14:paraId="144B7C82">
      <w:pPr>
        <w:spacing w:line="360" w:lineRule="auto"/>
        <w:rPr>
          <w:rFonts w:ascii="宋体" w:hAnsi="宋体" w:cs="宋体"/>
          <w:b/>
          <w:bCs/>
          <w:color w:val="auto"/>
          <w:szCs w:val="28"/>
          <w:highlight w:val="none"/>
        </w:rPr>
      </w:pPr>
    </w:p>
    <w:p w14:paraId="6AC216A5">
      <w:pPr>
        <w:pStyle w:val="2"/>
        <w:ind w:firstLine="281"/>
        <w:rPr>
          <w:rFonts w:ascii="宋体" w:hAnsi="宋体" w:cs="宋体"/>
          <w:b/>
          <w:bCs/>
          <w:color w:val="auto"/>
          <w:szCs w:val="28"/>
          <w:highlight w:val="none"/>
        </w:rPr>
      </w:pPr>
    </w:p>
    <w:p w14:paraId="3C2B1B71">
      <w:pPr>
        <w:pStyle w:val="4"/>
        <w:ind w:left="2800"/>
        <w:rPr>
          <w:color w:val="auto"/>
          <w:highlight w:val="none"/>
        </w:rPr>
      </w:pPr>
    </w:p>
    <w:p w14:paraId="4B4B6379">
      <w:pPr>
        <w:tabs>
          <w:tab w:val="left" w:pos="3654"/>
        </w:tabs>
        <w:spacing w:line="360" w:lineRule="auto"/>
        <w:jc w:val="center"/>
        <w:rPr>
          <w:rFonts w:ascii="宋体" w:hAnsi="宋体" w:cs="宋体"/>
          <w:b/>
          <w:bCs/>
          <w:color w:val="auto"/>
          <w:szCs w:val="28"/>
          <w:highlight w:val="none"/>
        </w:rPr>
      </w:pPr>
    </w:p>
    <w:p w14:paraId="39B888EA">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商务技术条款偏离表</w:t>
      </w:r>
    </w:p>
    <w:p w14:paraId="447AE4F0">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投标供应商全称（加盖公章）：             项目编号：  </w:t>
      </w:r>
    </w:p>
    <w:tbl>
      <w:tblPr>
        <w:tblStyle w:val="21"/>
        <w:tblW w:w="98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2799"/>
        <w:gridCol w:w="1845"/>
        <w:gridCol w:w="2475"/>
        <w:gridCol w:w="2017"/>
      </w:tblGrid>
      <w:tr w14:paraId="52D1E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vAlign w:val="center"/>
          </w:tcPr>
          <w:p w14:paraId="2D1310AA">
            <w:pPr>
              <w:tabs>
                <w:tab w:val="left" w:pos="3654"/>
              </w:tabs>
              <w:spacing w:line="48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99" w:type="dxa"/>
            <w:tcBorders>
              <w:top w:val="single" w:color="auto" w:sz="4" w:space="0"/>
              <w:left w:val="single" w:color="auto" w:sz="4" w:space="0"/>
              <w:bottom w:val="single" w:color="auto" w:sz="4" w:space="0"/>
              <w:right w:val="single" w:color="auto" w:sz="4" w:space="0"/>
            </w:tcBorders>
            <w:vAlign w:val="center"/>
          </w:tcPr>
          <w:p w14:paraId="20DE48F5">
            <w:pPr>
              <w:tabs>
                <w:tab w:val="left" w:pos="3654"/>
              </w:tabs>
              <w:spacing w:line="480" w:lineRule="exact"/>
              <w:jc w:val="center"/>
              <w:rPr>
                <w:rFonts w:ascii="宋体" w:hAnsi="宋体" w:cs="宋体"/>
                <w:color w:val="auto"/>
                <w:sz w:val="24"/>
                <w:highlight w:val="none"/>
              </w:rPr>
            </w:pPr>
            <w:r>
              <w:rPr>
                <w:rFonts w:hint="eastAsia" w:ascii="宋体" w:hAnsi="宋体" w:cs="宋体"/>
                <w:color w:val="auto"/>
                <w:sz w:val="24"/>
                <w:highlight w:val="none"/>
              </w:rPr>
              <w:t>招标文件的商务、技术条款</w:t>
            </w:r>
          </w:p>
        </w:tc>
        <w:tc>
          <w:tcPr>
            <w:tcW w:w="1845" w:type="dxa"/>
            <w:tcBorders>
              <w:top w:val="single" w:color="auto" w:sz="4" w:space="0"/>
              <w:left w:val="single" w:color="auto" w:sz="4" w:space="0"/>
              <w:bottom w:val="single" w:color="auto" w:sz="4" w:space="0"/>
              <w:right w:val="single" w:color="auto" w:sz="4" w:space="0"/>
            </w:tcBorders>
            <w:vAlign w:val="center"/>
          </w:tcPr>
          <w:p w14:paraId="5B4B8475">
            <w:pPr>
              <w:tabs>
                <w:tab w:val="left" w:pos="3654"/>
              </w:tabs>
              <w:spacing w:line="480" w:lineRule="exact"/>
              <w:jc w:val="center"/>
              <w:rPr>
                <w:rFonts w:ascii="宋体" w:hAnsi="宋体" w:cs="宋体"/>
                <w:color w:val="auto"/>
                <w:sz w:val="24"/>
                <w:highlight w:val="none"/>
              </w:rPr>
            </w:pPr>
            <w:r>
              <w:rPr>
                <w:rFonts w:hint="eastAsia" w:ascii="宋体" w:hAnsi="宋体" w:cs="宋体"/>
                <w:color w:val="auto"/>
                <w:sz w:val="24"/>
                <w:highlight w:val="none"/>
              </w:rPr>
              <w:t>投标文件的商务、技术条款</w:t>
            </w:r>
          </w:p>
        </w:tc>
        <w:tc>
          <w:tcPr>
            <w:tcW w:w="2475" w:type="dxa"/>
            <w:tcBorders>
              <w:top w:val="single" w:color="auto" w:sz="4" w:space="0"/>
              <w:left w:val="single" w:color="auto" w:sz="4" w:space="0"/>
              <w:bottom w:val="single" w:color="auto" w:sz="4" w:space="0"/>
              <w:right w:val="single" w:color="auto" w:sz="4" w:space="0"/>
            </w:tcBorders>
            <w:vAlign w:val="center"/>
          </w:tcPr>
          <w:p w14:paraId="7A9AFCD7">
            <w:pPr>
              <w:tabs>
                <w:tab w:val="left" w:pos="3654"/>
              </w:tabs>
              <w:spacing w:line="480" w:lineRule="exact"/>
              <w:rPr>
                <w:rFonts w:ascii="宋体" w:hAnsi="宋体" w:cs="宋体"/>
                <w:color w:val="auto"/>
                <w:sz w:val="24"/>
                <w:highlight w:val="none"/>
              </w:rPr>
            </w:pPr>
            <w:r>
              <w:rPr>
                <w:rFonts w:hint="eastAsia" w:ascii="宋体" w:hAnsi="宋体" w:cs="宋体"/>
                <w:color w:val="auto"/>
                <w:sz w:val="24"/>
                <w:highlight w:val="none"/>
              </w:rPr>
              <w:t>偏离情况</w:t>
            </w:r>
          </w:p>
        </w:tc>
        <w:tc>
          <w:tcPr>
            <w:tcW w:w="2017" w:type="dxa"/>
            <w:tcBorders>
              <w:top w:val="single" w:color="auto" w:sz="4" w:space="0"/>
              <w:left w:val="single" w:color="auto" w:sz="4" w:space="0"/>
              <w:bottom w:val="single" w:color="auto" w:sz="4" w:space="0"/>
              <w:right w:val="single" w:color="auto" w:sz="4" w:space="0"/>
            </w:tcBorders>
            <w:vAlign w:val="center"/>
          </w:tcPr>
          <w:p w14:paraId="34CE513A">
            <w:pPr>
              <w:tabs>
                <w:tab w:val="left" w:pos="3654"/>
              </w:tabs>
              <w:spacing w:line="480" w:lineRule="exact"/>
              <w:rPr>
                <w:rFonts w:ascii="宋体" w:hAnsi="宋体" w:cs="宋体"/>
                <w:color w:val="auto"/>
                <w:sz w:val="24"/>
                <w:highlight w:val="none"/>
              </w:rPr>
            </w:pPr>
            <w:r>
              <w:rPr>
                <w:rFonts w:hint="eastAsia" w:ascii="宋体" w:hAnsi="宋体" w:cs="宋体"/>
                <w:color w:val="auto"/>
                <w:sz w:val="24"/>
                <w:highlight w:val="none"/>
              </w:rPr>
              <w:t>偏离原因</w:t>
            </w:r>
          </w:p>
        </w:tc>
      </w:tr>
      <w:tr w14:paraId="273A8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42DA40F7">
            <w:pPr>
              <w:spacing w:line="480" w:lineRule="exact"/>
              <w:rPr>
                <w:rFonts w:ascii="宋体" w:hAnsi="宋体" w:cs="宋体"/>
                <w:color w:val="auto"/>
                <w:sz w:val="24"/>
                <w:highlight w:val="none"/>
              </w:rPr>
            </w:pPr>
            <w:r>
              <w:rPr>
                <w:rFonts w:hint="eastAsia" w:ascii="宋体" w:hAnsi="宋体" w:cs="宋体"/>
                <w:color w:val="auto"/>
                <w:sz w:val="24"/>
                <w:highlight w:val="none"/>
              </w:rPr>
              <w:t>1</w:t>
            </w:r>
          </w:p>
        </w:tc>
        <w:tc>
          <w:tcPr>
            <w:tcW w:w="2799" w:type="dxa"/>
            <w:tcBorders>
              <w:top w:val="single" w:color="auto" w:sz="4" w:space="0"/>
              <w:left w:val="single" w:color="auto" w:sz="4" w:space="0"/>
              <w:bottom w:val="single" w:color="auto" w:sz="4" w:space="0"/>
              <w:right w:val="single" w:color="auto" w:sz="4" w:space="0"/>
            </w:tcBorders>
          </w:tcPr>
          <w:p w14:paraId="4D064423">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31672DB1">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2528526D">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BA816F3">
            <w:pPr>
              <w:tabs>
                <w:tab w:val="left" w:pos="3654"/>
              </w:tabs>
              <w:spacing w:line="480" w:lineRule="exact"/>
              <w:ind w:firstLine="480" w:firstLineChars="200"/>
              <w:rPr>
                <w:rFonts w:ascii="宋体" w:hAnsi="宋体" w:cs="宋体"/>
                <w:color w:val="auto"/>
                <w:sz w:val="24"/>
                <w:highlight w:val="none"/>
              </w:rPr>
            </w:pPr>
          </w:p>
        </w:tc>
      </w:tr>
      <w:tr w14:paraId="21595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69DF39E5">
            <w:pPr>
              <w:tabs>
                <w:tab w:val="left" w:pos="3654"/>
              </w:tabs>
              <w:spacing w:line="480" w:lineRule="exact"/>
              <w:rPr>
                <w:rFonts w:ascii="宋体" w:hAnsi="宋体" w:cs="宋体"/>
                <w:color w:val="auto"/>
                <w:sz w:val="24"/>
                <w:highlight w:val="none"/>
              </w:rPr>
            </w:pPr>
            <w:r>
              <w:rPr>
                <w:rFonts w:hint="eastAsia" w:ascii="宋体" w:hAnsi="宋体" w:cs="宋体"/>
                <w:color w:val="auto"/>
                <w:sz w:val="24"/>
                <w:highlight w:val="none"/>
              </w:rPr>
              <w:t>2</w:t>
            </w:r>
          </w:p>
        </w:tc>
        <w:tc>
          <w:tcPr>
            <w:tcW w:w="2799" w:type="dxa"/>
            <w:tcBorders>
              <w:top w:val="single" w:color="auto" w:sz="4" w:space="0"/>
              <w:left w:val="single" w:color="auto" w:sz="4" w:space="0"/>
              <w:bottom w:val="single" w:color="auto" w:sz="4" w:space="0"/>
              <w:right w:val="single" w:color="auto" w:sz="4" w:space="0"/>
            </w:tcBorders>
          </w:tcPr>
          <w:p w14:paraId="60212826">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3C2CBE05">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20C6D376">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443802DC">
            <w:pPr>
              <w:tabs>
                <w:tab w:val="left" w:pos="3654"/>
              </w:tabs>
              <w:spacing w:line="480" w:lineRule="exact"/>
              <w:ind w:firstLine="480" w:firstLineChars="200"/>
              <w:rPr>
                <w:rFonts w:ascii="宋体" w:hAnsi="宋体" w:cs="宋体"/>
                <w:color w:val="auto"/>
                <w:sz w:val="24"/>
                <w:highlight w:val="none"/>
              </w:rPr>
            </w:pPr>
          </w:p>
        </w:tc>
      </w:tr>
      <w:tr w14:paraId="4A7D5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1135D02A">
            <w:pPr>
              <w:tabs>
                <w:tab w:val="left" w:pos="3654"/>
              </w:tabs>
              <w:spacing w:line="480" w:lineRule="exact"/>
              <w:rPr>
                <w:rFonts w:ascii="宋体" w:hAnsi="宋体" w:cs="宋体"/>
                <w:color w:val="auto"/>
                <w:sz w:val="24"/>
                <w:highlight w:val="none"/>
              </w:rPr>
            </w:pPr>
            <w:r>
              <w:rPr>
                <w:rFonts w:hint="eastAsia" w:ascii="宋体" w:hAnsi="宋体" w:cs="宋体"/>
                <w:color w:val="auto"/>
                <w:sz w:val="24"/>
                <w:highlight w:val="none"/>
              </w:rPr>
              <w:t>3</w:t>
            </w:r>
          </w:p>
        </w:tc>
        <w:tc>
          <w:tcPr>
            <w:tcW w:w="2799" w:type="dxa"/>
            <w:tcBorders>
              <w:top w:val="single" w:color="auto" w:sz="4" w:space="0"/>
              <w:left w:val="single" w:color="auto" w:sz="4" w:space="0"/>
              <w:bottom w:val="single" w:color="auto" w:sz="4" w:space="0"/>
              <w:right w:val="single" w:color="auto" w:sz="4" w:space="0"/>
            </w:tcBorders>
          </w:tcPr>
          <w:p w14:paraId="5B34DC98">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37295347">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3CE31398">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474B9D0C">
            <w:pPr>
              <w:tabs>
                <w:tab w:val="left" w:pos="3654"/>
              </w:tabs>
              <w:spacing w:line="480" w:lineRule="exact"/>
              <w:ind w:firstLine="480" w:firstLineChars="200"/>
              <w:rPr>
                <w:rFonts w:ascii="宋体" w:hAnsi="宋体" w:cs="宋体"/>
                <w:color w:val="auto"/>
                <w:sz w:val="24"/>
                <w:highlight w:val="none"/>
              </w:rPr>
            </w:pPr>
          </w:p>
        </w:tc>
      </w:tr>
      <w:tr w14:paraId="1E963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44361843">
            <w:pPr>
              <w:tabs>
                <w:tab w:val="left" w:pos="3654"/>
              </w:tabs>
              <w:spacing w:line="480" w:lineRule="exact"/>
              <w:rPr>
                <w:rFonts w:ascii="宋体" w:hAnsi="宋体" w:cs="宋体"/>
                <w:color w:val="auto"/>
                <w:sz w:val="24"/>
                <w:highlight w:val="none"/>
              </w:rPr>
            </w:pPr>
            <w:r>
              <w:rPr>
                <w:rFonts w:hint="eastAsia" w:ascii="宋体" w:hAnsi="宋体" w:cs="宋体"/>
                <w:color w:val="auto"/>
                <w:sz w:val="24"/>
                <w:highlight w:val="none"/>
              </w:rPr>
              <w:t>4</w:t>
            </w:r>
          </w:p>
        </w:tc>
        <w:tc>
          <w:tcPr>
            <w:tcW w:w="2799" w:type="dxa"/>
            <w:tcBorders>
              <w:top w:val="single" w:color="auto" w:sz="4" w:space="0"/>
              <w:left w:val="single" w:color="auto" w:sz="4" w:space="0"/>
              <w:bottom w:val="single" w:color="auto" w:sz="4" w:space="0"/>
              <w:right w:val="single" w:color="auto" w:sz="4" w:space="0"/>
            </w:tcBorders>
          </w:tcPr>
          <w:p w14:paraId="4E384988">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765C597E">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1582C98E">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5AAAF1BE">
            <w:pPr>
              <w:tabs>
                <w:tab w:val="left" w:pos="3654"/>
              </w:tabs>
              <w:spacing w:line="480" w:lineRule="exact"/>
              <w:ind w:firstLine="480" w:firstLineChars="200"/>
              <w:rPr>
                <w:rFonts w:ascii="宋体" w:hAnsi="宋体" w:cs="宋体"/>
                <w:color w:val="auto"/>
                <w:sz w:val="24"/>
                <w:highlight w:val="none"/>
              </w:rPr>
            </w:pPr>
          </w:p>
        </w:tc>
      </w:tr>
      <w:tr w14:paraId="5C581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7F32545B">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4EB40088">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37A53BE8">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0C290CA6">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650B037D">
            <w:pPr>
              <w:tabs>
                <w:tab w:val="left" w:pos="3654"/>
              </w:tabs>
              <w:spacing w:line="480" w:lineRule="exact"/>
              <w:ind w:firstLine="480" w:firstLineChars="200"/>
              <w:rPr>
                <w:rFonts w:ascii="宋体" w:hAnsi="宋体" w:cs="宋体"/>
                <w:color w:val="auto"/>
                <w:sz w:val="24"/>
                <w:highlight w:val="none"/>
              </w:rPr>
            </w:pPr>
          </w:p>
        </w:tc>
      </w:tr>
      <w:tr w14:paraId="30F8D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56C93237">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6600C20B">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04515617">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695F1C49">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546BED77">
            <w:pPr>
              <w:tabs>
                <w:tab w:val="left" w:pos="3654"/>
              </w:tabs>
              <w:spacing w:line="480" w:lineRule="exact"/>
              <w:ind w:firstLine="480" w:firstLineChars="200"/>
              <w:rPr>
                <w:rFonts w:ascii="宋体" w:hAnsi="宋体" w:cs="宋体"/>
                <w:color w:val="auto"/>
                <w:sz w:val="24"/>
                <w:highlight w:val="none"/>
              </w:rPr>
            </w:pPr>
          </w:p>
        </w:tc>
      </w:tr>
      <w:tr w14:paraId="5231B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62DD3E1D">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3344D9D1">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6ED7ECE1">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314C4016">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593147B5">
            <w:pPr>
              <w:tabs>
                <w:tab w:val="left" w:pos="3654"/>
              </w:tabs>
              <w:spacing w:line="480" w:lineRule="exact"/>
              <w:ind w:firstLine="480" w:firstLineChars="200"/>
              <w:rPr>
                <w:rFonts w:ascii="宋体" w:hAnsi="宋体" w:cs="宋体"/>
                <w:color w:val="auto"/>
                <w:sz w:val="24"/>
                <w:highlight w:val="none"/>
              </w:rPr>
            </w:pPr>
          </w:p>
        </w:tc>
      </w:tr>
      <w:tr w14:paraId="2BE76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679B2F9E">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573A1CE8">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1DF426FB">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4882E2D7">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7DD121AA">
            <w:pPr>
              <w:tabs>
                <w:tab w:val="left" w:pos="3654"/>
              </w:tabs>
              <w:spacing w:line="480" w:lineRule="exact"/>
              <w:ind w:firstLine="480" w:firstLineChars="200"/>
              <w:rPr>
                <w:rFonts w:ascii="宋体" w:hAnsi="宋体" w:cs="宋体"/>
                <w:color w:val="auto"/>
                <w:sz w:val="24"/>
                <w:highlight w:val="none"/>
              </w:rPr>
            </w:pPr>
          </w:p>
        </w:tc>
      </w:tr>
      <w:tr w14:paraId="0F90C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4F5DAD7E">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79AC9E60">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0CBB9E9E">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37ABE1BF">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576C8985">
            <w:pPr>
              <w:tabs>
                <w:tab w:val="left" w:pos="3654"/>
              </w:tabs>
              <w:spacing w:line="480" w:lineRule="exact"/>
              <w:ind w:firstLine="480" w:firstLineChars="200"/>
              <w:rPr>
                <w:rFonts w:ascii="宋体" w:hAnsi="宋体" w:cs="宋体"/>
                <w:color w:val="auto"/>
                <w:sz w:val="24"/>
                <w:highlight w:val="none"/>
              </w:rPr>
            </w:pPr>
          </w:p>
        </w:tc>
      </w:tr>
      <w:tr w14:paraId="69087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14BBF264">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0C534D68">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1EA5C366">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2FA88E70">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FD84D8E">
            <w:pPr>
              <w:tabs>
                <w:tab w:val="left" w:pos="3654"/>
              </w:tabs>
              <w:spacing w:line="480" w:lineRule="exact"/>
              <w:ind w:firstLine="480" w:firstLineChars="200"/>
              <w:rPr>
                <w:rFonts w:ascii="宋体" w:hAnsi="宋体" w:cs="宋体"/>
                <w:color w:val="auto"/>
                <w:sz w:val="24"/>
                <w:highlight w:val="none"/>
              </w:rPr>
            </w:pPr>
          </w:p>
        </w:tc>
      </w:tr>
      <w:tr w14:paraId="6CA5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4FE487AC">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6D2F3712">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7406EE2A">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61470F0B">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2B02226">
            <w:pPr>
              <w:tabs>
                <w:tab w:val="left" w:pos="3654"/>
              </w:tabs>
              <w:spacing w:line="480" w:lineRule="exact"/>
              <w:ind w:firstLine="480" w:firstLineChars="200"/>
              <w:rPr>
                <w:rFonts w:ascii="宋体" w:hAnsi="宋体" w:cs="宋体"/>
                <w:color w:val="auto"/>
                <w:sz w:val="24"/>
                <w:highlight w:val="none"/>
              </w:rPr>
            </w:pPr>
          </w:p>
        </w:tc>
      </w:tr>
      <w:tr w14:paraId="79D25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6D67D174">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05BAF1E0">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015AE8D9">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256A3CCC">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09235CE2">
            <w:pPr>
              <w:tabs>
                <w:tab w:val="left" w:pos="3654"/>
              </w:tabs>
              <w:spacing w:line="480" w:lineRule="exact"/>
              <w:ind w:firstLine="480" w:firstLineChars="200"/>
              <w:rPr>
                <w:rFonts w:ascii="宋体" w:hAnsi="宋体" w:cs="宋体"/>
                <w:color w:val="auto"/>
                <w:sz w:val="24"/>
                <w:highlight w:val="none"/>
              </w:rPr>
            </w:pPr>
          </w:p>
        </w:tc>
      </w:tr>
      <w:tr w14:paraId="30E2F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81" w:type="dxa"/>
            <w:tcBorders>
              <w:top w:val="single" w:color="auto" w:sz="4" w:space="0"/>
              <w:left w:val="single" w:color="auto" w:sz="4" w:space="0"/>
              <w:bottom w:val="single" w:color="auto" w:sz="4" w:space="0"/>
              <w:right w:val="single" w:color="auto" w:sz="4" w:space="0"/>
            </w:tcBorders>
          </w:tcPr>
          <w:p w14:paraId="02B97774">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51767BA3">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0B4DBD61">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0E62824B">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6F1CAEF9">
            <w:pPr>
              <w:tabs>
                <w:tab w:val="left" w:pos="3654"/>
              </w:tabs>
              <w:spacing w:line="480" w:lineRule="exact"/>
              <w:ind w:firstLine="480" w:firstLineChars="200"/>
              <w:rPr>
                <w:rFonts w:ascii="宋体" w:hAnsi="宋体" w:cs="宋体"/>
                <w:color w:val="auto"/>
                <w:sz w:val="24"/>
                <w:highlight w:val="none"/>
              </w:rPr>
            </w:pPr>
          </w:p>
        </w:tc>
      </w:tr>
      <w:tr w14:paraId="456AF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81" w:type="dxa"/>
            <w:tcBorders>
              <w:top w:val="single" w:color="auto" w:sz="4" w:space="0"/>
              <w:left w:val="single" w:color="auto" w:sz="4" w:space="0"/>
              <w:bottom w:val="single" w:color="auto" w:sz="4" w:space="0"/>
              <w:right w:val="single" w:color="auto" w:sz="4" w:space="0"/>
            </w:tcBorders>
          </w:tcPr>
          <w:p w14:paraId="588162B0">
            <w:pPr>
              <w:tabs>
                <w:tab w:val="left" w:pos="3654"/>
              </w:tabs>
              <w:spacing w:line="480" w:lineRule="exact"/>
              <w:ind w:firstLine="480" w:firstLineChars="200"/>
              <w:rPr>
                <w:rFonts w:ascii="宋体" w:hAnsi="宋体" w:cs="宋体"/>
                <w:color w:val="auto"/>
                <w:sz w:val="24"/>
                <w:highlight w:val="none"/>
              </w:rPr>
            </w:pPr>
          </w:p>
        </w:tc>
        <w:tc>
          <w:tcPr>
            <w:tcW w:w="2799" w:type="dxa"/>
            <w:tcBorders>
              <w:top w:val="single" w:color="auto" w:sz="4" w:space="0"/>
              <w:left w:val="single" w:color="auto" w:sz="4" w:space="0"/>
              <w:bottom w:val="single" w:color="auto" w:sz="4" w:space="0"/>
              <w:right w:val="single" w:color="auto" w:sz="4" w:space="0"/>
            </w:tcBorders>
          </w:tcPr>
          <w:p w14:paraId="596709A5">
            <w:pPr>
              <w:tabs>
                <w:tab w:val="left" w:pos="3654"/>
              </w:tabs>
              <w:spacing w:line="480" w:lineRule="exact"/>
              <w:ind w:firstLine="480" w:firstLineChars="200"/>
              <w:rPr>
                <w:rFonts w:ascii="宋体" w:hAnsi="宋体" w:cs="宋体"/>
                <w:color w:val="auto"/>
                <w:sz w:val="24"/>
                <w:highlight w:val="none"/>
              </w:rPr>
            </w:pPr>
          </w:p>
        </w:tc>
        <w:tc>
          <w:tcPr>
            <w:tcW w:w="1845" w:type="dxa"/>
            <w:tcBorders>
              <w:top w:val="single" w:color="auto" w:sz="4" w:space="0"/>
              <w:left w:val="single" w:color="auto" w:sz="4" w:space="0"/>
              <w:bottom w:val="single" w:color="auto" w:sz="4" w:space="0"/>
              <w:right w:val="single" w:color="auto" w:sz="4" w:space="0"/>
            </w:tcBorders>
          </w:tcPr>
          <w:p w14:paraId="535C5D7B">
            <w:pPr>
              <w:tabs>
                <w:tab w:val="left" w:pos="3654"/>
              </w:tabs>
              <w:spacing w:line="480" w:lineRule="exact"/>
              <w:ind w:firstLine="480" w:firstLineChars="200"/>
              <w:rPr>
                <w:rFonts w:ascii="宋体" w:hAnsi="宋体" w:cs="宋体"/>
                <w:color w:val="auto"/>
                <w:sz w:val="24"/>
                <w:highlight w:val="none"/>
              </w:rPr>
            </w:pPr>
          </w:p>
        </w:tc>
        <w:tc>
          <w:tcPr>
            <w:tcW w:w="2475" w:type="dxa"/>
            <w:tcBorders>
              <w:top w:val="single" w:color="auto" w:sz="4" w:space="0"/>
              <w:left w:val="single" w:color="auto" w:sz="4" w:space="0"/>
              <w:bottom w:val="single" w:color="auto" w:sz="4" w:space="0"/>
              <w:right w:val="single" w:color="auto" w:sz="4" w:space="0"/>
            </w:tcBorders>
          </w:tcPr>
          <w:p w14:paraId="5D02BB09">
            <w:pPr>
              <w:tabs>
                <w:tab w:val="left" w:pos="3654"/>
              </w:tabs>
              <w:spacing w:line="480" w:lineRule="exact"/>
              <w:ind w:firstLine="480" w:firstLineChars="200"/>
              <w:rPr>
                <w:rFonts w:ascii="宋体" w:hAnsi="宋体" w:cs="宋体"/>
                <w:color w:val="auto"/>
                <w:sz w:val="24"/>
                <w:highlight w:val="none"/>
              </w:rPr>
            </w:pPr>
          </w:p>
        </w:tc>
        <w:tc>
          <w:tcPr>
            <w:tcW w:w="2017" w:type="dxa"/>
            <w:tcBorders>
              <w:top w:val="single" w:color="auto" w:sz="4" w:space="0"/>
              <w:left w:val="single" w:color="auto" w:sz="4" w:space="0"/>
              <w:bottom w:val="single" w:color="auto" w:sz="4" w:space="0"/>
              <w:right w:val="single" w:color="auto" w:sz="4" w:space="0"/>
            </w:tcBorders>
          </w:tcPr>
          <w:p w14:paraId="76FE9190">
            <w:pPr>
              <w:tabs>
                <w:tab w:val="left" w:pos="3654"/>
              </w:tabs>
              <w:spacing w:line="480" w:lineRule="exact"/>
              <w:ind w:firstLine="480" w:firstLineChars="200"/>
              <w:rPr>
                <w:rFonts w:ascii="宋体" w:hAnsi="宋体" w:cs="宋体"/>
                <w:color w:val="auto"/>
                <w:sz w:val="24"/>
                <w:highlight w:val="none"/>
              </w:rPr>
            </w:pPr>
          </w:p>
        </w:tc>
      </w:tr>
    </w:tbl>
    <w:p w14:paraId="42A5ABD7">
      <w:pPr>
        <w:tabs>
          <w:tab w:val="left" w:pos="3654"/>
        </w:tabs>
        <w:spacing w:line="480" w:lineRule="exact"/>
        <w:rPr>
          <w:rFonts w:ascii="宋体" w:hAnsi="宋体" w:cs="宋体"/>
          <w:color w:val="auto"/>
          <w:sz w:val="24"/>
          <w:highlight w:val="none"/>
        </w:rPr>
      </w:pPr>
      <w:r>
        <w:rPr>
          <w:rFonts w:hint="eastAsia" w:ascii="宋体" w:hAnsi="宋体" w:cs="宋体"/>
          <w:color w:val="auto"/>
          <w:sz w:val="24"/>
          <w:highlight w:val="none"/>
        </w:rPr>
        <w:t>法定代表人或其授权代理人签名或盖章：</w:t>
      </w:r>
    </w:p>
    <w:p w14:paraId="14552182">
      <w:pPr>
        <w:tabs>
          <w:tab w:val="left" w:pos="3654"/>
        </w:tabs>
        <w:spacing w:line="480" w:lineRule="exact"/>
        <w:rPr>
          <w:rFonts w:ascii="宋体" w:hAnsi="宋体" w:cs="宋体"/>
          <w:color w:val="auto"/>
          <w:sz w:val="24"/>
          <w:highlight w:val="none"/>
        </w:rPr>
      </w:pPr>
      <w:r>
        <w:rPr>
          <w:rFonts w:hint="eastAsia" w:ascii="宋体" w:hAnsi="宋体" w:cs="宋体"/>
          <w:color w:val="auto"/>
          <w:sz w:val="24"/>
          <w:highlight w:val="none"/>
        </w:rPr>
        <w:t>日期：    年  月  日</w:t>
      </w:r>
    </w:p>
    <w:p w14:paraId="74A9D80F">
      <w:pPr>
        <w:spacing w:line="480" w:lineRule="exact"/>
        <w:rPr>
          <w:rFonts w:ascii="宋体" w:hAnsi="宋体" w:cs="宋体"/>
          <w:color w:val="auto"/>
          <w:sz w:val="24"/>
          <w:highlight w:val="none"/>
        </w:rPr>
      </w:pPr>
      <w:r>
        <w:rPr>
          <w:rFonts w:hint="eastAsia" w:ascii="宋体" w:hAnsi="宋体" w:cs="宋体"/>
          <w:color w:val="auto"/>
          <w:sz w:val="24"/>
          <w:highlight w:val="none"/>
        </w:rPr>
        <w:t>注：1.此表仅提供了表格形式，投标供应商应根据需要准备足够数量的表格来填写。</w:t>
      </w:r>
    </w:p>
    <w:p w14:paraId="36A25B4C">
      <w:pPr>
        <w:spacing w:line="480" w:lineRule="exact"/>
        <w:rPr>
          <w:rFonts w:ascii="宋体" w:hAnsi="宋体" w:cs="宋体"/>
          <w:color w:val="auto"/>
          <w:sz w:val="24"/>
          <w:highlight w:val="none"/>
        </w:rPr>
      </w:pPr>
      <w:r>
        <w:rPr>
          <w:rFonts w:hint="eastAsia" w:ascii="宋体" w:hAnsi="宋体" w:cs="宋体"/>
          <w:color w:val="auto"/>
          <w:sz w:val="24"/>
          <w:highlight w:val="none"/>
        </w:rPr>
        <w:t>2.投标人应对照招标文件要求在“偏离情况”栏注明“正偏离”、“负偏离”或“无偏离”。行数可视情况自行添加。不填写视同完全响应招标文件要求。</w:t>
      </w:r>
    </w:p>
    <w:p w14:paraId="5B4EBDBF">
      <w:pPr>
        <w:spacing w:line="480" w:lineRule="exact"/>
        <w:jc w:val="center"/>
        <w:rPr>
          <w:rFonts w:ascii="宋体" w:hAnsi="宋体" w:cs="宋体"/>
          <w:b/>
          <w:bCs/>
          <w:color w:val="auto"/>
          <w:szCs w:val="28"/>
          <w:highlight w:val="none"/>
        </w:rPr>
      </w:pPr>
    </w:p>
    <w:p w14:paraId="1C556A2E">
      <w:pPr>
        <w:spacing w:line="360" w:lineRule="auto"/>
        <w:jc w:val="center"/>
        <w:rPr>
          <w:rFonts w:ascii="宋体" w:hAnsi="宋体" w:cs="宋体"/>
          <w:b/>
          <w:bCs/>
          <w:color w:val="auto"/>
          <w:szCs w:val="28"/>
          <w:highlight w:val="none"/>
        </w:rPr>
      </w:pPr>
    </w:p>
    <w:p w14:paraId="7750A06C">
      <w:pPr>
        <w:spacing w:line="360" w:lineRule="auto"/>
        <w:rPr>
          <w:rFonts w:ascii="宋体" w:hAnsi="宋体" w:cs="宋体"/>
          <w:b/>
          <w:color w:val="auto"/>
          <w:szCs w:val="28"/>
          <w:highlight w:val="none"/>
        </w:rPr>
      </w:pPr>
    </w:p>
    <w:p w14:paraId="23857D41">
      <w:pPr>
        <w:pStyle w:val="2"/>
        <w:ind w:firstLine="281"/>
        <w:rPr>
          <w:rFonts w:ascii="宋体" w:hAnsi="宋体" w:cs="宋体"/>
          <w:b/>
          <w:color w:val="auto"/>
          <w:szCs w:val="28"/>
          <w:highlight w:val="none"/>
        </w:rPr>
      </w:pPr>
    </w:p>
    <w:p w14:paraId="009AACFB">
      <w:pPr>
        <w:pStyle w:val="4"/>
        <w:ind w:left="2800"/>
        <w:rPr>
          <w:color w:val="auto"/>
          <w:highlight w:val="none"/>
        </w:rPr>
      </w:pPr>
    </w:p>
    <w:p w14:paraId="7F4CB86B">
      <w:pPr>
        <w:rPr>
          <w:color w:val="auto"/>
          <w:highlight w:val="none"/>
        </w:rPr>
      </w:pPr>
    </w:p>
    <w:p w14:paraId="0BF7BF5F">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项目专职负责人简历表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49"/>
        <w:gridCol w:w="1838"/>
        <w:gridCol w:w="1601"/>
        <w:gridCol w:w="1742"/>
        <w:gridCol w:w="1462"/>
        <w:gridCol w:w="1602"/>
      </w:tblGrid>
      <w:tr w14:paraId="4C1C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9734" w:type="dxa"/>
            <w:gridSpan w:val="7"/>
            <w:vAlign w:val="center"/>
          </w:tcPr>
          <w:p w14:paraId="1A839A4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1、一般情况</w:t>
            </w:r>
          </w:p>
        </w:tc>
      </w:tr>
      <w:tr w14:paraId="168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2EFE8A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838" w:type="dxa"/>
            <w:vAlign w:val="center"/>
          </w:tcPr>
          <w:p w14:paraId="157327E3">
            <w:pPr>
              <w:spacing w:line="360" w:lineRule="exact"/>
              <w:jc w:val="center"/>
              <w:rPr>
                <w:rFonts w:ascii="宋体" w:hAnsi="宋体" w:cs="宋体"/>
                <w:color w:val="auto"/>
                <w:szCs w:val="21"/>
                <w:highlight w:val="none"/>
              </w:rPr>
            </w:pPr>
          </w:p>
        </w:tc>
        <w:tc>
          <w:tcPr>
            <w:tcW w:w="1601" w:type="dxa"/>
            <w:vAlign w:val="center"/>
          </w:tcPr>
          <w:p w14:paraId="1C38F5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年  龄</w:t>
            </w:r>
          </w:p>
        </w:tc>
        <w:tc>
          <w:tcPr>
            <w:tcW w:w="1742" w:type="dxa"/>
            <w:vAlign w:val="center"/>
          </w:tcPr>
          <w:p w14:paraId="770BD9C7">
            <w:pPr>
              <w:spacing w:line="360" w:lineRule="exact"/>
              <w:jc w:val="center"/>
              <w:rPr>
                <w:rFonts w:ascii="宋体" w:hAnsi="宋体" w:cs="宋体"/>
                <w:color w:val="auto"/>
                <w:szCs w:val="21"/>
                <w:highlight w:val="none"/>
              </w:rPr>
            </w:pPr>
          </w:p>
        </w:tc>
        <w:tc>
          <w:tcPr>
            <w:tcW w:w="1462" w:type="dxa"/>
            <w:vAlign w:val="center"/>
          </w:tcPr>
          <w:p w14:paraId="4E6FE1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学  历</w:t>
            </w:r>
          </w:p>
        </w:tc>
        <w:tc>
          <w:tcPr>
            <w:tcW w:w="1602" w:type="dxa"/>
            <w:vAlign w:val="center"/>
          </w:tcPr>
          <w:p w14:paraId="4AC78605">
            <w:pPr>
              <w:spacing w:line="360" w:lineRule="exact"/>
              <w:jc w:val="center"/>
              <w:rPr>
                <w:rFonts w:ascii="宋体" w:hAnsi="宋体" w:cs="宋体"/>
                <w:color w:val="auto"/>
                <w:szCs w:val="21"/>
                <w:highlight w:val="none"/>
              </w:rPr>
            </w:pPr>
          </w:p>
        </w:tc>
      </w:tr>
      <w:tr w14:paraId="796C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6094616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毕业学校</w:t>
            </w:r>
          </w:p>
        </w:tc>
        <w:tc>
          <w:tcPr>
            <w:tcW w:w="1838" w:type="dxa"/>
            <w:vAlign w:val="center"/>
          </w:tcPr>
          <w:p w14:paraId="4F47BFC8">
            <w:pPr>
              <w:spacing w:line="360" w:lineRule="exact"/>
              <w:rPr>
                <w:rFonts w:ascii="宋体" w:hAnsi="宋体" w:cs="宋体"/>
                <w:color w:val="auto"/>
                <w:szCs w:val="21"/>
                <w:highlight w:val="none"/>
              </w:rPr>
            </w:pPr>
          </w:p>
        </w:tc>
        <w:tc>
          <w:tcPr>
            <w:tcW w:w="1601" w:type="dxa"/>
            <w:vAlign w:val="center"/>
          </w:tcPr>
          <w:p w14:paraId="097B440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1742" w:type="dxa"/>
            <w:vAlign w:val="center"/>
          </w:tcPr>
          <w:p w14:paraId="51517F1E">
            <w:pPr>
              <w:spacing w:line="360" w:lineRule="exact"/>
              <w:jc w:val="center"/>
              <w:rPr>
                <w:rFonts w:ascii="宋体" w:hAnsi="宋体" w:cs="宋体"/>
                <w:color w:val="auto"/>
                <w:szCs w:val="21"/>
                <w:highlight w:val="none"/>
              </w:rPr>
            </w:pPr>
          </w:p>
        </w:tc>
        <w:tc>
          <w:tcPr>
            <w:tcW w:w="1462" w:type="dxa"/>
            <w:vAlign w:val="center"/>
          </w:tcPr>
          <w:p w14:paraId="097C293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职  务</w:t>
            </w:r>
          </w:p>
        </w:tc>
        <w:tc>
          <w:tcPr>
            <w:tcW w:w="1602" w:type="dxa"/>
            <w:vAlign w:val="center"/>
          </w:tcPr>
          <w:p w14:paraId="2801CB1A">
            <w:pPr>
              <w:spacing w:line="360" w:lineRule="exact"/>
              <w:jc w:val="center"/>
              <w:rPr>
                <w:rFonts w:ascii="宋体" w:hAnsi="宋体" w:cs="宋体"/>
                <w:color w:val="auto"/>
                <w:szCs w:val="21"/>
                <w:highlight w:val="none"/>
              </w:rPr>
            </w:pPr>
          </w:p>
        </w:tc>
      </w:tr>
      <w:tr w14:paraId="64F8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1489" w:type="dxa"/>
            <w:gridSpan w:val="2"/>
            <w:vAlign w:val="center"/>
          </w:tcPr>
          <w:p w14:paraId="09A6BD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1838" w:type="dxa"/>
            <w:vAlign w:val="center"/>
          </w:tcPr>
          <w:p w14:paraId="7F4F6397">
            <w:pPr>
              <w:spacing w:line="360" w:lineRule="exact"/>
              <w:rPr>
                <w:rFonts w:ascii="宋体" w:hAnsi="宋体" w:cs="宋体"/>
                <w:color w:val="auto"/>
                <w:szCs w:val="21"/>
                <w:highlight w:val="none"/>
              </w:rPr>
            </w:pPr>
          </w:p>
        </w:tc>
        <w:tc>
          <w:tcPr>
            <w:tcW w:w="1601" w:type="dxa"/>
            <w:vAlign w:val="center"/>
          </w:tcPr>
          <w:p w14:paraId="3A0E53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拟任何职</w:t>
            </w:r>
          </w:p>
        </w:tc>
        <w:tc>
          <w:tcPr>
            <w:tcW w:w="1742" w:type="dxa"/>
            <w:vAlign w:val="center"/>
          </w:tcPr>
          <w:p w14:paraId="4976572A">
            <w:pPr>
              <w:spacing w:line="360" w:lineRule="exact"/>
              <w:jc w:val="center"/>
              <w:rPr>
                <w:rFonts w:ascii="宋体" w:hAnsi="宋体" w:cs="宋体"/>
                <w:color w:val="auto"/>
                <w:szCs w:val="21"/>
                <w:highlight w:val="none"/>
              </w:rPr>
            </w:pPr>
          </w:p>
        </w:tc>
        <w:tc>
          <w:tcPr>
            <w:tcW w:w="1462" w:type="dxa"/>
            <w:vAlign w:val="center"/>
          </w:tcPr>
          <w:p w14:paraId="090E51D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参加工作</w:t>
            </w:r>
          </w:p>
          <w:p w14:paraId="04534C2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1602" w:type="dxa"/>
            <w:vAlign w:val="center"/>
          </w:tcPr>
          <w:p w14:paraId="41799362">
            <w:pPr>
              <w:spacing w:line="360" w:lineRule="exact"/>
              <w:jc w:val="center"/>
              <w:rPr>
                <w:rFonts w:ascii="宋体" w:hAnsi="宋体" w:cs="宋体"/>
                <w:color w:val="auto"/>
                <w:szCs w:val="21"/>
                <w:highlight w:val="none"/>
              </w:rPr>
            </w:pPr>
          </w:p>
        </w:tc>
      </w:tr>
      <w:tr w14:paraId="2828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vAlign w:val="center"/>
          </w:tcPr>
          <w:p w14:paraId="7A4AE36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2、个人简历</w:t>
            </w:r>
          </w:p>
        </w:tc>
      </w:tr>
      <w:tr w14:paraId="74BB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49B3A28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时  间</w:t>
            </w:r>
          </w:p>
        </w:tc>
        <w:tc>
          <w:tcPr>
            <w:tcW w:w="8245" w:type="dxa"/>
            <w:gridSpan w:val="5"/>
            <w:vAlign w:val="center"/>
          </w:tcPr>
          <w:p w14:paraId="297F449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专业工作经历</w:t>
            </w:r>
          </w:p>
        </w:tc>
      </w:tr>
      <w:tr w14:paraId="0984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5ECA950E">
            <w:pPr>
              <w:spacing w:line="360" w:lineRule="exact"/>
              <w:rPr>
                <w:rFonts w:ascii="宋体" w:hAnsi="宋体" w:cs="宋体"/>
                <w:color w:val="auto"/>
                <w:szCs w:val="21"/>
                <w:highlight w:val="none"/>
              </w:rPr>
            </w:pPr>
          </w:p>
        </w:tc>
        <w:tc>
          <w:tcPr>
            <w:tcW w:w="8245" w:type="dxa"/>
            <w:gridSpan w:val="5"/>
            <w:vAlign w:val="center"/>
          </w:tcPr>
          <w:p w14:paraId="5CCB2DB1">
            <w:pPr>
              <w:spacing w:line="360" w:lineRule="exact"/>
              <w:rPr>
                <w:rFonts w:ascii="宋体" w:hAnsi="宋体" w:cs="宋体"/>
                <w:color w:val="auto"/>
                <w:szCs w:val="21"/>
                <w:highlight w:val="none"/>
              </w:rPr>
            </w:pPr>
          </w:p>
        </w:tc>
      </w:tr>
      <w:tr w14:paraId="5E8C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489" w:type="dxa"/>
            <w:gridSpan w:val="2"/>
            <w:vAlign w:val="center"/>
          </w:tcPr>
          <w:p w14:paraId="36CE6CB2">
            <w:pPr>
              <w:spacing w:line="360" w:lineRule="exact"/>
              <w:rPr>
                <w:rFonts w:ascii="宋体" w:hAnsi="宋体" w:cs="宋体"/>
                <w:color w:val="auto"/>
                <w:szCs w:val="21"/>
                <w:highlight w:val="none"/>
              </w:rPr>
            </w:pPr>
          </w:p>
        </w:tc>
        <w:tc>
          <w:tcPr>
            <w:tcW w:w="8245" w:type="dxa"/>
            <w:gridSpan w:val="5"/>
            <w:vAlign w:val="center"/>
          </w:tcPr>
          <w:p w14:paraId="47E797EC">
            <w:pPr>
              <w:spacing w:line="360" w:lineRule="exact"/>
              <w:rPr>
                <w:rFonts w:ascii="宋体" w:hAnsi="宋体" w:cs="宋体"/>
                <w:color w:val="auto"/>
                <w:szCs w:val="21"/>
                <w:highlight w:val="none"/>
              </w:rPr>
            </w:pPr>
          </w:p>
        </w:tc>
      </w:tr>
      <w:tr w14:paraId="3502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9734" w:type="dxa"/>
            <w:gridSpan w:val="7"/>
            <w:vAlign w:val="center"/>
          </w:tcPr>
          <w:p w14:paraId="7F9FCB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3、负责人相关项目业绩</w:t>
            </w:r>
          </w:p>
        </w:tc>
      </w:tr>
      <w:tr w14:paraId="2A0E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27F91CA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630" w:type="dxa"/>
            <w:gridSpan w:val="4"/>
            <w:vAlign w:val="center"/>
          </w:tcPr>
          <w:p w14:paraId="428E024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  目  名  称</w:t>
            </w:r>
          </w:p>
        </w:tc>
        <w:tc>
          <w:tcPr>
            <w:tcW w:w="3064" w:type="dxa"/>
            <w:gridSpan w:val="2"/>
            <w:vAlign w:val="center"/>
          </w:tcPr>
          <w:p w14:paraId="22E0FA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完成年份</w:t>
            </w:r>
          </w:p>
        </w:tc>
      </w:tr>
      <w:tr w14:paraId="637B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57773F2C">
            <w:pPr>
              <w:spacing w:line="360" w:lineRule="exact"/>
              <w:rPr>
                <w:rFonts w:ascii="宋体" w:hAnsi="宋体" w:cs="宋体"/>
                <w:color w:val="auto"/>
                <w:szCs w:val="21"/>
                <w:highlight w:val="none"/>
              </w:rPr>
            </w:pPr>
          </w:p>
        </w:tc>
        <w:tc>
          <w:tcPr>
            <w:tcW w:w="5630" w:type="dxa"/>
            <w:gridSpan w:val="4"/>
            <w:vAlign w:val="center"/>
          </w:tcPr>
          <w:p w14:paraId="6D4D9147">
            <w:pPr>
              <w:spacing w:line="360" w:lineRule="exact"/>
              <w:rPr>
                <w:rFonts w:ascii="宋体" w:hAnsi="宋体" w:cs="宋体"/>
                <w:color w:val="auto"/>
                <w:szCs w:val="21"/>
                <w:highlight w:val="none"/>
              </w:rPr>
            </w:pPr>
          </w:p>
        </w:tc>
        <w:tc>
          <w:tcPr>
            <w:tcW w:w="3064" w:type="dxa"/>
            <w:gridSpan w:val="2"/>
            <w:vAlign w:val="center"/>
          </w:tcPr>
          <w:p w14:paraId="130A2AC0">
            <w:pPr>
              <w:spacing w:line="360" w:lineRule="exact"/>
              <w:rPr>
                <w:rFonts w:ascii="宋体" w:hAnsi="宋体" w:cs="宋体"/>
                <w:color w:val="auto"/>
                <w:szCs w:val="21"/>
                <w:highlight w:val="none"/>
              </w:rPr>
            </w:pPr>
          </w:p>
        </w:tc>
      </w:tr>
      <w:tr w14:paraId="7307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38C070BF">
            <w:pPr>
              <w:spacing w:line="360" w:lineRule="exact"/>
              <w:rPr>
                <w:rFonts w:ascii="宋体" w:hAnsi="宋体" w:cs="宋体"/>
                <w:color w:val="auto"/>
                <w:szCs w:val="21"/>
                <w:highlight w:val="none"/>
              </w:rPr>
            </w:pPr>
          </w:p>
        </w:tc>
        <w:tc>
          <w:tcPr>
            <w:tcW w:w="5630" w:type="dxa"/>
            <w:gridSpan w:val="4"/>
            <w:vAlign w:val="center"/>
          </w:tcPr>
          <w:p w14:paraId="4F0C4EA2">
            <w:pPr>
              <w:spacing w:line="360" w:lineRule="exact"/>
              <w:rPr>
                <w:rFonts w:ascii="宋体" w:hAnsi="宋体" w:cs="宋体"/>
                <w:color w:val="auto"/>
                <w:szCs w:val="21"/>
                <w:highlight w:val="none"/>
              </w:rPr>
            </w:pPr>
          </w:p>
        </w:tc>
        <w:tc>
          <w:tcPr>
            <w:tcW w:w="3064" w:type="dxa"/>
            <w:gridSpan w:val="2"/>
            <w:vAlign w:val="center"/>
          </w:tcPr>
          <w:p w14:paraId="40FCDA79">
            <w:pPr>
              <w:spacing w:line="360" w:lineRule="exact"/>
              <w:rPr>
                <w:rFonts w:ascii="宋体" w:hAnsi="宋体" w:cs="宋体"/>
                <w:color w:val="auto"/>
                <w:szCs w:val="21"/>
                <w:highlight w:val="none"/>
              </w:rPr>
            </w:pPr>
          </w:p>
        </w:tc>
      </w:tr>
      <w:tr w14:paraId="2EE0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1C975ED0">
            <w:pPr>
              <w:spacing w:line="360" w:lineRule="exact"/>
              <w:rPr>
                <w:rFonts w:ascii="宋体" w:hAnsi="宋体" w:cs="宋体"/>
                <w:color w:val="auto"/>
                <w:szCs w:val="21"/>
                <w:highlight w:val="none"/>
              </w:rPr>
            </w:pPr>
          </w:p>
        </w:tc>
        <w:tc>
          <w:tcPr>
            <w:tcW w:w="5630" w:type="dxa"/>
            <w:gridSpan w:val="4"/>
            <w:vAlign w:val="center"/>
          </w:tcPr>
          <w:p w14:paraId="4FA16C4D">
            <w:pPr>
              <w:spacing w:line="360" w:lineRule="exact"/>
              <w:rPr>
                <w:rFonts w:ascii="宋体" w:hAnsi="宋体" w:cs="宋体"/>
                <w:color w:val="auto"/>
                <w:szCs w:val="21"/>
                <w:highlight w:val="none"/>
              </w:rPr>
            </w:pPr>
          </w:p>
        </w:tc>
        <w:tc>
          <w:tcPr>
            <w:tcW w:w="3064" w:type="dxa"/>
            <w:gridSpan w:val="2"/>
            <w:vAlign w:val="center"/>
          </w:tcPr>
          <w:p w14:paraId="1A09E2F5">
            <w:pPr>
              <w:spacing w:line="360" w:lineRule="exact"/>
              <w:rPr>
                <w:rFonts w:ascii="宋体" w:hAnsi="宋体" w:cs="宋体"/>
                <w:color w:val="auto"/>
                <w:szCs w:val="21"/>
                <w:highlight w:val="none"/>
              </w:rPr>
            </w:pPr>
          </w:p>
        </w:tc>
      </w:tr>
      <w:tr w14:paraId="5A63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36BE9397">
            <w:pPr>
              <w:spacing w:line="360" w:lineRule="exact"/>
              <w:rPr>
                <w:rFonts w:ascii="宋体" w:hAnsi="宋体" w:cs="宋体"/>
                <w:color w:val="auto"/>
                <w:szCs w:val="21"/>
                <w:highlight w:val="none"/>
              </w:rPr>
            </w:pPr>
          </w:p>
        </w:tc>
        <w:tc>
          <w:tcPr>
            <w:tcW w:w="5630" w:type="dxa"/>
            <w:gridSpan w:val="4"/>
            <w:vAlign w:val="center"/>
          </w:tcPr>
          <w:p w14:paraId="4092E003">
            <w:pPr>
              <w:spacing w:line="360" w:lineRule="exact"/>
              <w:rPr>
                <w:rFonts w:ascii="宋体" w:hAnsi="宋体" w:cs="宋体"/>
                <w:color w:val="auto"/>
                <w:szCs w:val="21"/>
                <w:highlight w:val="none"/>
              </w:rPr>
            </w:pPr>
          </w:p>
        </w:tc>
        <w:tc>
          <w:tcPr>
            <w:tcW w:w="3064" w:type="dxa"/>
            <w:gridSpan w:val="2"/>
            <w:vAlign w:val="center"/>
          </w:tcPr>
          <w:p w14:paraId="2784F5F9">
            <w:pPr>
              <w:spacing w:line="360" w:lineRule="exact"/>
              <w:rPr>
                <w:rFonts w:ascii="宋体" w:hAnsi="宋体" w:cs="宋体"/>
                <w:color w:val="auto"/>
                <w:szCs w:val="21"/>
                <w:highlight w:val="none"/>
              </w:rPr>
            </w:pPr>
          </w:p>
        </w:tc>
      </w:tr>
      <w:tr w14:paraId="50C6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10B8B6DF">
            <w:pPr>
              <w:spacing w:line="360" w:lineRule="exact"/>
              <w:rPr>
                <w:rFonts w:ascii="宋体" w:hAnsi="宋体" w:cs="宋体"/>
                <w:color w:val="auto"/>
                <w:szCs w:val="21"/>
                <w:highlight w:val="none"/>
              </w:rPr>
            </w:pPr>
          </w:p>
        </w:tc>
        <w:tc>
          <w:tcPr>
            <w:tcW w:w="5630" w:type="dxa"/>
            <w:gridSpan w:val="4"/>
            <w:vAlign w:val="center"/>
          </w:tcPr>
          <w:p w14:paraId="454D75CC">
            <w:pPr>
              <w:spacing w:line="360" w:lineRule="exact"/>
              <w:rPr>
                <w:rFonts w:ascii="宋体" w:hAnsi="宋体" w:cs="宋体"/>
                <w:color w:val="auto"/>
                <w:szCs w:val="21"/>
                <w:highlight w:val="none"/>
              </w:rPr>
            </w:pPr>
          </w:p>
        </w:tc>
        <w:tc>
          <w:tcPr>
            <w:tcW w:w="3064" w:type="dxa"/>
            <w:gridSpan w:val="2"/>
            <w:vAlign w:val="center"/>
          </w:tcPr>
          <w:p w14:paraId="02938B64">
            <w:pPr>
              <w:spacing w:line="360" w:lineRule="exact"/>
              <w:rPr>
                <w:rFonts w:ascii="宋体" w:hAnsi="宋体" w:cs="宋体"/>
                <w:color w:val="auto"/>
                <w:szCs w:val="21"/>
                <w:highlight w:val="none"/>
              </w:rPr>
            </w:pPr>
          </w:p>
        </w:tc>
      </w:tr>
      <w:tr w14:paraId="0388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13919CC4">
            <w:pPr>
              <w:spacing w:line="360" w:lineRule="exact"/>
              <w:rPr>
                <w:rFonts w:ascii="宋体" w:hAnsi="宋体" w:cs="宋体"/>
                <w:color w:val="auto"/>
                <w:szCs w:val="21"/>
                <w:highlight w:val="none"/>
              </w:rPr>
            </w:pPr>
          </w:p>
        </w:tc>
        <w:tc>
          <w:tcPr>
            <w:tcW w:w="5630" w:type="dxa"/>
            <w:gridSpan w:val="4"/>
            <w:vAlign w:val="center"/>
          </w:tcPr>
          <w:p w14:paraId="2C922F61">
            <w:pPr>
              <w:spacing w:line="360" w:lineRule="exact"/>
              <w:rPr>
                <w:rFonts w:ascii="宋体" w:hAnsi="宋体" w:cs="宋体"/>
                <w:color w:val="auto"/>
                <w:szCs w:val="21"/>
                <w:highlight w:val="none"/>
              </w:rPr>
            </w:pPr>
          </w:p>
        </w:tc>
        <w:tc>
          <w:tcPr>
            <w:tcW w:w="3064" w:type="dxa"/>
            <w:gridSpan w:val="2"/>
            <w:vAlign w:val="center"/>
          </w:tcPr>
          <w:p w14:paraId="5560B58E">
            <w:pPr>
              <w:spacing w:line="360" w:lineRule="exact"/>
              <w:rPr>
                <w:rFonts w:ascii="宋体" w:hAnsi="宋体" w:cs="宋体"/>
                <w:color w:val="auto"/>
                <w:szCs w:val="21"/>
                <w:highlight w:val="none"/>
              </w:rPr>
            </w:pPr>
          </w:p>
        </w:tc>
      </w:tr>
      <w:tr w14:paraId="5120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1040" w:type="dxa"/>
            <w:vAlign w:val="center"/>
          </w:tcPr>
          <w:p w14:paraId="2C36E2D8">
            <w:pPr>
              <w:spacing w:line="360" w:lineRule="exact"/>
              <w:rPr>
                <w:rFonts w:ascii="宋体" w:hAnsi="宋体" w:cs="宋体"/>
                <w:color w:val="auto"/>
                <w:szCs w:val="21"/>
                <w:highlight w:val="none"/>
              </w:rPr>
            </w:pPr>
          </w:p>
        </w:tc>
        <w:tc>
          <w:tcPr>
            <w:tcW w:w="5630" w:type="dxa"/>
            <w:gridSpan w:val="4"/>
            <w:vAlign w:val="center"/>
          </w:tcPr>
          <w:p w14:paraId="2970FB84">
            <w:pPr>
              <w:spacing w:line="360" w:lineRule="exact"/>
              <w:rPr>
                <w:rFonts w:ascii="宋体" w:hAnsi="宋体" w:cs="宋体"/>
                <w:color w:val="auto"/>
                <w:szCs w:val="21"/>
                <w:highlight w:val="none"/>
              </w:rPr>
            </w:pPr>
          </w:p>
        </w:tc>
        <w:tc>
          <w:tcPr>
            <w:tcW w:w="3064" w:type="dxa"/>
            <w:gridSpan w:val="2"/>
            <w:vAlign w:val="center"/>
          </w:tcPr>
          <w:p w14:paraId="0C4FB4BE">
            <w:pPr>
              <w:spacing w:line="360" w:lineRule="exact"/>
              <w:rPr>
                <w:rFonts w:ascii="宋体" w:hAnsi="宋体" w:cs="宋体"/>
                <w:color w:val="auto"/>
                <w:szCs w:val="21"/>
                <w:highlight w:val="none"/>
              </w:rPr>
            </w:pPr>
          </w:p>
        </w:tc>
      </w:tr>
    </w:tbl>
    <w:p w14:paraId="065342E0">
      <w:pPr>
        <w:spacing w:line="380" w:lineRule="exact"/>
        <w:rPr>
          <w:rFonts w:ascii="宋体" w:hAnsi="宋体" w:cs="宋体"/>
          <w:color w:val="auto"/>
          <w:szCs w:val="21"/>
          <w:highlight w:val="none"/>
        </w:rPr>
      </w:pPr>
      <w:r>
        <w:rPr>
          <w:rFonts w:hint="eastAsia" w:ascii="宋体" w:hAnsi="宋体" w:cs="宋体"/>
          <w:color w:val="auto"/>
          <w:szCs w:val="21"/>
          <w:highlight w:val="none"/>
        </w:rPr>
        <w:t>注：</w:t>
      </w:r>
    </w:p>
    <w:p w14:paraId="5E53F649">
      <w:pPr>
        <w:spacing w:line="380" w:lineRule="exact"/>
        <w:rPr>
          <w:rFonts w:ascii="宋体" w:hAnsi="宋体" w:cs="宋体"/>
          <w:color w:val="auto"/>
          <w:szCs w:val="21"/>
          <w:highlight w:val="none"/>
        </w:rPr>
      </w:pPr>
      <w:r>
        <w:rPr>
          <w:rFonts w:hint="eastAsia" w:ascii="宋体" w:hAnsi="宋体" w:cs="宋体"/>
          <w:color w:val="auto"/>
          <w:szCs w:val="21"/>
          <w:highlight w:val="none"/>
        </w:rPr>
        <w:t>1、本表可在不改变格式的情况下根据具体需要自行增减。</w:t>
      </w:r>
    </w:p>
    <w:p w14:paraId="51EBDFD3">
      <w:pPr>
        <w:pStyle w:val="11"/>
        <w:spacing w:line="400" w:lineRule="atLeast"/>
        <w:ind w:left="1"/>
        <w:jc w:val="center"/>
        <w:rPr>
          <w:rFonts w:hAnsi="宋体" w:cs="宋体"/>
          <w:b/>
          <w:color w:val="auto"/>
          <w:highlight w:val="none"/>
        </w:rPr>
      </w:pPr>
    </w:p>
    <w:p w14:paraId="3F59C4B7">
      <w:pPr>
        <w:spacing w:line="380" w:lineRule="exact"/>
        <w:ind w:firstLine="5600" w:firstLineChars="2000"/>
        <w:rPr>
          <w:rFonts w:ascii="宋体" w:hAnsi="宋体" w:cs="宋体"/>
          <w:color w:val="auto"/>
          <w:szCs w:val="21"/>
          <w:highlight w:val="none"/>
        </w:rPr>
      </w:pPr>
      <w:r>
        <w:rPr>
          <w:rFonts w:hint="eastAsia" w:ascii="宋体" w:hAnsi="宋体" w:cs="宋体"/>
          <w:color w:val="auto"/>
          <w:szCs w:val="21"/>
          <w:highlight w:val="none"/>
        </w:rPr>
        <w:t>供应商全称（盖章）：</w:t>
      </w:r>
    </w:p>
    <w:p w14:paraId="59593449">
      <w:pPr>
        <w:spacing w:line="380" w:lineRule="exact"/>
        <w:ind w:firstLine="5600" w:firstLineChars="2000"/>
        <w:rPr>
          <w:rFonts w:ascii="宋体" w:hAnsi="宋体" w:cs="宋体"/>
          <w:color w:val="auto"/>
          <w:szCs w:val="21"/>
          <w:highlight w:val="none"/>
        </w:rPr>
      </w:pPr>
      <w:r>
        <w:rPr>
          <w:rFonts w:hint="eastAsia" w:ascii="宋体" w:hAnsi="宋体" w:cs="宋体"/>
          <w:color w:val="auto"/>
          <w:szCs w:val="21"/>
          <w:highlight w:val="none"/>
        </w:rPr>
        <w:t>法定代表人或授权代表（签字）：</w:t>
      </w:r>
    </w:p>
    <w:p w14:paraId="787733DB">
      <w:pPr>
        <w:spacing w:line="380" w:lineRule="exact"/>
        <w:ind w:firstLine="5600" w:firstLineChars="2000"/>
        <w:rPr>
          <w:rFonts w:ascii="宋体" w:hAnsi="宋体" w:cs="宋体"/>
          <w:color w:val="auto"/>
          <w:szCs w:val="21"/>
          <w:highlight w:val="none"/>
        </w:rPr>
      </w:pPr>
      <w:r>
        <w:rPr>
          <w:rFonts w:hint="eastAsia" w:ascii="宋体" w:hAnsi="宋体" w:cs="宋体"/>
          <w:color w:val="auto"/>
          <w:szCs w:val="21"/>
          <w:highlight w:val="none"/>
        </w:rPr>
        <w:t>日期：  年   月  日</w:t>
      </w:r>
    </w:p>
    <w:p w14:paraId="4C91F42E">
      <w:pPr>
        <w:spacing w:line="360" w:lineRule="auto"/>
        <w:jc w:val="center"/>
        <w:rPr>
          <w:rFonts w:ascii="宋体" w:hAnsi="宋体" w:cs="宋体"/>
          <w:b/>
          <w:bCs/>
          <w:color w:val="auto"/>
          <w:szCs w:val="28"/>
          <w:highlight w:val="none"/>
        </w:rPr>
        <w:sectPr>
          <w:pgSz w:w="11906" w:h="16838"/>
          <w:pgMar w:top="1531" w:right="779" w:bottom="1134" w:left="1134" w:header="851" w:footer="427" w:gutter="0"/>
          <w:cols w:space="720" w:num="1"/>
          <w:docGrid w:linePitch="312" w:charSpace="0"/>
        </w:sectPr>
      </w:pPr>
    </w:p>
    <w:p w14:paraId="0AE247C2">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项目组管理人员配备一栏表</w:t>
      </w:r>
    </w:p>
    <w:p w14:paraId="0D6B1424">
      <w:pPr>
        <w:spacing w:line="480" w:lineRule="exact"/>
        <w:rPr>
          <w:rFonts w:ascii="宋体" w:hAnsi="宋体" w:cs="宋体"/>
          <w:b/>
          <w:color w:val="auto"/>
          <w:sz w:val="24"/>
          <w:highlight w:val="none"/>
        </w:rPr>
      </w:pPr>
      <w:r>
        <w:rPr>
          <w:rFonts w:hint="eastAsia" w:ascii="宋体" w:hAnsi="宋体" w:cs="宋体"/>
          <w:color w:val="auto"/>
          <w:sz w:val="24"/>
          <w:highlight w:val="none"/>
        </w:rPr>
        <w:t>投标供应商全称（加盖公章）：             项目编号：</w:t>
      </w:r>
    </w:p>
    <w:p w14:paraId="7E9BDDF7">
      <w:pPr>
        <w:spacing w:line="480" w:lineRule="exact"/>
        <w:jc w:val="center"/>
        <w:rPr>
          <w:rFonts w:ascii="宋体" w:hAnsi="宋体" w:cs="宋体"/>
          <w:b/>
          <w:bCs/>
          <w:color w:val="auto"/>
          <w:szCs w:val="28"/>
          <w:highlight w:val="none"/>
        </w:rPr>
      </w:pP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71"/>
        <w:gridCol w:w="2301"/>
        <w:gridCol w:w="2674"/>
        <w:gridCol w:w="3005"/>
      </w:tblGrid>
      <w:tr w14:paraId="5A4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927" w:type="dxa"/>
            <w:vAlign w:val="center"/>
          </w:tcPr>
          <w:p w14:paraId="44CE1401">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71" w:type="dxa"/>
            <w:vAlign w:val="center"/>
          </w:tcPr>
          <w:p w14:paraId="4DED7632">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姓名</w:t>
            </w:r>
          </w:p>
        </w:tc>
        <w:tc>
          <w:tcPr>
            <w:tcW w:w="2301" w:type="dxa"/>
            <w:vAlign w:val="center"/>
          </w:tcPr>
          <w:p w14:paraId="04FA0CCD">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在本次项目中担任的岗位</w:t>
            </w:r>
          </w:p>
        </w:tc>
        <w:tc>
          <w:tcPr>
            <w:tcW w:w="2674" w:type="dxa"/>
            <w:vAlign w:val="center"/>
          </w:tcPr>
          <w:p w14:paraId="214E7CC9">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身份证号码</w:t>
            </w:r>
          </w:p>
        </w:tc>
        <w:tc>
          <w:tcPr>
            <w:tcW w:w="3005" w:type="dxa"/>
            <w:vAlign w:val="center"/>
          </w:tcPr>
          <w:p w14:paraId="36D07455">
            <w:pPr>
              <w:adjustRightInd w:val="0"/>
              <w:snapToGrid w:val="0"/>
              <w:spacing w:before="120" w:beforeLines="50" w:after="120" w:afterLines="50" w:line="400" w:lineRule="exact"/>
              <w:jc w:val="center"/>
              <w:rPr>
                <w:rFonts w:ascii="宋体" w:hAnsi="宋体" w:cs="宋体"/>
                <w:b/>
                <w:color w:val="auto"/>
                <w:sz w:val="24"/>
                <w:highlight w:val="none"/>
              </w:rPr>
            </w:pPr>
            <w:r>
              <w:rPr>
                <w:rFonts w:hint="eastAsia" w:ascii="宋体" w:hAnsi="宋体" w:cs="宋体"/>
                <w:b/>
                <w:color w:val="auto"/>
                <w:sz w:val="24"/>
                <w:highlight w:val="none"/>
              </w:rPr>
              <w:t>相应岗位</w:t>
            </w:r>
          </w:p>
          <w:p w14:paraId="517C3686">
            <w:pPr>
              <w:adjustRightInd w:val="0"/>
              <w:snapToGrid w:val="0"/>
              <w:spacing w:before="120" w:beforeLines="50" w:after="120" w:afterLines="50" w:line="400" w:lineRule="exact"/>
              <w:jc w:val="center"/>
              <w:rPr>
                <w:rFonts w:ascii="宋体" w:hAnsi="宋体" w:cs="宋体"/>
                <w:b/>
                <w:color w:val="auto"/>
                <w:sz w:val="24"/>
                <w:highlight w:val="none"/>
              </w:rPr>
            </w:pPr>
            <w:r>
              <w:rPr>
                <w:rFonts w:hint="eastAsia" w:ascii="宋体" w:hAnsi="宋体" w:cs="宋体"/>
                <w:b/>
                <w:color w:val="auto"/>
                <w:sz w:val="24"/>
                <w:highlight w:val="none"/>
              </w:rPr>
              <w:t>资质证书要求（如有）</w:t>
            </w:r>
          </w:p>
        </w:tc>
      </w:tr>
      <w:tr w14:paraId="6321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63BCAD21">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971" w:type="dxa"/>
            <w:vAlign w:val="center"/>
          </w:tcPr>
          <w:p w14:paraId="6BF8346B">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301" w:type="dxa"/>
            <w:vAlign w:val="center"/>
          </w:tcPr>
          <w:p w14:paraId="292645E9">
            <w:pPr>
              <w:adjustRightInd w:val="0"/>
              <w:snapToGrid w:val="0"/>
              <w:spacing w:before="120" w:beforeLines="50" w:after="120" w:afterLines="50" w:line="360" w:lineRule="auto"/>
              <w:jc w:val="center"/>
              <w:rPr>
                <w:rFonts w:ascii="宋体" w:hAnsi="宋体" w:cs="宋体"/>
                <w:b/>
                <w:color w:val="auto"/>
                <w:sz w:val="24"/>
                <w:highlight w:val="none"/>
              </w:rPr>
            </w:pPr>
          </w:p>
        </w:tc>
        <w:tc>
          <w:tcPr>
            <w:tcW w:w="2674" w:type="dxa"/>
            <w:vAlign w:val="center"/>
          </w:tcPr>
          <w:p w14:paraId="372793C5">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3005" w:type="dxa"/>
            <w:vAlign w:val="center"/>
          </w:tcPr>
          <w:p w14:paraId="0C8D0AE6">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r>
      <w:tr w14:paraId="39A2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413D16D5">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971" w:type="dxa"/>
            <w:vAlign w:val="center"/>
          </w:tcPr>
          <w:p w14:paraId="5D5CC429">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301" w:type="dxa"/>
            <w:vAlign w:val="center"/>
          </w:tcPr>
          <w:p w14:paraId="78829526">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674" w:type="dxa"/>
            <w:vAlign w:val="center"/>
          </w:tcPr>
          <w:p w14:paraId="179A036C">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3005" w:type="dxa"/>
            <w:vAlign w:val="center"/>
          </w:tcPr>
          <w:p w14:paraId="5D845D18">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r>
      <w:tr w14:paraId="3277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4695B730">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3</w:t>
            </w:r>
          </w:p>
        </w:tc>
        <w:tc>
          <w:tcPr>
            <w:tcW w:w="971" w:type="dxa"/>
            <w:vAlign w:val="center"/>
          </w:tcPr>
          <w:p w14:paraId="41BBF080">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301" w:type="dxa"/>
            <w:vAlign w:val="center"/>
          </w:tcPr>
          <w:p w14:paraId="020D5D35">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674" w:type="dxa"/>
            <w:vAlign w:val="center"/>
          </w:tcPr>
          <w:p w14:paraId="6D2F5B3C">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3005" w:type="dxa"/>
            <w:vAlign w:val="center"/>
          </w:tcPr>
          <w:p w14:paraId="6A77A457">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r>
      <w:tr w14:paraId="4F7B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0271F07D">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4</w:t>
            </w:r>
          </w:p>
        </w:tc>
        <w:tc>
          <w:tcPr>
            <w:tcW w:w="971" w:type="dxa"/>
            <w:vAlign w:val="center"/>
          </w:tcPr>
          <w:p w14:paraId="4867C0C6">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301" w:type="dxa"/>
            <w:vAlign w:val="center"/>
          </w:tcPr>
          <w:p w14:paraId="23A10EA7">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674" w:type="dxa"/>
            <w:vAlign w:val="center"/>
          </w:tcPr>
          <w:p w14:paraId="4FCA61CA">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3005" w:type="dxa"/>
            <w:vAlign w:val="center"/>
          </w:tcPr>
          <w:p w14:paraId="3621B3E6">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r>
      <w:tr w14:paraId="7D25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3E8D8CC4">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5</w:t>
            </w:r>
          </w:p>
        </w:tc>
        <w:tc>
          <w:tcPr>
            <w:tcW w:w="971" w:type="dxa"/>
            <w:vAlign w:val="center"/>
          </w:tcPr>
          <w:p w14:paraId="33F0434E">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301" w:type="dxa"/>
            <w:vAlign w:val="center"/>
          </w:tcPr>
          <w:p w14:paraId="0D3D9FCF">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674" w:type="dxa"/>
            <w:vAlign w:val="center"/>
          </w:tcPr>
          <w:p w14:paraId="23EA027F">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3005" w:type="dxa"/>
            <w:vAlign w:val="center"/>
          </w:tcPr>
          <w:p w14:paraId="184519A1">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r>
      <w:tr w14:paraId="40AB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03917290">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6</w:t>
            </w:r>
          </w:p>
        </w:tc>
        <w:tc>
          <w:tcPr>
            <w:tcW w:w="971" w:type="dxa"/>
            <w:vAlign w:val="center"/>
          </w:tcPr>
          <w:p w14:paraId="2F6E9E4B">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301" w:type="dxa"/>
            <w:vAlign w:val="center"/>
          </w:tcPr>
          <w:p w14:paraId="02C38474">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674" w:type="dxa"/>
            <w:vAlign w:val="center"/>
          </w:tcPr>
          <w:p w14:paraId="5C736561">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3005" w:type="dxa"/>
            <w:vAlign w:val="center"/>
          </w:tcPr>
          <w:p w14:paraId="5E819335">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r>
      <w:tr w14:paraId="0561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7" w:type="dxa"/>
            <w:vAlign w:val="center"/>
          </w:tcPr>
          <w:p w14:paraId="1BA8CBD2">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7</w:t>
            </w:r>
          </w:p>
        </w:tc>
        <w:tc>
          <w:tcPr>
            <w:tcW w:w="971" w:type="dxa"/>
            <w:vAlign w:val="center"/>
          </w:tcPr>
          <w:p w14:paraId="48A81981">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301" w:type="dxa"/>
            <w:vAlign w:val="center"/>
          </w:tcPr>
          <w:p w14:paraId="140EC399">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674" w:type="dxa"/>
            <w:vAlign w:val="center"/>
          </w:tcPr>
          <w:p w14:paraId="7FF754EC">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3005" w:type="dxa"/>
            <w:vAlign w:val="center"/>
          </w:tcPr>
          <w:p w14:paraId="5D34487F">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r>
      <w:tr w14:paraId="706E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27" w:type="dxa"/>
            <w:vAlign w:val="center"/>
          </w:tcPr>
          <w:p w14:paraId="5A1B9865">
            <w:pPr>
              <w:adjustRightInd w:val="0"/>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8</w:t>
            </w:r>
          </w:p>
        </w:tc>
        <w:tc>
          <w:tcPr>
            <w:tcW w:w="971" w:type="dxa"/>
            <w:vAlign w:val="center"/>
          </w:tcPr>
          <w:p w14:paraId="60D4DCB9">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301" w:type="dxa"/>
            <w:vAlign w:val="center"/>
          </w:tcPr>
          <w:p w14:paraId="7F7A386B">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2674" w:type="dxa"/>
            <w:vAlign w:val="center"/>
          </w:tcPr>
          <w:p w14:paraId="4BF5E1C8">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c>
          <w:tcPr>
            <w:tcW w:w="3005" w:type="dxa"/>
            <w:vAlign w:val="center"/>
          </w:tcPr>
          <w:p w14:paraId="23BD382E">
            <w:pPr>
              <w:adjustRightInd w:val="0"/>
              <w:snapToGrid w:val="0"/>
              <w:spacing w:before="120" w:beforeLines="50" w:after="120" w:afterLines="50" w:line="360" w:lineRule="auto"/>
              <w:ind w:firstLine="482" w:firstLineChars="200"/>
              <w:jc w:val="center"/>
              <w:rPr>
                <w:rFonts w:ascii="宋体" w:hAnsi="宋体" w:cs="宋体"/>
                <w:b/>
                <w:color w:val="auto"/>
                <w:sz w:val="24"/>
                <w:highlight w:val="none"/>
              </w:rPr>
            </w:pPr>
          </w:p>
        </w:tc>
      </w:tr>
    </w:tbl>
    <w:p w14:paraId="2FD952A8">
      <w:pPr>
        <w:adjustRightInd w:val="0"/>
        <w:snapToGrid w:val="0"/>
        <w:spacing w:line="360" w:lineRule="auto"/>
        <w:ind w:left="900"/>
        <w:jc w:val="left"/>
        <w:rPr>
          <w:rFonts w:ascii="宋体" w:hAnsi="宋体" w:cs="宋体"/>
          <w:color w:val="auto"/>
          <w:sz w:val="24"/>
          <w:highlight w:val="none"/>
        </w:rPr>
      </w:pPr>
    </w:p>
    <w:p w14:paraId="77A9AD02">
      <w:pPr>
        <w:pStyle w:val="11"/>
        <w:spacing w:before="120" w:after="120"/>
        <w:ind w:left="266"/>
        <w:rPr>
          <w:rFonts w:hAnsi="宋体" w:cs="宋体"/>
          <w:color w:val="auto"/>
          <w:sz w:val="28"/>
          <w:szCs w:val="28"/>
          <w:highlight w:val="none"/>
        </w:rPr>
      </w:pPr>
      <w:r>
        <w:rPr>
          <w:rFonts w:hint="eastAsia" w:hAnsi="宋体" w:cs="宋体"/>
          <w:color w:val="auto"/>
          <w:sz w:val="28"/>
          <w:szCs w:val="28"/>
          <w:highlight w:val="none"/>
        </w:rPr>
        <w:t>注：1、此表仅提供了表格形式，投标供应商应根据需要准备足够数量的表格来填写，上表中行数不够可自行添加</w:t>
      </w:r>
    </w:p>
    <w:p w14:paraId="3500DCF4">
      <w:pPr>
        <w:spacing w:line="360" w:lineRule="auto"/>
        <w:ind w:firstLine="280" w:firstLineChars="100"/>
        <w:rPr>
          <w:rFonts w:ascii="宋体" w:hAnsi="宋体" w:cs="宋体"/>
          <w:b/>
          <w:bCs/>
          <w:color w:val="auto"/>
          <w:szCs w:val="28"/>
          <w:highlight w:val="none"/>
        </w:rPr>
      </w:pPr>
      <w:r>
        <w:rPr>
          <w:rFonts w:hint="eastAsia" w:ascii="宋体" w:hAnsi="宋体" w:cs="宋体"/>
          <w:color w:val="auto"/>
          <w:szCs w:val="28"/>
          <w:highlight w:val="none"/>
        </w:rPr>
        <w:t>2、需按招标文件要求提供相关人员证书复印件及社保证明。</w:t>
      </w:r>
    </w:p>
    <w:p w14:paraId="2A3819D1">
      <w:pPr>
        <w:pStyle w:val="7"/>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投标人全称（电子签章）： </w:t>
      </w:r>
    </w:p>
    <w:p w14:paraId="0A8D3BF4">
      <w:pPr>
        <w:pStyle w:val="7"/>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法定代表人或其授权代理人（签名或盖章）       </w:t>
      </w:r>
    </w:p>
    <w:p w14:paraId="3AB65234">
      <w:pPr>
        <w:spacing w:line="360" w:lineRule="auto"/>
        <w:jc w:val="center"/>
        <w:rPr>
          <w:rFonts w:ascii="宋体" w:hAnsi="宋体" w:cs="宋体"/>
          <w:b/>
          <w:bCs/>
          <w:color w:val="auto"/>
          <w:szCs w:val="28"/>
          <w:highlight w:val="none"/>
        </w:rPr>
      </w:pPr>
      <w:r>
        <w:rPr>
          <w:rFonts w:hint="eastAsia" w:ascii="宋体" w:hAnsi="宋体" w:cs="宋体"/>
          <w:color w:val="auto"/>
          <w:szCs w:val="28"/>
          <w:highlight w:val="none"/>
        </w:rPr>
        <w:t xml:space="preserve">                                          年    月    日</w:t>
      </w:r>
    </w:p>
    <w:p w14:paraId="1A2DC91C">
      <w:pPr>
        <w:spacing w:line="360" w:lineRule="auto"/>
        <w:jc w:val="center"/>
        <w:rPr>
          <w:rFonts w:ascii="宋体" w:hAnsi="宋体" w:cs="宋体"/>
          <w:b/>
          <w:bCs/>
          <w:color w:val="auto"/>
          <w:szCs w:val="28"/>
          <w:highlight w:val="none"/>
        </w:rPr>
      </w:pPr>
    </w:p>
    <w:p w14:paraId="7789BEF5">
      <w:pPr>
        <w:spacing w:line="360" w:lineRule="auto"/>
        <w:jc w:val="center"/>
        <w:rPr>
          <w:rFonts w:ascii="宋体" w:hAnsi="宋体" w:cs="宋体"/>
          <w:b/>
          <w:bCs/>
          <w:color w:val="auto"/>
          <w:szCs w:val="28"/>
          <w:highlight w:val="none"/>
        </w:rPr>
      </w:pPr>
    </w:p>
    <w:p w14:paraId="66A8DB67">
      <w:pPr>
        <w:pStyle w:val="4"/>
        <w:ind w:left="0" w:leftChars="0"/>
        <w:rPr>
          <w:color w:val="auto"/>
          <w:highlight w:val="none"/>
        </w:rPr>
      </w:pPr>
    </w:p>
    <w:p w14:paraId="7B36DE87">
      <w:pPr>
        <w:pStyle w:val="2"/>
        <w:ind w:firstLine="280"/>
        <w:rPr>
          <w:rFonts w:ascii="宋体" w:hAnsi="宋体" w:cs="宋体"/>
          <w:color w:val="auto"/>
          <w:highlight w:val="none"/>
        </w:rPr>
      </w:pPr>
    </w:p>
    <w:p w14:paraId="250437E7">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主要环卫设备</w:t>
      </w:r>
    </w:p>
    <w:p w14:paraId="3737978F">
      <w:pPr>
        <w:spacing w:line="360" w:lineRule="auto"/>
        <w:jc w:val="center"/>
        <w:rPr>
          <w:rFonts w:ascii="宋体" w:hAnsi="宋体" w:cs="宋体"/>
          <w:b/>
          <w:bCs/>
          <w:color w:val="auto"/>
          <w:sz w:val="24"/>
          <w:highlight w:val="none"/>
        </w:rPr>
      </w:pPr>
    </w:p>
    <w:p w14:paraId="134976BE">
      <w:pPr>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拟投入车辆设备一览表</w:t>
      </w:r>
    </w:p>
    <w:p w14:paraId="6E63652D">
      <w:pPr>
        <w:spacing w:after="120" w:afterLines="50" w:line="40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项目名称（标项）：                                                  采购编号： </w:t>
      </w:r>
    </w:p>
    <w:tbl>
      <w:tblPr>
        <w:tblStyle w:val="21"/>
        <w:tblW w:w="10094" w:type="dxa"/>
        <w:tblInd w:w="0" w:type="dxa"/>
        <w:tblLayout w:type="fixed"/>
        <w:tblCellMar>
          <w:top w:w="0" w:type="dxa"/>
          <w:left w:w="108" w:type="dxa"/>
          <w:bottom w:w="0" w:type="dxa"/>
          <w:right w:w="108" w:type="dxa"/>
        </w:tblCellMar>
      </w:tblPr>
      <w:tblGrid>
        <w:gridCol w:w="494"/>
        <w:gridCol w:w="1882"/>
        <w:gridCol w:w="871"/>
        <w:gridCol w:w="1087"/>
        <w:gridCol w:w="1154"/>
        <w:gridCol w:w="1262"/>
        <w:gridCol w:w="1080"/>
        <w:gridCol w:w="1245"/>
        <w:gridCol w:w="1019"/>
      </w:tblGrid>
      <w:tr w14:paraId="36C4E60C">
        <w:tblPrEx>
          <w:tblCellMar>
            <w:top w:w="0" w:type="dxa"/>
            <w:left w:w="108" w:type="dxa"/>
            <w:bottom w:w="0" w:type="dxa"/>
            <w:right w:w="108" w:type="dxa"/>
          </w:tblCellMar>
        </w:tblPrEx>
        <w:trPr>
          <w:cantSplit/>
          <w:trHeight w:val="970" w:hRule="atLeast"/>
        </w:trPr>
        <w:tc>
          <w:tcPr>
            <w:tcW w:w="494" w:type="dxa"/>
            <w:tcBorders>
              <w:top w:val="single" w:color="auto" w:sz="12" w:space="0"/>
              <w:left w:val="single" w:color="auto" w:sz="12" w:space="0"/>
              <w:bottom w:val="single" w:color="auto" w:sz="6" w:space="0"/>
              <w:right w:val="single" w:color="auto" w:sz="6" w:space="0"/>
            </w:tcBorders>
            <w:vAlign w:val="center"/>
          </w:tcPr>
          <w:p w14:paraId="7C200DDC">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882" w:type="dxa"/>
            <w:tcBorders>
              <w:top w:val="single" w:color="auto" w:sz="12" w:space="0"/>
              <w:left w:val="single" w:color="auto" w:sz="6" w:space="0"/>
              <w:bottom w:val="single" w:color="auto" w:sz="6" w:space="0"/>
              <w:right w:val="single" w:color="auto" w:sz="6" w:space="0"/>
            </w:tcBorders>
            <w:vAlign w:val="center"/>
          </w:tcPr>
          <w:p w14:paraId="2DE116EB">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设备名称</w:t>
            </w:r>
          </w:p>
        </w:tc>
        <w:tc>
          <w:tcPr>
            <w:tcW w:w="871" w:type="dxa"/>
            <w:tcBorders>
              <w:top w:val="single" w:color="auto" w:sz="12" w:space="0"/>
              <w:left w:val="single" w:color="auto" w:sz="6" w:space="0"/>
              <w:bottom w:val="single" w:color="auto" w:sz="6" w:space="0"/>
              <w:right w:val="single" w:color="auto" w:sz="4" w:space="0"/>
            </w:tcBorders>
            <w:vAlign w:val="center"/>
          </w:tcPr>
          <w:p w14:paraId="5BA2431D">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数量</w:t>
            </w:r>
          </w:p>
        </w:tc>
        <w:tc>
          <w:tcPr>
            <w:tcW w:w="1087" w:type="dxa"/>
            <w:tcBorders>
              <w:top w:val="single" w:color="auto" w:sz="12" w:space="0"/>
              <w:left w:val="nil"/>
              <w:bottom w:val="single" w:color="auto" w:sz="6" w:space="0"/>
              <w:right w:val="single" w:color="auto" w:sz="4" w:space="0"/>
            </w:tcBorders>
            <w:vAlign w:val="center"/>
          </w:tcPr>
          <w:p w14:paraId="1DA122B3">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购置时间</w:t>
            </w:r>
          </w:p>
        </w:tc>
        <w:tc>
          <w:tcPr>
            <w:tcW w:w="1154" w:type="dxa"/>
            <w:tcBorders>
              <w:top w:val="single" w:color="auto" w:sz="12" w:space="0"/>
              <w:left w:val="nil"/>
              <w:bottom w:val="single" w:color="auto" w:sz="6" w:space="0"/>
              <w:right w:val="single" w:color="auto" w:sz="6" w:space="0"/>
            </w:tcBorders>
            <w:vAlign w:val="center"/>
          </w:tcPr>
          <w:p w14:paraId="1264EB62">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规格型号</w:t>
            </w:r>
          </w:p>
        </w:tc>
        <w:tc>
          <w:tcPr>
            <w:tcW w:w="1262" w:type="dxa"/>
            <w:tcBorders>
              <w:top w:val="single" w:color="auto" w:sz="12" w:space="0"/>
              <w:left w:val="single" w:color="auto" w:sz="6" w:space="0"/>
              <w:bottom w:val="single" w:color="auto" w:sz="6" w:space="0"/>
              <w:right w:val="single" w:color="auto" w:sz="6" w:space="0"/>
            </w:tcBorders>
            <w:vAlign w:val="center"/>
          </w:tcPr>
          <w:p w14:paraId="7800A8CF">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总质量、核定载质量</w:t>
            </w:r>
          </w:p>
        </w:tc>
        <w:tc>
          <w:tcPr>
            <w:tcW w:w="1080" w:type="dxa"/>
            <w:tcBorders>
              <w:top w:val="single" w:color="auto" w:sz="12" w:space="0"/>
              <w:left w:val="single" w:color="auto" w:sz="6" w:space="0"/>
              <w:bottom w:val="single" w:color="auto" w:sz="6" w:space="0"/>
              <w:right w:val="single" w:color="auto" w:sz="6" w:space="0"/>
            </w:tcBorders>
            <w:vAlign w:val="center"/>
          </w:tcPr>
          <w:p w14:paraId="48D4DB08">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品牌/产地</w:t>
            </w:r>
          </w:p>
        </w:tc>
        <w:tc>
          <w:tcPr>
            <w:tcW w:w="1245" w:type="dxa"/>
            <w:tcBorders>
              <w:top w:val="single" w:color="auto" w:sz="12" w:space="0"/>
              <w:left w:val="single" w:color="auto" w:sz="6" w:space="0"/>
              <w:bottom w:val="single" w:color="auto" w:sz="6" w:space="0"/>
              <w:right w:val="single" w:color="auto" w:sz="12" w:space="0"/>
            </w:tcBorders>
            <w:vAlign w:val="center"/>
          </w:tcPr>
          <w:p w14:paraId="32718C58">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车牌号</w:t>
            </w:r>
          </w:p>
        </w:tc>
        <w:tc>
          <w:tcPr>
            <w:tcW w:w="1019" w:type="dxa"/>
            <w:tcBorders>
              <w:top w:val="single" w:color="auto" w:sz="12" w:space="0"/>
              <w:left w:val="single" w:color="auto" w:sz="6" w:space="0"/>
              <w:bottom w:val="single" w:color="auto" w:sz="6" w:space="0"/>
              <w:right w:val="single" w:color="auto" w:sz="12" w:space="0"/>
            </w:tcBorders>
            <w:vAlign w:val="center"/>
          </w:tcPr>
          <w:p w14:paraId="1E06584F">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备注</w:t>
            </w:r>
          </w:p>
        </w:tc>
      </w:tr>
      <w:tr w14:paraId="10454ADA">
        <w:tblPrEx>
          <w:tblCellMar>
            <w:top w:w="0" w:type="dxa"/>
            <w:left w:w="108" w:type="dxa"/>
            <w:bottom w:w="0" w:type="dxa"/>
            <w:right w:w="108" w:type="dxa"/>
          </w:tblCellMar>
        </w:tblPrEx>
        <w:trPr>
          <w:cantSplit/>
          <w:trHeight w:val="445" w:hRule="atLeast"/>
        </w:trPr>
        <w:tc>
          <w:tcPr>
            <w:tcW w:w="494" w:type="dxa"/>
            <w:tcBorders>
              <w:top w:val="single" w:color="auto" w:sz="6" w:space="0"/>
              <w:left w:val="single" w:color="auto" w:sz="12" w:space="0"/>
              <w:bottom w:val="single" w:color="auto" w:sz="6" w:space="0"/>
              <w:right w:val="single" w:color="auto" w:sz="6" w:space="0"/>
            </w:tcBorders>
            <w:vAlign w:val="center"/>
          </w:tcPr>
          <w:p w14:paraId="548063E8">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882" w:type="dxa"/>
            <w:tcBorders>
              <w:top w:val="single" w:color="auto" w:sz="6" w:space="0"/>
              <w:left w:val="single" w:color="auto" w:sz="6" w:space="0"/>
              <w:bottom w:val="single" w:color="auto" w:sz="6" w:space="0"/>
              <w:right w:val="single" w:color="auto" w:sz="6" w:space="0"/>
            </w:tcBorders>
          </w:tcPr>
          <w:p w14:paraId="121B219B">
            <w:pPr>
              <w:widowControl/>
              <w:autoSpaceDE w:val="0"/>
              <w:autoSpaceDN w:val="0"/>
              <w:adjustRightInd w:val="0"/>
              <w:spacing w:line="440" w:lineRule="exact"/>
              <w:jc w:val="center"/>
              <w:textAlignment w:val="bottom"/>
              <w:rPr>
                <w:rFonts w:ascii="宋体" w:hAnsi="宋体" w:cs="宋体"/>
                <w:color w:val="auto"/>
                <w:sz w:val="18"/>
                <w:szCs w:val="18"/>
                <w:highlight w:val="none"/>
              </w:rPr>
            </w:pPr>
          </w:p>
        </w:tc>
        <w:tc>
          <w:tcPr>
            <w:tcW w:w="871" w:type="dxa"/>
            <w:tcBorders>
              <w:top w:val="single" w:color="auto" w:sz="6" w:space="0"/>
              <w:left w:val="single" w:color="auto" w:sz="6" w:space="0"/>
              <w:bottom w:val="single" w:color="auto" w:sz="6" w:space="0"/>
              <w:right w:val="single" w:color="auto" w:sz="4" w:space="0"/>
            </w:tcBorders>
            <w:vAlign w:val="center"/>
          </w:tcPr>
          <w:p w14:paraId="09BCC314">
            <w:pPr>
              <w:jc w:val="center"/>
              <w:rPr>
                <w:rFonts w:ascii="宋体" w:hAnsi="宋体" w:cs="宋体"/>
                <w:b/>
                <w:bCs/>
                <w:color w:val="auto"/>
                <w:sz w:val="22"/>
                <w:szCs w:val="22"/>
                <w:highlight w:val="none"/>
              </w:rPr>
            </w:pPr>
          </w:p>
        </w:tc>
        <w:tc>
          <w:tcPr>
            <w:tcW w:w="1087" w:type="dxa"/>
            <w:tcBorders>
              <w:top w:val="single" w:color="auto" w:sz="6" w:space="0"/>
              <w:left w:val="nil"/>
              <w:bottom w:val="single" w:color="auto" w:sz="6" w:space="0"/>
              <w:right w:val="single" w:color="auto" w:sz="4" w:space="0"/>
            </w:tcBorders>
            <w:vAlign w:val="center"/>
          </w:tcPr>
          <w:p w14:paraId="6DFFE7EF">
            <w:pPr>
              <w:jc w:val="center"/>
              <w:rPr>
                <w:rFonts w:ascii="宋体" w:hAnsi="宋体" w:cs="宋体"/>
                <w:b/>
                <w:bCs/>
                <w:color w:val="auto"/>
                <w:sz w:val="22"/>
                <w:szCs w:val="22"/>
                <w:highlight w:val="none"/>
              </w:rPr>
            </w:pPr>
          </w:p>
        </w:tc>
        <w:tc>
          <w:tcPr>
            <w:tcW w:w="1154" w:type="dxa"/>
            <w:tcBorders>
              <w:top w:val="single" w:color="auto" w:sz="6" w:space="0"/>
              <w:left w:val="nil"/>
              <w:bottom w:val="single" w:color="auto" w:sz="6" w:space="0"/>
              <w:right w:val="single" w:color="auto" w:sz="6" w:space="0"/>
            </w:tcBorders>
            <w:vAlign w:val="center"/>
          </w:tcPr>
          <w:p w14:paraId="35047538">
            <w:pPr>
              <w:jc w:val="center"/>
              <w:rPr>
                <w:rFonts w:ascii="宋体" w:hAnsi="宋体" w:cs="宋体"/>
                <w:b/>
                <w:bCs/>
                <w:color w:val="auto"/>
                <w:sz w:val="22"/>
                <w:szCs w:val="22"/>
                <w:highlight w:val="none"/>
              </w:rPr>
            </w:pPr>
          </w:p>
        </w:tc>
        <w:tc>
          <w:tcPr>
            <w:tcW w:w="1262" w:type="dxa"/>
            <w:tcBorders>
              <w:top w:val="single" w:color="auto" w:sz="6" w:space="0"/>
              <w:left w:val="single" w:color="auto" w:sz="6" w:space="0"/>
              <w:bottom w:val="single" w:color="auto" w:sz="6" w:space="0"/>
              <w:right w:val="single" w:color="auto" w:sz="6" w:space="0"/>
            </w:tcBorders>
            <w:vAlign w:val="center"/>
          </w:tcPr>
          <w:p w14:paraId="74E05211">
            <w:pPr>
              <w:jc w:val="center"/>
              <w:rPr>
                <w:rFonts w:ascii="宋体" w:hAnsi="宋体" w:cs="宋体"/>
                <w:b/>
                <w:bCs/>
                <w:color w:val="auto"/>
                <w:sz w:val="22"/>
                <w:szCs w:val="22"/>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65F321C">
            <w:pPr>
              <w:jc w:val="center"/>
              <w:rPr>
                <w:rFonts w:ascii="宋体" w:hAnsi="宋体" w:cs="宋体"/>
                <w:b/>
                <w:bCs/>
                <w:color w:val="auto"/>
                <w:sz w:val="22"/>
                <w:szCs w:val="22"/>
                <w:highlight w:val="none"/>
              </w:rPr>
            </w:pPr>
          </w:p>
        </w:tc>
        <w:tc>
          <w:tcPr>
            <w:tcW w:w="1245" w:type="dxa"/>
            <w:tcBorders>
              <w:top w:val="single" w:color="auto" w:sz="6" w:space="0"/>
              <w:left w:val="single" w:color="auto" w:sz="6" w:space="0"/>
              <w:bottom w:val="single" w:color="auto" w:sz="6" w:space="0"/>
              <w:right w:val="single" w:color="auto" w:sz="12" w:space="0"/>
            </w:tcBorders>
            <w:vAlign w:val="center"/>
          </w:tcPr>
          <w:p w14:paraId="028436B9">
            <w:pPr>
              <w:jc w:val="center"/>
              <w:rPr>
                <w:rFonts w:ascii="宋体" w:hAnsi="宋体" w:cs="宋体"/>
                <w:color w:val="auto"/>
                <w:sz w:val="22"/>
                <w:szCs w:val="22"/>
                <w:highlight w:val="none"/>
              </w:rPr>
            </w:pPr>
          </w:p>
        </w:tc>
        <w:tc>
          <w:tcPr>
            <w:tcW w:w="1019" w:type="dxa"/>
            <w:tcBorders>
              <w:top w:val="single" w:color="auto" w:sz="6" w:space="0"/>
              <w:left w:val="single" w:color="auto" w:sz="6" w:space="0"/>
              <w:bottom w:val="single" w:color="auto" w:sz="6" w:space="0"/>
              <w:right w:val="single" w:color="auto" w:sz="12" w:space="0"/>
            </w:tcBorders>
            <w:vAlign w:val="center"/>
          </w:tcPr>
          <w:p w14:paraId="1912C15F">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自有/租赁</w:t>
            </w:r>
          </w:p>
        </w:tc>
      </w:tr>
      <w:tr w14:paraId="1A6A3B9A">
        <w:tblPrEx>
          <w:tblCellMar>
            <w:top w:w="0" w:type="dxa"/>
            <w:left w:w="108" w:type="dxa"/>
            <w:bottom w:w="0" w:type="dxa"/>
            <w:right w:w="108" w:type="dxa"/>
          </w:tblCellMar>
        </w:tblPrEx>
        <w:trPr>
          <w:cantSplit/>
          <w:trHeight w:val="577" w:hRule="atLeast"/>
        </w:trPr>
        <w:tc>
          <w:tcPr>
            <w:tcW w:w="494" w:type="dxa"/>
            <w:tcBorders>
              <w:top w:val="single" w:color="auto" w:sz="6" w:space="0"/>
              <w:left w:val="single" w:color="auto" w:sz="12" w:space="0"/>
              <w:bottom w:val="single" w:color="auto" w:sz="6" w:space="0"/>
              <w:right w:val="single" w:color="auto" w:sz="6" w:space="0"/>
            </w:tcBorders>
            <w:vAlign w:val="center"/>
          </w:tcPr>
          <w:p w14:paraId="4A095F08">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882" w:type="dxa"/>
            <w:tcBorders>
              <w:top w:val="single" w:color="auto" w:sz="6" w:space="0"/>
              <w:left w:val="single" w:color="auto" w:sz="6" w:space="0"/>
              <w:bottom w:val="single" w:color="auto" w:sz="6" w:space="0"/>
              <w:right w:val="single" w:color="auto" w:sz="6" w:space="0"/>
            </w:tcBorders>
          </w:tcPr>
          <w:p w14:paraId="2B6F3B3D">
            <w:pPr>
              <w:widowControl/>
              <w:autoSpaceDE w:val="0"/>
              <w:autoSpaceDN w:val="0"/>
              <w:adjustRightInd w:val="0"/>
              <w:spacing w:line="440" w:lineRule="exact"/>
              <w:jc w:val="center"/>
              <w:textAlignment w:val="bottom"/>
              <w:rPr>
                <w:rFonts w:ascii="宋体" w:hAnsi="宋体" w:cs="宋体"/>
                <w:color w:val="auto"/>
                <w:sz w:val="18"/>
                <w:szCs w:val="18"/>
                <w:highlight w:val="none"/>
              </w:rPr>
            </w:pPr>
          </w:p>
        </w:tc>
        <w:tc>
          <w:tcPr>
            <w:tcW w:w="871" w:type="dxa"/>
            <w:tcBorders>
              <w:top w:val="single" w:color="auto" w:sz="6" w:space="0"/>
              <w:left w:val="single" w:color="auto" w:sz="6" w:space="0"/>
              <w:bottom w:val="single" w:color="auto" w:sz="6" w:space="0"/>
              <w:right w:val="single" w:color="auto" w:sz="4" w:space="0"/>
            </w:tcBorders>
            <w:vAlign w:val="center"/>
          </w:tcPr>
          <w:p w14:paraId="53BBCF36">
            <w:pPr>
              <w:jc w:val="center"/>
              <w:rPr>
                <w:rFonts w:ascii="宋体" w:hAnsi="宋体" w:cs="宋体"/>
                <w:b/>
                <w:bCs/>
                <w:color w:val="auto"/>
                <w:sz w:val="22"/>
                <w:szCs w:val="22"/>
                <w:highlight w:val="none"/>
              </w:rPr>
            </w:pPr>
          </w:p>
        </w:tc>
        <w:tc>
          <w:tcPr>
            <w:tcW w:w="1087" w:type="dxa"/>
            <w:tcBorders>
              <w:top w:val="single" w:color="auto" w:sz="6" w:space="0"/>
              <w:left w:val="nil"/>
              <w:bottom w:val="single" w:color="auto" w:sz="6" w:space="0"/>
              <w:right w:val="single" w:color="auto" w:sz="4" w:space="0"/>
            </w:tcBorders>
            <w:vAlign w:val="center"/>
          </w:tcPr>
          <w:p w14:paraId="06A8F338">
            <w:pPr>
              <w:jc w:val="center"/>
              <w:rPr>
                <w:rFonts w:ascii="宋体" w:hAnsi="宋体" w:cs="宋体"/>
                <w:b/>
                <w:bCs/>
                <w:color w:val="auto"/>
                <w:sz w:val="22"/>
                <w:szCs w:val="22"/>
                <w:highlight w:val="none"/>
              </w:rPr>
            </w:pPr>
          </w:p>
        </w:tc>
        <w:tc>
          <w:tcPr>
            <w:tcW w:w="1154" w:type="dxa"/>
            <w:tcBorders>
              <w:top w:val="single" w:color="auto" w:sz="6" w:space="0"/>
              <w:left w:val="nil"/>
              <w:bottom w:val="single" w:color="auto" w:sz="6" w:space="0"/>
              <w:right w:val="single" w:color="auto" w:sz="6" w:space="0"/>
            </w:tcBorders>
            <w:vAlign w:val="center"/>
          </w:tcPr>
          <w:p w14:paraId="1F2C4194">
            <w:pPr>
              <w:jc w:val="center"/>
              <w:rPr>
                <w:rFonts w:ascii="宋体" w:hAnsi="宋体" w:cs="宋体"/>
                <w:b/>
                <w:bCs/>
                <w:color w:val="auto"/>
                <w:sz w:val="22"/>
                <w:szCs w:val="22"/>
                <w:highlight w:val="none"/>
              </w:rPr>
            </w:pPr>
          </w:p>
        </w:tc>
        <w:tc>
          <w:tcPr>
            <w:tcW w:w="1262" w:type="dxa"/>
            <w:tcBorders>
              <w:top w:val="single" w:color="auto" w:sz="6" w:space="0"/>
              <w:left w:val="single" w:color="auto" w:sz="6" w:space="0"/>
              <w:bottom w:val="single" w:color="auto" w:sz="6" w:space="0"/>
              <w:right w:val="single" w:color="auto" w:sz="6" w:space="0"/>
            </w:tcBorders>
            <w:vAlign w:val="center"/>
          </w:tcPr>
          <w:p w14:paraId="7673511D">
            <w:pPr>
              <w:jc w:val="center"/>
              <w:rPr>
                <w:rFonts w:ascii="宋体" w:hAnsi="宋体" w:cs="宋体"/>
                <w:b/>
                <w:bCs/>
                <w:color w:val="auto"/>
                <w:sz w:val="22"/>
                <w:szCs w:val="22"/>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34A194D">
            <w:pPr>
              <w:jc w:val="center"/>
              <w:rPr>
                <w:rFonts w:ascii="宋体" w:hAnsi="宋体" w:cs="宋体"/>
                <w:b/>
                <w:bCs/>
                <w:color w:val="auto"/>
                <w:sz w:val="22"/>
                <w:szCs w:val="22"/>
                <w:highlight w:val="none"/>
              </w:rPr>
            </w:pPr>
          </w:p>
        </w:tc>
        <w:tc>
          <w:tcPr>
            <w:tcW w:w="1245" w:type="dxa"/>
            <w:tcBorders>
              <w:top w:val="single" w:color="auto" w:sz="6" w:space="0"/>
              <w:left w:val="single" w:color="auto" w:sz="6" w:space="0"/>
              <w:bottom w:val="single" w:color="auto" w:sz="6" w:space="0"/>
              <w:right w:val="single" w:color="auto" w:sz="12" w:space="0"/>
            </w:tcBorders>
            <w:vAlign w:val="center"/>
          </w:tcPr>
          <w:p w14:paraId="0CEE4D25">
            <w:pPr>
              <w:jc w:val="center"/>
              <w:rPr>
                <w:rFonts w:ascii="宋体" w:hAnsi="宋体" w:cs="宋体"/>
                <w:color w:val="auto"/>
                <w:sz w:val="22"/>
                <w:szCs w:val="22"/>
                <w:highlight w:val="none"/>
              </w:rPr>
            </w:pPr>
          </w:p>
        </w:tc>
        <w:tc>
          <w:tcPr>
            <w:tcW w:w="1019" w:type="dxa"/>
            <w:tcBorders>
              <w:top w:val="single" w:color="auto" w:sz="6" w:space="0"/>
              <w:left w:val="single" w:color="auto" w:sz="6" w:space="0"/>
              <w:bottom w:val="single" w:color="auto" w:sz="6" w:space="0"/>
              <w:right w:val="single" w:color="auto" w:sz="12" w:space="0"/>
            </w:tcBorders>
            <w:vAlign w:val="center"/>
          </w:tcPr>
          <w:p w14:paraId="5334189C">
            <w:pPr>
              <w:jc w:val="center"/>
              <w:rPr>
                <w:rFonts w:ascii="宋体" w:hAnsi="宋体" w:cs="宋体"/>
                <w:color w:val="auto"/>
                <w:sz w:val="22"/>
                <w:szCs w:val="22"/>
                <w:highlight w:val="none"/>
              </w:rPr>
            </w:pPr>
          </w:p>
        </w:tc>
      </w:tr>
      <w:tr w14:paraId="38BB305F">
        <w:tblPrEx>
          <w:tblCellMar>
            <w:top w:w="0" w:type="dxa"/>
            <w:left w:w="108" w:type="dxa"/>
            <w:bottom w:w="0" w:type="dxa"/>
            <w:right w:w="108" w:type="dxa"/>
          </w:tblCellMar>
        </w:tblPrEx>
        <w:trPr>
          <w:cantSplit/>
          <w:trHeight w:val="795" w:hRule="atLeast"/>
        </w:trPr>
        <w:tc>
          <w:tcPr>
            <w:tcW w:w="494" w:type="dxa"/>
            <w:tcBorders>
              <w:top w:val="single" w:color="auto" w:sz="6" w:space="0"/>
              <w:left w:val="single" w:color="auto" w:sz="12" w:space="0"/>
              <w:bottom w:val="single" w:color="auto" w:sz="6" w:space="0"/>
              <w:right w:val="single" w:color="auto" w:sz="6" w:space="0"/>
            </w:tcBorders>
            <w:vAlign w:val="center"/>
          </w:tcPr>
          <w:p w14:paraId="702DFA03">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1882" w:type="dxa"/>
            <w:tcBorders>
              <w:top w:val="single" w:color="auto" w:sz="6" w:space="0"/>
              <w:left w:val="single" w:color="auto" w:sz="6" w:space="0"/>
              <w:bottom w:val="single" w:color="auto" w:sz="6" w:space="0"/>
              <w:right w:val="single" w:color="auto" w:sz="6" w:space="0"/>
            </w:tcBorders>
          </w:tcPr>
          <w:p w14:paraId="08BFFC18">
            <w:pPr>
              <w:widowControl/>
              <w:autoSpaceDE w:val="0"/>
              <w:autoSpaceDN w:val="0"/>
              <w:adjustRightInd w:val="0"/>
              <w:spacing w:line="440" w:lineRule="exact"/>
              <w:jc w:val="center"/>
              <w:textAlignment w:val="bottom"/>
              <w:rPr>
                <w:rFonts w:ascii="宋体" w:hAnsi="宋体" w:cs="宋体"/>
                <w:color w:val="auto"/>
                <w:sz w:val="18"/>
                <w:szCs w:val="18"/>
                <w:highlight w:val="none"/>
              </w:rPr>
            </w:pPr>
          </w:p>
        </w:tc>
        <w:tc>
          <w:tcPr>
            <w:tcW w:w="871" w:type="dxa"/>
            <w:tcBorders>
              <w:top w:val="single" w:color="auto" w:sz="6" w:space="0"/>
              <w:left w:val="single" w:color="auto" w:sz="6" w:space="0"/>
              <w:bottom w:val="single" w:color="auto" w:sz="6" w:space="0"/>
              <w:right w:val="single" w:color="auto" w:sz="4" w:space="0"/>
            </w:tcBorders>
            <w:vAlign w:val="center"/>
          </w:tcPr>
          <w:p w14:paraId="56E8C568">
            <w:pPr>
              <w:jc w:val="center"/>
              <w:rPr>
                <w:rFonts w:ascii="宋体" w:hAnsi="宋体" w:cs="宋体"/>
                <w:b/>
                <w:bCs/>
                <w:color w:val="auto"/>
                <w:sz w:val="22"/>
                <w:szCs w:val="22"/>
                <w:highlight w:val="none"/>
              </w:rPr>
            </w:pPr>
          </w:p>
        </w:tc>
        <w:tc>
          <w:tcPr>
            <w:tcW w:w="1087" w:type="dxa"/>
            <w:tcBorders>
              <w:top w:val="single" w:color="auto" w:sz="6" w:space="0"/>
              <w:left w:val="nil"/>
              <w:bottom w:val="single" w:color="auto" w:sz="6" w:space="0"/>
              <w:right w:val="single" w:color="auto" w:sz="4" w:space="0"/>
            </w:tcBorders>
            <w:vAlign w:val="center"/>
          </w:tcPr>
          <w:p w14:paraId="78AD74A8">
            <w:pPr>
              <w:jc w:val="center"/>
              <w:rPr>
                <w:rFonts w:ascii="宋体" w:hAnsi="宋体" w:cs="宋体"/>
                <w:b/>
                <w:bCs/>
                <w:color w:val="auto"/>
                <w:sz w:val="22"/>
                <w:szCs w:val="22"/>
                <w:highlight w:val="none"/>
              </w:rPr>
            </w:pPr>
          </w:p>
        </w:tc>
        <w:tc>
          <w:tcPr>
            <w:tcW w:w="1154" w:type="dxa"/>
            <w:tcBorders>
              <w:top w:val="single" w:color="auto" w:sz="6" w:space="0"/>
              <w:left w:val="nil"/>
              <w:bottom w:val="single" w:color="auto" w:sz="6" w:space="0"/>
              <w:right w:val="single" w:color="auto" w:sz="6" w:space="0"/>
            </w:tcBorders>
            <w:vAlign w:val="center"/>
          </w:tcPr>
          <w:p w14:paraId="340397E3">
            <w:pPr>
              <w:jc w:val="center"/>
              <w:rPr>
                <w:rFonts w:ascii="宋体" w:hAnsi="宋体" w:cs="宋体"/>
                <w:b/>
                <w:bCs/>
                <w:color w:val="auto"/>
                <w:sz w:val="22"/>
                <w:szCs w:val="22"/>
                <w:highlight w:val="none"/>
              </w:rPr>
            </w:pPr>
          </w:p>
        </w:tc>
        <w:tc>
          <w:tcPr>
            <w:tcW w:w="1262" w:type="dxa"/>
            <w:tcBorders>
              <w:top w:val="single" w:color="auto" w:sz="6" w:space="0"/>
              <w:left w:val="single" w:color="auto" w:sz="6" w:space="0"/>
              <w:bottom w:val="single" w:color="auto" w:sz="6" w:space="0"/>
              <w:right w:val="single" w:color="auto" w:sz="6" w:space="0"/>
            </w:tcBorders>
            <w:vAlign w:val="center"/>
          </w:tcPr>
          <w:p w14:paraId="1807D34C">
            <w:pPr>
              <w:jc w:val="center"/>
              <w:rPr>
                <w:rFonts w:ascii="宋体" w:hAnsi="宋体" w:cs="宋体"/>
                <w:b/>
                <w:bCs/>
                <w:color w:val="auto"/>
                <w:sz w:val="22"/>
                <w:szCs w:val="22"/>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B0C2D36">
            <w:pPr>
              <w:jc w:val="center"/>
              <w:rPr>
                <w:rFonts w:ascii="宋体" w:hAnsi="宋体" w:cs="宋体"/>
                <w:b/>
                <w:bCs/>
                <w:color w:val="auto"/>
                <w:sz w:val="22"/>
                <w:szCs w:val="22"/>
                <w:highlight w:val="none"/>
              </w:rPr>
            </w:pPr>
          </w:p>
        </w:tc>
        <w:tc>
          <w:tcPr>
            <w:tcW w:w="1245" w:type="dxa"/>
            <w:tcBorders>
              <w:top w:val="single" w:color="auto" w:sz="6" w:space="0"/>
              <w:left w:val="single" w:color="auto" w:sz="6" w:space="0"/>
              <w:bottom w:val="single" w:color="auto" w:sz="6" w:space="0"/>
              <w:right w:val="single" w:color="auto" w:sz="12" w:space="0"/>
            </w:tcBorders>
            <w:vAlign w:val="center"/>
          </w:tcPr>
          <w:p w14:paraId="63BBDA91">
            <w:pPr>
              <w:jc w:val="center"/>
              <w:rPr>
                <w:rFonts w:ascii="宋体" w:hAnsi="宋体" w:cs="宋体"/>
                <w:color w:val="auto"/>
                <w:sz w:val="22"/>
                <w:szCs w:val="22"/>
                <w:highlight w:val="none"/>
              </w:rPr>
            </w:pPr>
          </w:p>
        </w:tc>
        <w:tc>
          <w:tcPr>
            <w:tcW w:w="1019" w:type="dxa"/>
            <w:tcBorders>
              <w:top w:val="single" w:color="auto" w:sz="6" w:space="0"/>
              <w:left w:val="single" w:color="auto" w:sz="6" w:space="0"/>
              <w:bottom w:val="single" w:color="auto" w:sz="6" w:space="0"/>
              <w:right w:val="single" w:color="auto" w:sz="12" w:space="0"/>
            </w:tcBorders>
            <w:vAlign w:val="center"/>
          </w:tcPr>
          <w:p w14:paraId="66F71970">
            <w:pPr>
              <w:jc w:val="center"/>
              <w:rPr>
                <w:rFonts w:ascii="宋体" w:hAnsi="宋体" w:cs="宋体"/>
                <w:color w:val="auto"/>
                <w:sz w:val="22"/>
                <w:szCs w:val="22"/>
                <w:highlight w:val="none"/>
              </w:rPr>
            </w:pPr>
          </w:p>
        </w:tc>
      </w:tr>
      <w:tr w14:paraId="0C15586A">
        <w:tblPrEx>
          <w:tblCellMar>
            <w:top w:w="0" w:type="dxa"/>
            <w:left w:w="108" w:type="dxa"/>
            <w:bottom w:w="0" w:type="dxa"/>
            <w:right w:w="108" w:type="dxa"/>
          </w:tblCellMar>
        </w:tblPrEx>
        <w:trPr>
          <w:cantSplit/>
          <w:trHeight w:val="445" w:hRule="atLeast"/>
        </w:trPr>
        <w:tc>
          <w:tcPr>
            <w:tcW w:w="494" w:type="dxa"/>
            <w:tcBorders>
              <w:top w:val="single" w:color="auto" w:sz="6" w:space="0"/>
              <w:left w:val="single" w:color="auto" w:sz="12" w:space="0"/>
              <w:bottom w:val="single" w:color="auto" w:sz="6" w:space="0"/>
              <w:right w:val="single" w:color="auto" w:sz="6" w:space="0"/>
            </w:tcBorders>
            <w:vAlign w:val="center"/>
          </w:tcPr>
          <w:p w14:paraId="3E2B227E">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4</w:t>
            </w:r>
          </w:p>
        </w:tc>
        <w:tc>
          <w:tcPr>
            <w:tcW w:w="1882" w:type="dxa"/>
            <w:tcBorders>
              <w:top w:val="single" w:color="auto" w:sz="6" w:space="0"/>
              <w:left w:val="single" w:color="auto" w:sz="6" w:space="0"/>
              <w:bottom w:val="single" w:color="auto" w:sz="6" w:space="0"/>
              <w:right w:val="single" w:color="auto" w:sz="6" w:space="0"/>
            </w:tcBorders>
          </w:tcPr>
          <w:p w14:paraId="0FE5F7D3">
            <w:pPr>
              <w:widowControl/>
              <w:autoSpaceDE w:val="0"/>
              <w:autoSpaceDN w:val="0"/>
              <w:adjustRightInd w:val="0"/>
              <w:spacing w:line="440" w:lineRule="exact"/>
              <w:jc w:val="center"/>
              <w:textAlignment w:val="bottom"/>
              <w:rPr>
                <w:rFonts w:ascii="宋体" w:hAnsi="宋体" w:cs="宋体"/>
                <w:color w:val="auto"/>
                <w:kern w:val="0"/>
                <w:sz w:val="18"/>
                <w:szCs w:val="18"/>
                <w:highlight w:val="none"/>
              </w:rPr>
            </w:pPr>
            <w:r>
              <w:rPr>
                <w:rFonts w:hint="eastAsia" w:ascii="宋体" w:hAnsi="宋体" w:cs="宋体"/>
                <w:color w:val="auto"/>
                <w:kern w:val="0"/>
                <w:sz w:val="22"/>
                <w:szCs w:val="22"/>
                <w:highlight w:val="none"/>
              </w:rPr>
              <w:t>.........</w:t>
            </w:r>
          </w:p>
        </w:tc>
        <w:tc>
          <w:tcPr>
            <w:tcW w:w="871" w:type="dxa"/>
            <w:tcBorders>
              <w:top w:val="single" w:color="auto" w:sz="6" w:space="0"/>
              <w:left w:val="single" w:color="auto" w:sz="6" w:space="0"/>
              <w:bottom w:val="single" w:color="auto" w:sz="6" w:space="0"/>
              <w:right w:val="single" w:color="auto" w:sz="4" w:space="0"/>
            </w:tcBorders>
            <w:vAlign w:val="center"/>
          </w:tcPr>
          <w:p w14:paraId="3FE0A729">
            <w:pPr>
              <w:jc w:val="center"/>
              <w:rPr>
                <w:rFonts w:ascii="宋体" w:hAnsi="宋体" w:cs="宋体"/>
                <w:b/>
                <w:bCs/>
                <w:color w:val="auto"/>
                <w:sz w:val="22"/>
                <w:szCs w:val="22"/>
                <w:highlight w:val="none"/>
              </w:rPr>
            </w:pPr>
          </w:p>
        </w:tc>
        <w:tc>
          <w:tcPr>
            <w:tcW w:w="1087" w:type="dxa"/>
            <w:tcBorders>
              <w:top w:val="single" w:color="auto" w:sz="6" w:space="0"/>
              <w:left w:val="nil"/>
              <w:bottom w:val="single" w:color="auto" w:sz="6" w:space="0"/>
              <w:right w:val="single" w:color="auto" w:sz="4" w:space="0"/>
            </w:tcBorders>
            <w:vAlign w:val="center"/>
          </w:tcPr>
          <w:p w14:paraId="7CEEBA61">
            <w:pPr>
              <w:jc w:val="center"/>
              <w:rPr>
                <w:rFonts w:ascii="宋体" w:hAnsi="宋体" w:cs="宋体"/>
                <w:b/>
                <w:bCs/>
                <w:color w:val="auto"/>
                <w:sz w:val="22"/>
                <w:szCs w:val="22"/>
                <w:highlight w:val="none"/>
              </w:rPr>
            </w:pPr>
          </w:p>
        </w:tc>
        <w:tc>
          <w:tcPr>
            <w:tcW w:w="1154" w:type="dxa"/>
            <w:tcBorders>
              <w:top w:val="single" w:color="auto" w:sz="6" w:space="0"/>
              <w:left w:val="nil"/>
              <w:bottom w:val="single" w:color="auto" w:sz="6" w:space="0"/>
              <w:right w:val="single" w:color="auto" w:sz="6" w:space="0"/>
            </w:tcBorders>
            <w:vAlign w:val="center"/>
          </w:tcPr>
          <w:p w14:paraId="0E337959">
            <w:pPr>
              <w:jc w:val="center"/>
              <w:rPr>
                <w:rFonts w:ascii="宋体" w:hAnsi="宋体" w:cs="宋体"/>
                <w:b/>
                <w:bCs/>
                <w:color w:val="auto"/>
                <w:sz w:val="22"/>
                <w:szCs w:val="22"/>
                <w:highlight w:val="none"/>
              </w:rPr>
            </w:pPr>
          </w:p>
        </w:tc>
        <w:tc>
          <w:tcPr>
            <w:tcW w:w="1262" w:type="dxa"/>
            <w:tcBorders>
              <w:top w:val="single" w:color="auto" w:sz="6" w:space="0"/>
              <w:left w:val="single" w:color="auto" w:sz="6" w:space="0"/>
              <w:bottom w:val="single" w:color="auto" w:sz="6" w:space="0"/>
              <w:right w:val="single" w:color="auto" w:sz="6" w:space="0"/>
            </w:tcBorders>
            <w:vAlign w:val="center"/>
          </w:tcPr>
          <w:p w14:paraId="1D797629">
            <w:pPr>
              <w:jc w:val="center"/>
              <w:rPr>
                <w:rFonts w:ascii="宋体" w:hAnsi="宋体" w:cs="宋体"/>
                <w:b/>
                <w:bCs/>
                <w:color w:val="auto"/>
                <w:sz w:val="22"/>
                <w:szCs w:val="22"/>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1F8F7E6">
            <w:pPr>
              <w:jc w:val="center"/>
              <w:rPr>
                <w:rFonts w:ascii="宋体" w:hAnsi="宋体" w:cs="宋体"/>
                <w:b/>
                <w:bCs/>
                <w:color w:val="auto"/>
                <w:sz w:val="22"/>
                <w:szCs w:val="22"/>
                <w:highlight w:val="none"/>
              </w:rPr>
            </w:pPr>
          </w:p>
        </w:tc>
        <w:tc>
          <w:tcPr>
            <w:tcW w:w="1245" w:type="dxa"/>
            <w:tcBorders>
              <w:top w:val="single" w:color="auto" w:sz="6" w:space="0"/>
              <w:left w:val="single" w:color="auto" w:sz="6" w:space="0"/>
              <w:bottom w:val="single" w:color="auto" w:sz="6" w:space="0"/>
              <w:right w:val="single" w:color="auto" w:sz="12" w:space="0"/>
            </w:tcBorders>
            <w:vAlign w:val="center"/>
          </w:tcPr>
          <w:p w14:paraId="3152D9E9">
            <w:pPr>
              <w:jc w:val="center"/>
              <w:rPr>
                <w:rFonts w:ascii="宋体" w:hAnsi="宋体" w:cs="宋体"/>
                <w:color w:val="auto"/>
                <w:sz w:val="22"/>
                <w:szCs w:val="22"/>
                <w:highlight w:val="none"/>
              </w:rPr>
            </w:pPr>
          </w:p>
        </w:tc>
        <w:tc>
          <w:tcPr>
            <w:tcW w:w="1019" w:type="dxa"/>
            <w:tcBorders>
              <w:top w:val="single" w:color="auto" w:sz="6" w:space="0"/>
              <w:left w:val="single" w:color="auto" w:sz="6" w:space="0"/>
              <w:bottom w:val="single" w:color="auto" w:sz="6" w:space="0"/>
              <w:right w:val="single" w:color="auto" w:sz="12" w:space="0"/>
            </w:tcBorders>
            <w:vAlign w:val="center"/>
          </w:tcPr>
          <w:p w14:paraId="0C12C9BD">
            <w:pPr>
              <w:jc w:val="center"/>
              <w:rPr>
                <w:rFonts w:ascii="宋体" w:hAnsi="宋体" w:cs="宋体"/>
                <w:color w:val="auto"/>
                <w:sz w:val="22"/>
                <w:szCs w:val="22"/>
                <w:highlight w:val="none"/>
              </w:rPr>
            </w:pPr>
          </w:p>
        </w:tc>
      </w:tr>
      <w:tr w14:paraId="42747271">
        <w:tblPrEx>
          <w:tblCellMar>
            <w:top w:w="0" w:type="dxa"/>
            <w:left w:w="108" w:type="dxa"/>
            <w:bottom w:w="0" w:type="dxa"/>
            <w:right w:w="108" w:type="dxa"/>
          </w:tblCellMar>
        </w:tblPrEx>
        <w:trPr>
          <w:cantSplit/>
          <w:trHeight w:val="383" w:hRule="atLeast"/>
        </w:trPr>
        <w:tc>
          <w:tcPr>
            <w:tcW w:w="494" w:type="dxa"/>
            <w:tcBorders>
              <w:top w:val="single" w:color="auto" w:sz="6" w:space="0"/>
              <w:left w:val="single" w:color="auto" w:sz="12" w:space="0"/>
              <w:bottom w:val="single" w:color="auto" w:sz="6" w:space="0"/>
              <w:right w:val="single" w:color="auto" w:sz="6" w:space="0"/>
            </w:tcBorders>
            <w:vAlign w:val="center"/>
          </w:tcPr>
          <w:p w14:paraId="561AFD0D">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1882" w:type="dxa"/>
            <w:tcBorders>
              <w:top w:val="single" w:color="auto" w:sz="6" w:space="0"/>
              <w:left w:val="single" w:color="auto" w:sz="6" w:space="0"/>
              <w:bottom w:val="single" w:color="auto" w:sz="6" w:space="0"/>
              <w:right w:val="single" w:color="auto" w:sz="6" w:space="0"/>
            </w:tcBorders>
          </w:tcPr>
          <w:p w14:paraId="69AD7EBC">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871" w:type="dxa"/>
            <w:tcBorders>
              <w:top w:val="single" w:color="auto" w:sz="6" w:space="0"/>
              <w:left w:val="single" w:color="auto" w:sz="6" w:space="0"/>
              <w:bottom w:val="single" w:color="auto" w:sz="6" w:space="0"/>
              <w:right w:val="single" w:color="auto" w:sz="4" w:space="0"/>
            </w:tcBorders>
            <w:vAlign w:val="center"/>
          </w:tcPr>
          <w:p w14:paraId="7BB3DBC9">
            <w:pPr>
              <w:jc w:val="center"/>
              <w:rPr>
                <w:rFonts w:ascii="宋体" w:hAnsi="宋体" w:cs="宋体"/>
                <w:b/>
                <w:bCs/>
                <w:color w:val="auto"/>
                <w:sz w:val="22"/>
                <w:szCs w:val="22"/>
                <w:highlight w:val="none"/>
              </w:rPr>
            </w:pPr>
          </w:p>
        </w:tc>
        <w:tc>
          <w:tcPr>
            <w:tcW w:w="1087" w:type="dxa"/>
            <w:tcBorders>
              <w:top w:val="single" w:color="auto" w:sz="6" w:space="0"/>
              <w:left w:val="nil"/>
              <w:bottom w:val="single" w:color="auto" w:sz="6" w:space="0"/>
              <w:right w:val="single" w:color="auto" w:sz="4" w:space="0"/>
            </w:tcBorders>
            <w:vAlign w:val="center"/>
          </w:tcPr>
          <w:p w14:paraId="48C54F57">
            <w:pPr>
              <w:jc w:val="center"/>
              <w:rPr>
                <w:rFonts w:ascii="宋体" w:hAnsi="宋体" w:cs="宋体"/>
                <w:b/>
                <w:bCs/>
                <w:color w:val="auto"/>
                <w:sz w:val="22"/>
                <w:szCs w:val="22"/>
                <w:highlight w:val="none"/>
              </w:rPr>
            </w:pPr>
          </w:p>
        </w:tc>
        <w:tc>
          <w:tcPr>
            <w:tcW w:w="1154" w:type="dxa"/>
            <w:tcBorders>
              <w:top w:val="single" w:color="auto" w:sz="6" w:space="0"/>
              <w:left w:val="nil"/>
              <w:bottom w:val="single" w:color="auto" w:sz="6" w:space="0"/>
              <w:right w:val="single" w:color="auto" w:sz="6" w:space="0"/>
            </w:tcBorders>
            <w:vAlign w:val="center"/>
          </w:tcPr>
          <w:p w14:paraId="064D9850">
            <w:pPr>
              <w:jc w:val="center"/>
              <w:rPr>
                <w:rFonts w:ascii="宋体" w:hAnsi="宋体" w:cs="宋体"/>
                <w:b/>
                <w:bCs/>
                <w:color w:val="auto"/>
                <w:sz w:val="22"/>
                <w:szCs w:val="22"/>
                <w:highlight w:val="none"/>
              </w:rPr>
            </w:pPr>
          </w:p>
        </w:tc>
        <w:tc>
          <w:tcPr>
            <w:tcW w:w="1262" w:type="dxa"/>
            <w:tcBorders>
              <w:top w:val="single" w:color="auto" w:sz="6" w:space="0"/>
              <w:left w:val="single" w:color="auto" w:sz="6" w:space="0"/>
              <w:bottom w:val="single" w:color="auto" w:sz="6" w:space="0"/>
              <w:right w:val="single" w:color="auto" w:sz="6" w:space="0"/>
            </w:tcBorders>
            <w:vAlign w:val="center"/>
          </w:tcPr>
          <w:p w14:paraId="5BD2380D">
            <w:pPr>
              <w:jc w:val="center"/>
              <w:rPr>
                <w:rFonts w:ascii="宋体" w:hAnsi="宋体" w:cs="宋体"/>
                <w:b/>
                <w:bCs/>
                <w:color w:val="auto"/>
                <w:sz w:val="22"/>
                <w:szCs w:val="22"/>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267C977">
            <w:pPr>
              <w:jc w:val="center"/>
              <w:rPr>
                <w:rFonts w:ascii="宋体" w:hAnsi="宋体" w:cs="宋体"/>
                <w:b/>
                <w:bCs/>
                <w:color w:val="auto"/>
                <w:sz w:val="22"/>
                <w:szCs w:val="22"/>
                <w:highlight w:val="none"/>
              </w:rPr>
            </w:pPr>
          </w:p>
        </w:tc>
        <w:tc>
          <w:tcPr>
            <w:tcW w:w="1245" w:type="dxa"/>
            <w:tcBorders>
              <w:top w:val="single" w:color="auto" w:sz="6" w:space="0"/>
              <w:left w:val="single" w:color="auto" w:sz="6" w:space="0"/>
              <w:bottom w:val="single" w:color="auto" w:sz="6" w:space="0"/>
              <w:right w:val="single" w:color="auto" w:sz="12" w:space="0"/>
            </w:tcBorders>
            <w:vAlign w:val="center"/>
          </w:tcPr>
          <w:p w14:paraId="0341501B">
            <w:pPr>
              <w:jc w:val="center"/>
              <w:rPr>
                <w:rFonts w:ascii="宋体" w:hAnsi="宋体" w:cs="宋体"/>
                <w:color w:val="auto"/>
                <w:sz w:val="22"/>
                <w:szCs w:val="22"/>
                <w:highlight w:val="none"/>
              </w:rPr>
            </w:pPr>
          </w:p>
        </w:tc>
        <w:tc>
          <w:tcPr>
            <w:tcW w:w="1019" w:type="dxa"/>
            <w:tcBorders>
              <w:top w:val="single" w:color="auto" w:sz="6" w:space="0"/>
              <w:left w:val="single" w:color="auto" w:sz="6" w:space="0"/>
              <w:bottom w:val="single" w:color="auto" w:sz="6" w:space="0"/>
              <w:right w:val="single" w:color="auto" w:sz="12" w:space="0"/>
            </w:tcBorders>
            <w:vAlign w:val="center"/>
          </w:tcPr>
          <w:p w14:paraId="18B591D8">
            <w:pPr>
              <w:jc w:val="center"/>
              <w:rPr>
                <w:rFonts w:ascii="宋体" w:hAnsi="宋体" w:cs="宋体"/>
                <w:color w:val="auto"/>
                <w:sz w:val="22"/>
                <w:szCs w:val="22"/>
                <w:highlight w:val="none"/>
              </w:rPr>
            </w:pPr>
          </w:p>
        </w:tc>
      </w:tr>
      <w:tr w14:paraId="3521624B">
        <w:tblPrEx>
          <w:tblCellMar>
            <w:top w:w="0" w:type="dxa"/>
            <w:left w:w="108" w:type="dxa"/>
            <w:bottom w:w="0" w:type="dxa"/>
            <w:right w:w="108" w:type="dxa"/>
          </w:tblCellMar>
        </w:tblPrEx>
        <w:trPr>
          <w:cantSplit/>
          <w:trHeight w:val="383" w:hRule="atLeast"/>
        </w:trPr>
        <w:tc>
          <w:tcPr>
            <w:tcW w:w="494" w:type="dxa"/>
            <w:tcBorders>
              <w:top w:val="single" w:color="auto" w:sz="6" w:space="0"/>
              <w:left w:val="single" w:color="auto" w:sz="12" w:space="0"/>
              <w:bottom w:val="single" w:color="auto" w:sz="6" w:space="0"/>
              <w:right w:val="single" w:color="auto" w:sz="6" w:space="0"/>
            </w:tcBorders>
            <w:vAlign w:val="center"/>
          </w:tcPr>
          <w:p w14:paraId="6F8BF252">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6</w:t>
            </w:r>
          </w:p>
        </w:tc>
        <w:tc>
          <w:tcPr>
            <w:tcW w:w="1882" w:type="dxa"/>
            <w:tcBorders>
              <w:top w:val="single" w:color="auto" w:sz="6" w:space="0"/>
              <w:left w:val="single" w:color="auto" w:sz="6" w:space="0"/>
              <w:bottom w:val="single" w:color="auto" w:sz="6" w:space="0"/>
              <w:right w:val="single" w:color="auto" w:sz="6" w:space="0"/>
            </w:tcBorders>
          </w:tcPr>
          <w:p w14:paraId="22C7820C">
            <w:pPr>
              <w:widowControl/>
              <w:jc w:val="center"/>
              <w:rPr>
                <w:rFonts w:ascii="宋体" w:hAnsi="宋体" w:cs="宋体"/>
                <w:color w:val="auto"/>
                <w:kern w:val="0"/>
                <w:sz w:val="22"/>
                <w:szCs w:val="22"/>
                <w:highlight w:val="none"/>
              </w:rPr>
            </w:pPr>
          </w:p>
        </w:tc>
        <w:tc>
          <w:tcPr>
            <w:tcW w:w="871" w:type="dxa"/>
            <w:tcBorders>
              <w:top w:val="single" w:color="auto" w:sz="6" w:space="0"/>
              <w:left w:val="single" w:color="auto" w:sz="6" w:space="0"/>
              <w:bottom w:val="single" w:color="auto" w:sz="6" w:space="0"/>
              <w:right w:val="single" w:color="auto" w:sz="4" w:space="0"/>
            </w:tcBorders>
            <w:vAlign w:val="center"/>
          </w:tcPr>
          <w:p w14:paraId="64F716DF">
            <w:pPr>
              <w:jc w:val="center"/>
              <w:rPr>
                <w:rFonts w:ascii="宋体" w:hAnsi="宋体" w:cs="宋体"/>
                <w:b/>
                <w:bCs/>
                <w:color w:val="auto"/>
                <w:sz w:val="22"/>
                <w:szCs w:val="22"/>
                <w:highlight w:val="none"/>
              </w:rPr>
            </w:pPr>
          </w:p>
        </w:tc>
        <w:tc>
          <w:tcPr>
            <w:tcW w:w="1087" w:type="dxa"/>
            <w:tcBorders>
              <w:top w:val="single" w:color="auto" w:sz="6" w:space="0"/>
              <w:left w:val="nil"/>
              <w:bottom w:val="single" w:color="auto" w:sz="6" w:space="0"/>
              <w:right w:val="single" w:color="auto" w:sz="4" w:space="0"/>
            </w:tcBorders>
            <w:vAlign w:val="center"/>
          </w:tcPr>
          <w:p w14:paraId="05B81F90">
            <w:pPr>
              <w:jc w:val="center"/>
              <w:rPr>
                <w:rFonts w:ascii="宋体" w:hAnsi="宋体" w:cs="宋体"/>
                <w:b/>
                <w:bCs/>
                <w:color w:val="auto"/>
                <w:sz w:val="22"/>
                <w:szCs w:val="22"/>
                <w:highlight w:val="none"/>
              </w:rPr>
            </w:pPr>
          </w:p>
        </w:tc>
        <w:tc>
          <w:tcPr>
            <w:tcW w:w="1154" w:type="dxa"/>
            <w:tcBorders>
              <w:top w:val="single" w:color="auto" w:sz="6" w:space="0"/>
              <w:left w:val="nil"/>
              <w:bottom w:val="single" w:color="auto" w:sz="6" w:space="0"/>
              <w:right w:val="single" w:color="auto" w:sz="6" w:space="0"/>
            </w:tcBorders>
            <w:vAlign w:val="center"/>
          </w:tcPr>
          <w:p w14:paraId="42C29985">
            <w:pPr>
              <w:jc w:val="center"/>
              <w:rPr>
                <w:rFonts w:ascii="宋体" w:hAnsi="宋体" w:cs="宋体"/>
                <w:b/>
                <w:bCs/>
                <w:color w:val="auto"/>
                <w:sz w:val="22"/>
                <w:szCs w:val="22"/>
                <w:highlight w:val="none"/>
              </w:rPr>
            </w:pPr>
          </w:p>
        </w:tc>
        <w:tc>
          <w:tcPr>
            <w:tcW w:w="1262" w:type="dxa"/>
            <w:tcBorders>
              <w:top w:val="single" w:color="auto" w:sz="6" w:space="0"/>
              <w:left w:val="single" w:color="auto" w:sz="6" w:space="0"/>
              <w:bottom w:val="single" w:color="auto" w:sz="6" w:space="0"/>
              <w:right w:val="single" w:color="auto" w:sz="6" w:space="0"/>
            </w:tcBorders>
            <w:vAlign w:val="center"/>
          </w:tcPr>
          <w:p w14:paraId="05AC5485">
            <w:pPr>
              <w:jc w:val="center"/>
              <w:rPr>
                <w:rFonts w:ascii="宋体" w:hAnsi="宋体" w:cs="宋体"/>
                <w:b/>
                <w:bCs/>
                <w:color w:val="auto"/>
                <w:sz w:val="22"/>
                <w:szCs w:val="22"/>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D554F99">
            <w:pPr>
              <w:jc w:val="center"/>
              <w:rPr>
                <w:rFonts w:ascii="宋体" w:hAnsi="宋体" w:cs="宋体"/>
                <w:b/>
                <w:bCs/>
                <w:color w:val="auto"/>
                <w:sz w:val="22"/>
                <w:szCs w:val="22"/>
                <w:highlight w:val="none"/>
              </w:rPr>
            </w:pPr>
          </w:p>
        </w:tc>
        <w:tc>
          <w:tcPr>
            <w:tcW w:w="1245" w:type="dxa"/>
            <w:tcBorders>
              <w:top w:val="single" w:color="auto" w:sz="6" w:space="0"/>
              <w:left w:val="single" w:color="auto" w:sz="6" w:space="0"/>
              <w:bottom w:val="single" w:color="auto" w:sz="6" w:space="0"/>
              <w:right w:val="single" w:color="auto" w:sz="12" w:space="0"/>
            </w:tcBorders>
            <w:vAlign w:val="center"/>
          </w:tcPr>
          <w:p w14:paraId="31E3662C">
            <w:pPr>
              <w:jc w:val="center"/>
              <w:rPr>
                <w:rFonts w:ascii="宋体" w:hAnsi="宋体" w:cs="宋体"/>
                <w:color w:val="auto"/>
                <w:sz w:val="22"/>
                <w:szCs w:val="22"/>
                <w:highlight w:val="none"/>
              </w:rPr>
            </w:pPr>
          </w:p>
        </w:tc>
        <w:tc>
          <w:tcPr>
            <w:tcW w:w="1019" w:type="dxa"/>
            <w:tcBorders>
              <w:top w:val="single" w:color="auto" w:sz="6" w:space="0"/>
              <w:left w:val="single" w:color="auto" w:sz="6" w:space="0"/>
              <w:bottom w:val="single" w:color="auto" w:sz="6" w:space="0"/>
              <w:right w:val="single" w:color="auto" w:sz="12" w:space="0"/>
            </w:tcBorders>
            <w:vAlign w:val="center"/>
          </w:tcPr>
          <w:p w14:paraId="2B6E2F10">
            <w:pPr>
              <w:jc w:val="center"/>
              <w:rPr>
                <w:rFonts w:ascii="宋体" w:hAnsi="宋体" w:cs="宋体"/>
                <w:color w:val="auto"/>
                <w:sz w:val="22"/>
                <w:szCs w:val="22"/>
                <w:highlight w:val="none"/>
              </w:rPr>
            </w:pPr>
          </w:p>
        </w:tc>
      </w:tr>
      <w:tr w14:paraId="1EB2D025">
        <w:tblPrEx>
          <w:tblCellMar>
            <w:top w:w="0" w:type="dxa"/>
            <w:left w:w="108" w:type="dxa"/>
            <w:bottom w:w="0" w:type="dxa"/>
            <w:right w:w="108" w:type="dxa"/>
          </w:tblCellMar>
        </w:tblPrEx>
        <w:trPr>
          <w:cantSplit/>
          <w:trHeight w:val="398" w:hRule="atLeast"/>
        </w:trPr>
        <w:tc>
          <w:tcPr>
            <w:tcW w:w="494" w:type="dxa"/>
            <w:tcBorders>
              <w:top w:val="single" w:color="auto" w:sz="6" w:space="0"/>
              <w:left w:val="single" w:color="auto" w:sz="12" w:space="0"/>
              <w:bottom w:val="single" w:color="auto" w:sz="6" w:space="0"/>
              <w:right w:val="single" w:color="auto" w:sz="6" w:space="0"/>
            </w:tcBorders>
            <w:vAlign w:val="center"/>
          </w:tcPr>
          <w:p w14:paraId="0D74D19F">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882" w:type="dxa"/>
            <w:tcBorders>
              <w:top w:val="single" w:color="auto" w:sz="6" w:space="0"/>
              <w:left w:val="single" w:color="auto" w:sz="6" w:space="0"/>
              <w:bottom w:val="single" w:color="auto" w:sz="6" w:space="0"/>
              <w:right w:val="single" w:color="auto" w:sz="6" w:space="0"/>
            </w:tcBorders>
          </w:tcPr>
          <w:p w14:paraId="3236969E">
            <w:pPr>
              <w:widowControl/>
              <w:jc w:val="center"/>
              <w:rPr>
                <w:rFonts w:ascii="宋体" w:hAnsi="宋体" w:cs="宋体"/>
                <w:color w:val="auto"/>
                <w:kern w:val="0"/>
                <w:sz w:val="22"/>
                <w:szCs w:val="22"/>
                <w:highlight w:val="none"/>
              </w:rPr>
            </w:pPr>
          </w:p>
        </w:tc>
        <w:tc>
          <w:tcPr>
            <w:tcW w:w="871" w:type="dxa"/>
            <w:tcBorders>
              <w:top w:val="single" w:color="auto" w:sz="6" w:space="0"/>
              <w:left w:val="single" w:color="auto" w:sz="6" w:space="0"/>
              <w:bottom w:val="single" w:color="auto" w:sz="6" w:space="0"/>
              <w:right w:val="single" w:color="auto" w:sz="4" w:space="0"/>
            </w:tcBorders>
            <w:vAlign w:val="center"/>
          </w:tcPr>
          <w:p w14:paraId="41578DDA">
            <w:pPr>
              <w:jc w:val="center"/>
              <w:rPr>
                <w:rFonts w:ascii="宋体" w:hAnsi="宋体" w:cs="宋体"/>
                <w:b/>
                <w:bCs/>
                <w:color w:val="auto"/>
                <w:sz w:val="22"/>
                <w:szCs w:val="22"/>
                <w:highlight w:val="none"/>
              </w:rPr>
            </w:pPr>
          </w:p>
        </w:tc>
        <w:tc>
          <w:tcPr>
            <w:tcW w:w="1087" w:type="dxa"/>
            <w:tcBorders>
              <w:top w:val="single" w:color="auto" w:sz="6" w:space="0"/>
              <w:left w:val="nil"/>
              <w:bottom w:val="single" w:color="auto" w:sz="6" w:space="0"/>
              <w:right w:val="single" w:color="auto" w:sz="4" w:space="0"/>
            </w:tcBorders>
            <w:vAlign w:val="center"/>
          </w:tcPr>
          <w:p w14:paraId="2C148E87">
            <w:pPr>
              <w:jc w:val="center"/>
              <w:rPr>
                <w:rFonts w:ascii="宋体" w:hAnsi="宋体" w:cs="宋体"/>
                <w:b/>
                <w:bCs/>
                <w:color w:val="auto"/>
                <w:sz w:val="22"/>
                <w:szCs w:val="22"/>
                <w:highlight w:val="none"/>
              </w:rPr>
            </w:pPr>
          </w:p>
        </w:tc>
        <w:tc>
          <w:tcPr>
            <w:tcW w:w="1154" w:type="dxa"/>
            <w:tcBorders>
              <w:top w:val="single" w:color="auto" w:sz="6" w:space="0"/>
              <w:left w:val="nil"/>
              <w:bottom w:val="single" w:color="auto" w:sz="6" w:space="0"/>
              <w:right w:val="single" w:color="auto" w:sz="6" w:space="0"/>
            </w:tcBorders>
            <w:vAlign w:val="center"/>
          </w:tcPr>
          <w:p w14:paraId="25C912F5">
            <w:pPr>
              <w:jc w:val="center"/>
              <w:rPr>
                <w:rFonts w:ascii="宋体" w:hAnsi="宋体" w:cs="宋体"/>
                <w:b/>
                <w:bCs/>
                <w:color w:val="auto"/>
                <w:sz w:val="22"/>
                <w:szCs w:val="22"/>
                <w:highlight w:val="none"/>
              </w:rPr>
            </w:pPr>
          </w:p>
        </w:tc>
        <w:tc>
          <w:tcPr>
            <w:tcW w:w="1262" w:type="dxa"/>
            <w:tcBorders>
              <w:top w:val="single" w:color="auto" w:sz="6" w:space="0"/>
              <w:left w:val="single" w:color="auto" w:sz="6" w:space="0"/>
              <w:bottom w:val="single" w:color="auto" w:sz="6" w:space="0"/>
              <w:right w:val="single" w:color="auto" w:sz="6" w:space="0"/>
            </w:tcBorders>
            <w:vAlign w:val="center"/>
          </w:tcPr>
          <w:p w14:paraId="02E62E99">
            <w:pPr>
              <w:jc w:val="center"/>
              <w:rPr>
                <w:rFonts w:ascii="宋体" w:hAnsi="宋体" w:cs="宋体"/>
                <w:b/>
                <w:bCs/>
                <w:color w:val="auto"/>
                <w:sz w:val="22"/>
                <w:szCs w:val="22"/>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B081D18">
            <w:pPr>
              <w:jc w:val="center"/>
              <w:rPr>
                <w:rFonts w:ascii="宋体" w:hAnsi="宋体" w:cs="宋体"/>
                <w:b/>
                <w:bCs/>
                <w:color w:val="auto"/>
                <w:sz w:val="22"/>
                <w:szCs w:val="22"/>
                <w:highlight w:val="none"/>
              </w:rPr>
            </w:pPr>
          </w:p>
        </w:tc>
        <w:tc>
          <w:tcPr>
            <w:tcW w:w="1245" w:type="dxa"/>
            <w:tcBorders>
              <w:top w:val="single" w:color="auto" w:sz="6" w:space="0"/>
              <w:left w:val="single" w:color="auto" w:sz="6" w:space="0"/>
              <w:bottom w:val="single" w:color="auto" w:sz="6" w:space="0"/>
              <w:right w:val="single" w:color="auto" w:sz="12" w:space="0"/>
            </w:tcBorders>
            <w:vAlign w:val="center"/>
          </w:tcPr>
          <w:p w14:paraId="7090558C">
            <w:pPr>
              <w:jc w:val="center"/>
              <w:rPr>
                <w:rFonts w:ascii="宋体" w:hAnsi="宋体" w:cs="宋体"/>
                <w:color w:val="auto"/>
                <w:sz w:val="22"/>
                <w:szCs w:val="22"/>
                <w:highlight w:val="none"/>
              </w:rPr>
            </w:pPr>
          </w:p>
        </w:tc>
        <w:tc>
          <w:tcPr>
            <w:tcW w:w="1019" w:type="dxa"/>
            <w:tcBorders>
              <w:top w:val="single" w:color="auto" w:sz="6" w:space="0"/>
              <w:left w:val="single" w:color="auto" w:sz="6" w:space="0"/>
              <w:bottom w:val="single" w:color="auto" w:sz="6" w:space="0"/>
              <w:right w:val="single" w:color="auto" w:sz="12" w:space="0"/>
            </w:tcBorders>
            <w:vAlign w:val="center"/>
          </w:tcPr>
          <w:p w14:paraId="03FE1BAD">
            <w:pPr>
              <w:jc w:val="center"/>
              <w:rPr>
                <w:rFonts w:ascii="宋体" w:hAnsi="宋体" w:cs="宋体"/>
                <w:color w:val="auto"/>
                <w:sz w:val="22"/>
                <w:szCs w:val="22"/>
                <w:highlight w:val="none"/>
              </w:rPr>
            </w:pPr>
          </w:p>
        </w:tc>
      </w:tr>
    </w:tbl>
    <w:p w14:paraId="35C9C675">
      <w:pPr>
        <w:pStyle w:val="7"/>
        <w:spacing w:line="334" w:lineRule="exact"/>
        <w:ind w:firstLine="0"/>
        <w:jc w:val="left"/>
        <w:rPr>
          <w:rFonts w:ascii="宋体" w:hAnsi="宋体" w:cs="宋体"/>
          <w:color w:val="auto"/>
          <w:sz w:val="22"/>
          <w:szCs w:val="22"/>
          <w:highlight w:val="none"/>
        </w:rPr>
      </w:pPr>
      <w:r>
        <w:rPr>
          <w:rFonts w:hint="eastAsia" w:ascii="宋体" w:hAnsi="宋体" w:cs="宋体"/>
          <w:color w:val="auto"/>
          <w:sz w:val="22"/>
          <w:szCs w:val="22"/>
          <w:highlight w:val="none"/>
        </w:rPr>
        <w:t>注： 1、本表所列为投标人拟投入的已有的保洁机械化作业机具，附设备照片、发票、车辆行驶证等证明材料加盖公章）及项目实施所需要的设备及工具。</w:t>
      </w:r>
    </w:p>
    <w:p w14:paraId="0CEEB473">
      <w:pPr>
        <w:pStyle w:val="7"/>
        <w:spacing w:line="334" w:lineRule="exact"/>
        <w:ind w:firstLine="0"/>
        <w:jc w:val="left"/>
        <w:rPr>
          <w:rFonts w:ascii="宋体" w:hAnsi="宋体" w:cs="宋体"/>
          <w:color w:val="auto"/>
          <w:sz w:val="22"/>
          <w:szCs w:val="22"/>
          <w:highlight w:val="none"/>
        </w:rPr>
      </w:pPr>
      <w:r>
        <w:rPr>
          <w:rFonts w:hint="eastAsia" w:ascii="宋体" w:hAnsi="宋体" w:cs="宋体"/>
          <w:color w:val="auto"/>
          <w:sz w:val="22"/>
          <w:szCs w:val="22"/>
          <w:highlight w:val="none"/>
        </w:rPr>
        <w:t>2、中标后如经采购人同意，中标供应商可以用优于投标车辆品牌、参数的车辆以新换旧、以优换次来替代投标时投入的车辆，但最终投入进场的车辆须专车专用，只用于本项目，未经采购人同意不得自行变更或另用他处。</w:t>
      </w:r>
    </w:p>
    <w:p w14:paraId="63EAE5DF">
      <w:pPr>
        <w:pStyle w:val="7"/>
        <w:spacing w:line="334" w:lineRule="exact"/>
        <w:ind w:firstLine="0"/>
        <w:jc w:val="left"/>
        <w:rPr>
          <w:rFonts w:ascii="宋体" w:hAnsi="宋体" w:cs="宋体"/>
          <w:color w:val="auto"/>
          <w:sz w:val="22"/>
          <w:szCs w:val="22"/>
          <w:highlight w:val="none"/>
        </w:rPr>
      </w:pPr>
      <w:r>
        <w:rPr>
          <w:rFonts w:hint="eastAsia" w:ascii="宋体" w:hAnsi="宋体" w:cs="宋体"/>
          <w:color w:val="auto"/>
          <w:sz w:val="22"/>
          <w:szCs w:val="22"/>
          <w:highlight w:val="none"/>
        </w:rPr>
        <w:t>3、此表仅提供了表格形式，投标人应根据需要准备足够数量的表格来填写。</w:t>
      </w:r>
    </w:p>
    <w:p w14:paraId="46541336">
      <w:pPr>
        <w:pStyle w:val="7"/>
        <w:spacing w:line="334" w:lineRule="exact"/>
        <w:ind w:firstLine="0"/>
        <w:jc w:val="left"/>
        <w:rPr>
          <w:rFonts w:ascii="宋体" w:hAnsi="宋体" w:cs="宋体"/>
          <w:color w:val="auto"/>
          <w:sz w:val="22"/>
          <w:szCs w:val="22"/>
          <w:highlight w:val="none"/>
        </w:rPr>
      </w:pPr>
      <w:r>
        <w:rPr>
          <w:rFonts w:hint="eastAsia" w:ascii="宋体" w:hAnsi="宋体" w:cs="宋体"/>
          <w:color w:val="auto"/>
          <w:sz w:val="22"/>
          <w:szCs w:val="22"/>
          <w:highlight w:val="none"/>
        </w:rPr>
        <w:t>4、中标后必须按要求时间全部到位。</w:t>
      </w:r>
    </w:p>
    <w:p w14:paraId="0CDFE509">
      <w:pPr>
        <w:adjustRightInd w:val="0"/>
        <w:snapToGrid w:val="0"/>
        <w:spacing w:line="360" w:lineRule="auto"/>
        <w:ind w:left="560" w:leftChars="200" w:firstLine="330" w:firstLineChars="150"/>
        <w:jc w:val="right"/>
        <w:rPr>
          <w:rFonts w:ascii="宋体" w:hAnsi="宋体" w:cs="宋体"/>
          <w:color w:val="auto"/>
          <w:sz w:val="22"/>
          <w:szCs w:val="22"/>
          <w:highlight w:val="none"/>
        </w:rPr>
      </w:pPr>
    </w:p>
    <w:p w14:paraId="11D278E1">
      <w:pPr>
        <w:adjustRightInd w:val="0"/>
        <w:snapToGrid w:val="0"/>
        <w:spacing w:line="360" w:lineRule="auto"/>
        <w:ind w:left="560" w:leftChars="200" w:firstLine="330" w:firstLineChars="150"/>
        <w:jc w:val="right"/>
        <w:rPr>
          <w:rFonts w:ascii="宋体" w:hAnsi="宋体" w:cs="宋体"/>
          <w:color w:val="auto"/>
          <w:sz w:val="22"/>
          <w:szCs w:val="22"/>
          <w:highlight w:val="none"/>
        </w:rPr>
      </w:pPr>
    </w:p>
    <w:p w14:paraId="7743494A">
      <w:pPr>
        <w:adjustRightInd w:val="0"/>
        <w:snapToGrid w:val="0"/>
        <w:spacing w:line="360" w:lineRule="auto"/>
        <w:ind w:left="560" w:leftChars="200" w:firstLine="330" w:firstLineChars="15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投标人全称（盖章）：                  </w:t>
      </w:r>
    </w:p>
    <w:p w14:paraId="01B8BCC3">
      <w:pPr>
        <w:adjustRightInd w:val="0"/>
        <w:snapToGrid w:val="0"/>
        <w:spacing w:line="360" w:lineRule="auto"/>
        <w:ind w:left="560" w:leftChars="200" w:firstLine="330" w:firstLineChars="150"/>
        <w:jc w:val="right"/>
        <w:rPr>
          <w:rFonts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62E038D2">
      <w:pPr>
        <w:adjustRightInd w:val="0"/>
        <w:snapToGrid w:val="0"/>
        <w:spacing w:line="360" w:lineRule="auto"/>
        <w:ind w:left="560" w:leftChars="200" w:firstLine="4730" w:firstLineChars="2150"/>
        <w:jc w:val="right"/>
        <w:rPr>
          <w:rFonts w:ascii="宋体" w:hAnsi="宋体" w:cs="宋体"/>
          <w:color w:val="auto"/>
          <w:sz w:val="22"/>
          <w:szCs w:val="22"/>
          <w:highlight w:val="none"/>
        </w:rPr>
      </w:pPr>
      <w:r>
        <w:rPr>
          <w:rFonts w:hint="eastAsia" w:ascii="宋体" w:hAnsi="宋体" w:cs="宋体"/>
          <w:color w:val="auto"/>
          <w:sz w:val="22"/>
          <w:szCs w:val="22"/>
          <w:highlight w:val="none"/>
        </w:rPr>
        <w:t xml:space="preserve">     年  月  日</w:t>
      </w:r>
    </w:p>
    <w:p w14:paraId="0439A5A7">
      <w:pPr>
        <w:spacing w:line="360" w:lineRule="auto"/>
        <w:jc w:val="center"/>
        <w:rPr>
          <w:rFonts w:ascii="宋体" w:hAnsi="宋体" w:cs="宋体"/>
          <w:b/>
          <w:bCs/>
          <w:color w:val="auto"/>
          <w:szCs w:val="28"/>
          <w:highlight w:val="none"/>
        </w:rPr>
      </w:pPr>
    </w:p>
    <w:p w14:paraId="181084B9">
      <w:pPr>
        <w:spacing w:line="480" w:lineRule="exact"/>
        <w:jc w:val="center"/>
        <w:rPr>
          <w:rFonts w:ascii="宋体" w:hAnsi="宋体" w:cs="宋体"/>
          <w:b/>
          <w:bCs/>
          <w:color w:val="auto"/>
          <w:szCs w:val="28"/>
          <w:highlight w:val="none"/>
        </w:rPr>
        <w:sectPr>
          <w:footerReference r:id="rId16" w:type="default"/>
          <w:pgSz w:w="11907" w:h="16840"/>
          <w:pgMar w:top="1134" w:right="1247" w:bottom="1191" w:left="1128" w:header="851" w:footer="992" w:gutter="0"/>
          <w:cols w:space="720" w:num="1"/>
          <w:docGrid w:linePitch="381" w:charSpace="0"/>
        </w:sectPr>
      </w:pPr>
    </w:p>
    <w:p w14:paraId="0DB00B2A">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人员配置承诺函</w:t>
      </w:r>
    </w:p>
    <w:p w14:paraId="0A731E00">
      <w:pPr>
        <w:pStyle w:val="32"/>
        <w:spacing w:line="480" w:lineRule="exact"/>
        <w:ind w:firstLine="0" w:firstLineChars="0"/>
        <w:rPr>
          <w:rFonts w:ascii="宋体" w:hAnsi="宋体" w:cs="宋体"/>
          <w:color w:val="auto"/>
          <w:sz w:val="24"/>
          <w:szCs w:val="24"/>
          <w:highlight w:val="none"/>
        </w:rPr>
      </w:pPr>
    </w:p>
    <w:p w14:paraId="3F9F2808">
      <w:pPr>
        <w:pStyle w:val="32"/>
        <w:spacing w:line="480" w:lineRule="exact"/>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致：湖州市人民政府滨湖街道办事处</w:t>
      </w:r>
    </w:p>
    <w:p w14:paraId="4D4A0EB8">
      <w:pPr>
        <w:pStyle w:val="32"/>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 xml:space="preserve">自愿参与 </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eastAsia="zh-CN"/>
        </w:rPr>
        <w:t>、标段</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采购活动，根据招标文件要求，我公司承诺如中标后，按招标文件要求配备作业人员，同时作业时间保证满足采购人的要求。</w:t>
      </w:r>
    </w:p>
    <w:p w14:paraId="3628526C">
      <w:pPr>
        <w:pStyle w:val="32"/>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 特此承诺。 </w:t>
      </w:r>
    </w:p>
    <w:p w14:paraId="6489E75B">
      <w:pPr>
        <w:spacing w:line="480" w:lineRule="exact"/>
        <w:rPr>
          <w:rFonts w:ascii="宋体" w:hAnsi="宋体" w:cs="宋体"/>
          <w:color w:val="auto"/>
          <w:sz w:val="24"/>
          <w:highlight w:val="none"/>
        </w:rPr>
      </w:pPr>
    </w:p>
    <w:p w14:paraId="5E0CAD44">
      <w:pPr>
        <w:spacing w:line="480" w:lineRule="exact"/>
        <w:rPr>
          <w:rFonts w:ascii="宋体" w:hAnsi="宋体" w:cs="宋体"/>
          <w:b/>
          <w:bCs/>
          <w:color w:val="auto"/>
          <w:sz w:val="24"/>
          <w:highlight w:val="none"/>
        </w:rPr>
      </w:pPr>
    </w:p>
    <w:p w14:paraId="1DEB2D28">
      <w:pPr>
        <w:pStyle w:val="7"/>
        <w:spacing w:line="480" w:lineRule="exact"/>
        <w:ind w:firstLine="0"/>
        <w:rPr>
          <w:rFonts w:ascii="宋体" w:hAnsi="宋体" w:cs="宋体"/>
          <w:color w:val="auto"/>
          <w:sz w:val="24"/>
          <w:szCs w:val="24"/>
          <w:highlight w:val="none"/>
        </w:rPr>
      </w:pPr>
    </w:p>
    <w:p w14:paraId="2FF73288">
      <w:pPr>
        <w:pStyle w:val="7"/>
        <w:spacing w:line="480" w:lineRule="exact"/>
        <w:ind w:firstLine="0"/>
        <w:rPr>
          <w:rFonts w:ascii="宋体" w:hAnsi="宋体" w:cs="宋体"/>
          <w:color w:val="auto"/>
          <w:sz w:val="24"/>
          <w:szCs w:val="24"/>
          <w:highlight w:val="none"/>
        </w:rPr>
      </w:pPr>
      <w:r>
        <w:rPr>
          <w:rFonts w:hint="eastAsia" w:ascii="宋体" w:hAnsi="宋体" w:cs="宋体"/>
          <w:color w:val="auto"/>
          <w:sz w:val="24"/>
          <w:szCs w:val="24"/>
          <w:highlight w:val="none"/>
        </w:rPr>
        <w:t>投标供应商：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（盖章）</w:t>
      </w:r>
    </w:p>
    <w:p w14:paraId="44841698">
      <w:pPr>
        <w:pStyle w:val="7"/>
        <w:spacing w:line="480" w:lineRule="exact"/>
        <w:ind w:firstLine="0"/>
        <w:rPr>
          <w:rFonts w:ascii="宋体" w:hAnsi="宋体" w:cs="宋体"/>
          <w:color w:val="auto"/>
          <w:sz w:val="24"/>
          <w:szCs w:val="24"/>
          <w:highlight w:val="none"/>
        </w:rPr>
      </w:pPr>
      <w:r>
        <w:rPr>
          <w:rFonts w:hint="eastAsia" w:ascii="宋体" w:hAnsi="宋体" w:cs="宋体"/>
          <w:color w:val="auto"/>
          <w:sz w:val="24"/>
          <w:szCs w:val="24"/>
          <w:highlight w:val="none"/>
        </w:rPr>
        <w:t>法定代表人或其授权代理人（签名或盖章）</w:t>
      </w:r>
    </w:p>
    <w:p w14:paraId="548B96BF">
      <w:pPr>
        <w:pStyle w:val="7"/>
        <w:spacing w:line="480" w:lineRule="exact"/>
        <w:ind w:firstLine="0"/>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0B31B2BF">
      <w:pPr>
        <w:spacing w:line="360" w:lineRule="auto"/>
        <w:jc w:val="center"/>
        <w:rPr>
          <w:rFonts w:ascii="宋体" w:hAnsi="宋体" w:cs="宋体"/>
          <w:b/>
          <w:bCs/>
          <w:color w:val="auto"/>
          <w:szCs w:val="28"/>
          <w:highlight w:val="none"/>
        </w:rPr>
      </w:pPr>
    </w:p>
    <w:p w14:paraId="4B1DBA6B">
      <w:pPr>
        <w:spacing w:line="360" w:lineRule="auto"/>
        <w:jc w:val="center"/>
        <w:rPr>
          <w:rFonts w:ascii="宋体" w:hAnsi="宋体" w:cs="宋体"/>
          <w:b/>
          <w:bCs/>
          <w:color w:val="auto"/>
          <w:szCs w:val="28"/>
          <w:highlight w:val="none"/>
        </w:rPr>
      </w:pPr>
    </w:p>
    <w:p w14:paraId="7461350D">
      <w:pPr>
        <w:spacing w:line="360" w:lineRule="auto"/>
        <w:jc w:val="center"/>
        <w:rPr>
          <w:rFonts w:ascii="宋体" w:hAnsi="宋体" w:cs="宋体"/>
          <w:b/>
          <w:bCs/>
          <w:color w:val="auto"/>
          <w:szCs w:val="28"/>
          <w:highlight w:val="none"/>
        </w:rPr>
      </w:pPr>
    </w:p>
    <w:p w14:paraId="21B8263E">
      <w:pPr>
        <w:rPr>
          <w:rFonts w:ascii="宋体" w:hAnsi="宋体" w:cs="宋体"/>
          <w:b/>
          <w:bCs/>
          <w:color w:val="auto"/>
          <w:szCs w:val="28"/>
          <w:highlight w:val="none"/>
        </w:rPr>
      </w:pPr>
      <w:r>
        <w:rPr>
          <w:rFonts w:hint="eastAsia" w:ascii="宋体" w:hAnsi="宋体" w:cs="宋体"/>
          <w:b/>
          <w:bCs/>
          <w:color w:val="auto"/>
          <w:szCs w:val="28"/>
          <w:highlight w:val="none"/>
        </w:rPr>
        <w:br w:type="page"/>
      </w:r>
    </w:p>
    <w:p w14:paraId="7CD4CFD7">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投标函</w:t>
      </w:r>
    </w:p>
    <w:p w14:paraId="3580FD7F">
      <w:pPr>
        <w:autoSpaceDE w:val="0"/>
        <w:autoSpaceDN w:val="0"/>
        <w:adjustRightInd w:val="0"/>
        <w:spacing w:line="500" w:lineRule="exact"/>
        <w:ind w:firstLine="482" w:firstLineChars="201"/>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（招标采购单位）</w:t>
      </w:r>
      <w:r>
        <w:rPr>
          <w:rFonts w:hint="eastAsia" w:ascii="宋体" w:hAnsi="宋体" w:cs="宋体"/>
          <w:color w:val="auto"/>
          <w:sz w:val="24"/>
          <w:highlight w:val="none"/>
        </w:rPr>
        <w:t>：</w:t>
      </w:r>
    </w:p>
    <w:p w14:paraId="59C54D79">
      <w:pPr>
        <w:autoSpaceDE w:val="0"/>
        <w:autoSpaceDN w:val="0"/>
        <w:adjustRightInd w:val="0"/>
        <w:spacing w:line="500" w:lineRule="exact"/>
        <w:ind w:firstLine="484" w:firstLineChars="201"/>
        <w:rPr>
          <w:rFonts w:ascii="宋体" w:hAnsi="宋体" w:cs="宋体"/>
          <w:color w:val="auto"/>
          <w:sz w:val="24"/>
          <w:highlight w:val="none"/>
          <w:lang w:val="zh-CN"/>
        </w:rPr>
      </w:pPr>
      <w:r>
        <w:rPr>
          <w:rFonts w:hint="eastAsia" w:ascii="宋体" w:hAnsi="宋体" w:cs="宋体"/>
          <w:b/>
          <w:color w:val="auto"/>
          <w:sz w:val="24"/>
          <w:highlight w:val="none"/>
          <w:u w:val="single"/>
          <w:lang w:val="zh-CN"/>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（投标供应商全称）授权</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 xml:space="preserve"> （授权代表名称）</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（职务、职称）为授权代表，参加贵方组织的</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（采购项目名称、标项号）（括号内填项目编号）采购的有关活动，并对</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项目（采购项目名称、标项号）进行投标。提供投标供应商须知规定的全部投标文件：“资格文件</w:t>
      </w:r>
      <w:r>
        <w:rPr>
          <w:rFonts w:hint="eastAsia" w:ascii="宋体" w:hAnsi="宋体" w:cs="宋体"/>
          <w:color w:val="auto"/>
          <w:sz w:val="24"/>
          <w:highlight w:val="none"/>
        </w:rPr>
        <w:t>”、“技术文件、商务文件、资信及其他文件”、“报价文件”各一份。</w:t>
      </w:r>
    </w:p>
    <w:p w14:paraId="09642734">
      <w:pPr>
        <w:numPr>
          <w:ilvl w:val="0"/>
          <w:numId w:val="20"/>
        </w:numPr>
        <w:autoSpaceDE w:val="0"/>
        <w:autoSpaceDN w:val="0"/>
        <w:adjustRightIn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 xml:space="preserve">供应商须提供须知规定的全部投标文件（电子投标文件包括《资格文件》、《技术、商务、资信及其他文件》、《报价文件》），电子投标文件确认已上传。 </w:t>
      </w:r>
    </w:p>
    <w:p w14:paraId="49A27F5A">
      <w:pPr>
        <w:numPr>
          <w:ilvl w:val="0"/>
          <w:numId w:val="20"/>
        </w:numPr>
        <w:autoSpaceDE w:val="0"/>
        <w:autoSpaceDN w:val="0"/>
        <w:adjustRightInd w:val="0"/>
        <w:spacing w:line="500" w:lineRule="exact"/>
        <w:ind w:firstLine="482"/>
        <w:rPr>
          <w:rFonts w:ascii="宋体" w:hAnsi="宋体" w:cs="宋体"/>
          <w:color w:val="auto"/>
          <w:sz w:val="24"/>
          <w:highlight w:val="none"/>
          <w:lang w:val="zh-CN"/>
        </w:rPr>
      </w:pPr>
      <w:r>
        <w:rPr>
          <w:rFonts w:hint="eastAsia" w:ascii="宋体" w:hAnsi="宋体" w:cs="宋体"/>
          <w:color w:val="auto"/>
          <w:sz w:val="24"/>
          <w:highlight w:val="none"/>
        </w:rPr>
        <w:t xml:space="preserve">保证遵守招标文件中的有关规定和收费标准。 </w:t>
      </w:r>
    </w:p>
    <w:p w14:paraId="702E8990">
      <w:pPr>
        <w:numPr>
          <w:ilvl w:val="0"/>
          <w:numId w:val="20"/>
        </w:numPr>
        <w:autoSpaceDE w:val="0"/>
        <w:autoSpaceDN w:val="0"/>
        <w:adjustRightInd w:val="0"/>
        <w:spacing w:line="500" w:lineRule="exact"/>
        <w:ind w:firstLine="482"/>
        <w:rPr>
          <w:rFonts w:ascii="宋体" w:hAnsi="宋体" w:cs="宋体"/>
          <w:color w:val="auto"/>
          <w:sz w:val="24"/>
          <w:highlight w:val="none"/>
          <w:lang w:val="zh-CN"/>
        </w:rPr>
      </w:pPr>
      <w:r>
        <w:rPr>
          <w:rFonts w:hint="eastAsia" w:ascii="宋体" w:hAnsi="宋体" w:cs="宋体"/>
          <w:color w:val="auto"/>
          <w:sz w:val="24"/>
          <w:highlight w:val="none"/>
        </w:rPr>
        <w:t>保证诚信地执行采购人、供应商双方所签的合同，并承担合同规定的责任义务。</w:t>
      </w:r>
    </w:p>
    <w:p w14:paraId="0E81335D">
      <w:pPr>
        <w:numPr>
          <w:ilvl w:val="0"/>
          <w:numId w:val="20"/>
        </w:numPr>
        <w:autoSpaceDE w:val="0"/>
        <w:autoSpaceDN w:val="0"/>
        <w:adjustRightInd w:val="0"/>
        <w:spacing w:line="500" w:lineRule="exact"/>
        <w:ind w:firstLine="482"/>
        <w:rPr>
          <w:rFonts w:ascii="宋体" w:hAnsi="宋体" w:cs="宋体"/>
          <w:color w:val="auto"/>
          <w:sz w:val="24"/>
          <w:highlight w:val="none"/>
          <w:lang w:val="zh-CN"/>
        </w:rPr>
      </w:pPr>
      <w:r>
        <w:rPr>
          <w:rFonts w:hint="eastAsia" w:ascii="宋体" w:hAnsi="宋体" w:cs="宋体"/>
          <w:color w:val="auto"/>
          <w:sz w:val="24"/>
          <w:highlight w:val="none"/>
        </w:rPr>
        <w:t xml:space="preserve"> 供应商已详细审查全部招标文件，包括招标文件补充文件（如果有的话）。我方完全理解并同意放弃对这方面有不明及误解的权力。如果招标文件有相互矛盾之处，我方同意按采购人的理解处理。</w:t>
      </w:r>
    </w:p>
    <w:p w14:paraId="0099623C">
      <w:pPr>
        <w:numPr>
          <w:ilvl w:val="0"/>
          <w:numId w:val="20"/>
        </w:numPr>
        <w:autoSpaceDE w:val="0"/>
        <w:autoSpaceDN w:val="0"/>
        <w:adjustRightInd w:val="0"/>
        <w:spacing w:line="500" w:lineRule="exact"/>
        <w:ind w:firstLine="482"/>
        <w:rPr>
          <w:rFonts w:ascii="宋体" w:hAnsi="宋体" w:cs="宋体"/>
          <w:color w:val="auto"/>
          <w:sz w:val="24"/>
          <w:highlight w:val="none"/>
          <w:lang w:val="zh-CN"/>
        </w:rPr>
      </w:pPr>
      <w:r>
        <w:rPr>
          <w:rFonts w:hint="eastAsia" w:ascii="宋体" w:hAnsi="宋体" w:cs="宋体"/>
          <w:color w:val="auto"/>
          <w:sz w:val="24"/>
          <w:highlight w:val="none"/>
        </w:rPr>
        <w:t xml:space="preserve"> 利益冲突：近三年内直至目前，我公司与本项目的采购人、采购机构没有任何的隶属关系。</w:t>
      </w:r>
    </w:p>
    <w:p w14:paraId="07C3E946">
      <w:pPr>
        <w:numPr>
          <w:ilvl w:val="0"/>
          <w:numId w:val="20"/>
        </w:numPr>
        <w:autoSpaceDE w:val="0"/>
        <w:autoSpaceDN w:val="0"/>
        <w:adjustRightInd w:val="0"/>
        <w:spacing w:line="500" w:lineRule="exact"/>
        <w:ind w:firstLine="482"/>
        <w:rPr>
          <w:rFonts w:ascii="宋体" w:hAnsi="宋体" w:cs="宋体"/>
          <w:color w:val="auto"/>
          <w:sz w:val="24"/>
          <w:highlight w:val="none"/>
          <w:lang w:val="zh-CN"/>
        </w:rPr>
      </w:pPr>
      <w:r>
        <w:rPr>
          <w:rFonts w:hint="eastAsia" w:ascii="宋体" w:hAnsi="宋体" w:cs="宋体"/>
          <w:color w:val="auto"/>
          <w:sz w:val="24"/>
          <w:highlight w:val="none"/>
        </w:rPr>
        <w:t xml:space="preserve"> 我公司没有被本项目所在地的政府采购管理部门限制参加报价。 </w:t>
      </w:r>
    </w:p>
    <w:p w14:paraId="71042D5F">
      <w:pPr>
        <w:numPr>
          <w:ilvl w:val="0"/>
          <w:numId w:val="20"/>
        </w:numPr>
        <w:autoSpaceDE w:val="0"/>
        <w:autoSpaceDN w:val="0"/>
        <w:adjustRightInd w:val="0"/>
        <w:spacing w:line="500" w:lineRule="exact"/>
        <w:ind w:firstLine="482"/>
        <w:rPr>
          <w:rFonts w:ascii="宋体" w:hAnsi="宋体" w:cs="宋体"/>
          <w:color w:val="auto"/>
          <w:sz w:val="24"/>
          <w:highlight w:val="none"/>
          <w:lang w:val="zh-CN"/>
        </w:rPr>
      </w:pPr>
      <w:r>
        <w:rPr>
          <w:rFonts w:hint="eastAsia" w:ascii="宋体" w:hAnsi="宋体" w:cs="宋体"/>
          <w:color w:val="auto"/>
          <w:sz w:val="24"/>
          <w:highlight w:val="none"/>
        </w:rPr>
        <w:t>愿意向贵方提供任何与该项报价有关的数据、情况和技术资料，完全理解贵方不一定接受最低价的报价或收到的任何报价。</w:t>
      </w:r>
    </w:p>
    <w:p w14:paraId="7522BCD9">
      <w:pPr>
        <w:numPr>
          <w:ilvl w:val="0"/>
          <w:numId w:val="20"/>
        </w:numPr>
        <w:autoSpaceDE w:val="0"/>
        <w:autoSpaceDN w:val="0"/>
        <w:adjustRightInd w:val="0"/>
        <w:spacing w:line="500" w:lineRule="exact"/>
        <w:ind w:firstLine="482"/>
        <w:rPr>
          <w:rFonts w:ascii="宋体" w:hAnsi="宋体" w:cs="宋体"/>
          <w:color w:val="auto"/>
          <w:sz w:val="24"/>
          <w:highlight w:val="none"/>
          <w:lang w:val="zh-CN"/>
        </w:rPr>
      </w:pPr>
      <w:r>
        <w:rPr>
          <w:rFonts w:hint="eastAsia" w:ascii="宋体" w:hAnsi="宋体" w:cs="宋体"/>
          <w:color w:val="auto"/>
          <w:sz w:val="24"/>
          <w:highlight w:val="none"/>
        </w:rPr>
        <w:t xml:space="preserve"> 本投标文件自开标之日起120天内有效。</w:t>
      </w:r>
    </w:p>
    <w:p w14:paraId="256257B1">
      <w:pPr>
        <w:numPr>
          <w:ilvl w:val="0"/>
          <w:numId w:val="20"/>
        </w:numPr>
        <w:autoSpaceDE w:val="0"/>
        <w:autoSpaceDN w:val="0"/>
        <w:adjustRightInd w:val="0"/>
        <w:spacing w:line="500" w:lineRule="exact"/>
        <w:ind w:firstLine="482"/>
        <w:rPr>
          <w:rFonts w:ascii="宋体" w:hAnsi="宋体" w:cs="宋体"/>
          <w:color w:val="auto"/>
          <w:sz w:val="24"/>
          <w:highlight w:val="none"/>
          <w:lang w:val="zh-CN"/>
        </w:rPr>
      </w:pPr>
      <w:r>
        <w:rPr>
          <w:rFonts w:hint="eastAsia" w:ascii="宋体" w:hAnsi="宋体" w:cs="宋体"/>
          <w:color w:val="auto"/>
          <w:sz w:val="24"/>
          <w:highlight w:val="none"/>
        </w:rPr>
        <w:t>兹证明上述声明是真实的、正确的，并提供了全部能提供的资料和数据，我们同意遵照贵方要求出示有关证明文件。 以上事项如有虚假或隐瞒，我方愿意承担一切后果，并不再寻求任何旨在减轻或免除法律责任的辩解</w:t>
      </w:r>
      <w:r>
        <w:rPr>
          <w:rFonts w:hint="eastAsia" w:ascii="宋体" w:hAnsi="宋体" w:cs="宋体"/>
          <w:color w:val="auto"/>
          <w:sz w:val="24"/>
          <w:highlight w:val="none"/>
          <w:lang w:val="zh-CN"/>
        </w:rPr>
        <w:t>投标</w:t>
      </w:r>
    </w:p>
    <w:p w14:paraId="31BCD39A">
      <w:pPr>
        <w:autoSpaceDE w:val="0"/>
        <w:autoSpaceDN w:val="0"/>
        <w:adjustRightInd w:val="0"/>
        <w:spacing w:line="500" w:lineRule="exact"/>
        <w:ind w:left="560"/>
        <w:rPr>
          <w:rFonts w:ascii="宋体" w:hAnsi="宋体" w:cs="宋体"/>
          <w:color w:val="auto"/>
          <w:sz w:val="24"/>
          <w:highlight w:val="none"/>
          <w:lang w:val="zh-CN"/>
        </w:rPr>
      </w:pPr>
    </w:p>
    <w:p w14:paraId="7BF94534">
      <w:pPr>
        <w:autoSpaceDE w:val="0"/>
        <w:autoSpaceDN w:val="0"/>
        <w:adjustRightInd w:val="0"/>
        <w:spacing w:line="500" w:lineRule="exact"/>
        <w:ind w:left="560"/>
        <w:rPr>
          <w:rFonts w:ascii="宋体" w:hAnsi="宋体" w:cs="宋体"/>
          <w:color w:val="auto"/>
          <w:sz w:val="24"/>
          <w:highlight w:val="none"/>
          <w:lang w:val="zh-CN"/>
        </w:rPr>
      </w:pPr>
      <w:r>
        <w:rPr>
          <w:rFonts w:hint="eastAsia" w:ascii="宋体" w:hAnsi="宋体" w:cs="宋体"/>
          <w:color w:val="auto"/>
          <w:sz w:val="24"/>
          <w:highlight w:val="none"/>
          <w:lang w:val="zh-CN"/>
        </w:rPr>
        <w:t>供应商全称（盖章）：</w:t>
      </w:r>
    </w:p>
    <w:p w14:paraId="7D0D05D8">
      <w:pPr>
        <w:autoSpaceDE w:val="0"/>
        <w:autoSpaceDN w:val="0"/>
        <w:adjustRightInd w:val="0"/>
        <w:spacing w:line="500" w:lineRule="exact"/>
        <w:ind w:firstLine="482" w:firstLineChars="201"/>
        <w:rPr>
          <w:rFonts w:ascii="宋体" w:hAnsi="宋体" w:cs="宋体"/>
          <w:color w:val="auto"/>
          <w:sz w:val="24"/>
          <w:highlight w:val="none"/>
        </w:rPr>
      </w:pPr>
      <w:r>
        <w:rPr>
          <w:rFonts w:hint="eastAsia" w:ascii="宋体" w:hAnsi="宋体" w:cs="宋体"/>
          <w:color w:val="auto"/>
          <w:sz w:val="24"/>
          <w:highlight w:val="none"/>
        </w:rPr>
        <w:t xml:space="preserve">法定代表人或其授权代理人（签字或盖章）：         </w:t>
      </w:r>
    </w:p>
    <w:p w14:paraId="54AC4EF9">
      <w:pPr>
        <w:autoSpaceDE w:val="0"/>
        <w:autoSpaceDN w:val="0"/>
        <w:adjustRightInd w:val="0"/>
        <w:spacing w:line="500" w:lineRule="exact"/>
        <w:ind w:firstLine="482" w:firstLineChars="201"/>
        <w:rPr>
          <w:rFonts w:ascii="宋体" w:hAnsi="宋体" w:cs="宋体"/>
          <w:b/>
          <w:bCs/>
          <w:color w:val="auto"/>
          <w:spacing w:val="24"/>
          <w:szCs w:val="28"/>
          <w:highlight w:val="none"/>
        </w:rPr>
      </w:pPr>
      <w:r>
        <w:rPr>
          <w:rFonts w:hint="eastAsia" w:ascii="宋体" w:hAnsi="宋体" w:cs="宋体"/>
          <w:color w:val="auto"/>
          <w:sz w:val="24"/>
          <w:highlight w:val="none"/>
          <w:lang w:val="zh-CN"/>
        </w:rPr>
        <w:t>日   期：</w:t>
      </w:r>
    </w:p>
    <w:p w14:paraId="49A2564F">
      <w:pPr>
        <w:rPr>
          <w:rFonts w:ascii="宋体" w:hAnsi="宋体" w:cs="宋体"/>
          <w:color w:val="auto"/>
          <w:highlight w:val="none"/>
        </w:rPr>
      </w:pPr>
    </w:p>
    <w:p w14:paraId="086E167A">
      <w:pPr>
        <w:jc w:val="center"/>
        <w:rPr>
          <w:rFonts w:ascii="宋体" w:hAnsi="宋体" w:cs="宋体"/>
          <w:b/>
          <w:bCs/>
          <w:color w:val="auto"/>
          <w:szCs w:val="28"/>
          <w:highlight w:val="none"/>
        </w:rPr>
      </w:pPr>
    </w:p>
    <w:p w14:paraId="71051D8A">
      <w:pPr>
        <w:jc w:val="center"/>
        <w:rPr>
          <w:rFonts w:ascii="宋体" w:hAnsi="宋体" w:cs="宋体"/>
          <w:b/>
          <w:bCs/>
          <w:color w:val="auto"/>
          <w:szCs w:val="28"/>
          <w:highlight w:val="none"/>
        </w:rPr>
      </w:pPr>
      <w:r>
        <w:rPr>
          <w:rFonts w:hint="eastAsia" w:ascii="宋体" w:hAnsi="宋体" w:cs="宋体"/>
          <w:b/>
          <w:bCs/>
          <w:color w:val="auto"/>
          <w:szCs w:val="28"/>
          <w:highlight w:val="none"/>
        </w:rPr>
        <w:t>开标一览表</w:t>
      </w:r>
    </w:p>
    <w:p w14:paraId="2CE54C31">
      <w:pPr>
        <w:pStyle w:val="2"/>
        <w:ind w:firstLine="280"/>
        <w:rPr>
          <w:color w:val="auto"/>
          <w:highlight w:val="none"/>
        </w:rPr>
      </w:pPr>
    </w:p>
    <w:p w14:paraId="53AF3454">
      <w:pPr>
        <w:rPr>
          <w:rFonts w:ascii="宋体" w:hAnsi="宋体" w:cs="宋体"/>
          <w:color w:val="auto"/>
          <w:sz w:val="24"/>
          <w:highlight w:val="none"/>
        </w:rPr>
      </w:pPr>
      <w:r>
        <w:rPr>
          <w:rFonts w:hint="eastAsia" w:ascii="宋体" w:hAnsi="宋体" w:cs="宋体"/>
          <w:color w:val="auto"/>
          <w:sz w:val="24"/>
          <w:highlight w:val="none"/>
        </w:rPr>
        <w:t>投标人全称：                        项目编号：</w:t>
      </w:r>
    </w:p>
    <w:p w14:paraId="2E6F5E2E">
      <w:pPr>
        <w:rPr>
          <w:rFonts w:ascii="宋体" w:hAnsi="宋体" w:cs="宋体"/>
          <w:b/>
          <w:bCs/>
          <w:color w:val="auto"/>
          <w:szCs w:val="28"/>
          <w:highlight w:val="none"/>
        </w:rPr>
      </w:pPr>
      <w:r>
        <w:rPr>
          <w:rFonts w:hint="eastAsia" w:ascii="宋体" w:hAnsi="宋体" w:cs="宋体"/>
          <w:color w:val="auto"/>
          <w:sz w:val="24"/>
          <w:highlight w:val="none"/>
        </w:rPr>
        <w:t xml:space="preserve">标项：        </w:t>
      </w:r>
    </w:p>
    <w:tbl>
      <w:tblPr>
        <w:tblStyle w:val="21"/>
        <w:tblW w:w="5426"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138"/>
        <w:gridCol w:w="1733"/>
        <w:gridCol w:w="2249"/>
        <w:gridCol w:w="3980"/>
      </w:tblGrid>
      <w:tr w14:paraId="5509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26" w:type="pct"/>
            <w:vAlign w:val="center"/>
          </w:tcPr>
          <w:p w14:paraId="6C7F2CC5">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10" w:type="pct"/>
            <w:vAlign w:val="center"/>
          </w:tcPr>
          <w:p w14:paraId="5DA1D835">
            <w:pPr>
              <w:jc w:val="center"/>
              <w:rPr>
                <w:rFonts w:ascii="宋体" w:hAnsi="宋体" w:cs="宋体"/>
                <w:color w:val="auto"/>
                <w:sz w:val="24"/>
                <w:highlight w:val="none"/>
              </w:rPr>
            </w:pPr>
            <w:r>
              <w:rPr>
                <w:rFonts w:hint="eastAsia" w:ascii="宋体" w:hAnsi="宋体" w:cs="宋体"/>
                <w:color w:val="auto"/>
                <w:sz w:val="24"/>
                <w:highlight w:val="none"/>
              </w:rPr>
              <w:t>投标项目名称</w:t>
            </w:r>
          </w:p>
        </w:tc>
        <w:tc>
          <w:tcPr>
            <w:tcW w:w="1882" w:type="pct"/>
            <w:gridSpan w:val="2"/>
            <w:vAlign w:val="center"/>
          </w:tcPr>
          <w:p w14:paraId="61C77EC0">
            <w:pPr>
              <w:jc w:val="center"/>
              <w:rPr>
                <w:rFonts w:ascii="宋体" w:hAnsi="宋体" w:cs="宋体"/>
                <w:color w:val="auto"/>
                <w:sz w:val="24"/>
                <w:highlight w:val="none"/>
              </w:rPr>
            </w:pPr>
            <w:r>
              <w:rPr>
                <w:rFonts w:hint="eastAsia" w:ascii="宋体" w:hAnsi="宋体" w:cs="宋体"/>
                <w:color w:val="auto"/>
                <w:sz w:val="24"/>
                <w:highlight w:val="none"/>
              </w:rPr>
              <w:t>综合单价</w:t>
            </w:r>
          </w:p>
        </w:tc>
        <w:tc>
          <w:tcPr>
            <w:tcW w:w="1881" w:type="pct"/>
            <w:vAlign w:val="center"/>
          </w:tcPr>
          <w:p w14:paraId="20A57BF3">
            <w:pPr>
              <w:jc w:val="center"/>
              <w:rPr>
                <w:rFonts w:ascii="宋体" w:hAnsi="宋体" w:cs="宋体"/>
                <w:color w:val="auto"/>
                <w:sz w:val="24"/>
                <w:highlight w:val="none"/>
              </w:rPr>
            </w:pPr>
            <w:r>
              <w:rPr>
                <w:rFonts w:hint="eastAsia" w:ascii="宋体" w:hAnsi="宋体" w:cs="宋体"/>
                <w:color w:val="auto"/>
                <w:sz w:val="24"/>
                <w:highlight w:val="none"/>
              </w:rPr>
              <w:t>投标单价报价</w:t>
            </w:r>
          </w:p>
        </w:tc>
      </w:tr>
      <w:tr w14:paraId="10E5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trPr>
        <w:tc>
          <w:tcPr>
            <w:tcW w:w="226" w:type="pct"/>
            <w:vMerge w:val="restart"/>
            <w:vAlign w:val="center"/>
          </w:tcPr>
          <w:p w14:paraId="491482DD">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10" w:type="pct"/>
            <w:vMerge w:val="restart"/>
            <w:vAlign w:val="center"/>
          </w:tcPr>
          <w:p w14:paraId="72905028">
            <w:pPr>
              <w:jc w:val="center"/>
              <w:rPr>
                <w:rFonts w:ascii="宋体" w:hAnsi="宋体" w:cs="宋体"/>
                <w:color w:val="auto"/>
                <w:sz w:val="24"/>
                <w:highlight w:val="none"/>
              </w:rPr>
            </w:pPr>
            <w:r>
              <w:rPr>
                <w:rFonts w:hint="eastAsia" w:ascii="宋体" w:hAnsi="宋体" w:cs="宋体"/>
                <w:color w:val="auto"/>
                <w:sz w:val="24"/>
                <w:highlight w:val="none"/>
              </w:rPr>
              <w:t>2024年滨湖街道城市小区生活垃圾精准分类项目</w:t>
            </w:r>
          </w:p>
        </w:tc>
        <w:tc>
          <w:tcPr>
            <w:tcW w:w="819" w:type="pct"/>
            <w:vAlign w:val="center"/>
          </w:tcPr>
          <w:p w14:paraId="3AD884D7">
            <w:pPr>
              <w:jc w:val="center"/>
              <w:rPr>
                <w:rFonts w:ascii="宋体" w:hAnsi="宋体" w:cs="宋体"/>
                <w:color w:val="auto"/>
                <w:sz w:val="24"/>
                <w:highlight w:val="none"/>
              </w:rPr>
            </w:pPr>
            <w:r>
              <w:rPr>
                <w:rFonts w:hint="eastAsia" w:ascii="宋体" w:hAnsi="宋体" w:cs="宋体"/>
                <w:color w:val="auto"/>
                <w:sz w:val="24"/>
                <w:highlight w:val="none"/>
              </w:rPr>
              <w:t>按户数</w:t>
            </w:r>
          </w:p>
        </w:tc>
        <w:tc>
          <w:tcPr>
            <w:tcW w:w="1062" w:type="pct"/>
            <w:vAlign w:val="center"/>
          </w:tcPr>
          <w:p w14:paraId="15A28CCD">
            <w:pPr>
              <w:rPr>
                <w:rFonts w:ascii="宋体" w:hAnsi="宋体" w:cs="宋体"/>
                <w:color w:val="auto"/>
                <w:sz w:val="24"/>
                <w:highlight w:val="none"/>
              </w:rPr>
            </w:pPr>
            <w:r>
              <w:rPr>
                <w:rFonts w:hint="eastAsia" w:ascii="宋体" w:hAnsi="宋体" w:cs="宋体"/>
                <w:color w:val="auto"/>
                <w:sz w:val="24"/>
                <w:highlight w:val="none"/>
              </w:rPr>
              <w:t>310元/户/年</w:t>
            </w:r>
          </w:p>
        </w:tc>
        <w:tc>
          <w:tcPr>
            <w:tcW w:w="1881" w:type="pct"/>
            <w:vAlign w:val="center"/>
          </w:tcPr>
          <w:p w14:paraId="320DA71A">
            <w:pP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元/户/年</w:t>
            </w:r>
          </w:p>
        </w:tc>
      </w:tr>
      <w:tr w14:paraId="248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trPr>
        <w:tc>
          <w:tcPr>
            <w:tcW w:w="226" w:type="pct"/>
            <w:vMerge w:val="continue"/>
            <w:vAlign w:val="center"/>
          </w:tcPr>
          <w:p w14:paraId="109F788C">
            <w:pPr>
              <w:jc w:val="center"/>
              <w:rPr>
                <w:rFonts w:ascii="宋体" w:hAnsi="宋体" w:cs="宋体"/>
                <w:color w:val="auto"/>
                <w:sz w:val="24"/>
                <w:highlight w:val="none"/>
              </w:rPr>
            </w:pPr>
          </w:p>
        </w:tc>
        <w:tc>
          <w:tcPr>
            <w:tcW w:w="1010" w:type="pct"/>
            <w:vMerge w:val="continue"/>
            <w:vAlign w:val="center"/>
          </w:tcPr>
          <w:p w14:paraId="62DDDF3B">
            <w:pPr>
              <w:jc w:val="center"/>
              <w:rPr>
                <w:rFonts w:ascii="宋体" w:hAnsi="宋体" w:cs="宋体"/>
                <w:color w:val="auto"/>
                <w:sz w:val="24"/>
                <w:highlight w:val="none"/>
              </w:rPr>
            </w:pPr>
          </w:p>
        </w:tc>
        <w:tc>
          <w:tcPr>
            <w:tcW w:w="819" w:type="pct"/>
            <w:vAlign w:val="center"/>
          </w:tcPr>
          <w:p w14:paraId="67E38D93">
            <w:pPr>
              <w:jc w:val="center"/>
              <w:rPr>
                <w:rFonts w:ascii="宋体" w:hAnsi="宋体" w:cs="宋体"/>
                <w:color w:val="auto"/>
                <w:sz w:val="24"/>
                <w:highlight w:val="none"/>
              </w:rPr>
            </w:pPr>
            <w:r>
              <w:rPr>
                <w:rFonts w:hint="eastAsia" w:ascii="宋体" w:hAnsi="宋体" w:cs="宋体"/>
                <w:color w:val="auto"/>
                <w:sz w:val="24"/>
                <w:highlight w:val="none"/>
              </w:rPr>
              <w:t>按站点及户数</w:t>
            </w:r>
          </w:p>
        </w:tc>
        <w:tc>
          <w:tcPr>
            <w:tcW w:w="1062" w:type="pct"/>
            <w:vAlign w:val="center"/>
          </w:tcPr>
          <w:p w14:paraId="3277B704">
            <w:pPr>
              <w:rPr>
                <w:rFonts w:ascii="宋体" w:hAnsi="宋体" w:cs="宋体"/>
                <w:color w:val="auto"/>
                <w:sz w:val="24"/>
                <w:highlight w:val="none"/>
              </w:rPr>
            </w:pPr>
            <w:r>
              <w:rPr>
                <w:rFonts w:hint="eastAsia" w:ascii="宋体" w:hAnsi="宋体" w:cs="宋体"/>
                <w:color w:val="auto"/>
                <w:sz w:val="24"/>
                <w:highlight w:val="none"/>
              </w:rPr>
              <w:t>50元/户/年+30000元/站点/年</w:t>
            </w:r>
          </w:p>
        </w:tc>
        <w:tc>
          <w:tcPr>
            <w:tcW w:w="1881" w:type="pct"/>
            <w:vAlign w:val="center"/>
          </w:tcPr>
          <w:p w14:paraId="3B1A97B3">
            <w:pPr>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元/站点/年+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元/户/年</w:t>
            </w:r>
          </w:p>
        </w:tc>
      </w:tr>
      <w:tr w14:paraId="26DA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236" w:type="pct"/>
            <w:gridSpan w:val="2"/>
            <w:vMerge w:val="restart"/>
            <w:vAlign w:val="center"/>
          </w:tcPr>
          <w:p w14:paraId="6BBA4BAC">
            <w:pPr>
              <w:jc w:val="center"/>
              <w:rPr>
                <w:rFonts w:ascii="宋体" w:hAnsi="宋体" w:cs="宋体"/>
                <w:color w:val="auto"/>
                <w:sz w:val="24"/>
                <w:highlight w:val="none"/>
              </w:rPr>
            </w:pPr>
            <w:r>
              <w:rPr>
                <w:rFonts w:hint="eastAsia" w:ascii="宋体" w:hAnsi="宋体" w:cs="宋体"/>
                <w:color w:val="auto"/>
                <w:sz w:val="24"/>
                <w:highlight w:val="none"/>
              </w:rPr>
              <w:t>投标总报价（元）</w:t>
            </w:r>
          </w:p>
        </w:tc>
        <w:tc>
          <w:tcPr>
            <w:tcW w:w="1882" w:type="pct"/>
            <w:gridSpan w:val="2"/>
            <w:tcBorders>
              <w:top w:val="single" w:color="auto" w:sz="4" w:space="0"/>
            </w:tcBorders>
            <w:vAlign w:val="center"/>
          </w:tcPr>
          <w:p w14:paraId="52847605">
            <w:pPr>
              <w:jc w:val="left"/>
              <w:rPr>
                <w:rFonts w:ascii="宋体" w:hAnsi="宋体" w:cs="宋体"/>
                <w:color w:val="auto"/>
                <w:sz w:val="24"/>
                <w:highlight w:val="none"/>
              </w:rPr>
            </w:pPr>
            <w:r>
              <w:rPr>
                <w:rFonts w:hint="eastAsia" w:ascii="宋体" w:hAnsi="宋体" w:cs="宋体"/>
                <w:color w:val="auto"/>
                <w:sz w:val="24"/>
                <w:highlight w:val="none"/>
              </w:rPr>
              <w:t>小写：</w:t>
            </w:r>
          </w:p>
        </w:tc>
        <w:tc>
          <w:tcPr>
            <w:tcW w:w="1881" w:type="pct"/>
            <w:tcBorders>
              <w:top w:val="single" w:color="auto" w:sz="4" w:space="0"/>
            </w:tcBorders>
            <w:vAlign w:val="center"/>
          </w:tcPr>
          <w:p w14:paraId="4567F4DC">
            <w:pPr>
              <w:jc w:val="left"/>
              <w:rPr>
                <w:rFonts w:ascii="宋体" w:hAnsi="宋体" w:cs="宋体"/>
                <w:color w:val="auto"/>
                <w:sz w:val="24"/>
                <w:highlight w:val="none"/>
              </w:rPr>
            </w:pPr>
          </w:p>
        </w:tc>
      </w:tr>
      <w:tr w14:paraId="4AA4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236" w:type="pct"/>
            <w:gridSpan w:val="2"/>
            <w:vMerge w:val="continue"/>
          </w:tcPr>
          <w:p w14:paraId="315A1DD6">
            <w:pPr>
              <w:jc w:val="center"/>
              <w:rPr>
                <w:color w:val="auto"/>
                <w:highlight w:val="none"/>
              </w:rPr>
            </w:pPr>
          </w:p>
        </w:tc>
        <w:tc>
          <w:tcPr>
            <w:tcW w:w="1882" w:type="pct"/>
            <w:gridSpan w:val="2"/>
            <w:tcBorders>
              <w:top w:val="single" w:color="auto" w:sz="4" w:space="0"/>
            </w:tcBorders>
            <w:vAlign w:val="center"/>
          </w:tcPr>
          <w:p w14:paraId="3B8C6691">
            <w:pPr>
              <w:jc w:val="left"/>
              <w:rPr>
                <w:rFonts w:ascii="宋体" w:hAnsi="宋体" w:cs="宋体"/>
                <w:color w:val="auto"/>
                <w:sz w:val="24"/>
                <w:highlight w:val="none"/>
              </w:rPr>
            </w:pPr>
            <w:r>
              <w:rPr>
                <w:rFonts w:hint="eastAsia" w:ascii="宋体" w:hAnsi="宋体" w:cs="宋体"/>
                <w:color w:val="auto"/>
                <w:sz w:val="24"/>
                <w:highlight w:val="none"/>
              </w:rPr>
              <w:t>大写：</w:t>
            </w:r>
          </w:p>
        </w:tc>
        <w:tc>
          <w:tcPr>
            <w:tcW w:w="1881" w:type="pct"/>
            <w:tcBorders>
              <w:top w:val="single" w:color="auto" w:sz="4" w:space="0"/>
            </w:tcBorders>
            <w:vAlign w:val="center"/>
          </w:tcPr>
          <w:p w14:paraId="36E1EE10">
            <w:pPr>
              <w:jc w:val="left"/>
              <w:rPr>
                <w:rFonts w:ascii="宋体" w:hAnsi="宋体" w:cs="宋体"/>
                <w:color w:val="auto"/>
                <w:sz w:val="24"/>
                <w:highlight w:val="none"/>
              </w:rPr>
            </w:pPr>
          </w:p>
        </w:tc>
      </w:tr>
    </w:tbl>
    <w:p w14:paraId="0DF065A9">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注： 1、投标报价及分项报价部分超最高限价均为无效。</w:t>
      </w:r>
    </w:p>
    <w:p w14:paraId="6DA9DD8C">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2、报价一经涂改，应在涂改处加盖单位公章或者由法定代表人或授权委托人签字或盖章，否则其投标作无效标处理。</w:t>
      </w:r>
    </w:p>
    <w:p w14:paraId="6E94ABA8">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3、投标报价是指完成全部承包区域内的服务工作，承包总价必须包括在承包指定区域内提供服务所需的人工费及车辆、机械等全部费用、水电费、工具材料费、垃圾清运费、安全文明生产装备费、项目管理费、企业应缴税金和应得利润、物价因素、招标代理服务费等完成合同所需的一切本身和不可或缺的所有工作开支、政策性文件规定及合同包含的所有风险、责任等各项全部费用并承担一切风险责任。</w:t>
      </w:r>
    </w:p>
    <w:p w14:paraId="4E4F4BD9">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4、以上投标总报价应与“投标报价明细表”中的“投标总价”相一致。</w:t>
      </w:r>
    </w:p>
    <w:p w14:paraId="55388A7C">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p>
    <w:p w14:paraId="01AA9782">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投标人名称（盖章）：</w:t>
      </w:r>
      <w:r>
        <w:rPr>
          <w:rFonts w:hint="eastAsia" w:ascii="宋体" w:hAnsi="宋体" w:cs="宋体"/>
          <w:color w:val="auto"/>
          <w:sz w:val="24"/>
          <w:highlight w:val="none"/>
          <w:u w:val="single"/>
        </w:rPr>
        <w:t xml:space="preserve">                    </w:t>
      </w:r>
    </w:p>
    <w:p w14:paraId="0BEAA453">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90F219">
      <w:pPr>
        <w:pStyle w:val="2"/>
        <w:ind w:firstLine="240"/>
        <w:rPr>
          <w:rFonts w:ascii="宋体" w:hAnsi="宋体" w:cs="宋体"/>
          <w:color w:val="auto"/>
          <w:sz w:val="24"/>
          <w:highlight w:val="none"/>
        </w:rPr>
      </w:pPr>
    </w:p>
    <w:p w14:paraId="7858ED4A">
      <w:pPr>
        <w:pStyle w:val="2"/>
        <w:ind w:firstLine="0" w:firstLineChars="0"/>
        <w:rPr>
          <w:rFonts w:ascii="宋体" w:hAnsi="宋体" w:cs="宋体"/>
          <w:color w:val="auto"/>
          <w:sz w:val="24"/>
          <w:highlight w:val="none"/>
        </w:rPr>
      </w:pPr>
    </w:p>
    <w:p w14:paraId="3D335580">
      <w:pPr>
        <w:pStyle w:val="4"/>
        <w:ind w:left="2800"/>
        <w:rPr>
          <w:rFonts w:ascii="宋体" w:hAnsi="宋体" w:cs="宋体"/>
          <w:color w:val="auto"/>
          <w:sz w:val="24"/>
          <w:highlight w:val="none"/>
        </w:rPr>
      </w:pPr>
    </w:p>
    <w:p w14:paraId="67DF4620">
      <w:pPr>
        <w:rPr>
          <w:rFonts w:ascii="宋体" w:hAnsi="宋体" w:cs="宋体"/>
          <w:color w:val="auto"/>
          <w:sz w:val="24"/>
          <w:highlight w:val="none"/>
        </w:rPr>
      </w:pPr>
    </w:p>
    <w:p w14:paraId="698D2C66">
      <w:pPr>
        <w:pStyle w:val="2"/>
        <w:ind w:firstLine="240"/>
        <w:rPr>
          <w:rFonts w:ascii="宋体" w:hAnsi="宋体" w:cs="宋体"/>
          <w:color w:val="auto"/>
          <w:sz w:val="24"/>
          <w:highlight w:val="none"/>
        </w:rPr>
      </w:pPr>
    </w:p>
    <w:p w14:paraId="2046B70D">
      <w:pPr>
        <w:pStyle w:val="4"/>
        <w:ind w:left="2800"/>
        <w:rPr>
          <w:rFonts w:ascii="宋体" w:hAnsi="宋体" w:cs="宋体"/>
          <w:color w:val="auto"/>
          <w:sz w:val="24"/>
          <w:highlight w:val="none"/>
        </w:rPr>
      </w:pPr>
    </w:p>
    <w:p w14:paraId="53AB887F">
      <w:pPr>
        <w:rPr>
          <w:rFonts w:ascii="宋体" w:hAnsi="宋体" w:cs="宋体"/>
          <w:color w:val="auto"/>
          <w:sz w:val="24"/>
          <w:highlight w:val="none"/>
        </w:rPr>
      </w:pPr>
    </w:p>
    <w:p w14:paraId="69CEC815">
      <w:pPr>
        <w:pStyle w:val="2"/>
        <w:ind w:firstLine="240"/>
        <w:rPr>
          <w:rFonts w:ascii="宋体" w:hAnsi="宋体" w:cs="宋体"/>
          <w:color w:val="auto"/>
          <w:sz w:val="24"/>
          <w:highlight w:val="none"/>
        </w:rPr>
      </w:pPr>
    </w:p>
    <w:p w14:paraId="4196A409">
      <w:pPr>
        <w:pStyle w:val="4"/>
        <w:ind w:left="2800"/>
        <w:rPr>
          <w:color w:val="auto"/>
          <w:highlight w:val="none"/>
        </w:rPr>
      </w:pPr>
    </w:p>
    <w:p w14:paraId="02DF30AC">
      <w:pPr>
        <w:spacing w:line="440" w:lineRule="exact"/>
        <w:rPr>
          <w:rFonts w:ascii="宋体" w:hAnsi="宋体" w:cs="宋体"/>
          <w:b/>
          <w:bCs/>
          <w:color w:val="auto"/>
          <w:sz w:val="32"/>
          <w:szCs w:val="32"/>
          <w:highlight w:val="none"/>
        </w:rPr>
      </w:pPr>
    </w:p>
    <w:p w14:paraId="702D07A3">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招标代理服务费承诺函</w:t>
      </w:r>
    </w:p>
    <w:p w14:paraId="6BE6777C">
      <w:pPr>
        <w:pStyle w:val="7"/>
        <w:spacing w:line="500" w:lineRule="exact"/>
        <w:jc w:val="center"/>
        <w:rPr>
          <w:rFonts w:ascii="宋体" w:hAnsi="宋体" w:cs="宋体"/>
          <w:b/>
          <w:color w:val="auto"/>
          <w:sz w:val="28"/>
          <w:szCs w:val="28"/>
          <w:highlight w:val="none"/>
        </w:rPr>
      </w:pPr>
    </w:p>
    <w:p w14:paraId="4C4EA470">
      <w:pPr>
        <w:pStyle w:val="7"/>
        <w:spacing w:line="500" w:lineRule="exact"/>
        <w:ind w:firstLine="0"/>
        <w:jc w:val="left"/>
        <w:rPr>
          <w:rFonts w:ascii="宋体" w:hAnsi="宋体" w:cs="宋体"/>
          <w:color w:val="auto"/>
          <w:sz w:val="24"/>
          <w:highlight w:val="none"/>
        </w:rPr>
      </w:pPr>
      <w:r>
        <w:rPr>
          <w:rFonts w:hint="eastAsia" w:ascii="宋体" w:hAnsi="宋体" w:cs="宋体"/>
          <w:color w:val="auto"/>
          <w:sz w:val="24"/>
          <w:highlight w:val="none"/>
        </w:rPr>
        <w:t>浙江华夏工程管理有限公司湖州分公司：</w:t>
      </w:r>
    </w:p>
    <w:p w14:paraId="0B272E4F">
      <w:pPr>
        <w:pStyle w:val="7"/>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根据招标文件的规定，一旦我公司中标，我公司同意按招标文件要求向贵公司交纳中标项目的招标代理服务费，在确定中标供应商后，领取中标通知书前的当天一次性结清。</w:t>
      </w:r>
    </w:p>
    <w:p w14:paraId="7A03BBE9">
      <w:pPr>
        <w:pStyle w:val="7"/>
        <w:spacing w:line="500" w:lineRule="exact"/>
        <w:jc w:val="left"/>
        <w:rPr>
          <w:rFonts w:ascii="宋体" w:hAnsi="宋体" w:cs="宋体"/>
          <w:color w:val="auto"/>
          <w:sz w:val="24"/>
          <w:highlight w:val="none"/>
        </w:rPr>
      </w:pPr>
      <w:r>
        <w:rPr>
          <w:rFonts w:hint="eastAsia" w:ascii="宋体" w:hAnsi="宋体" w:cs="宋体"/>
          <w:color w:val="auto"/>
          <w:sz w:val="24"/>
          <w:highlight w:val="none"/>
        </w:rPr>
        <w:t>本承诺函自开标之日起至本次采购期满有效。</w:t>
      </w:r>
    </w:p>
    <w:p w14:paraId="023C777C">
      <w:pPr>
        <w:pStyle w:val="7"/>
        <w:spacing w:line="500" w:lineRule="exact"/>
        <w:ind w:firstLine="0"/>
        <w:jc w:val="left"/>
        <w:rPr>
          <w:rFonts w:ascii="宋体" w:hAnsi="宋体" w:cs="宋体"/>
          <w:color w:val="auto"/>
          <w:sz w:val="24"/>
          <w:highlight w:val="none"/>
        </w:rPr>
      </w:pPr>
    </w:p>
    <w:p w14:paraId="2BA9A2D4">
      <w:pPr>
        <w:pStyle w:val="7"/>
        <w:spacing w:line="500" w:lineRule="exact"/>
        <w:jc w:val="left"/>
        <w:rPr>
          <w:rFonts w:ascii="宋体" w:hAnsi="宋体" w:cs="宋体"/>
          <w:color w:val="auto"/>
          <w:sz w:val="24"/>
          <w:highlight w:val="none"/>
        </w:rPr>
      </w:pPr>
    </w:p>
    <w:p w14:paraId="6BCBF5AC">
      <w:pPr>
        <w:pStyle w:val="7"/>
        <w:spacing w:line="500" w:lineRule="exact"/>
        <w:ind w:firstLine="0"/>
        <w:jc w:val="left"/>
        <w:rPr>
          <w:rFonts w:ascii="宋体" w:hAnsi="宋体" w:cs="宋体"/>
          <w:color w:val="auto"/>
          <w:sz w:val="24"/>
          <w:highlight w:val="none"/>
        </w:rPr>
      </w:pPr>
      <w:r>
        <w:rPr>
          <w:rFonts w:hint="eastAsia" w:ascii="宋体" w:hAnsi="宋体" w:cs="宋体"/>
          <w:color w:val="auto"/>
          <w:sz w:val="24"/>
          <w:highlight w:val="none"/>
        </w:rPr>
        <w:t>法定代表人或授权代表签字：</w:t>
      </w:r>
    </w:p>
    <w:p w14:paraId="780BB382">
      <w:pPr>
        <w:pStyle w:val="7"/>
        <w:spacing w:line="500" w:lineRule="exact"/>
        <w:ind w:firstLine="0"/>
        <w:jc w:val="left"/>
        <w:rPr>
          <w:rFonts w:ascii="宋体" w:hAnsi="宋体" w:cs="宋体"/>
          <w:color w:val="auto"/>
          <w:sz w:val="24"/>
          <w:highlight w:val="none"/>
        </w:rPr>
      </w:pPr>
      <w:r>
        <w:rPr>
          <w:rFonts w:hint="eastAsia" w:ascii="宋体" w:hAnsi="宋体" w:cs="宋体"/>
          <w:color w:val="auto"/>
          <w:sz w:val="24"/>
          <w:highlight w:val="none"/>
        </w:rPr>
        <w:t>投标供应商公章：</w:t>
      </w:r>
    </w:p>
    <w:p w14:paraId="61C47E97">
      <w:pPr>
        <w:pStyle w:val="7"/>
        <w:spacing w:line="500" w:lineRule="exact"/>
        <w:ind w:firstLine="0"/>
        <w:jc w:val="left"/>
        <w:rPr>
          <w:rFonts w:ascii="宋体" w:hAnsi="宋体" w:cs="宋体"/>
          <w:color w:val="auto"/>
          <w:sz w:val="24"/>
          <w:highlight w:val="none"/>
        </w:rPr>
      </w:pPr>
      <w:r>
        <w:rPr>
          <w:rFonts w:hint="eastAsia" w:ascii="宋体" w:hAnsi="宋体" w:cs="宋体"/>
          <w:color w:val="auto"/>
          <w:sz w:val="24"/>
          <w:highlight w:val="none"/>
        </w:rPr>
        <w:t>日期：2024年  月  日</w:t>
      </w:r>
    </w:p>
    <w:p w14:paraId="3F890D20">
      <w:pPr>
        <w:spacing w:line="480" w:lineRule="auto"/>
        <w:rPr>
          <w:rFonts w:ascii="宋体" w:hAnsi="宋体" w:cs="宋体"/>
          <w:bCs/>
          <w:color w:val="auto"/>
          <w:sz w:val="24"/>
          <w:highlight w:val="none"/>
        </w:rPr>
      </w:pPr>
    </w:p>
    <w:p w14:paraId="080A0785">
      <w:pPr>
        <w:spacing w:line="480" w:lineRule="auto"/>
        <w:rPr>
          <w:rFonts w:ascii="宋体" w:hAnsi="宋体" w:cs="宋体"/>
          <w:bCs/>
          <w:color w:val="auto"/>
          <w:sz w:val="24"/>
          <w:highlight w:val="none"/>
        </w:rPr>
      </w:pPr>
      <w:r>
        <w:rPr>
          <w:rFonts w:hint="eastAsia" w:ascii="宋体" w:hAnsi="宋体" w:cs="宋体"/>
          <w:bCs/>
          <w:color w:val="auto"/>
          <w:sz w:val="24"/>
          <w:highlight w:val="none"/>
        </w:rPr>
        <w:t>账户名称：浙江华夏工程管理有限公司湖州分公司</w:t>
      </w:r>
    </w:p>
    <w:p w14:paraId="1A343125">
      <w:pPr>
        <w:spacing w:line="480" w:lineRule="auto"/>
        <w:rPr>
          <w:rFonts w:ascii="宋体" w:hAnsi="宋体" w:cs="宋体"/>
          <w:bCs/>
          <w:color w:val="auto"/>
          <w:sz w:val="24"/>
          <w:highlight w:val="none"/>
        </w:rPr>
      </w:pPr>
      <w:r>
        <w:rPr>
          <w:rFonts w:hint="eastAsia" w:ascii="宋体" w:hAnsi="宋体" w:cs="宋体"/>
          <w:bCs/>
          <w:color w:val="auto"/>
          <w:sz w:val="24"/>
          <w:highlight w:val="none"/>
        </w:rPr>
        <w:t>税号：91330502307586763M</w:t>
      </w:r>
    </w:p>
    <w:p w14:paraId="154E5E74">
      <w:pPr>
        <w:spacing w:line="480" w:lineRule="auto"/>
        <w:rPr>
          <w:rFonts w:ascii="宋体" w:hAnsi="宋体" w:cs="宋体"/>
          <w:bCs/>
          <w:color w:val="auto"/>
          <w:sz w:val="24"/>
          <w:highlight w:val="none"/>
        </w:rPr>
      </w:pPr>
      <w:r>
        <w:rPr>
          <w:rFonts w:hint="eastAsia" w:ascii="宋体" w:hAnsi="宋体" w:cs="宋体"/>
          <w:bCs/>
          <w:color w:val="auto"/>
          <w:sz w:val="24"/>
          <w:highlight w:val="none"/>
        </w:rPr>
        <w:t>地址和电话：浙江省湖州市星洲国际花园10幢502室  0572-2567859</w:t>
      </w:r>
    </w:p>
    <w:p w14:paraId="58F39A82">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开户行及账号：吴兴农村商业银行龙溪支行 2010 0012 3502 758  </w:t>
      </w:r>
    </w:p>
    <w:p w14:paraId="6D03CD41">
      <w:pPr>
        <w:spacing w:line="460" w:lineRule="exact"/>
        <w:rPr>
          <w:rFonts w:ascii="宋体" w:hAnsi="宋体" w:cs="宋体"/>
          <w:b/>
          <w:color w:val="auto"/>
          <w:sz w:val="36"/>
          <w:szCs w:val="36"/>
          <w:highlight w:val="none"/>
        </w:rPr>
      </w:pPr>
    </w:p>
    <w:p w14:paraId="09E4AA21">
      <w:pPr>
        <w:spacing w:line="460" w:lineRule="exact"/>
        <w:jc w:val="center"/>
        <w:rPr>
          <w:rFonts w:ascii="宋体" w:hAnsi="宋体" w:cs="宋体"/>
          <w:b/>
          <w:color w:val="auto"/>
          <w:sz w:val="36"/>
          <w:szCs w:val="36"/>
          <w:highlight w:val="none"/>
        </w:rPr>
        <w:sectPr>
          <w:pgSz w:w="11907" w:h="16840"/>
          <w:pgMar w:top="1134" w:right="1247" w:bottom="1191" w:left="1128" w:header="851" w:footer="992" w:gutter="0"/>
          <w:cols w:space="720" w:num="1"/>
          <w:docGrid w:linePitch="381" w:charSpace="0"/>
        </w:sectPr>
      </w:pPr>
    </w:p>
    <w:p w14:paraId="01DF99A5">
      <w:pPr>
        <w:pStyle w:val="20"/>
        <w:ind w:left="560"/>
        <w:rPr>
          <w:rFonts w:ascii="宋体" w:hAnsi="宋体" w:cs="宋体"/>
          <w:color w:val="auto"/>
          <w:highlight w:val="none"/>
        </w:rPr>
      </w:pPr>
    </w:p>
    <w:p w14:paraId="223FC068">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人 员 交 接 承 诺 书</w:t>
      </w:r>
    </w:p>
    <w:p w14:paraId="2C1507A9">
      <w:pPr>
        <w:spacing w:line="480" w:lineRule="exact"/>
        <w:rPr>
          <w:rFonts w:ascii="宋体" w:hAnsi="宋体" w:cs="宋体"/>
          <w:color w:val="auto"/>
          <w:sz w:val="24"/>
          <w:highlight w:val="none"/>
        </w:rPr>
      </w:pPr>
      <w:r>
        <w:rPr>
          <w:rFonts w:hint="eastAsia" w:ascii="宋体" w:hAnsi="宋体" w:cs="宋体"/>
          <w:color w:val="auto"/>
          <w:sz w:val="24"/>
          <w:highlight w:val="none"/>
        </w:rPr>
        <w:t>致：湖州市人民政府滨湖街道办事处 、浙江华夏工程管理有限公司</w:t>
      </w:r>
    </w:p>
    <w:p w14:paraId="5B2A5DE0">
      <w:pPr>
        <w:widowControl/>
        <w:spacing w:line="480" w:lineRule="exact"/>
        <w:ind w:right="62" w:firstLine="480" w:firstLineChars="200"/>
        <w:rPr>
          <w:rFonts w:ascii="宋体" w:hAnsi="宋体" w:cs="宋体"/>
          <w:color w:val="auto"/>
          <w:sz w:val="24"/>
          <w:highlight w:val="none"/>
        </w:rPr>
      </w:pPr>
      <w:r>
        <w:rPr>
          <w:rFonts w:hint="eastAsia" w:ascii="宋体" w:hAnsi="宋体" w:cs="宋体"/>
          <w:color w:val="auto"/>
          <w:sz w:val="24"/>
          <w:highlight w:val="none"/>
        </w:rPr>
        <w:t>在湖州市人民政府滨湖街道办事处组织的2024年滨湖街道城市小区生活垃圾精准分类项目招标活动中，我公司如中标，</w:t>
      </w:r>
      <w:r>
        <w:rPr>
          <w:rFonts w:hint="eastAsia" w:hAnsi="宋体" w:cs="宋体"/>
          <w:bCs/>
          <w:color w:val="auto"/>
          <w:sz w:val="24"/>
          <w:highlight w:val="none"/>
        </w:rPr>
        <w:t>为切实保障本项目内原环卫作业人员的权益，我司将应</w:t>
      </w:r>
      <w:r>
        <w:rPr>
          <w:rFonts w:hint="eastAsia" w:hAnsi="宋体" w:cs="宋体"/>
          <w:color w:val="auto"/>
          <w:sz w:val="24"/>
          <w:highlight w:val="none"/>
        </w:rPr>
        <w:t>积极稳妥的做好中标区域内原环卫作业人员的思想工作，在平等、自愿的基础上接收原岗位上的环卫作业人员，按照现有的作业方式和管理模式进行前期平稳过渡，确保在交接及过渡中不发生不稳定事件</w:t>
      </w:r>
      <w:r>
        <w:rPr>
          <w:rFonts w:hint="eastAsia" w:ascii="宋体" w:hAnsi="宋体" w:cs="宋体"/>
          <w:color w:val="auto"/>
          <w:sz w:val="24"/>
          <w:highlight w:val="none"/>
        </w:rPr>
        <w:t>。</w:t>
      </w:r>
    </w:p>
    <w:p w14:paraId="3B15F168">
      <w:pPr>
        <w:widowControl/>
        <w:spacing w:line="480" w:lineRule="exact"/>
        <w:ind w:right="62"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763E264B">
      <w:pPr>
        <w:widowControl/>
        <w:spacing w:line="480" w:lineRule="exact"/>
        <w:ind w:right="62"/>
        <w:rPr>
          <w:rFonts w:ascii="宋体" w:hAnsi="宋体" w:cs="宋体"/>
          <w:color w:val="auto"/>
          <w:sz w:val="24"/>
          <w:highlight w:val="none"/>
        </w:rPr>
      </w:pPr>
    </w:p>
    <w:p w14:paraId="00714488">
      <w:pPr>
        <w:widowControl/>
        <w:spacing w:line="480" w:lineRule="exact"/>
        <w:ind w:right="62" w:firstLine="480" w:firstLineChars="200"/>
        <w:rPr>
          <w:rFonts w:ascii="宋体" w:hAnsi="宋体" w:cs="宋体"/>
          <w:color w:val="auto"/>
          <w:sz w:val="24"/>
          <w:highlight w:val="none"/>
        </w:rPr>
      </w:pPr>
      <w:r>
        <w:rPr>
          <w:rFonts w:hint="eastAsia" w:ascii="宋体" w:hAnsi="宋体" w:cs="宋体"/>
          <w:color w:val="auto"/>
          <w:sz w:val="24"/>
          <w:highlight w:val="none"/>
        </w:rPr>
        <w:t>承诺单位：</w:t>
      </w:r>
    </w:p>
    <w:p w14:paraId="5DACA1CE">
      <w:pPr>
        <w:widowControl/>
        <w:spacing w:line="480" w:lineRule="exact"/>
        <w:ind w:right="62" w:firstLine="480" w:firstLineChars="200"/>
        <w:rPr>
          <w:rFonts w:ascii="宋体" w:hAnsi="宋体" w:cs="宋体"/>
          <w:color w:val="auto"/>
          <w:sz w:val="24"/>
          <w:highlight w:val="none"/>
        </w:rPr>
      </w:pPr>
      <w:r>
        <w:rPr>
          <w:rFonts w:hint="eastAsia" w:ascii="宋体" w:hAnsi="宋体" w:cs="宋体"/>
          <w:color w:val="auto"/>
          <w:sz w:val="24"/>
          <w:highlight w:val="none"/>
        </w:rPr>
        <w:t>法人代表：</w:t>
      </w:r>
    </w:p>
    <w:p w14:paraId="5080F63B">
      <w:pPr>
        <w:widowControl/>
        <w:spacing w:line="480" w:lineRule="exact"/>
        <w:ind w:right="62" w:firstLine="480" w:firstLineChars="200"/>
        <w:rPr>
          <w:rFonts w:ascii="宋体" w:hAnsi="宋体" w:cs="宋体"/>
          <w:b/>
          <w:color w:val="auto"/>
          <w:sz w:val="36"/>
          <w:szCs w:val="36"/>
          <w:highlight w:val="none"/>
        </w:rPr>
      </w:pPr>
      <w:r>
        <w:rPr>
          <w:rFonts w:hint="eastAsia" w:ascii="宋体" w:hAnsi="宋体" w:cs="宋体"/>
          <w:color w:val="auto"/>
          <w:sz w:val="24"/>
          <w:highlight w:val="none"/>
        </w:rPr>
        <w:t>承诺日期：2024年   月    日</w:t>
      </w:r>
    </w:p>
    <w:p w14:paraId="387AD289">
      <w:pPr>
        <w:rPr>
          <w:rFonts w:ascii="宋体" w:hAnsi="宋体" w:cs="宋体"/>
          <w:color w:val="auto"/>
          <w:highlight w:val="none"/>
        </w:rPr>
      </w:pPr>
    </w:p>
    <w:p w14:paraId="09E771ED">
      <w:pPr>
        <w:pStyle w:val="2"/>
        <w:ind w:firstLine="280"/>
        <w:rPr>
          <w:rFonts w:ascii="宋体" w:hAnsi="宋体" w:cs="宋体"/>
          <w:color w:val="auto"/>
          <w:highlight w:val="none"/>
        </w:rPr>
      </w:pPr>
    </w:p>
    <w:p w14:paraId="182C3C4E">
      <w:pPr>
        <w:rPr>
          <w:rFonts w:ascii="宋体" w:hAnsi="宋体" w:cs="宋体"/>
          <w:color w:val="auto"/>
          <w:highlight w:val="none"/>
        </w:rPr>
      </w:pPr>
    </w:p>
    <w:p w14:paraId="63564C97">
      <w:pPr>
        <w:pStyle w:val="2"/>
        <w:ind w:firstLine="280"/>
        <w:rPr>
          <w:rFonts w:ascii="宋体" w:hAnsi="宋体" w:cs="宋体"/>
          <w:color w:val="auto"/>
          <w:highlight w:val="none"/>
        </w:rPr>
      </w:pPr>
    </w:p>
    <w:p w14:paraId="4DA0A387">
      <w:pPr>
        <w:rPr>
          <w:rFonts w:ascii="宋体" w:hAnsi="宋体" w:cs="宋体"/>
          <w:color w:val="auto"/>
          <w:highlight w:val="none"/>
        </w:rPr>
      </w:pPr>
    </w:p>
    <w:p w14:paraId="6413C0E7">
      <w:pPr>
        <w:pStyle w:val="2"/>
        <w:ind w:firstLine="280"/>
        <w:rPr>
          <w:rFonts w:ascii="宋体" w:hAnsi="宋体" w:cs="宋体"/>
          <w:color w:val="auto"/>
          <w:highlight w:val="none"/>
        </w:rPr>
      </w:pPr>
    </w:p>
    <w:p w14:paraId="3A6DE51C">
      <w:pPr>
        <w:tabs>
          <w:tab w:val="left" w:pos="1200"/>
        </w:tabs>
        <w:adjustRightInd w:val="0"/>
        <w:snapToGrid w:val="0"/>
        <w:spacing w:line="340" w:lineRule="exact"/>
        <w:outlineLvl w:val="0"/>
        <w:rPr>
          <w:rFonts w:ascii="宋体" w:hAnsi="宋体" w:cs="宋体"/>
          <w:b/>
          <w:color w:val="auto"/>
          <w:sz w:val="30"/>
          <w:szCs w:val="30"/>
          <w:highlight w:val="none"/>
        </w:rPr>
      </w:pPr>
    </w:p>
    <w:p w14:paraId="662461EF">
      <w:pPr>
        <w:jc w:val="center"/>
        <w:rPr>
          <w:rFonts w:ascii="宋体" w:hAnsi="宋体" w:cs="宋体"/>
          <w:b/>
          <w:color w:val="auto"/>
          <w:sz w:val="30"/>
          <w:szCs w:val="30"/>
          <w:highlight w:val="none"/>
        </w:rPr>
        <w:sectPr>
          <w:pgSz w:w="11907" w:h="16840"/>
          <w:pgMar w:top="1134" w:right="1247" w:bottom="1191" w:left="1128" w:header="851" w:footer="992" w:gutter="0"/>
          <w:cols w:space="720" w:num="1"/>
          <w:docGrid w:linePitch="381" w:charSpace="0"/>
        </w:sectPr>
      </w:pPr>
    </w:p>
    <w:p w14:paraId="20A2F7F0">
      <w:pPr>
        <w:spacing w:line="480" w:lineRule="exact"/>
        <w:jc w:val="center"/>
        <w:rPr>
          <w:rFonts w:ascii="宋体" w:hAnsi="宋体" w:cs="宋体"/>
          <w:b/>
          <w:color w:val="auto"/>
          <w:sz w:val="36"/>
          <w:szCs w:val="36"/>
          <w:highlight w:val="none"/>
        </w:rPr>
      </w:pPr>
    </w:p>
    <w:p w14:paraId="43742011">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中小企业声明函(服务)</w:t>
      </w:r>
    </w:p>
    <w:p w14:paraId="426BE8F6">
      <w:pPr>
        <w:jc w:val="center"/>
        <w:rPr>
          <w:rFonts w:ascii="宋体" w:hAnsi="宋体" w:cs="宋体"/>
          <w:color w:val="auto"/>
          <w:sz w:val="24"/>
          <w:highlight w:val="none"/>
        </w:rPr>
      </w:pPr>
    </w:p>
    <w:p w14:paraId="5382AEEF">
      <w:pPr>
        <w:spacing w:line="480" w:lineRule="exact"/>
        <w:ind w:firstLine="555"/>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(湖州市人民政府滨湖街道办事处</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2024年滨湖街道城市小区生活垃圾精准分类项目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131CE1C">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2024年滨湖街道城市小区生活垃圾精准分类项目</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194B3455">
      <w:pPr>
        <w:spacing w:line="480" w:lineRule="exact"/>
        <w:ind w:firstLine="570"/>
        <w:jc w:val="left"/>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p>
    <w:p w14:paraId="74D35B01">
      <w:pPr>
        <w:spacing w:line="480" w:lineRule="exact"/>
        <w:jc w:val="left"/>
        <w:rPr>
          <w:rFonts w:ascii="宋体" w:hAnsi="宋体" w:cs="宋体"/>
          <w:color w:val="auto"/>
          <w:sz w:val="24"/>
          <w:highlight w:val="none"/>
        </w:rPr>
      </w:pPr>
      <w:r>
        <w:rPr>
          <w:rFonts w:hint="eastAsia" w:ascii="宋体" w:hAnsi="宋体" w:cs="宋体"/>
          <w:color w:val="auto"/>
          <w:sz w:val="24"/>
          <w:highlight w:val="none"/>
        </w:rPr>
        <w:t>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542AD51">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    ……</w:t>
      </w:r>
    </w:p>
    <w:p w14:paraId="0415CD68">
      <w:pPr>
        <w:spacing w:line="480" w:lineRule="exact"/>
        <w:ind w:firstLine="555"/>
        <w:jc w:val="center"/>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w:t>
      </w:r>
    </w:p>
    <w:p w14:paraId="295F87C4">
      <w:pPr>
        <w:spacing w:line="480" w:lineRule="exact"/>
        <w:rPr>
          <w:rFonts w:ascii="宋体" w:hAnsi="宋体" w:cs="宋体"/>
          <w:color w:val="auto"/>
          <w:sz w:val="24"/>
          <w:highlight w:val="none"/>
        </w:rPr>
      </w:pPr>
      <w:r>
        <w:rPr>
          <w:rFonts w:hint="eastAsia" w:ascii="宋体" w:hAnsi="宋体" w:cs="宋体"/>
          <w:color w:val="auto"/>
          <w:sz w:val="24"/>
          <w:highlight w:val="none"/>
        </w:rPr>
        <w:t>的情形，也不存在与大企业的负贵人为同一人的情形。</w:t>
      </w:r>
    </w:p>
    <w:p w14:paraId="197977BB">
      <w:pPr>
        <w:spacing w:line="480" w:lineRule="exact"/>
        <w:ind w:firstLine="427" w:firstLineChars="178"/>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78E6BCA">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企业名称（电子签章）：</w:t>
      </w:r>
    </w:p>
    <w:p w14:paraId="5681983E">
      <w:pPr>
        <w:spacing w:line="480" w:lineRule="exact"/>
        <w:jc w:val="center"/>
        <w:rPr>
          <w:rFonts w:ascii="宋体" w:hAnsi="宋体" w:cs="宋体"/>
          <w:color w:val="auto"/>
          <w:sz w:val="24"/>
          <w:highlight w:val="none"/>
        </w:rPr>
      </w:pPr>
      <w:r>
        <w:rPr>
          <w:rFonts w:hint="eastAsia" w:ascii="宋体" w:hAnsi="宋体" w:cs="宋体"/>
          <w:color w:val="auto"/>
          <w:sz w:val="24"/>
          <w:highlight w:val="none"/>
        </w:rPr>
        <w:t>日期：</w:t>
      </w:r>
    </w:p>
    <w:p w14:paraId="7CADB7BB">
      <w:pPr>
        <w:rPr>
          <w:rFonts w:ascii="宋体" w:hAnsi="宋体" w:cs="宋体"/>
          <w:b/>
          <w:color w:val="auto"/>
          <w:sz w:val="24"/>
          <w:highlight w:val="none"/>
        </w:rPr>
      </w:pPr>
    </w:p>
    <w:p w14:paraId="335BEECC">
      <w:pPr>
        <w:rPr>
          <w:rFonts w:ascii="宋体" w:hAnsi="宋体" w:cs="宋体"/>
          <w:b/>
          <w:color w:val="auto"/>
          <w:sz w:val="24"/>
          <w:highlight w:val="none"/>
        </w:rPr>
      </w:pPr>
    </w:p>
    <w:p w14:paraId="60A3B804">
      <w:pPr>
        <w:rPr>
          <w:rFonts w:ascii="宋体" w:hAnsi="宋体" w:cs="宋体"/>
          <w:b/>
          <w:color w:val="auto"/>
          <w:sz w:val="24"/>
          <w:highlight w:val="none"/>
        </w:rPr>
      </w:pPr>
      <w:r>
        <w:rPr>
          <w:rFonts w:hint="eastAsia" w:ascii="宋体" w:hAnsi="宋体" w:cs="宋体"/>
          <w:b/>
          <w:color w:val="auto"/>
          <w:sz w:val="24"/>
          <w:highlight w:val="none"/>
        </w:rPr>
        <w:t>注：1、中小企业划型标准详见《关于印发中小企业划型标准规定的</w:t>
      </w:r>
    </w:p>
    <w:p w14:paraId="1AA5902A">
      <w:pPr>
        <w:rPr>
          <w:rFonts w:ascii="宋体" w:hAnsi="宋体" w:cs="宋体"/>
          <w:b/>
          <w:color w:val="auto"/>
          <w:sz w:val="24"/>
          <w:highlight w:val="none"/>
        </w:rPr>
      </w:pPr>
      <w:r>
        <w:rPr>
          <w:rFonts w:hint="eastAsia" w:ascii="宋体" w:hAnsi="宋体" w:cs="宋体"/>
          <w:b/>
          <w:color w:val="auto"/>
          <w:sz w:val="24"/>
          <w:highlight w:val="none"/>
        </w:rPr>
        <w:t>通知》工信部联企业[2011]300号文件。</w:t>
      </w:r>
    </w:p>
    <w:p w14:paraId="76E26019">
      <w:pPr>
        <w:rPr>
          <w:rFonts w:ascii="宋体" w:hAnsi="宋体" w:cs="宋体"/>
          <w:b/>
          <w:color w:val="auto"/>
          <w:sz w:val="24"/>
          <w:highlight w:val="none"/>
        </w:rPr>
      </w:pPr>
      <w:r>
        <w:rPr>
          <w:rFonts w:hint="eastAsia" w:ascii="宋体" w:hAnsi="宋体" w:cs="宋体"/>
          <w:b/>
          <w:color w:val="auto"/>
          <w:sz w:val="24"/>
          <w:highlight w:val="none"/>
        </w:rPr>
        <w:t>2、本声明函必须填写完整，如有缺项漏项的，不予认可。</w:t>
      </w:r>
    </w:p>
    <w:p w14:paraId="23902C71">
      <w:pPr>
        <w:rPr>
          <w:rFonts w:ascii="宋体" w:hAnsi="宋体" w:cs="宋体"/>
          <w:color w:val="auto"/>
          <w:sz w:val="24"/>
          <w:highlight w:val="none"/>
        </w:rPr>
      </w:pPr>
    </w:p>
    <w:p w14:paraId="404D3C6B">
      <w:pPr>
        <w:pStyle w:val="2"/>
        <w:ind w:firstLine="280"/>
        <w:rPr>
          <w:rFonts w:ascii="宋体" w:hAnsi="宋体" w:cs="宋体"/>
          <w:color w:val="auto"/>
          <w:highlight w:val="none"/>
        </w:rPr>
      </w:pPr>
    </w:p>
    <w:p w14:paraId="50656309">
      <w:pPr>
        <w:tabs>
          <w:tab w:val="left" w:pos="1200"/>
        </w:tabs>
        <w:adjustRightInd w:val="0"/>
        <w:snapToGrid w:val="0"/>
        <w:spacing w:line="340" w:lineRule="exact"/>
        <w:jc w:val="center"/>
        <w:outlineLvl w:val="0"/>
        <w:rPr>
          <w:rFonts w:ascii="宋体" w:hAnsi="宋体" w:cs="宋体"/>
          <w:b/>
          <w:color w:val="auto"/>
          <w:sz w:val="30"/>
          <w:szCs w:val="30"/>
          <w:highlight w:val="none"/>
        </w:rPr>
      </w:pPr>
    </w:p>
    <w:p w14:paraId="6568DCF9">
      <w:pPr>
        <w:snapToGrid w:val="0"/>
        <w:spacing w:before="50" w:after="120" w:afterLines="50" w:line="600" w:lineRule="exact"/>
        <w:jc w:val="center"/>
        <w:rPr>
          <w:rFonts w:ascii="宋体" w:hAnsi="宋体" w:cs="宋体"/>
          <w:b/>
          <w:bCs/>
          <w:color w:val="auto"/>
          <w:szCs w:val="28"/>
          <w:highlight w:val="none"/>
        </w:rPr>
      </w:pPr>
    </w:p>
    <w:p w14:paraId="4B458F11">
      <w:pPr>
        <w:snapToGrid w:val="0"/>
        <w:spacing w:before="50" w:after="120" w:afterLines="50" w:line="600" w:lineRule="exact"/>
        <w:jc w:val="center"/>
        <w:rPr>
          <w:rFonts w:ascii="宋体" w:hAnsi="宋体" w:cs="宋体"/>
          <w:b/>
          <w:bCs/>
          <w:color w:val="auto"/>
          <w:szCs w:val="28"/>
          <w:highlight w:val="none"/>
        </w:rPr>
        <w:sectPr>
          <w:pgSz w:w="11907" w:h="16840"/>
          <w:pgMar w:top="1134" w:right="1247" w:bottom="1191" w:left="1128" w:header="851" w:footer="992" w:gutter="0"/>
          <w:cols w:space="720" w:num="1"/>
          <w:docGrid w:linePitch="381" w:charSpace="0"/>
        </w:sectPr>
      </w:pPr>
    </w:p>
    <w:p w14:paraId="2A7CD0CA">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监狱企业声明函</w:t>
      </w:r>
    </w:p>
    <w:p w14:paraId="57CB65A6">
      <w:pPr>
        <w:spacing w:line="600" w:lineRule="exact"/>
        <w:jc w:val="center"/>
        <w:rPr>
          <w:rFonts w:ascii="宋体" w:hAnsi="宋体" w:cs="宋体"/>
          <w:color w:val="auto"/>
          <w:sz w:val="24"/>
          <w:highlight w:val="none"/>
        </w:rPr>
      </w:pPr>
      <w:r>
        <w:rPr>
          <w:rFonts w:hint="eastAsia" w:ascii="宋体" w:hAnsi="宋体" w:cs="宋体"/>
          <w:color w:val="auto"/>
          <w:sz w:val="24"/>
          <w:highlight w:val="none"/>
        </w:rPr>
        <w:t>【非监狱企业的不用提供】</w:t>
      </w:r>
    </w:p>
    <w:p w14:paraId="3B93BC2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4441FBF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r>
        <w:rPr>
          <w:rFonts w:hint="eastAsia" w:ascii="宋体" w:hAnsi="宋体" w:cs="宋体"/>
          <w:color w:val="auto"/>
          <w:sz w:val="24"/>
          <w:highlight w:val="none"/>
          <w:u w:val="single"/>
        </w:rPr>
        <w:t xml:space="preserve">                               </w:t>
      </w:r>
    </w:p>
    <w:p w14:paraId="10FEC59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)采购活动提供本企业的产品。</w:t>
      </w:r>
    </w:p>
    <w:p w14:paraId="63940BAF">
      <w:pPr>
        <w:spacing w:line="6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7FB28A6C">
      <w:pPr>
        <w:spacing w:line="600" w:lineRule="exact"/>
        <w:rPr>
          <w:rFonts w:ascii="宋体" w:hAnsi="宋体" w:cs="宋体"/>
          <w:color w:val="auto"/>
          <w:sz w:val="24"/>
          <w:highlight w:val="none"/>
        </w:rPr>
      </w:pPr>
    </w:p>
    <w:p w14:paraId="6B3816CA">
      <w:pPr>
        <w:spacing w:line="600" w:lineRule="exact"/>
        <w:rPr>
          <w:rFonts w:ascii="宋体" w:hAnsi="宋体" w:cs="宋体"/>
          <w:color w:val="auto"/>
          <w:sz w:val="24"/>
          <w:highlight w:val="none"/>
        </w:rPr>
      </w:pPr>
    </w:p>
    <w:p w14:paraId="153AE5E4">
      <w:pPr>
        <w:spacing w:line="6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投标人全称（电子签章）： </w:t>
      </w:r>
    </w:p>
    <w:p w14:paraId="60776A89">
      <w:pPr>
        <w:spacing w:line="6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日期:  年  月   日</w:t>
      </w:r>
    </w:p>
    <w:p w14:paraId="4237B2B3">
      <w:pPr>
        <w:spacing w:line="600" w:lineRule="exact"/>
        <w:rPr>
          <w:rFonts w:ascii="宋体" w:hAnsi="宋体" w:cs="宋体"/>
          <w:color w:val="auto"/>
          <w:sz w:val="24"/>
          <w:highlight w:val="none"/>
        </w:rPr>
      </w:pPr>
    </w:p>
    <w:p w14:paraId="4B1F5015">
      <w:pPr>
        <w:spacing w:line="600" w:lineRule="exact"/>
        <w:rPr>
          <w:rFonts w:ascii="宋体" w:hAnsi="宋体" w:cs="宋体"/>
          <w:color w:val="auto"/>
          <w:sz w:val="24"/>
          <w:highlight w:val="none"/>
        </w:rPr>
      </w:pPr>
    </w:p>
    <w:p w14:paraId="7B28C86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监狱企业参加政府采购活动时，应当提供由省级以上监狱管理局、戒毒管理局(含新疆生产建设兵团)出具的属于监狱企业的证明文件；</w:t>
      </w:r>
    </w:p>
    <w:p w14:paraId="16B5149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B6D9E2C">
      <w:pPr>
        <w:spacing w:line="540" w:lineRule="exact"/>
        <w:rPr>
          <w:rFonts w:ascii="宋体" w:hAnsi="宋体" w:cs="宋体"/>
          <w:color w:val="auto"/>
          <w:sz w:val="24"/>
          <w:highlight w:val="none"/>
        </w:rPr>
      </w:pPr>
    </w:p>
    <w:p w14:paraId="73CA3F6D">
      <w:pPr>
        <w:snapToGrid w:val="0"/>
        <w:spacing w:before="50" w:after="120" w:afterLines="50" w:line="600" w:lineRule="exact"/>
        <w:jc w:val="center"/>
        <w:rPr>
          <w:rFonts w:ascii="宋体" w:hAnsi="宋体" w:cs="宋体"/>
          <w:b/>
          <w:bCs/>
          <w:color w:val="auto"/>
          <w:szCs w:val="28"/>
          <w:highlight w:val="none"/>
        </w:rPr>
      </w:pPr>
    </w:p>
    <w:p w14:paraId="7069452E">
      <w:pPr>
        <w:snapToGrid w:val="0"/>
        <w:spacing w:before="50" w:after="120" w:afterLines="50" w:line="600" w:lineRule="exact"/>
        <w:jc w:val="center"/>
        <w:rPr>
          <w:rFonts w:ascii="宋体" w:hAnsi="宋体" w:cs="宋体"/>
          <w:b/>
          <w:bCs/>
          <w:color w:val="auto"/>
          <w:szCs w:val="28"/>
          <w:highlight w:val="none"/>
        </w:rPr>
      </w:pPr>
    </w:p>
    <w:p w14:paraId="047D03B3">
      <w:pPr>
        <w:snapToGrid w:val="0"/>
        <w:spacing w:before="50" w:after="120" w:afterLines="50" w:line="600" w:lineRule="exact"/>
        <w:jc w:val="center"/>
        <w:rPr>
          <w:rFonts w:ascii="宋体" w:hAnsi="宋体" w:cs="宋体"/>
          <w:b/>
          <w:bCs/>
          <w:color w:val="auto"/>
          <w:szCs w:val="28"/>
          <w:highlight w:val="none"/>
        </w:rPr>
      </w:pPr>
      <w:r>
        <w:rPr>
          <w:rFonts w:hint="eastAsia" w:ascii="宋体" w:hAnsi="宋体" w:cs="宋体"/>
          <w:b/>
          <w:bCs/>
          <w:color w:val="auto"/>
          <w:szCs w:val="28"/>
          <w:highlight w:val="none"/>
        </w:rPr>
        <w:t>残疾人福利性单位声明函</w:t>
      </w:r>
    </w:p>
    <w:p w14:paraId="6C606949">
      <w:pPr>
        <w:spacing w:line="600" w:lineRule="exact"/>
        <w:jc w:val="center"/>
        <w:rPr>
          <w:rFonts w:ascii="宋体" w:hAnsi="宋体" w:cs="宋体"/>
          <w:color w:val="auto"/>
          <w:sz w:val="24"/>
          <w:highlight w:val="none"/>
        </w:rPr>
      </w:pPr>
      <w:r>
        <w:rPr>
          <w:rFonts w:hint="eastAsia" w:ascii="宋体" w:hAnsi="宋体" w:cs="宋体"/>
          <w:color w:val="auto"/>
          <w:sz w:val="24"/>
          <w:highlight w:val="none"/>
        </w:rPr>
        <w:t>【非残疾人福利性单位不用提供】</w:t>
      </w:r>
    </w:p>
    <w:p w14:paraId="0CF44248">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(项目名称)项目采购活动提供本单位制造的货物(由本单位承担工程/提供服务)，或者提供其他残疾人福利性单位制造的货物(不包括使用非残疾人福利性单位注册商标的货物)。</w:t>
      </w:r>
    </w:p>
    <w:p w14:paraId="0EA9A403">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本单位对上述声明的真实性负责，如有虚假，将依法承但相应责任。</w:t>
      </w:r>
    </w:p>
    <w:p w14:paraId="37C22797">
      <w:pPr>
        <w:spacing w:line="600" w:lineRule="exact"/>
        <w:ind w:firstLine="480" w:firstLineChars="200"/>
        <w:rPr>
          <w:rFonts w:ascii="宋体" w:hAnsi="宋体" w:cs="宋体"/>
          <w:color w:val="auto"/>
          <w:sz w:val="24"/>
          <w:highlight w:val="none"/>
        </w:rPr>
      </w:pPr>
    </w:p>
    <w:p w14:paraId="4AEB1B08">
      <w:pPr>
        <w:spacing w:line="600" w:lineRule="exact"/>
        <w:ind w:firstLine="480" w:firstLineChars="200"/>
        <w:rPr>
          <w:rFonts w:ascii="宋体" w:hAnsi="宋体" w:cs="宋体"/>
          <w:color w:val="auto"/>
          <w:sz w:val="24"/>
          <w:highlight w:val="none"/>
        </w:rPr>
      </w:pPr>
    </w:p>
    <w:p w14:paraId="0A93F268">
      <w:pPr>
        <w:spacing w:line="6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 xml:space="preserve">投标人全称（电子签章）： </w:t>
      </w:r>
    </w:p>
    <w:p w14:paraId="6E3E62E7">
      <w:pPr>
        <w:spacing w:line="6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日期:  年  月   日</w:t>
      </w:r>
    </w:p>
    <w:p w14:paraId="5AF0EC0E">
      <w:pPr>
        <w:spacing w:line="600" w:lineRule="exact"/>
        <w:rPr>
          <w:rFonts w:ascii="微软雅黑" w:hAnsi="微软雅黑" w:eastAsia="微软雅黑" w:cs="微软雅黑"/>
          <w:color w:val="auto"/>
          <w:sz w:val="24"/>
          <w:highlight w:val="none"/>
        </w:rPr>
      </w:pPr>
    </w:p>
    <w:p w14:paraId="1DE51A77">
      <w:pPr>
        <w:spacing w:line="600" w:lineRule="exact"/>
        <w:ind w:firstLine="480" w:firstLineChars="200"/>
        <w:rPr>
          <w:rFonts w:ascii="微软雅黑" w:hAnsi="微软雅黑" w:eastAsia="微软雅黑" w:cs="微软雅黑"/>
          <w:color w:val="auto"/>
          <w:sz w:val="24"/>
          <w:highlight w:val="none"/>
        </w:rPr>
      </w:pPr>
    </w:p>
    <w:p w14:paraId="3BAB4B48">
      <w:pPr>
        <w:spacing w:line="600" w:lineRule="exact"/>
        <w:ind w:firstLine="480" w:firstLineChars="200"/>
        <w:rPr>
          <w:rFonts w:ascii="微软雅黑" w:hAnsi="微软雅黑" w:eastAsia="微软雅黑" w:cs="微软雅黑"/>
          <w:color w:val="auto"/>
          <w:sz w:val="24"/>
          <w:highlight w:val="none"/>
        </w:rPr>
      </w:pPr>
    </w:p>
    <w:p w14:paraId="4C6F8A04">
      <w:pPr>
        <w:spacing w:line="600" w:lineRule="exact"/>
        <w:ind w:firstLine="480" w:firstLineChars="200"/>
        <w:rPr>
          <w:rFonts w:ascii="微软雅黑" w:hAnsi="微软雅黑" w:eastAsia="微软雅黑" w:cs="微软雅黑"/>
          <w:color w:val="auto"/>
          <w:sz w:val="24"/>
          <w:highlight w:val="none"/>
        </w:rPr>
      </w:pPr>
    </w:p>
    <w:p w14:paraId="76523D10">
      <w:pPr>
        <w:spacing w:line="600" w:lineRule="exact"/>
        <w:ind w:firstLine="480" w:firstLineChars="200"/>
        <w:rPr>
          <w:rFonts w:ascii="微软雅黑" w:hAnsi="微软雅黑" w:eastAsia="微软雅黑" w:cs="微软雅黑"/>
          <w:color w:val="auto"/>
          <w:sz w:val="24"/>
          <w:highlight w:val="none"/>
        </w:rPr>
      </w:pPr>
    </w:p>
    <w:p w14:paraId="4C3B3900">
      <w:pPr>
        <w:spacing w:line="600" w:lineRule="exact"/>
        <w:ind w:firstLine="480" w:firstLineChars="200"/>
        <w:rPr>
          <w:rFonts w:ascii="微软雅黑" w:hAnsi="微软雅黑" w:eastAsia="微软雅黑" w:cs="微软雅黑"/>
          <w:color w:val="auto"/>
          <w:sz w:val="24"/>
          <w:highlight w:val="none"/>
        </w:rPr>
      </w:pPr>
    </w:p>
    <w:p w14:paraId="73136161">
      <w:pPr>
        <w:spacing w:line="600" w:lineRule="exact"/>
        <w:rPr>
          <w:rFonts w:ascii="微软雅黑" w:hAnsi="微软雅黑" w:eastAsia="微软雅黑" w:cs="微软雅黑"/>
          <w:color w:val="auto"/>
          <w:sz w:val="24"/>
          <w:highlight w:val="none"/>
        </w:rPr>
      </w:pPr>
    </w:p>
    <w:p w14:paraId="39EF109A">
      <w:pPr>
        <w:spacing w:line="600" w:lineRule="exact"/>
        <w:rPr>
          <w:rFonts w:ascii="微软雅黑" w:hAnsi="微软雅黑" w:eastAsia="微软雅黑" w:cs="微软雅黑"/>
          <w:color w:val="auto"/>
          <w:sz w:val="24"/>
          <w:highlight w:val="none"/>
        </w:rPr>
      </w:pPr>
    </w:p>
    <w:p w14:paraId="29630E35">
      <w:pPr>
        <w:spacing w:line="600" w:lineRule="exact"/>
        <w:rPr>
          <w:rFonts w:ascii="微软雅黑" w:hAnsi="微软雅黑" w:eastAsia="微软雅黑" w:cs="微软雅黑"/>
          <w:color w:val="auto"/>
          <w:sz w:val="24"/>
          <w:highlight w:val="none"/>
        </w:rPr>
      </w:pPr>
    </w:p>
    <w:p w14:paraId="38B28C8C">
      <w:pPr>
        <w:spacing w:line="600" w:lineRule="exact"/>
        <w:rPr>
          <w:rFonts w:ascii="微软雅黑" w:hAnsi="微软雅黑" w:eastAsia="微软雅黑" w:cs="微软雅黑"/>
          <w:color w:val="auto"/>
          <w:sz w:val="24"/>
          <w:highlight w:val="none"/>
        </w:rPr>
      </w:pPr>
    </w:p>
    <w:p w14:paraId="3D0FE588">
      <w:pPr>
        <w:pStyle w:val="2"/>
        <w:ind w:firstLine="240"/>
        <w:rPr>
          <w:rFonts w:ascii="微软雅黑" w:hAnsi="微软雅黑" w:eastAsia="微软雅黑" w:cs="微软雅黑"/>
          <w:color w:val="auto"/>
          <w:sz w:val="24"/>
          <w:highlight w:val="none"/>
        </w:rPr>
      </w:pPr>
    </w:p>
    <w:p w14:paraId="3132539B">
      <w:pPr>
        <w:pStyle w:val="4"/>
        <w:ind w:left="2800"/>
        <w:rPr>
          <w:rFonts w:ascii="微软雅黑" w:hAnsi="微软雅黑" w:eastAsia="微软雅黑" w:cs="微软雅黑"/>
          <w:color w:val="auto"/>
          <w:highlight w:val="none"/>
        </w:rPr>
      </w:pPr>
      <w:r>
        <w:rPr>
          <w:rFonts w:hint="eastAsia" w:ascii="宋体" w:hAnsi="宋体"/>
          <w:b/>
          <w:bCs/>
          <w:color w:val="auto"/>
          <w:szCs w:val="28"/>
          <w:highlight w:val="none"/>
        </w:rPr>
        <w:drawing>
          <wp:anchor distT="0" distB="0" distL="114300" distR="114300" simplePos="0" relativeHeight="251662336" behindDoc="0" locked="0" layoutInCell="1" allowOverlap="1">
            <wp:simplePos x="0" y="0"/>
            <wp:positionH relativeFrom="column">
              <wp:posOffset>883920</wp:posOffset>
            </wp:positionH>
            <wp:positionV relativeFrom="paragraph">
              <wp:posOffset>1844040</wp:posOffset>
            </wp:positionV>
            <wp:extent cx="6006465" cy="3378835"/>
            <wp:effectExtent l="0" t="0" r="13335" b="12065"/>
            <wp:wrapNone/>
            <wp:docPr id="6"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图片1"/>
                    <pic:cNvPicPr>
                      <a:picLocks noChangeAspect="1"/>
                    </pic:cNvPicPr>
                  </pic:nvPicPr>
                  <pic:blipFill>
                    <a:blip r:embed="rId18"/>
                    <a:stretch>
                      <a:fillRect/>
                    </a:stretch>
                  </pic:blipFill>
                  <pic:spPr>
                    <a:xfrm>
                      <a:off x="0" y="0"/>
                      <a:ext cx="6006465" cy="3378835"/>
                    </a:xfrm>
                    <a:prstGeom prst="rect">
                      <a:avLst/>
                    </a:prstGeom>
                    <a:noFill/>
                    <a:ln>
                      <a:noFill/>
                    </a:ln>
                  </pic:spPr>
                </pic:pic>
              </a:graphicData>
            </a:graphic>
          </wp:anchor>
        </w:drawing>
      </w:r>
    </w:p>
    <w:sectPr>
      <w:pgSz w:w="11907" w:h="16840"/>
      <w:pgMar w:top="1134" w:right="1247" w:bottom="1191" w:left="112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B82D">
    <w:pPr>
      <w:pStyle w:val="14"/>
    </w:pPr>
    <w:r>
      <w:rPr>
        <w:rFonts w:hint="eastAsia" w:ascii="黑体" w:hAnsi="MS PGothic" w:eastAsia="黑体"/>
        <w:kern w:val="0"/>
        <w:szCs w:val="21"/>
      </w:rPr>
      <w:t xml:space="preserve">浙江华夏工程管理有限公司                                                                  0572-2567837                                       </w:t>
    </w:r>
  </w:p>
  <w:p w14:paraId="218611A2">
    <w:pPr>
      <w:pStyle w:val="14"/>
      <w:rPr>
        <w:rFonts w:ascii="黑体" w:hAnsi="MS PGothic"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03EC">
    <w:pPr>
      <w:pStyle w:val="14"/>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C707F">
                          <w:pPr>
                            <w:pStyle w:val="14"/>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5</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8C707F">
                    <w:pPr>
                      <w:pStyle w:val="14"/>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5</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v:textbox>
            </v:shape>
          </w:pict>
        </mc:Fallback>
      </mc:AlternateContent>
    </w:r>
  </w:p>
  <w:p w14:paraId="539ED652">
    <w:pPr>
      <w:pStyle w:val="14"/>
      <w:rPr>
        <w:rFonts w:ascii="黑体" w:hAnsi="MS PGothic"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7612">
    <w:pPr>
      <w:pStyle w:val="14"/>
      <w:jc w:val="cente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75187E">
                          <w:pPr>
                            <w:pStyle w:val="14"/>
                            <w:jc w:val="center"/>
                          </w:pPr>
                          <w:r>
                            <w:rPr>
                              <w:rFonts w:hint="eastAsia" w:ascii="宋体" w:hAnsi="宋体"/>
                            </w:rPr>
                            <w:t>第</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21</w:t>
                          </w:r>
                          <w:r>
                            <w:rPr>
                              <w:rFonts w:ascii="宋体" w:hAnsi="宋体"/>
                              <w:bCs/>
                            </w:rPr>
                            <w:fldChar w:fldCharType="end"/>
                          </w:r>
                          <w:r>
                            <w:rPr>
                              <w:rFonts w:hint="eastAsia" w:ascii="宋体" w:hAnsi="宋体"/>
                              <w:bCs/>
                            </w:rPr>
                            <w:t>页，共</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75</w:t>
                          </w:r>
                          <w:r>
                            <w:rPr>
                              <w:rFonts w:ascii="宋体" w:hAnsi="宋体"/>
                              <w:bCs/>
                            </w:rPr>
                            <w:fldChar w:fldCharType="end"/>
                          </w:r>
                          <w:r>
                            <w:rPr>
                              <w:rFonts w:hint="eastAsia" w:ascii="宋体" w:hAnsi="宋体"/>
                              <w:bCs/>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375187E">
                    <w:pPr>
                      <w:pStyle w:val="14"/>
                      <w:jc w:val="center"/>
                    </w:pPr>
                    <w:r>
                      <w:rPr>
                        <w:rFonts w:hint="eastAsia" w:ascii="宋体" w:hAnsi="宋体"/>
                      </w:rPr>
                      <w:t>第</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21</w:t>
                    </w:r>
                    <w:r>
                      <w:rPr>
                        <w:rFonts w:ascii="宋体" w:hAnsi="宋体"/>
                        <w:bCs/>
                      </w:rPr>
                      <w:fldChar w:fldCharType="end"/>
                    </w:r>
                    <w:r>
                      <w:rPr>
                        <w:rFonts w:hint="eastAsia" w:ascii="宋体" w:hAnsi="宋体"/>
                        <w:bCs/>
                      </w:rPr>
                      <w:t>页，共</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75</w:t>
                    </w:r>
                    <w:r>
                      <w:rPr>
                        <w:rFonts w:ascii="宋体" w:hAnsi="宋体"/>
                        <w:bCs/>
                      </w:rPr>
                      <w:fldChar w:fldCharType="end"/>
                    </w:r>
                    <w:r>
                      <w:rPr>
                        <w:rFonts w:hint="eastAsia" w:ascii="宋体" w:hAnsi="宋体"/>
                        <w:bCs/>
                      </w:rPr>
                      <w:t>页</w:t>
                    </w:r>
                  </w:p>
                </w:txbxContent>
              </v:textbox>
            </v:shape>
          </w:pict>
        </mc:Fallback>
      </mc:AlternateContent>
    </w:r>
  </w:p>
  <w:p w14:paraId="556943B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E052">
    <w:pPr>
      <w:pStyle w:val="14"/>
      <w:framePr w:wrap="around" w:vAnchor="text" w:hAnchor="margin" w:xAlign="center" w:y="1"/>
      <w:rPr>
        <w:rStyle w:val="25"/>
      </w:rPr>
    </w:pPr>
    <w:r>
      <w:fldChar w:fldCharType="begin"/>
    </w:r>
    <w:r>
      <w:rPr>
        <w:rStyle w:val="25"/>
      </w:rPr>
      <w:instrText xml:space="preserve">PAGE  </w:instrText>
    </w:r>
    <w:r>
      <w:fldChar w:fldCharType="end"/>
    </w:r>
  </w:p>
  <w:p w14:paraId="130C4318">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38F88">
    <w:pPr>
      <w:pStyle w:val="14"/>
    </w:pPr>
  </w:p>
  <w:p w14:paraId="746FA296">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FD9F">
    <w:pPr>
      <w:pStyle w:val="14"/>
      <w:tabs>
        <w:tab w:val="left" w:pos="3876"/>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F09422">
                          <w:pPr>
                            <w:pStyle w:val="14"/>
                          </w:pPr>
                          <w:r>
                            <w:fldChar w:fldCharType="begin"/>
                          </w:r>
                          <w:r>
                            <w:instrText xml:space="preserve"> PAGE  \* MERGEFORMAT </w:instrText>
                          </w:r>
                          <w:r>
                            <w:fldChar w:fldCharType="separate"/>
                          </w:r>
                          <w:r>
                            <w:t>- 38 -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5WzXHKAQAAl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T0auDuHNMWEHpbGMOkJNxXBchdq0Wnkf/vZL1uPv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E5WzXHKAQAAlgMAAA4AAAAAAAAAAQAgAAAAHwEAAGRycy9lMm9E&#10;b2MueG1sUEsFBgAAAAAGAAYAWQEAAFsFAAAAAA==&#10;">
              <v:fill on="f" focussize="0,0"/>
              <v:stroke on="f" weight="0.5pt"/>
              <v:imagedata o:title=""/>
              <o:lock v:ext="edit" aspectratio="f"/>
              <v:textbox inset="0mm,0mm,0mm,0mm" style="mso-fit-shape-to-text:t;">
                <w:txbxContent>
                  <w:p w14:paraId="14F09422">
                    <w:pPr>
                      <w:pStyle w:val="14"/>
                    </w:pPr>
                    <w:r>
                      <w:fldChar w:fldCharType="begin"/>
                    </w:r>
                    <w:r>
                      <w:instrText xml:space="preserve"> PAGE  \* MERGEFORMAT </w:instrText>
                    </w:r>
                    <w:r>
                      <w:fldChar w:fldCharType="separate"/>
                    </w:r>
                    <w:r>
                      <w:t>- 38 -</w:t>
                    </w:r>
                    <w: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8870">
    <w:pPr>
      <w:pStyle w:val="14"/>
      <w:jc w:val="center"/>
      <w:rPr>
        <w:rFonts w:asciiTheme="minorEastAsia" w:hAnsiTheme="minorEastAsia" w:eastAsiaTheme="minor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9926">
                          <w:pPr>
                            <w:pStyle w:val="14"/>
                            <w:jc w:val="cente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41</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75</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689926">
                    <w:pPr>
                      <w:pStyle w:val="14"/>
                      <w:jc w:val="cente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41</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75</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txbxContent>
              </v:textbox>
            </v:shape>
          </w:pict>
        </mc:Fallback>
      </mc:AlternateContent>
    </w:r>
  </w:p>
  <w:p w14:paraId="3333FFFD">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F4C8A">
    <w:pPr>
      <w:pStyle w:val="14"/>
      <w:rPr>
        <w:rFonts w:ascii="黑体" w:hAnsi="MS PGothic" w:eastAsia="黑体"/>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6BC57F">
                          <w:pPr>
                            <w:pStyle w:val="14"/>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73</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C6BC57F">
                    <w:pPr>
                      <w:pStyle w:val="14"/>
                    </w:pPr>
                    <w:r>
                      <w:rPr>
                        <w:rFonts w:hint="eastAsia" w:ascii="黑体" w:hAnsi="MS PGothic" w:eastAsia="黑体"/>
                        <w:kern w:val="0"/>
                        <w:szCs w:val="21"/>
                      </w:rPr>
                      <w:t xml:space="preserve">浙江华夏工程管理有限公司        0572-2567837                                              第 </w:t>
                    </w:r>
                    <w:r>
                      <w:rPr>
                        <w:rFonts w:hint="eastAsia" w:ascii="黑体" w:hAnsi="MS PGothic" w:eastAsia="黑体"/>
                        <w:kern w:val="0"/>
                        <w:szCs w:val="21"/>
                      </w:rPr>
                      <w:fldChar w:fldCharType="begin"/>
                    </w:r>
                    <w:r>
                      <w:rPr>
                        <w:rFonts w:hint="eastAsia" w:ascii="黑体" w:hAnsi="MS PGothic" w:eastAsia="黑体"/>
                        <w:kern w:val="0"/>
                        <w:szCs w:val="21"/>
                      </w:rPr>
                      <w:instrText xml:space="preserve"> PAGE </w:instrText>
                    </w:r>
                    <w:r>
                      <w:rPr>
                        <w:rFonts w:hint="eastAsia" w:ascii="黑体" w:hAnsi="MS PGothic" w:eastAsia="黑体"/>
                        <w:kern w:val="0"/>
                        <w:szCs w:val="21"/>
                      </w:rPr>
                      <w:fldChar w:fldCharType="separate"/>
                    </w:r>
                    <w:r>
                      <w:rPr>
                        <w:rFonts w:ascii="黑体" w:hAnsi="MS PGothic" w:eastAsia="黑体"/>
                        <w:kern w:val="0"/>
                        <w:szCs w:val="21"/>
                      </w:rPr>
                      <w:t>73</w:t>
                    </w:r>
                    <w:r>
                      <w:rPr>
                        <w:rFonts w:hint="eastAsia" w:ascii="黑体" w:hAnsi="MS PGothic" w:eastAsia="黑体"/>
                        <w:kern w:val="0"/>
                        <w:szCs w:val="21"/>
                      </w:rPr>
                      <w:fldChar w:fldCharType="end"/>
                    </w:r>
                    <w:r>
                      <w:rPr>
                        <w:rFonts w:hint="eastAsia" w:ascii="黑体" w:hAnsi="MS PGothic" w:eastAsia="黑体"/>
                        <w:kern w:val="0"/>
                        <w:szCs w:val="21"/>
                      </w:rP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A8FF">
    <w:pPr>
      <w:pStyle w:val="15"/>
      <w:jc w:val="both"/>
      <w:rPr>
        <w:rFonts w:ascii="微软雅黑" w:hAnsi="微软雅黑" w:eastAsia="微软雅黑" w:cs="微软雅黑"/>
      </w:rPr>
    </w:pPr>
    <w:r>
      <w:rPr>
        <w:rFonts w:hint="eastAsia" w:ascii="微软雅黑" w:hAnsi="微软雅黑" w:eastAsia="微软雅黑" w:cs="微软雅黑"/>
      </w:rPr>
      <w:t>2024年滨湖街道城市小区生活垃圾精准分类项目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53A7">
    <w:pPr>
      <w:pStyle w:val="15"/>
      <w:jc w:val="both"/>
    </w:pPr>
    <w:r>
      <w:rPr>
        <w:rFonts w:hint="eastAsia" w:ascii="微软雅黑" w:hAnsi="微软雅黑" w:eastAsia="微软雅黑" w:cs="微软雅黑"/>
      </w:rPr>
      <w:t>2024年滨湖街道城市小区生活垃圾精准分类项目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8505">
    <w:pPr>
      <w:pStyle w:val="15"/>
      <w:jc w:val="both"/>
      <w:rPr>
        <w:rFonts w:ascii="微软雅黑" w:hAnsi="微软雅黑" w:eastAsia="微软雅黑" w:cs="微软雅黑"/>
      </w:rPr>
    </w:pPr>
    <w:r>
      <w:rPr>
        <w:rFonts w:hint="eastAsia" w:ascii="微软雅黑" w:hAnsi="微软雅黑" w:eastAsia="微软雅黑" w:cs="微软雅黑"/>
      </w:rPr>
      <w:t>2024年滨湖街道城市小区生活垃圾精准分类项目     招标文件</w:t>
    </w:r>
  </w:p>
  <w:p w14:paraId="4E9C4145">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33BD3">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6423E">
    <w:pPr>
      <w:spacing w:line="700" w:lineRule="exact"/>
      <w:jc w:val="left"/>
      <w:rPr>
        <w:rStyle w:val="25"/>
        <w:sz w:val="13"/>
        <w:szCs w:val="13"/>
      </w:rPr>
    </w:pPr>
    <w:r>
      <w:rPr>
        <w:rFonts w:hint="eastAsia" w:ascii="宋体" w:hAnsi="宋体"/>
        <w:bCs/>
        <w:sz w:val="18"/>
        <w:szCs w:val="18"/>
      </w:rPr>
      <w:t>2021年-2023年湖州市人民政府滨湖街道办事处生活垃圾精准分类服务采购项目</w:t>
    </w:r>
    <w:r>
      <w:rPr>
        <w:rStyle w:val="25"/>
        <w:rFonts w:hint="eastAsia"/>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B9AE5">
    <w:pPr>
      <w:pStyle w:val="15"/>
      <w:jc w:val="both"/>
    </w:pPr>
    <w:r>
      <w:rPr>
        <w:rFonts w:hint="eastAsia" w:ascii="微软雅黑" w:hAnsi="微软雅黑" w:eastAsia="微软雅黑" w:cs="微软雅黑"/>
      </w:rPr>
      <w:t>2024年滨湖街道城市小区生活垃圾精准分类项目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6CD3C"/>
    <w:multiLevelType w:val="singleLevel"/>
    <w:tmpl w:val="81F6CD3C"/>
    <w:lvl w:ilvl="0" w:tentative="0">
      <w:start w:val="1"/>
      <w:numFmt w:val="decimal"/>
      <w:suff w:val="nothing"/>
      <w:lvlText w:val="%1、"/>
      <w:lvlJc w:val="left"/>
      <w:pPr>
        <w:ind w:left="-60"/>
      </w:pPr>
    </w:lvl>
  </w:abstractNum>
  <w:abstractNum w:abstractNumId="1">
    <w:nsid w:val="89D9781F"/>
    <w:multiLevelType w:val="singleLevel"/>
    <w:tmpl w:val="89D9781F"/>
    <w:lvl w:ilvl="0" w:tentative="0">
      <w:start w:val="1"/>
      <w:numFmt w:val="chineseCounting"/>
      <w:suff w:val="nothing"/>
      <w:lvlText w:val="（%1）"/>
      <w:lvlJc w:val="left"/>
      <w:rPr>
        <w:rFonts w:hint="eastAsia"/>
      </w:rPr>
    </w:lvl>
  </w:abstractNum>
  <w:abstractNum w:abstractNumId="2">
    <w:nsid w:val="8D7800A4"/>
    <w:multiLevelType w:val="singleLevel"/>
    <w:tmpl w:val="8D7800A4"/>
    <w:lvl w:ilvl="0" w:tentative="0">
      <w:start w:val="1"/>
      <w:numFmt w:val="chineseCounting"/>
      <w:suff w:val="space"/>
      <w:lvlText w:val="第%1章"/>
      <w:lvlJc w:val="left"/>
      <w:rPr>
        <w:rFonts w:hint="eastAsia"/>
      </w:rPr>
    </w:lvl>
  </w:abstractNum>
  <w:abstractNum w:abstractNumId="3">
    <w:nsid w:val="B2834FC1"/>
    <w:multiLevelType w:val="singleLevel"/>
    <w:tmpl w:val="B2834FC1"/>
    <w:lvl w:ilvl="0" w:tentative="0">
      <w:start w:val="1"/>
      <w:numFmt w:val="decimal"/>
      <w:suff w:val="nothing"/>
      <w:lvlText w:val="%1、"/>
      <w:lvlJc w:val="left"/>
      <w:pPr>
        <w:ind w:left="78"/>
      </w:pPr>
    </w:lvl>
  </w:abstractNum>
  <w:abstractNum w:abstractNumId="4">
    <w:nsid w:val="B7DE6712"/>
    <w:multiLevelType w:val="singleLevel"/>
    <w:tmpl w:val="B7DE6712"/>
    <w:lvl w:ilvl="0" w:tentative="0">
      <w:start w:val="1"/>
      <w:numFmt w:val="decimal"/>
      <w:lvlText w:val="%1."/>
      <w:lvlJc w:val="left"/>
      <w:pPr>
        <w:ind w:left="425" w:hanging="425"/>
      </w:pPr>
      <w:rPr>
        <w:rFonts w:hint="default"/>
      </w:rPr>
    </w:lvl>
  </w:abstractNum>
  <w:abstractNum w:abstractNumId="5">
    <w:nsid w:val="BF6A8A6C"/>
    <w:multiLevelType w:val="singleLevel"/>
    <w:tmpl w:val="BF6A8A6C"/>
    <w:lvl w:ilvl="0" w:tentative="0">
      <w:start w:val="1"/>
      <w:numFmt w:val="decimal"/>
      <w:suff w:val="nothing"/>
      <w:lvlText w:val="%1、"/>
      <w:lvlJc w:val="left"/>
      <w:pPr>
        <w:ind w:left="-60"/>
      </w:pPr>
    </w:lvl>
  </w:abstractNum>
  <w:abstractNum w:abstractNumId="6">
    <w:nsid w:val="D2515E9E"/>
    <w:multiLevelType w:val="singleLevel"/>
    <w:tmpl w:val="D2515E9E"/>
    <w:lvl w:ilvl="0" w:tentative="0">
      <w:start w:val="1"/>
      <w:numFmt w:val="decimal"/>
      <w:suff w:val="nothing"/>
      <w:lvlText w:val="%1．"/>
      <w:lvlJc w:val="left"/>
      <w:pPr>
        <w:ind w:firstLine="400"/>
      </w:pPr>
      <w:rPr>
        <w:rFonts w:hint="default" w:cs="Times New Roman"/>
      </w:rPr>
    </w:lvl>
  </w:abstractNum>
  <w:abstractNum w:abstractNumId="7">
    <w:nsid w:val="E012708B"/>
    <w:multiLevelType w:val="singleLevel"/>
    <w:tmpl w:val="E012708B"/>
    <w:lvl w:ilvl="0" w:tentative="0">
      <w:start w:val="1"/>
      <w:numFmt w:val="chineseCounting"/>
      <w:suff w:val="nothing"/>
      <w:lvlText w:val="%1、"/>
      <w:lvlJc w:val="left"/>
      <w:pPr>
        <w:ind w:left="0" w:firstLine="420"/>
      </w:pPr>
      <w:rPr>
        <w:rFonts w:hint="eastAsia"/>
      </w:rPr>
    </w:lvl>
  </w:abstractNum>
  <w:abstractNum w:abstractNumId="8">
    <w:nsid w:val="EB419B3E"/>
    <w:multiLevelType w:val="singleLevel"/>
    <w:tmpl w:val="EB419B3E"/>
    <w:lvl w:ilvl="0" w:tentative="0">
      <w:start w:val="1"/>
      <w:numFmt w:val="chineseCounting"/>
      <w:suff w:val="nothing"/>
      <w:lvlText w:val="%1、"/>
      <w:lvlJc w:val="left"/>
      <w:pPr>
        <w:ind w:left="0" w:firstLine="420"/>
      </w:pPr>
      <w:rPr>
        <w:rFonts w:hint="eastAsia"/>
      </w:rPr>
    </w:lvl>
  </w:abstractNum>
  <w:abstractNum w:abstractNumId="9">
    <w:nsid w:val="FCA5D852"/>
    <w:multiLevelType w:val="singleLevel"/>
    <w:tmpl w:val="FCA5D852"/>
    <w:lvl w:ilvl="0" w:tentative="0">
      <w:start w:val="1"/>
      <w:numFmt w:val="decimal"/>
      <w:lvlText w:val="%1."/>
      <w:lvlJc w:val="left"/>
      <w:pPr>
        <w:ind w:left="425" w:hanging="425"/>
      </w:pPr>
      <w:rPr>
        <w:rFonts w:hint="default" w:cs="Times New Roman"/>
      </w:rPr>
    </w:lvl>
  </w:abstractNum>
  <w:abstractNum w:abstractNumId="10">
    <w:nsid w:val="00000003"/>
    <w:multiLevelType w:val="singleLevel"/>
    <w:tmpl w:val="00000003"/>
    <w:lvl w:ilvl="0" w:tentative="0">
      <w:start w:val="1"/>
      <w:numFmt w:val="decimal"/>
      <w:lvlText w:val="(%1)"/>
      <w:lvlJc w:val="left"/>
      <w:pPr>
        <w:ind w:left="425" w:hanging="425"/>
      </w:pPr>
      <w:rPr>
        <w:rFonts w:hint="default" w:cs="Times New Roman"/>
      </w:rPr>
    </w:lvl>
  </w:abstractNum>
  <w:abstractNum w:abstractNumId="11">
    <w:nsid w:val="00000011"/>
    <w:multiLevelType w:val="singleLevel"/>
    <w:tmpl w:val="00000011"/>
    <w:lvl w:ilvl="0" w:tentative="0">
      <w:start w:val="1"/>
      <w:numFmt w:val="decimal"/>
      <w:lvlText w:val="(%1)"/>
      <w:lvlJc w:val="left"/>
      <w:pPr>
        <w:ind w:left="425" w:hanging="425"/>
      </w:pPr>
      <w:rPr>
        <w:rFonts w:hint="default" w:cs="Times New Roman"/>
      </w:rPr>
    </w:lvl>
  </w:abstractNum>
  <w:abstractNum w:abstractNumId="12">
    <w:nsid w:val="00000017"/>
    <w:multiLevelType w:val="singleLevel"/>
    <w:tmpl w:val="00000017"/>
    <w:lvl w:ilvl="0" w:tentative="0">
      <w:start w:val="1"/>
      <w:numFmt w:val="chineseCounting"/>
      <w:suff w:val="nothing"/>
      <w:lvlText w:val="（%1）"/>
      <w:lvlJc w:val="left"/>
      <w:pPr>
        <w:ind w:firstLine="420"/>
      </w:pPr>
      <w:rPr>
        <w:rFonts w:hint="eastAsia" w:cs="Times New Roman"/>
      </w:rPr>
    </w:lvl>
  </w:abstractNum>
  <w:abstractNum w:abstractNumId="13">
    <w:nsid w:val="00000024"/>
    <w:multiLevelType w:val="singleLevel"/>
    <w:tmpl w:val="00000024"/>
    <w:lvl w:ilvl="0" w:tentative="0">
      <w:start w:val="1"/>
      <w:numFmt w:val="decimal"/>
      <w:suff w:val="nothing"/>
      <w:lvlText w:val="%1．"/>
      <w:lvlJc w:val="left"/>
      <w:pPr>
        <w:ind w:firstLine="400"/>
      </w:pPr>
      <w:rPr>
        <w:rFonts w:hint="default" w:cs="Times New Roman"/>
      </w:rPr>
    </w:lvl>
  </w:abstractNum>
  <w:abstractNum w:abstractNumId="14">
    <w:nsid w:val="163864BE"/>
    <w:multiLevelType w:val="multilevel"/>
    <w:tmpl w:val="163864BE"/>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1FB9EBDB"/>
    <w:multiLevelType w:val="singleLevel"/>
    <w:tmpl w:val="1FB9EBDB"/>
    <w:lvl w:ilvl="0" w:tentative="0">
      <w:start w:val="2"/>
      <w:numFmt w:val="chineseCounting"/>
      <w:suff w:val="nothing"/>
      <w:lvlText w:val="（%1）"/>
      <w:lvlJc w:val="left"/>
      <w:rPr>
        <w:rFonts w:hint="eastAsia"/>
      </w:rPr>
    </w:lvl>
  </w:abstractNum>
  <w:abstractNum w:abstractNumId="16">
    <w:nsid w:val="25E8996C"/>
    <w:multiLevelType w:val="singleLevel"/>
    <w:tmpl w:val="25E8996C"/>
    <w:lvl w:ilvl="0" w:tentative="0">
      <w:start w:val="4"/>
      <w:numFmt w:val="chineseCounting"/>
      <w:suff w:val="nothing"/>
      <w:lvlText w:val="%1、"/>
      <w:lvlJc w:val="left"/>
      <w:rPr>
        <w:rFonts w:hint="eastAsia"/>
      </w:rPr>
    </w:lvl>
  </w:abstractNum>
  <w:abstractNum w:abstractNumId="17">
    <w:nsid w:val="35362278"/>
    <w:multiLevelType w:val="multilevel"/>
    <w:tmpl w:val="35362278"/>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8">
    <w:nsid w:val="428BB4CE"/>
    <w:multiLevelType w:val="singleLevel"/>
    <w:tmpl w:val="428BB4CE"/>
    <w:lvl w:ilvl="0" w:tentative="0">
      <w:start w:val="1"/>
      <w:numFmt w:val="decimal"/>
      <w:suff w:val="nothing"/>
      <w:lvlText w:val="%1．"/>
      <w:lvlJc w:val="left"/>
      <w:pPr>
        <w:ind w:left="0" w:firstLine="400"/>
      </w:pPr>
      <w:rPr>
        <w:rFonts w:hint="default"/>
      </w:rPr>
    </w:lvl>
  </w:abstractNum>
  <w:abstractNum w:abstractNumId="19">
    <w:nsid w:val="5FE2CAC4"/>
    <w:multiLevelType w:val="singleLevel"/>
    <w:tmpl w:val="5FE2CAC4"/>
    <w:lvl w:ilvl="0" w:tentative="0">
      <w:start w:val="1"/>
      <w:numFmt w:val="decimal"/>
      <w:lvlText w:val="%1."/>
      <w:lvlJc w:val="left"/>
      <w:pPr>
        <w:ind w:left="425" w:hanging="425"/>
      </w:pPr>
      <w:rPr>
        <w:rFonts w:hint="default"/>
      </w:rPr>
    </w:lvl>
  </w:abstractNum>
  <w:num w:numId="1">
    <w:abstractNumId w:val="8"/>
  </w:num>
  <w:num w:numId="2">
    <w:abstractNumId w:val="19"/>
  </w:num>
  <w:num w:numId="3">
    <w:abstractNumId w:val="6"/>
  </w:num>
  <w:num w:numId="4">
    <w:abstractNumId w:val="12"/>
  </w:num>
  <w:num w:numId="5">
    <w:abstractNumId w:val="13"/>
  </w:num>
  <w:num w:numId="6">
    <w:abstractNumId w:val="10"/>
  </w:num>
  <w:num w:numId="7">
    <w:abstractNumId w:val="11"/>
  </w:num>
  <w:num w:numId="8">
    <w:abstractNumId w:val="18"/>
  </w:num>
  <w:num w:numId="9">
    <w:abstractNumId w:val="9"/>
  </w:num>
  <w:num w:numId="10">
    <w:abstractNumId w:val="14"/>
  </w:num>
  <w:num w:numId="11">
    <w:abstractNumId w:val="7"/>
  </w:num>
  <w:num w:numId="12">
    <w:abstractNumId w:val="4"/>
  </w:num>
  <w:num w:numId="13">
    <w:abstractNumId w:val="2"/>
  </w:num>
  <w:num w:numId="14">
    <w:abstractNumId w:val="16"/>
  </w:num>
  <w:num w:numId="15">
    <w:abstractNumId w:val="5"/>
  </w:num>
  <w:num w:numId="16">
    <w:abstractNumId w:val="1"/>
  </w:num>
  <w:num w:numId="17">
    <w:abstractNumId w:val="0"/>
  </w:num>
  <w:num w:numId="18">
    <w:abstractNumId w:val="17"/>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Nzg0ODkwZTBiZTc1NWE4ZjBiZGQyYzFlN2E5ZGIifQ=="/>
  </w:docVars>
  <w:rsids>
    <w:rsidRoot w:val="08AB3E0E"/>
    <w:rsid w:val="000C551B"/>
    <w:rsid w:val="000D5700"/>
    <w:rsid w:val="001924ED"/>
    <w:rsid w:val="002807E9"/>
    <w:rsid w:val="002B35FC"/>
    <w:rsid w:val="00353C81"/>
    <w:rsid w:val="00491A97"/>
    <w:rsid w:val="0058508C"/>
    <w:rsid w:val="00646B3E"/>
    <w:rsid w:val="006712B4"/>
    <w:rsid w:val="00684C33"/>
    <w:rsid w:val="006A2554"/>
    <w:rsid w:val="007025FE"/>
    <w:rsid w:val="0071004C"/>
    <w:rsid w:val="00723FBC"/>
    <w:rsid w:val="00853132"/>
    <w:rsid w:val="008F6EE1"/>
    <w:rsid w:val="00904B96"/>
    <w:rsid w:val="009168A7"/>
    <w:rsid w:val="00922136"/>
    <w:rsid w:val="009A13D9"/>
    <w:rsid w:val="009D6C80"/>
    <w:rsid w:val="00C82CBA"/>
    <w:rsid w:val="00CE0E43"/>
    <w:rsid w:val="00D34C33"/>
    <w:rsid w:val="00D8392F"/>
    <w:rsid w:val="00E5040F"/>
    <w:rsid w:val="00EB0C04"/>
    <w:rsid w:val="00F4367A"/>
    <w:rsid w:val="00F52AA9"/>
    <w:rsid w:val="00F85407"/>
    <w:rsid w:val="00F8559F"/>
    <w:rsid w:val="00F96440"/>
    <w:rsid w:val="00FC037A"/>
    <w:rsid w:val="00FE1676"/>
    <w:rsid w:val="01F13986"/>
    <w:rsid w:val="04041910"/>
    <w:rsid w:val="048A1C43"/>
    <w:rsid w:val="05917AAE"/>
    <w:rsid w:val="064F49ED"/>
    <w:rsid w:val="077371F7"/>
    <w:rsid w:val="08AB3E0E"/>
    <w:rsid w:val="0924329B"/>
    <w:rsid w:val="09292BDA"/>
    <w:rsid w:val="094F705D"/>
    <w:rsid w:val="0A0406CC"/>
    <w:rsid w:val="0A2371EA"/>
    <w:rsid w:val="0A4A3389"/>
    <w:rsid w:val="0AC030AD"/>
    <w:rsid w:val="0B8521ED"/>
    <w:rsid w:val="0D865FD1"/>
    <w:rsid w:val="0DBE5C64"/>
    <w:rsid w:val="0DF0365C"/>
    <w:rsid w:val="0E8F0CA8"/>
    <w:rsid w:val="0EF455AD"/>
    <w:rsid w:val="10141182"/>
    <w:rsid w:val="10B82B82"/>
    <w:rsid w:val="11BB77DD"/>
    <w:rsid w:val="12DC6943"/>
    <w:rsid w:val="176043FF"/>
    <w:rsid w:val="19E30A42"/>
    <w:rsid w:val="1A907657"/>
    <w:rsid w:val="1CFA511F"/>
    <w:rsid w:val="1D2D2220"/>
    <w:rsid w:val="1F4762D9"/>
    <w:rsid w:val="215903EB"/>
    <w:rsid w:val="23722FFC"/>
    <w:rsid w:val="23E34527"/>
    <w:rsid w:val="23FB45A4"/>
    <w:rsid w:val="242B219E"/>
    <w:rsid w:val="27A7356C"/>
    <w:rsid w:val="294B735C"/>
    <w:rsid w:val="2E3D7DB2"/>
    <w:rsid w:val="2E5C0088"/>
    <w:rsid w:val="2F945CAA"/>
    <w:rsid w:val="31080E7B"/>
    <w:rsid w:val="33293763"/>
    <w:rsid w:val="33DC08A6"/>
    <w:rsid w:val="34040DC3"/>
    <w:rsid w:val="361342B4"/>
    <w:rsid w:val="3677635F"/>
    <w:rsid w:val="37A74989"/>
    <w:rsid w:val="3BEE26E7"/>
    <w:rsid w:val="3DE411D5"/>
    <w:rsid w:val="42447D27"/>
    <w:rsid w:val="42B95302"/>
    <w:rsid w:val="43317379"/>
    <w:rsid w:val="44F84E9E"/>
    <w:rsid w:val="45024FC9"/>
    <w:rsid w:val="466C0966"/>
    <w:rsid w:val="47C05A16"/>
    <w:rsid w:val="47D24C90"/>
    <w:rsid w:val="483E0A57"/>
    <w:rsid w:val="4A5A69F0"/>
    <w:rsid w:val="4BB86534"/>
    <w:rsid w:val="4BB8782E"/>
    <w:rsid w:val="4C6F2CC0"/>
    <w:rsid w:val="4D4A7E6A"/>
    <w:rsid w:val="4F1B5048"/>
    <w:rsid w:val="4F7B326E"/>
    <w:rsid w:val="520F0A01"/>
    <w:rsid w:val="524E7E26"/>
    <w:rsid w:val="531A5B34"/>
    <w:rsid w:val="53A76161"/>
    <w:rsid w:val="562724C3"/>
    <w:rsid w:val="56994B68"/>
    <w:rsid w:val="58516A3F"/>
    <w:rsid w:val="59090442"/>
    <w:rsid w:val="5A186DED"/>
    <w:rsid w:val="5A9C48C8"/>
    <w:rsid w:val="5AD36A91"/>
    <w:rsid w:val="5CF629EC"/>
    <w:rsid w:val="5E524C74"/>
    <w:rsid w:val="5EEA0E93"/>
    <w:rsid w:val="60824F0D"/>
    <w:rsid w:val="61AD5C02"/>
    <w:rsid w:val="61CA50FC"/>
    <w:rsid w:val="623022E7"/>
    <w:rsid w:val="623A2D1F"/>
    <w:rsid w:val="64451569"/>
    <w:rsid w:val="65F909DE"/>
    <w:rsid w:val="66DF6E91"/>
    <w:rsid w:val="675A06D5"/>
    <w:rsid w:val="67AD1E06"/>
    <w:rsid w:val="6A4B6790"/>
    <w:rsid w:val="6BC539F3"/>
    <w:rsid w:val="6C84532B"/>
    <w:rsid w:val="6D785F20"/>
    <w:rsid w:val="6DCE4E9E"/>
    <w:rsid w:val="6DD864C0"/>
    <w:rsid w:val="6F4339F0"/>
    <w:rsid w:val="70C42D2B"/>
    <w:rsid w:val="7145218E"/>
    <w:rsid w:val="71893E52"/>
    <w:rsid w:val="72E115D3"/>
    <w:rsid w:val="742835D1"/>
    <w:rsid w:val="770C0F88"/>
    <w:rsid w:val="78656FDB"/>
    <w:rsid w:val="79304CFB"/>
    <w:rsid w:val="7A40452E"/>
    <w:rsid w:val="7A671F16"/>
    <w:rsid w:val="7C03171B"/>
    <w:rsid w:val="7C332F4C"/>
    <w:rsid w:val="7EAD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firstLine="420" w:firstLineChars="100"/>
    </w:pPr>
    <w:rPr>
      <w:sz w:val="28"/>
    </w:rPr>
  </w:style>
  <w:style w:type="paragraph" w:styleId="3">
    <w:name w:val="Body Text"/>
    <w:basedOn w:val="1"/>
    <w:next w:val="2"/>
    <w:qFormat/>
    <w:uiPriority w:val="0"/>
    <w:pPr>
      <w:spacing w:line="0" w:lineRule="atLeast"/>
    </w:pPr>
    <w:rPr>
      <w:sz w:val="3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next w:val="8"/>
    <w:qFormat/>
    <w:uiPriority w:val="0"/>
    <w:pPr>
      <w:ind w:firstLine="420"/>
    </w:pPr>
    <w:rPr>
      <w:sz w:val="21"/>
      <w:szCs w:val="20"/>
    </w:rPr>
  </w:style>
  <w:style w:type="paragraph" w:styleId="8">
    <w:name w:val="Body Text Indent"/>
    <w:basedOn w:val="1"/>
    <w:next w:val="7"/>
    <w:qFormat/>
    <w:uiPriority w:val="0"/>
    <w:pPr>
      <w:widowControl/>
      <w:tabs>
        <w:tab w:val="left" w:pos="0"/>
        <w:tab w:val="left" w:pos="993"/>
        <w:tab w:val="left" w:pos="1134"/>
      </w:tabs>
      <w:spacing w:line="500" w:lineRule="exact"/>
      <w:ind w:firstLine="567"/>
    </w:pPr>
    <w:rPr>
      <w:rFonts w:ascii="宋体"/>
      <w:kern w:val="0"/>
      <w:szCs w:val="20"/>
    </w:rPr>
  </w:style>
  <w:style w:type="paragraph" w:styleId="9">
    <w:name w:val="Document Map"/>
    <w:basedOn w:val="1"/>
    <w:qFormat/>
    <w:uiPriority w:val="0"/>
    <w:pPr>
      <w:widowControl/>
      <w:spacing w:after="200" w:line="276" w:lineRule="auto"/>
      <w:jc w:val="left"/>
    </w:pPr>
    <w:rPr>
      <w:rFonts w:ascii="宋体" w:hAnsi="Calibri"/>
      <w:sz w:val="18"/>
      <w:szCs w:val="18"/>
    </w:rPr>
  </w:style>
  <w:style w:type="paragraph" w:styleId="10">
    <w:name w:val="annotation text"/>
    <w:basedOn w:val="1"/>
    <w:semiHidden/>
    <w:qFormat/>
    <w:uiPriority w:val="0"/>
    <w:pPr>
      <w:adjustRightInd w:val="0"/>
      <w:spacing w:line="360" w:lineRule="atLeast"/>
      <w:jc w:val="left"/>
      <w:textAlignment w:val="baseline"/>
    </w:pPr>
    <w:rPr>
      <w:kern w:val="0"/>
      <w:sz w:val="24"/>
      <w:szCs w:val="20"/>
    </w:rPr>
  </w:style>
  <w:style w:type="paragraph" w:styleId="11">
    <w:name w:val="Plain Text"/>
    <w:basedOn w:val="1"/>
    <w:qFormat/>
    <w:uiPriority w:val="0"/>
    <w:pPr>
      <w:adjustRightInd w:val="0"/>
      <w:snapToGrid w:val="0"/>
    </w:pPr>
    <w:rPr>
      <w:rFonts w:ascii="宋体" w:hAnsi="Courier New" w:cs="Courier New"/>
      <w:sz w:val="21"/>
      <w:szCs w:val="21"/>
    </w:rPr>
  </w:style>
  <w:style w:type="paragraph" w:styleId="12">
    <w:name w:val="Body Text Indent 2"/>
    <w:basedOn w:val="1"/>
    <w:qFormat/>
    <w:uiPriority w:val="0"/>
    <w:pPr>
      <w:ind w:firstLine="560" w:firstLineChars="200"/>
    </w:pPr>
    <w:rPr>
      <w:rFonts w:ascii="宋体" w:hAnsi="宋体"/>
      <w:szCs w:val="20"/>
    </w:rPr>
  </w:style>
  <w:style w:type="paragraph" w:styleId="13">
    <w:name w:val="Balloon Text"/>
    <w:basedOn w:val="1"/>
    <w:link w:val="33"/>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2"/>
    <w:basedOn w:val="8"/>
    <w:next w:val="2"/>
    <w:qFormat/>
    <w:uiPriority w:val="0"/>
    <w:pPr>
      <w:spacing w:after="120" w:line="240" w:lineRule="auto"/>
      <w:ind w:left="420" w:leftChars="200" w:firstLine="420" w:firstLineChars="200"/>
    </w:pPr>
    <w:rPr>
      <w:rFonts w:ascii="Times New Roman"/>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qFormat/>
    <w:uiPriority w:val="99"/>
    <w:rPr>
      <w:color w:val="333333"/>
      <w:sz w:val="21"/>
      <w:u w:val="none"/>
    </w:rPr>
  </w:style>
  <w:style w:type="paragraph" w:customStyle="1" w:styleId="27">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ptb181"/>
    <w:qFormat/>
    <w:uiPriority w:val="0"/>
    <w:rPr>
      <w:rFonts w:hint="default" w:ascii="Verdana" w:hAnsi="Verdana"/>
      <w:b/>
      <w:bCs/>
      <w:color w:val="000000"/>
      <w:sz w:val="26"/>
      <w:szCs w:val="26"/>
    </w:rPr>
  </w:style>
  <w:style w:type="paragraph" w:customStyle="1" w:styleId="29">
    <w:name w:val="表格文字"/>
    <w:basedOn w:val="1"/>
    <w:next w:val="3"/>
    <w:qFormat/>
    <w:uiPriority w:val="0"/>
    <w:pPr>
      <w:adjustRightInd w:val="0"/>
      <w:spacing w:line="420" w:lineRule="atLeast"/>
      <w:jc w:val="left"/>
      <w:textAlignment w:val="baseline"/>
    </w:pPr>
    <w:rPr>
      <w:kern w:val="0"/>
    </w:rPr>
  </w:style>
  <w:style w:type="paragraph" w:customStyle="1" w:styleId="30">
    <w:name w:val="Other|1"/>
    <w:basedOn w:val="1"/>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31">
    <w:name w:val="_Style 1"/>
    <w:basedOn w:val="1"/>
    <w:qFormat/>
    <w:uiPriority w:val="34"/>
    <w:pPr>
      <w:ind w:firstLine="420" w:firstLineChars="200"/>
    </w:pPr>
    <w:rPr>
      <w:sz w:val="21"/>
    </w:rPr>
  </w:style>
  <w:style w:type="paragraph" w:customStyle="1" w:styleId="32">
    <w:name w:val="列出段落1"/>
    <w:basedOn w:val="1"/>
    <w:qFormat/>
    <w:uiPriority w:val="34"/>
    <w:pPr>
      <w:ind w:firstLine="420" w:firstLineChars="200"/>
    </w:pPr>
    <w:rPr>
      <w:rFonts w:ascii="Calibri" w:hAnsi="Calibri"/>
      <w:sz w:val="21"/>
      <w:szCs w:val="22"/>
    </w:rPr>
  </w:style>
  <w:style w:type="character" w:customStyle="1" w:styleId="33">
    <w:name w:val="批注框文本 Char"/>
    <w:basedOn w:val="23"/>
    <w:link w:val="13"/>
    <w:qFormat/>
    <w:uiPriority w:val="0"/>
    <w:rPr>
      <w:kern w:val="2"/>
      <w:sz w:val="18"/>
      <w:szCs w:val="18"/>
    </w:rPr>
  </w:style>
  <w:style w:type="paragraph" w:customStyle="1" w:styleId="34">
    <w:name w:val="正文1"/>
    <w:basedOn w:val="9"/>
    <w:next w:val="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35">
    <w:name w:val="列出段落2"/>
    <w:basedOn w:val="1"/>
    <w:qFormat/>
    <w:uiPriority w:val="0"/>
    <w:pPr>
      <w:ind w:firstLine="420"/>
    </w:pPr>
    <w:rPr>
      <w:rFonts w:ascii="Calibri" w:hAnsi="Calibri" w:cs="Calibri"/>
      <w:color w:val="000000"/>
      <w:kern w:val="1"/>
      <w:szCs w:val="22"/>
    </w:rPr>
  </w:style>
  <w:style w:type="paragraph" w:customStyle="1" w:styleId="36">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37">
    <w:name w:val="无间隔1"/>
    <w:basedOn w:val="1"/>
    <w:qFormat/>
    <w:uiPriority w:val="1"/>
    <w:rPr>
      <w:sz w:val="21"/>
    </w:rPr>
  </w:style>
  <w:style w:type="paragraph" w:customStyle="1" w:styleId="38">
    <w:name w:val="样式 样式 左侧:  2 字符 + 左侧:  0.85 厘米 首行缩进:  2 字符1"/>
    <w:basedOn w:val="1"/>
    <w:qFormat/>
    <w:uiPriority w:val="0"/>
    <w:pPr>
      <w:ind w:left="482" w:firstLine="200"/>
    </w:pPr>
    <w:rPr>
      <w:rFonts w:cs="宋体"/>
      <w:sz w:val="21"/>
      <w:szCs w:val="20"/>
    </w:rPr>
  </w:style>
  <w:style w:type="paragraph" w:customStyle="1" w:styleId="39">
    <w:name w:val="*正文"/>
    <w:basedOn w:val="1"/>
    <w:qFormat/>
    <w:uiPriority w:val="0"/>
    <w:pPr>
      <w:spacing w:line="360" w:lineRule="auto"/>
      <w:ind w:firstLine="200" w:firstLineChars="200"/>
    </w:pPr>
    <w:rPr>
      <w:rFonts w:ascii="宋体" w:cs="仿宋_GB2312"/>
      <w:sz w:val="24"/>
      <w:szCs w:val="22"/>
    </w:rPr>
  </w:style>
  <w:style w:type="paragraph" w:customStyle="1" w:styleId="40">
    <w:name w:val="List Paragraph"/>
    <w:basedOn w:val="1"/>
    <w:qFormat/>
    <w:uiPriority w:val="0"/>
    <w:pPr>
      <w:ind w:firstLine="420"/>
    </w:pPr>
    <w:rPr>
      <w:rFonts w:ascii="Calibri" w:hAnsi="Calibri" w:cs="Calibri"/>
      <w:color w:val="000000"/>
      <w:kern w:val="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43685</Words>
  <Characters>46757</Characters>
  <Lines>350</Lines>
  <Paragraphs>98</Paragraphs>
  <TotalTime>143</TotalTime>
  <ScaleCrop>false</ScaleCrop>
  <LinksUpToDate>false</LinksUpToDate>
  <CharactersWithSpaces>49072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2023-10-02T07:46:00Z</dcterms:created>
  <dc:creator>VIVI</dc:creator>
  <cp:lastModifiedBy>NTKO</cp:lastModifiedBy>
  <cp:lastPrinted>2021-11-12T06:54:00Z</cp:lastPrinted>
  <dcterms:modified xsi:type="dcterms:W3CDTF">2024-09-19T01:58:43Z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C69BD9F493994D609BCEB58A959ECBB7_13</vt:lpwstr>
  </property>
</Properties>
</file>