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杭州市第三人民医院2024年小零星设施维修、工程修缮项目</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ascii="宋体" w:hAnsi="宋体" w:cs="宋体"/>
          <w:sz w:val="30"/>
          <w:szCs w:val="30"/>
        </w:rPr>
      </w:pPr>
      <w:r>
        <w:rPr>
          <w:rFonts w:hint="eastAsia" w:ascii="宋体" w:hAnsi="宋体" w:cs="宋体"/>
          <w:sz w:val="30"/>
          <w:szCs w:val="30"/>
        </w:rPr>
        <w:t>编号:ZJPL-JZCC-20240822</w:t>
      </w:r>
    </w:p>
    <w:p>
      <w:pPr>
        <w:snapToGrid w:val="0"/>
        <w:spacing w:line="360" w:lineRule="auto"/>
        <w:jc w:val="center"/>
        <w:rPr>
          <w:rFonts w:ascii="宋体" w:hAnsi="宋体" w:cs="宋体"/>
          <w:sz w:val="30"/>
          <w:szCs w:val="30"/>
        </w:rPr>
      </w:pP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61"/>
        <w:rPr>
          <w:rFonts w:hAnsi="宋体" w:cs="宋体"/>
        </w:rPr>
      </w:pPr>
    </w:p>
    <w:p>
      <w:pPr>
        <w:pStyle w:val="50"/>
      </w:pPr>
    </w:p>
    <w:p>
      <w:pPr>
        <w:spacing w:line="360" w:lineRule="auto"/>
        <w:jc w:val="center"/>
        <w:rPr>
          <w:rFonts w:ascii="宋体" w:hAnsi="宋体" w:cs="宋体"/>
          <w:sz w:val="24"/>
        </w:rPr>
      </w:pPr>
    </w:p>
    <w:p>
      <w:pPr>
        <w:spacing w:line="360" w:lineRule="auto"/>
        <w:rPr>
          <w:rFonts w:ascii="宋体" w:hAnsi="宋体" w:cs="宋体"/>
          <w:sz w:val="32"/>
          <w:szCs w:val="32"/>
        </w:rPr>
      </w:pPr>
    </w:p>
    <w:p>
      <w:pPr>
        <w:pStyle w:val="3"/>
        <w:rPr>
          <w:rFonts w:ascii="宋体" w:hAnsi="宋体" w:cs="宋体"/>
        </w:rPr>
      </w:pPr>
    </w:p>
    <w:p/>
    <w:p/>
    <w:p>
      <w:pPr>
        <w:snapToGrid w:val="0"/>
        <w:spacing w:line="360" w:lineRule="auto"/>
        <w:jc w:val="center"/>
        <w:rPr>
          <w:rFonts w:ascii="宋体" w:hAnsi="宋体" w:cs="宋体"/>
          <w:sz w:val="32"/>
          <w:szCs w:val="32"/>
        </w:rPr>
      </w:pPr>
      <w:r>
        <w:rPr>
          <w:rFonts w:hint="eastAsia" w:ascii="宋体" w:hAnsi="宋体" w:cs="宋体"/>
          <w:sz w:val="32"/>
          <w:szCs w:val="32"/>
        </w:rPr>
        <w:t>杭州市第三人民医院</w:t>
      </w:r>
    </w:p>
    <w:p>
      <w:pPr>
        <w:snapToGrid w:val="0"/>
        <w:spacing w:line="360" w:lineRule="auto"/>
        <w:jc w:val="center"/>
        <w:rPr>
          <w:rFonts w:ascii="宋体" w:hAnsi="宋体" w:cs="宋体"/>
          <w:bCs/>
          <w:sz w:val="32"/>
          <w:szCs w:val="32"/>
        </w:rPr>
      </w:pPr>
      <w:r>
        <w:rPr>
          <w:rFonts w:hint="eastAsia" w:ascii="宋体" w:hAnsi="宋体" w:cs="宋体"/>
          <w:bCs/>
          <w:sz w:val="32"/>
          <w:szCs w:val="32"/>
        </w:rPr>
        <w:t>浙江蟠龙工程审计咨询有限公司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九</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杭州市第三人民医院2024年小零星设施维修、工程修缮项目</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日13:30:</w:t>
      </w:r>
      <w:r>
        <w:rPr>
          <w:rFonts w:hint="eastAsia" w:ascii="宋体" w:hAnsi="宋体" w:cs="宋体"/>
          <w:bCs/>
          <w:sz w:val="24"/>
          <w:u w:val="single"/>
        </w:rPr>
        <w:t>00</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一、项目基本情况</w:t>
      </w:r>
    </w:p>
    <w:p>
      <w:pPr>
        <w:snapToGrid w:val="0"/>
        <w:spacing w:line="360" w:lineRule="auto"/>
        <w:ind w:firstLine="482" w:firstLineChars="200"/>
        <w:rPr>
          <w:rFonts w:ascii="宋体" w:hAnsi="宋体" w:cs="宋体"/>
          <w:bCs/>
          <w:sz w:val="24"/>
        </w:rPr>
      </w:pPr>
      <w:r>
        <w:rPr>
          <w:rFonts w:hint="eastAsia" w:ascii="宋体" w:hAnsi="宋体" w:cs="宋体"/>
          <w:b/>
          <w:sz w:val="24"/>
        </w:rPr>
        <w:t>项目编号：</w:t>
      </w:r>
      <w:r>
        <w:rPr>
          <w:rFonts w:hint="eastAsia" w:ascii="宋体" w:hAnsi="宋体" w:cs="宋体"/>
          <w:bCs/>
          <w:sz w:val="24"/>
        </w:rPr>
        <w:t>ZJPL-JZCC-20240822</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杭州市第三人民医院2024年小零星设施维修、工程修缮项目</w:t>
      </w:r>
    </w:p>
    <w:p>
      <w:pPr>
        <w:snapToGrid w:val="0"/>
        <w:spacing w:line="360" w:lineRule="auto"/>
        <w:ind w:firstLine="482" w:firstLineChars="200"/>
        <w:rPr>
          <w:rFonts w:ascii="宋体" w:hAnsi="宋体" w:cs="宋体"/>
          <w:sz w:val="24"/>
        </w:rPr>
      </w:pPr>
      <w:r>
        <w:rPr>
          <w:rFonts w:hint="eastAsia" w:ascii="宋体" w:hAnsi="宋体" w:cs="宋体"/>
          <w:b/>
          <w:sz w:val="24"/>
        </w:rPr>
        <w:t>预算金额（元）：2000000</w:t>
      </w:r>
    </w:p>
    <w:p>
      <w:pPr>
        <w:snapToGrid w:val="0"/>
        <w:spacing w:line="360" w:lineRule="auto"/>
        <w:ind w:firstLine="482" w:firstLineChars="200"/>
        <w:rPr>
          <w:rFonts w:ascii="宋体" w:hAnsi="宋体" w:cs="宋体"/>
          <w:sz w:val="24"/>
        </w:rPr>
      </w:pPr>
      <w:r>
        <w:rPr>
          <w:rFonts w:hint="eastAsia" w:ascii="宋体" w:hAnsi="宋体" w:cs="宋体"/>
          <w:b/>
          <w:sz w:val="24"/>
        </w:rPr>
        <w:t>最高限价（元）：1991549</w:t>
      </w:r>
    </w:p>
    <w:p>
      <w:pPr>
        <w:pStyle w:val="1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医院零星维修项目指单项金额在20万元(不含)以下的设施维修项目，具体详见采购文件第三部分采购需求。</w:t>
      </w:r>
    </w:p>
    <w:p>
      <w:pPr>
        <w:pStyle w:val="129"/>
        <w:snapToGrid w:val="0"/>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bCs/>
          <w:snapToGrid w:val="0"/>
          <w:kern w:val="28"/>
        </w:rPr>
        <w:t>一年</w:t>
      </w:r>
    </w:p>
    <w:p>
      <w:pPr>
        <w:pStyle w:val="1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6"/>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本项目的特定资格要求：</w:t>
      </w:r>
    </w:p>
    <w:p>
      <w:pPr>
        <w:spacing w:line="360" w:lineRule="auto"/>
        <w:ind w:firstLine="420" w:firstLineChars="175"/>
        <w:rPr>
          <w:rFonts w:ascii="宋体" w:hAnsi="宋体" w:cs="宋体"/>
          <w:sz w:val="24"/>
        </w:rPr>
      </w:pPr>
      <w:r>
        <w:rPr>
          <w:rFonts w:hint="eastAsia" w:ascii="宋体" w:hAnsi="宋体" w:cs="宋体"/>
          <w:sz w:val="24"/>
        </w:rPr>
        <w:t>①具有建筑装修装饰工程专业承包贰级及以上资质；</w:t>
      </w:r>
    </w:p>
    <w:p>
      <w:pPr>
        <w:spacing w:line="360" w:lineRule="auto"/>
        <w:ind w:firstLine="420" w:firstLineChars="175"/>
        <w:rPr>
          <w:rFonts w:ascii="宋体" w:hAnsi="宋体" w:cs="宋体"/>
          <w:sz w:val="24"/>
        </w:rPr>
      </w:pPr>
      <w:r>
        <w:rPr>
          <w:rFonts w:hint="eastAsia" w:ascii="宋体" w:hAnsi="宋体" w:cs="宋体"/>
          <w:sz w:val="24"/>
        </w:rPr>
        <w:t>②具有有效期内的《安全生产许可证书》。</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日13:30:</w:t>
      </w:r>
      <w:r>
        <w:rPr>
          <w:rFonts w:hint="eastAsia" w:ascii="宋体" w:hAnsi="宋体" w:cs="宋体"/>
          <w:bCs/>
          <w:sz w:val="24"/>
          <w:u w:val="single"/>
        </w:rPr>
        <w:t>00</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日13:30:</w:t>
      </w:r>
      <w:r>
        <w:rPr>
          <w:rFonts w:hint="eastAsia" w:ascii="宋体" w:hAnsi="宋体" w:cs="宋体"/>
          <w:bCs/>
          <w:sz w:val="24"/>
          <w:u w:val="single"/>
        </w:rPr>
        <w:t>00</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称：杭州市第三人民医院</w:t>
      </w:r>
    </w:p>
    <w:p>
      <w:pPr>
        <w:snapToGrid w:val="0"/>
        <w:spacing w:line="360" w:lineRule="auto"/>
        <w:ind w:firstLine="480" w:firstLineChars="200"/>
        <w:rPr>
          <w:rFonts w:ascii="宋体" w:hAnsi="宋体" w:cs="宋体"/>
          <w:sz w:val="24"/>
        </w:rPr>
      </w:pPr>
      <w:r>
        <w:rPr>
          <w:rFonts w:hint="eastAsia" w:ascii="宋体" w:hAnsi="宋体" w:cs="宋体"/>
          <w:sz w:val="24"/>
        </w:rPr>
        <w:t>地    址：杭州市西湖大道38号</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项目联系人（询问）：张工</w:t>
      </w:r>
    </w:p>
    <w:p>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项目联系方式（询问）：0571-87823182 </w:t>
      </w:r>
    </w:p>
    <w:p>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sz w:val="24"/>
        </w:rPr>
        <w:t>开拓</w:t>
      </w:r>
    </w:p>
    <w:p>
      <w:pPr>
        <w:snapToGrid w:val="0"/>
        <w:spacing w:line="360" w:lineRule="auto"/>
        <w:ind w:firstLine="480" w:firstLineChars="200"/>
        <w:rPr>
          <w:rFonts w:ascii="宋体" w:hAnsi="宋体" w:cs="宋体"/>
          <w:sz w:val="24"/>
        </w:rPr>
      </w:pPr>
      <w:r>
        <w:rPr>
          <w:rFonts w:hint="eastAsia" w:ascii="宋体" w:hAnsi="宋体" w:cs="宋体"/>
          <w:sz w:val="24"/>
        </w:rPr>
        <w:t>质疑联系方式：0571-87823177</w:t>
      </w:r>
    </w:p>
    <w:p>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pPr>
        <w:snapToGrid w:val="0"/>
        <w:spacing w:line="360" w:lineRule="auto"/>
        <w:ind w:firstLine="480" w:firstLineChars="200"/>
        <w:rPr>
          <w:rFonts w:ascii="宋体" w:hAnsi="宋体" w:cs="宋体"/>
          <w:sz w:val="24"/>
        </w:rPr>
      </w:pPr>
      <w:r>
        <w:rPr>
          <w:rFonts w:hint="eastAsia" w:ascii="宋体" w:hAnsi="宋体" w:cs="宋体"/>
          <w:sz w:val="24"/>
        </w:rPr>
        <w:t>名    称：浙江蟠龙工程审计咨询有限公司</w:t>
      </w:r>
    </w:p>
    <w:p>
      <w:pPr>
        <w:snapToGrid w:val="0"/>
        <w:spacing w:line="360" w:lineRule="auto"/>
        <w:ind w:firstLine="480" w:firstLineChars="200"/>
        <w:rPr>
          <w:rFonts w:ascii="宋体" w:hAnsi="宋体" w:cs="宋体"/>
          <w:sz w:val="24"/>
        </w:rPr>
      </w:pPr>
      <w:r>
        <w:rPr>
          <w:rFonts w:hint="eastAsia" w:ascii="宋体" w:hAnsi="宋体" w:cs="宋体"/>
          <w:sz w:val="24"/>
        </w:rPr>
        <w:t>地    址：杭州市西湖区振华路298号西港发展中心西7幢5楼</w:t>
      </w:r>
    </w:p>
    <w:p>
      <w:pPr>
        <w:snapToGrid w:val="0"/>
        <w:spacing w:line="360" w:lineRule="auto"/>
        <w:ind w:firstLine="480" w:firstLineChars="200"/>
        <w:rPr>
          <w:rFonts w:ascii="宋体" w:hAnsi="宋体" w:cs="宋体"/>
          <w:sz w:val="24"/>
        </w:rPr>
      </w:pPr>
      <w:r>
        <w:rPr>
          <w:rFonts w:hint="eastAsia" w:ascii="宋体" w:hAnsi="宋体" w:cs="宋体"/>
          <w:sz w:val="24"/>
        </w:rPr>
        <w:t>传    真：/</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项目联系人（询问）：方洪胜</w:t>
      </w:r>
    </w:p>
    <w:p>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项目联系方式（询问）：18069796119 </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质疑联系人：杨志宇 </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质疑联系方式：0571-56075250 </w:t>
      </w:r>
    </w:p>
    <w:p>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rPr>
          <w:rFonts w:ascii="宋体" w:hAnsi="宋体" w:cs="宋体"/>
          <w:sz w:val="24"/>
        </w:rPr>
      </w:pPr>
      <w:r>
        <w:rPr>
          <w:rFonts w:hint="eastAsia" w:ascii="宋体" w:hAnsi="宋体" w:cs="宋体"/>
          <w:sz w:val="24"/>
        </w:rPr>
        <w:t>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0571-89580456</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14" w:type="dxa"/>
            <w:vAlign w:val="center"/>
          </w:tcPr>
          <w:p>
            <w:pPr>
              <w:snapToGrid w:val="0"/>
              <w:jc w:val="center"/>
              <w:rPr>
                <w:rFonts w:ascii="宋体" w:hAnsi="宋体" w:cs="宋体"/>
                <w:b/>
                <w:sz w:val="24"/>
              </w:rPr>
            </w:pPr>
            <w:r>
              <w:rPr>
                <w:rFonts w:hint="eastAsia" w:ascii="宋体" w:hAnsi="宋体" w:cs="宋体"/>
                <w:b/>
                <w:sz w:val="24"/>
              </w:rPr>
              <w:t>序号</w:t>
            </w:r>
          </w:p>
        </w:tc>
        <w:tc>
          <w:tcPr>
            <w:tcW w:w="2093" w:type="dxa"/>
            <w:vAlign w:val="center"/>
          </w:tcPr>
          <w:p>
            <w:pPr>
              <w:snapToGrid w:val="0"/>
              <w:jc w:val="center"/>
              <w:rPr>
                <w:rFonts w:ascii="宋体" w:hAnsi="宋体" w:cs="宋体"/>
                <w:b/>
                <w:sz w:val="24"/>
              </w:rPr>
            </w:pPr>
            <w:r>
              <w:rPr>
                <w:rFonts w:hint="eastAsia" w:ascii="宋体" w:hAnsi="宋体" w:cs="宋体"/>
                <w:b/>
                <w:sz w:val="24"/>
              </w:rPr>
              <w:t>事项</w:t>
            </w:r>
          </w:p>
        </w:tc>
        <w:tc>
          <w:tcPr>
            <w:tcW w:w="7229" w:type="dxa"/>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14" w:type="dxa"/>
            <w:vAlign w:val="center"/>
          </w:tcPr>
          <w:p>
            <w:pPr>
              <w:snapToGrid w:val="0"/>
              <w:jc w:val="center"/>
              <w:rPr>
                <w:rFonts w:ascii="宋体" w:hAnsi="宋体" w:cs="宋体"/>
                <w:sz w:val="24"/>
              </w:rPr>
            </w:pPr>
            <w:r>
              <w:rPr>
                <w:rFonts w:hint="eastAsia" w:ascii="宋体" w:hAnsi="宋体" w:cs="宋体"/>
                <w:sz w:val="24"/>
              </w:rPr>
              <w:t>1</w:t>
            </w:r>
          </w:p>
        </w:tc>
        <w:tc>
          <w:tcPr>
            <w:tcW w:w="2093" w:type="dxa"/>
            <w:vAlign w:val="center"/>
          </w:tcPr>
          <w:p>
            <w:pPr>
              <w:snapToGrid w:val="0"/>
              <w:jc w:val="center"/>
              <w:rPr>
                <w:rFonts w:ascii="宋体" w:hAnsi="宋体" w:cs="宋体"/>
                <w:b/>
                <w:sz w:val="24"/>
              </w:rPr>
            </w:pPr>
            <w:r>
              <w:rPr>
                <w:rFonts w:hint="eastAsia" w:ascii="宋体" w:hAnsi="宋体" w:cs="宋体"/>
                <w:b/>
                <w:sz w:val="24"/>
              </w:rPr>
              <w:t>项目属性</w:t>
            </w:r>
          </w:p>
        </w:tc>
        <w:tc>
          <w:tcPr>
            <w:tcW w:w="7229" w:type="dxa"/>
            <w:vAlign w:val="center"/>
          </w:tcPr>
          <w:p>
            <w:pPr>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3" w:hRule="atLeast"/>
        </w:trPr>
        <w:tc>
          <w:tcPr>
            <w:tcW w:w="714" w:type="dxa"/>
            <w:vAlign w:val="center"/>
          </w:tcPr>
          <w:p>
            <w:pPr>
              <w:snapToGrid w:val="0"/>
              <w:jc w:val="center"/>
              <w:rPr>
                <w:rFonts w:ascii="宋体" w:hAnsi="宋体" w:cs="宋体"/>
                <w:sz w:val="24"/>
              </w:rPr>
            </w:pPr>
            <w:r>
              <w:rPr>
                <w:rFonts w:hint="eastAsia" w:ascii="宋体" w:hAnsi="宋体" w:cs="宋体"/>
                <w:sz w:val="24"/>
              </w:rPr>
              <w:t>2</w:t>
            </w:r>
          </w:p>
        </w:tc>
        <w:tc>
          <w:tcPr>
            <w:tcW w:w="2093" w:type="dxa"/>
            <w:vAlign w:val="center"/>
          </w:tcPr>
          <w:p>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7229" w:type="dxa"/>
            <w:vAlign w:val="center"/>
          </w:tcPr>
          <w:p>
            <w:pPr>
              <w:snapToGrid w:val="0"/>
              <w:rPr>
                <w:rFonts w:ascii="宋体" w:hAnsi="宋体" w:cs="宋体"/>
              </w:rPr>
            </w:pPr>
            <w:r>
              <w:rPr>
                <w:rFonts w:hint="eastAsia" w:ascii="宋体" w:hAnsi="宋体" w:cs="宋体"/>
                <w:kern w:val="0"/>
                <w:sz w:val="24"/>
              </w:rPr>
              <w:t>（1）标的：</w:t>
            </w:r>
            <w:r>
              <w:rPr>
                <w:rFonts w:hint="eastAsia" w:ascii="宋体" w:hAnsi="宋体" w:cs="宋体"/>
                <w:kern w:val="0"/>
                <w:sz w:val="24"/>
                <w:u w:val="single"/>
              </w:rPr>
              <w:t>杭州市第三人民医院2024年小零星设施维修、工程修缮项目</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trPr>
        <w:tc>
          <w:tcPr>
            <w:tcW w:w="714" w:type="dxa"/>
            <w:vAlign w:val="center"/>
          </w:tcPr>
          <w:p>
            <w:pPr>
              <w:snapToGrid w:val="0"/>
              <w:jc w:val="center"/>
              <w:rPr>
                <w:rFonts w:ascii="宋体" w:hAnsi="宋体" w:cs="宋体"/>
                <w:sz w:val="24"/>
              </w:rPr>
            </w:pPr>
            <w:r>
              <w:rPr>
                <w:rFonts w:hint="eastAsia" w:ascii="宋体" w:hAnsi="宋体" w:cs="宋体"/>
                <w:sz w:val="24"/>
              </w:rPr>
              <w:t>3</w:t>
            </w:r>
          </w:p>
        </w:tc>
        <w:tc>
          <w:tcPr>
            <w:tcW w:w="2093" w:type="dxa"/>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7229" w:type="dxa"/>
            <w:vAlign w:val="center"/>
          </w:tcPr>
          <w:p>
            <w:pPr>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atLeast"/>
        </w:trPr>
        <w:tc>
          <w:tcPr>
            <w:tcW w:w="714" w:type="dxa"/>
            <w:vAlign w:val="center"/>
          </w:tcPr>
          <w:p>
            <w:pPr>
              <w:snapToGrid w:val="0"/>
              <w:jc w:val="center"/>
              <w:rPr>
                <w:rFonts w:ascii="宋体" w:hAnsi="宋体" w:cs="宋体"/>
                <w:sz w:val="24"/>
              </w:rPr>
            </w:pPr>
            <w:r>
              <w:rPr>
                <w:rFonts w:hint="eastAsia" w:ascii="宋体" w:hAnsi="宋体" w:cs="宋体"/>
                <w:sz w:val="24"/>
              </w:rPr>
              <w:t>4</w:t>
            </w:r>
          </w:p>
        </w:tc>
        <w:tc>
          <w:tcPr>
            <w:tcW w:w="2093" w:type="dxa"/>
            <w:vAlign w:val="center"/>
          </w:tcPr>
          <w:p>
            <w:pPr>
              <w:snapToGrid w:val="0"/>
              <w:jc w:val="center"/>
              <w:rPr>
                <w:rFonts w:ascii="宋体" w:hAnsi="宋体" w:cs="宋体"/>
                <w:b/>
                <w:sz w:val="24"/>
              </w:rPr>
            </w:pPr>
            <w:r>
              <w:rPr>
                <w:rFonts w:hint="eastAsia" w:ascii="宋体" w:hAnsi="宋体" w:cs="宋体"/>
                <w:b/>
                <w:sz w:val="24"/>
              </w:rPr>
              <w:t>分包</w:t>
            </w:r>
          </w:p>
        </w:tc>
        <w:tc>
          <w:tcPr>
            <w:tcW w:w="7229" w:type="dxa"/>
            <w:vAlign w:val="center"/>
          </w:tcPr>
          <w:p>
            <w:pPr>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3" w:hRule="atLeast"/>
        </w:trPr>
        <w:tc>
          <w:tcPr>
            <w:tcW w:w="714" w:type="dxa"/>
            <w:vAlign w:val="center"/>
          </w:tcPr>
          <w:p>
            <w:pPr>
              <w:snapToGrid w:val="0"/>
              <w:jc w:val="center"/>
              <w:rPr>
                <w:rFonts w:ascii="宋体" w:hAnsi="宋体" w:cs="宋体"/>
                <w:sz w:val="24"/>
              </w:rPr>
            </w:pPr>
            <w:r>
              <w:rPr>
                <w:rFonts w:hint="eastAsia" w:ascii="宋体" w:hAnsi="宋体" w:cs="宋体"/>
                <w:sz w:val="24"/>
              </w:rPr>
              <w:t>5</w:t>
            </w:r>
          </w:p>
        </w:tc>
        <w:tc>
          <w:tcPr>
            <w:tcW w:w="2093" w:type="dxa"/>
            <w:vAlign w:val="center"/>
          </w:tcPr>
          <w:p>
            <w:pPr>
              <w:snapToGrid w:val="0"/>
              <w:jc w:val="center"/>
              <w:rPr>
                <w:rFonts w:ascii="宋体" w:hAnsi="宋体" w:cs="宋体"/>
                <w:b/>
                <w:sz w:val="24"/>
              </w:rPr>
            </w:pPr>
            <w:r>
              <w:rPr>
                <w:rFonts w:hint="eastAsia" w:ascii="宋体" w:hAnsi="宋体" w:cs="宋体"/>
                <w:b/>
                <w:sz w:val="24"/>
              </w:rPr>
              <w:t>磋商前答疑会或现场考察</w:t>
            </w:r>
          </w:p>
        </w:tc>
        <w:tc>
          <w:tcPr>
            <w:tcW w:w="7229" w:type="dxa"/>
            <w:vAlign w:val="center"/>
          </w:tcPr>
          <w:p>
            <w:pPr>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trPr>
        <w:tc>
          <w:tcPr>
            <w:tcW w:w="714" w:type="dxa"/>
            <w:vAlign w:val="center"/>
          </w:tcPr>
          <w:p>
            <w:pPr>
              <w:snapToGrid w:val="0"/>
              <w:jc w:val="center"/>
              <w:rPr>
                <w:rFonts w:ascii="宋体" w:hAnsi="宋体" w:cs="宋体"/>
                <w:sz w:val="24"/>
              </w:rPr>
            </w:pPr>
            <w:r>
              <w:rPr>
                <w:rFonts w:hint="eastAsia" w:ascii="宋体" w:hAnsi="宋体" w:cs="宋体"/>
                <w:sz w:val="24"/>
              </w:rPr>
              <w:t>6</w:t>
            </w:r>
          </w:p>
        </w:tc>
        <w:tc>
          <w:tcPr>
            <w:tcW w:w="2093" w:type="dxa"/>
            <w:vAlign w:val="center"/>
          </w:tcPr>
          <w:p>
            <w:pPr>
              <w:snapToGrid w:val="0"/>
              <w:jc w:val="center"/>
              <w:rPr>
                <w:rFonts w:ascii="宋体" w:hAnsi="宋体" w:cs="宋体"/>
                <w:b/>
                <w:sz w:val="24"/>
              </w:rPr>
            </w:pPr>
            <w:r>
              <w:rPr>
                <w:rFonts w:hint="eastAsia" w:ascii="宋体" w:hAnsi="宋体" w:cs="宋体"/>
                <w:b/>
                <w:sz w:val="24"/>
              </w:rPr>
              <w:t>样品提供</w:t>
            </w:r>
          </w:p>
        </w:tc>
        <w:tc>
          <w:tcPr>
            <w:tcW w:w="7229" w:type="dxa"/>
            <w:vAlign w:val="center"/>
          </w:tcPr>
          <w:p>
            <w:pPr>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14" w:type="dxa"/>
            <w:vAlign w:val="center"/>
          </w:tcPr>
          <w:p>
            <w:pPr>
              <w:snapToGrid w:val="0"/>
              <w:jc w:val="center"/>
              <w:rPr>
                <w:rFonts w:ascii="宋体" w:hAnsi="宋体" w:cs="宋体"/>
                <w:sz w:val="24"/>
              </w:rPr>
            </w:pPr>
            <w:r>
              <w:rPr>
                <w:rFonts w:hint="eastAsia" w:ascii="宋体" w:hAnsi="宋体" w:cs="宋体"/>
                <w:sz w:val="24"/>
              </w:rPr>
              <w:t>7</w:t>
            </w:r>
          </w:p>
        </w:tc>
        <w:tc>
          <w:tcPr>
            <w:tcW w:w="2093" w:type="dxa"/>
            <w:vAlign w:val="center"/>
          </w:tcPr>
          <w:p>
            <w:pPr>
              <w:snapToGrid w:val="0"/>
              <w:jc w:val="center"/>
              <w:rPr>
                <w:rFonts w:ascii="宋体" w:hAnsi="宋体" w:cs="宋体"/>
                <w:bCs/>
                <w:sz w:val="24"/>
              </w:rPr>
            </w:pPr>
            <w:r>
              <w:rPr>
                <w:rFonts w:hint="eastAsia" w:ascii="宋体" w:hAnsi="宋体" w:cs="宋体"/>
                <w:b/>
                <w:sz w:val="24"/>
              </w:rPr>
              <w:t>方案讲解演示</w:t>
            </w:r>
          </w:p>
        </w:tc>
        <w:tc>
          <w:tcPr>
            <w:tcW w:w="7229" w:type="dxa"/>
            <w:vAlign w:val="center"/>
          </w:tcPr>
          <w:p>
            <w:pPr>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3" w:hRule="atLeast"/>
        </w:trPr>
        <w:tc>
          <w:tcPr>
            <w:tcW w:w="714" w:type="dxa"/>
            <w:vMerge w:val="restart"/>
            <w:vAlign w:val="center"/>
          </w:tcPr>
          <w:p>
            <w:pPr>
              <w:snapToGrid w:val="0"/>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jc w:val="center"/>
              <w:rPr>
                <w:rFonts w:ascii="宋体" w:hAnsi="宋体" w:cs="宋体"/>
                <w:b/>
                <w:sz w:val="24"/>
              </w:rPr>
            </w:pPr>
            <w:r>
              <w:rPr>
                <w:rFonts w:hint="eastAsia" w:ascii="宋体" w:hAnsi="宋体" w:cs="宋体"/>
                <w:b/>
                <w:sz w:val="24"/>
              </w:rPr>
              <w:t>供应商应当提供的资格、资信证明文件</w:t>
            </w:r>
          </w:p>
        </w:tc>
        <w:tc>
          <w:tcPr>
            <w:tcW w:w="7229" w:type="dxa"/>
            <w:vAlign w:val="center"/>
          </w:tcPr>
          <w:p>
            <w:pPr>
              <w:rPr>
                <w:rFonts w:ascii="宋体" w:hAnsi="宋体" w:cs="宋体"/>
                <w:sz w:val="24"/>
              </w:rPr>
            </w:pPr>
            <w:r>
              <w:rPr>
                <w:rFonts w:hint="eastAsia" w:ascii="宋体" w:hAnsi="宋体" w:cs="宋体"/>
                <w:sz w:val="24"/>
              </w:rPr>
              <w:t>（1）资格证明文件：见采购文件第二部分11.1。</w:t>
            </w:r>
          </w:p>
          <w:p>
            <w:pPr>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14" w:type="dxa"/>
            <w:vMerge w:val="continue"/>
            <w:vAlign w:val="center"/>
          </w:tcPr>
          <w:p>
            <w:pPr>
              <w:snapToGrid w:val="0"/>
              <w:jc w:val="center"/>
              <w:rPr>
                <w:rFonts w:ascii="宋体" w:hAnsi="宋体" w:cs="宋体"/>
                <w:sz w:val="24"/>
              </w:rPr>
            </w:pPr>
          </w:p>
        </w:tc>
        <w:tc>
          <w:tcPr>
            <w:tcW w:w="2093" w:type="dxa"/>
            <w:vMerge w:val="continue"/>
            <w:vAlign w:val="center"/>
          </w:tcPr>
          <w:p>
            <w:pPr>
              <w:snapToGrid w:val="0"/>
              <w:jc w:val="center"/>
              <w:rPr>
                <w:rFonts w:ascii="宋体" w:hAnsi="宋体" w:cs="宋体"/>
                <w:b/>
                <w:sz w:val="24"/>
              </w:rPr>
            </w:pPr>
          </w:p>
        </w:tc>
        <w:tc>
          <w:tcPr>
            <w:tcW w:w="7229" w:type="dxa"/>
            <w:vAlign w:val="center"/>
          </w:tcPr>
          <w:p>
            <w:pPr>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 w:hRule="atLeast"/>
        </w:trPr>
        <w:tc>
          <w:tcPr>
            <w:tcW w:w="714" w:type="dxa"/>
            <w:vAlign w:val="center"/>
          </w:tcPr>
          <w:p>
            <w:pPr>
              <w:snapToGrid w:val="0"/>
              <w:jc w:val="center"/>
              <w:rPr>
                <w:rFonts w:ascii="宋体" w:hAnsi="宋体" w:cs="宋体"/>
                <w:sz w:val="24"/>
              </w:rPr>
            </w:pPr>
            <w:r>
              <w:rPr>
                <w:rFonts w:hint="eastAsia" w:ascii="宋体" w:hAnsi="宋体" w:cs="宋体"/>
                <w:sz w:val="24"/>
              </w:rPr>
              <w:t>9</w:t>
            </w:r>
          </w:p>
        </w:tc>
        <w:tc>
          <w:tcPr>
            <w:tcW w:w="2093" w:type="dxa"/>
            <w:vAlign w:val="center"/>
          </w:tcPr>
          <w:p>
            <w:pPr>
              <w:snapToGrid w:val="0"/>
              <w:jc w:val="center"/>
              <w:rPr>
                <w:rFonts w:ascii="宋体" w:hAnsi="宋体" w:cs="宋体"/>
                <w:b/>
                <w:sz w:val="24"/>
              </w:rPr>
            </w:pPr>
            <w:r>
              <w:rPr>
                <w:rFonts w:hint="eastAsia" w:ascii="宋体" w:hAnsi="宋体" w:cs="宋体"/>
                <w:b/>
                <w:sz w:val="24"/>
              </w:rPr>
              <w:t>节能产品、环境标志产品</w:t>
            </w:r>
          </w:p>
        </w:tc>
        <w:tc>
          <w:tcPr>
            <w:tcW w:w="7229" w:type="dxa"/>
            <w:vAlign w:val="center"/>
          </w:tcPr>
          <w:p>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3" w:hRule="atLeast"/>
        </w:trPr>
        <w:tc>
          <w:tcPr>
            <w:tcW w:w="714" w:type="dxa"/>
            <w:vAlign w:val="center"/>
          </w:tcPr>
          <w:p>
            <w:pPr>
              <w:snapToGrid w:val="0"/>
              <w:jc w:val="center"/>
              <w:rPr>
                <w:rFonts w:ascii="宋体" w:hAnsi="宋体" w:cs="宋体"/>
                <w:sz w:val="24"/>
              </w:rPr>
            </w:pPr>
            <w:r>
              <w:rPr>
                <w:rFonts w:hint="eastAsia" w:ascii="宋体" w:hAnsi="宋体" w:cs="宋体"/>
                <w:sz w:val="24"/>
              </w:rPr>
              <w:t>10</w:t>
            </w:r>
          </w:p>
        </w:tc>
        <w:tc>
          <w:tcPr>
            <w:tcW w:w="2093" w:type="dxa"/>
            <w:vAlign w:val="center"/>
          </w:tcPr>
          <w:p>
            <w:pPr>
              <w:snapToGrid w:val="0"/>
              <w:jc w:val="center"/>
              <w:rPr>
                <w:rFonts w:ascii="宋体" w:hAnsi="宋体" w:cs="宋体"/>
                <w:b/>
                <w:sz w:val="24"/>
              </w:rPr>
            </w:pPr>
            <w:r>
              <w:rPr>
                <w:rFonts w:hint="eastAsia" w:ascii="宋体" w:hAnsi="宋体" w:cs="宋体"/>
                <w:b/>
                <w:sz w:val="24"/>
              </w:rPr>
              <w:t>报价要求</w:t>
            </w:r>
          </w:p>
        </w:tc>
        <w:tc>
          <w:tcPr>
            <w:tcW w:w="7229" w:type="dxa"/>
            <w:vAlign w:val="center"/>
          </w:tcPr>
          <w:p>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ind w:firstLine="241" w:firstLineChars="100"/>
              <w:jc w:val="left"/>
            </w:pPr>
            <w:r>
              <w:rPr>
                <w:rFonts w:hint="eastAsia" w:ascii="宋体" w:hAnsi="宋体" w:cs="宋体"/>
                <w:b/>
                <w:kern w:val="0"/>
                <w:sz w:val="24"/>
                <w:lang w:val="zh-CN"/>
              </w:rPr>
              <w:t>最后报价超过采购文件中规定的预算金额或者最高限价的;</w:t>
            </w:r>
          </w:p>
          <w:p>
            <w:pPr>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trPr>
        <w:tc>
          <w:tcPr>
            <w:tcW w:w="714" w:type="dxa"/>
            <w:vAlign w:val="center"/>
          </w:tcPr>
          <w:p>
            <w:pPr>
              <w:snapToGrid w:val="0"/>
              <w:jc w:val="center"/>
              <w:rPr>
                <w:rFonts w:ascii="宋体" w:hAnsi="宋体" w:cs="宋体"/>
                <w:sz w:val="24"/>
              </w:rPr>
            </w:pPr>
            <w:r>
              <w:rPr>
                <w:rFonts w:hint="eastAsia" w:ascii="宋体" w:hAnsi="宋体" w:cs="宋体"/>
                <w:sz w:val="24"/>
              </w:rPr>
              <w:t>11</w:t>
            </w:r>
          </w:p>
        </w:tc>
        <w:tc>
          <w:tcPr>
            <w:tcW w:w="2093" w:type="dxa"/>
            <w:vAlign w:val="center"/>
          </w:tcPr>
          <w:p>
            <w:pPr>
              <w:snapToGrid w:val="0"/>
              <w:jc w:val="center"/>
              <w:rPr>
                <w:rFonts w:ascii="宋体" w:hAnsi="宋体" w:cs="宋体"/>
                <w:b/>
                <w:sz w:val="24"/>
              </w:rPr>
            </w:pPr>
            <w:r>
              <w:rPr>
                <w:rFonts w:hint="eastAsia" w:ascii="宋体" w:hAnsi="宋体" w:cs="宋体"/>
                <w:b/>
                <w:sz w:val="24"/>
              </w:rPr>
              <w:t>中小企业信用融资</w:t>
            </w:r>
          </w:p>
        </w:tc>
        <w:tc>
          <w:tcPr>
            <w:tcW w:w="7229" w:type="dxa"/>
            <w:vAlign w:val="center"/>
          </w:tcPr>
          <w:p>
            <w:pPr>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6" w:hRule="atLeast"/>
        </w:trPr>
        <w:tc>
          <w:tcPr>
            <w:tcW w:w="714" w:type="dxa"/>
            <w:vAlign w:val="center"/>
          </w:tcPr>
          <w:p>
            <w:pPr>
              <w:snapToGrid w:val="0"/>
              <w:jc w:val="center"/>
              <w:rPr>
                <w:rFonts w:ascii="宋体" w:hAnsi="宋体" w:cs="宋体"/>
                <w:sz w:val="24"/>
              </w:rPr>
            </w:pPr>
            <w:r>
              <w:rPr>
                <w:rFonts w:hint="eastAsia" w:ascii="宋体" w:hAnsi="宋体" w:cs="宋体"/>
                <w:sz w:val="24"/>
              </w:rPr>
              <w:t>12</w:t>
            </w:r>
          </w:p>
        </w:tc>
        <w:tc>
          <w:tcPr>
            <w:tcW w:w="2093" w:type="dxa"/>
            <w:vAlign w:val="center"/>
          </w:tcPr>
          <w:p>
            <w:pPr>
              <w:snapToGrid w:val="0"/>
              <w:jc w:val="center"/>
              <w:rPr>
                <w:rFonts w:ascii="宋体" w:hAnsi="宋体" w:cs="宋体"/>
                <w:b/>
                <w:sz w:val="24"/>
              </w:rPr>
            </w:pPr>
            <w:r>
              <w:rPr>
                <w:rFonts w:hint="eastAsia" w:ascii="宋体" w:hAnsi="宋体" w:cs="宋体"/>
                <w:b/>
                <w:sz w:val="24"/>
              </w:rPr>
              <w:t>备份响应文件送达地点和签收人员</w:t>
            </w:r>
          </w:p>
        </w:tc>
        <w:tc>
          <w:tcPr>
            <w:tcW w:w="7229" w:type="dxa"/>
            <w:vAlign w:val="center"/>
          </w:tcPr>
          <w:p>
            <w:pPr>
              <w:pStyle w:val="5"/>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杭州市西湖区振华路298号西港发展中心西7幢5楼</w:t>
            </w:r>
            <w:r>
              <w:rPr>
                <w:rFonts w:hint="eastAsia" w:hAnsi="宋体" w:cs="宋体"/>
                <w:kern w:val="28"/>
                <w:sz w:val="24"/>
                <w:szCs w:val="24"/>
              </w:rPr>
              <w:t>；</w:t>
            </w:r>
          </w:p>
          <w:p>
            <w:pPr>
              <w:pStyle w:val="5"/>
              <w:rPr>
                <w:rFonts w:hAnsi="宋体" w:cs="宋体"/>
                <w:sz w:val="24"/>
                <w:szCs w:val="24"/>
              </w:rPr>
            </w:pPr>
            <w:r>
              <w:rPr>
                <w:rFonts w:hint="eastAsia" w:hAnsi="宋体" w:cs="宋体"/>
                <w:kern w:val="28"/>
                <w:sz w:val="24"/>
                <w:szCs w:val="24"/>
              </w:rPr>
              <w:t>备份响应文件签收人员联系电话：</w:t>
            </w:r>
            <w:r>
              <w:rPr>
                <w:rFonts w:hint="eastAsia" w:hAnsi="宋体" w:cs="宋体"/>
                <w:kern w:val="0"/>
                <w:sz w:val="24"/>
                <w:szCs w:val="24"/>
                <w:u w:val="single"/>
              </w:rPr>
              <w:t>方洪胜，18069796119</w:t>
            </w:r>
            <w:r>
              <w:rPr>
                <w:rFonts w:hint="eastAsia" w:hAnsi="宋体" w:cs="宋体"/>
                <w:sz w:val="24"/>
                <w:szCs w:val="24"/>
              </w:rPr>
              <w:t>。</w:t>
            </w:r>
          </w:p>
          <w:p>
            <w:pPr>
              <w:pStyle w:val="5"/>
              <w:rPr>
                <w:rFonts w:hAnsi="宋体" w:cs="宋体"/>
                <w:kern w:val="28"/>
                <w:sz w:val="24"/>
              </w:rPr>
            </w:pPr>
            <w:r>
              <w:rPr>
                <w:rFonts w:hint="eastAsia" w:hAnsi="宋体"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3" w:hRule="atLeast"/>
        </w:trPr>
        <w:tc>
          <w:tcPr>
            <w:tcW w:w="714" w:type="dxa"/>
            <w:vAlign w:val="center"/>
          </w:tcPr>
          <w:p>
            <w:pPr>
              <w:snapToGrid w:val="0"/>
              <w:jc w:val="center"/>
              <w:rPr>
                <w:rFonts w:ascii="宋体" w:hAnsi="宋体" w:cs="宋体"/>
                <w:sz w:val="24"/>
              </w:rPr>
            </w:pPr>
            <w:r>
              <w:rPr>
                <w:rFonts w:hint="eastAsia" w:ascii="宋体" w:hAnsi="宋体" w:cs="宋体"/>
                <w:sz w:val="24"/>
              </w:rPr>
              <w:t>13</w:t>
            </w:r>
          </w:p>
        </w:tc>
        <w:tc>
          <w:tcPr>
            <w:tcW w:w="2093" w:type="dxa"/>
            <w:vAlign w:val="center"/>
          </w:tcPr>
          <w:p>
            <w:pPr>
              <w:snapToGrid w:val="0"/>
              <w:jc w:val="center"/>
              <w:rPr>
                <w:rFonts w:ascii="宋体" w:hAnsi="宋体" w:cs="宋体"/>
                <w:b/>
                <w:sz w:val="24"/>
              </w:rPr>
            </w:pPr>
            <w:r>
              <w:rPr>
                <w:rFonts w:hint="eastAsia" w:ascii="宋体" w:hAnsi="宋体" w:cs="宋体"/>
                <w:b/>
                <w:sz w:val="24"/>
              </w:rPr>
              <w:t>其它说明</w:t>
            </w:r>
          </w:p>
        </w:tc>
        <w:tc>
          <w:tcPr>
            <w:tcW w:w="7229" w:type="dxa"/>
            <w:vAlign w:val="center"/>
          </w:tcPr>
          <w:p>
            <w:pPr>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trPr>
        <w:tc>
          <w:tcPr>
            <w:tcW w:w="714" w:type="dxa"/>
            <w:vAlign w:val="center"/>
          </w:tcPr>
          <w:p>
            <w:pPr>
              <w:snapToGrid w:val="0"/>
              <w:jc w:val="center"/>
              <w:rPr>
                <w:rFonts w:ascii="宋体" w:hAnsi="宋体" w:cs="宋体"/>
                <w:sz w:val="24"/>
              </w:rPr>
            </w:pPr>
            <w:r>
              <w:rPr>
                <w:rFonts w:hint="eastAsia" w:ascii="宋体" w:hAnsi="宋体" w:cs="宋体"/>
                <w:sz w:val="24"/>
              </w:rPr>
              <w:t>14</w:t>
            </w:r>
          </w:p>
        </w:tc>
        <w:tc>
          <w:tcPr>
            <w:tcW w:w="2093" w:type="dxa"/>
            <w:vAlign w:val="center"/>
          </w:tcPr>
          <w:p>
            <w:pPr>
              <w:snapToGrid w:val="0"/>
              <w:jc w:val="center"/>
              <w:rPr>
                <w:rFonts w:ascii="宋体" w:hAnsi="宋体" w:cs="宋体"/>
                <w:b/>
                <w:sz w:val="24"/>
              </w:rPr>
            </w:pPr>
            <w:r>
              <w:rPr>
                <w:rFonts w:hint="eastAsia" w:ascii="宋体" w:hAnsi="宋体" w:cs="宋体"/>
                <w:b/>
                <w:sz w:val="24"/>
              </w:rPr>
              <w:t>采购代理服务费</w:t>
            </w:r>
          </w:p>
        </w:tc>
        <w:tc>
          <w:tcPr>
            <w:tcW w:w="7229" w:type="dxa"/>
            <w:vAlign w:val="center"/>
          </w:tcPr>
          <w:p>
            <w:pPr>
              <w:rPr>
                <w:rFonts w:ascii="宋体" w:hAnsi="宋体" w:cs="宋体"/>
                <w:snapToGrid w:val="0"/>
                <w:kern w:val="28"/>
                <w:sz w:val="24"/>
              </w:rPr>
            </w:pPr>
            <w:r>
              <w:rPr>
                <w:rFonts w:ascii="宋体" w:hAnsi="宋体" w:cs="宋体"/>
                <w:snapToGrid w:val="0"/>
                <w:kern w:val="28"/>
                <w:sz w:val="24"/>
              </w:rPr>
              <w:t>本项目招标代理服务费</w:t>
            </w:r>
            <w:r>
              <w:rPr>
                <w:rFonts w:hint="eastAsia" w:ascii="宋体" w:hAnsi="宋体" w:cs="宋体"/>
                <w:snapToGrid w:val="0"/>
                <w:kern w:val="28"/>
                <w:sz w:val="24"/>
              </w:rPr>
              <w:t>（含造价咨询费用）</w:t>
            </w:r>
            <w:r>
              <w:rPr>
                <w:rFonts w:ascii="宋体" w:hAnsi="宋体" w:cs="宋体"/>
                <w:snapToGrid w:val="0"/>
                <w:kern w:val="28"/>
                <w:sz w:val="24"/>
              </w:rPr>
              <w:t>由中标人在领取中标通知书时支付给招标代理机构。该费用在投标文件中不单列，由中标人在投标总报价中综合考虑。</w:t>
            </w:r>
          </w:p>
        </w:tc>
      </w:tr>
      <w:bookmarkEnd w:id="10"/>
    </w:tbl>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bookmarkStart w:id="434" w:name="_GoBack"/>
      <w:bookmarkEnd w:id="434"/>
    </w:p>
    <w:p>
      <w:pPr>
        <w:pStyle w:val="88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pPr>
      <w:r>
        <w:rPr>
          <w:rFonts w:hint="eastAsia" w:asciiTheme="minorEastAsia" w:hAnsiTheme="minorEastAsia" w:eastAsiaTheme="minorEastAsia"/>
        </w:rPr>
        <w:t>4.5.5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5"/>
        <w:spacing w:line="360" w:lineRule="auto"/>
        <w:rPr>
          <w:rFonts w:hAnsi="宋体" w:cs="宋体"/>
          <w:b/>
          <w:sz w:val="24"/>
          <w:szCs w:val="24"/>
        </w:rPr>
      </w:pPr>
      <w:r>
        <w:rPr>
          <w:rFonts w:hint="eastAsia" w:hAnsi="宋体" w:cs="宋体"/>
          <w:b/>
          <w:sz w:val="24"/>
          <w:szCs w:val="24"/>
        </w:rPr>
        <w:t>5．采购文件的构成</w:t>
      </w:r>
    </w:p>
    <w:p>
      <w:pPr>
        <w:pStyle w:val="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5"/>
        <w:spacing w:line="360" w:lineRule="auto"/>
        <w:rPr>
          <w:rFonts w:hAnsi="宋体" w:cs="宋体"/>
          <w:b/>
          <w:sz w:val="24"/>
          <w:szCs w:val="24"/>
        </w:rPr>
      </w:pPr>
      <w:r>
        <w:rPr>
          <w:rFonts w:hint="eastAsia" w:hAnsi="宋体" w:cs="宋体"/>
          <w:b/>
          <w:sz w:val="24"/>
          <w:szCs w:val="24"/>
        </w:rPr>
        <w:t>6. 采购文件的澄清、修改</w:t>
      </w:r>
    </w:p>
    <w:p>
      <w:pPr>
        <w:pStyle w:val="129"/>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5"/>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5"/>
        <w:spacing w:line="360" w:lineRule="auto"/>
        <w:rPr>
          <w:rFonts w:hAnsi="宋体" w:cs="宋体"/>
          <w:b/>
          <w:sz w:val="24"/>
          <w:szCs w:val="24"/>
        </w:rPr>
      </w:pPr>
      <w:r>
        <w:rPr>
          <w:rFonts w:hint="eastAsia" w:hAnsi="宋体" w:cs="宋体"/>
          <w:b/>
          <w:sz w:val="24"/>
          <w:szCs w:val="24"/>
        </w:rPr>
        <w:t>8.磋商前答疑会或现场考察</w:t>
      </w:r>
    </w:p>
    <w:p>
      <w:pPr>
        <w:pStyle w:val="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5"/>
        <w:spacing w:line="360" w:lineRule="auto"/>
        <w:rPr>
          <w:rFonts w:hAnsi="宋体" w:cs="宋体"/>
          <w:b/>
          <w:szCs w:val="24"/>
        </w:rPr>
      </w:pPr>
      <w:r>
        <w:rPr>
          <w:rFonts w:hint="eastAsia" w:hAnsi="宋体" w:cs="宋体"/>
          <w:b/>
          <w:kern w:val="28"/>
          <w:sz w:val="24"/>
          <w:szCs w:val="24"/>
        </w:rPr>
        <w:t>9.磋商保证金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5"/>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5"/>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11.3.2零星点工、材料（设备）的二次搬运、保管等费用及常用材料报价表；</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29"/>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29"/>
        <w:snapToGrid w:val="0"/>
        <w:spacing w:before="0"/>
        <w:ind w:firstLine="0" w:firstLineChars="0"/>
        <w:rPr>
          <w:rFonts w:ascii="宋体" w:hAnsi="宋体" w:cs="宋体"/>
          <w:b/>
          <w:szCs w:val="24"/>
        </w:rPr>
      </w:pPr>
    </w:p>
    <w:p>
      <w:pPr>
        <w:pStyle w:val="129"/>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29"/>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9"/>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5"/>
        <w:snapToGrid w:val="0"/>
        <w:spacing w:line="360" w:lineRule="auto"/>
        <w:rPr>
          <w:rFonts w:hAnsi="宋体" w:cs="宋体"/>
          <w:b/>
          <w:sz w:val="24"/>
          <w:szCs w:val="24"/>
        </w:rPr>
      </w:pPr>
      <w:r>
        <w:rPr>
          <w:rFonts w:hint="eastAsia" w:hAnsi="宋体" w:cs="宋体"/>
          <w:b/>
          <w:sz w:val="24"/>
          <w:szCs w:val="24"/>
        </w:rPr>
        <w:t>15.备份响应文件</w:t>
      </w:r>
    </w:p>
    <w:p>
      <w:pPr>
        <w:pStyle w:val="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pPr>
        <w:pStyle w:val="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29"/>
        <w:spacing w:before="0"/>
        <w:ind w:firstLine="0" w:firstLineChars="0"/>
        <w:rPr>
          <w:rFonts w:ascii="宋体" w:hAnsi="宋体" w:cs="宋体"/>
          <w:b/>
          <w:szCs w:val="24"/>
        </w:rPr>
      </w:pPr>
      <w:r>
        <w:rPr>
          <w:rFonts w:hint="eastAsia" w:ascii="宋体" w:hAnsi="宋体" w:cs="宋体"/>
          <w:b/>
          <w:szCs w:val="24"/>
        </w:rPr>
        <w:t>16.响应文件的无效处理</w:t>
      </w:r>
    </w:p>
    <w:p>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29"/>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29"/>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29"/>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29"/>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6"/>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pPr>
        <w:pStyle w:val="129"/>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5"/>
        <w:spacing w:line="360" w:lineRule="auto"/>
        <w:ind w:left="479" w:hanging="479" w:hangingChars="199"/>
        <w:rPr>
          <w:rFonts w:cs="宋体"/>
          <w:b/>
        </w:rPr>
      </w:pPr>
      <w:r>
        <w:rPr>
          <w:rFonts w:hint="eastAsia" w:cs="宋体"/>
          <w:b/>
        </w:rPr>
        <w:t>22. 确定成交供应商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9"/>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rPr>
        <w:t>1%</w:t>
      </w:r>
      <w:r>
        <w:rPr>
          <w:rFonts w:hint="eastAsia" w:ascii="宋体" w:hAnsi="宋体" w:cs="宋体"/>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74707468"/>
      <w:bookmarkEnd w:id="19"/>
      <w:bookmarkStart w:id="20" w:name="_Hlt75236290"/>
      <w:bookmarkEnd w:id="20"/>
      <w:bookmarkStart w:id="21" w:name="_Hlt68073093"/>
      <w:bookmarkEnd w:id="21"/>
      <w:bookmarkStart w:id="22" w:name="_Hlt74729768"/>
      <w:bookmarkEnd w:id="22"/>
      <w:bookmarkStart w:id="23" w:name="_Hlt74730295"/>
      <w:bookmarkEnd w:id="23"/>
      <w:bookmarkStart w:id="24" w:name="_Hlt68403820"/>
      <w:bookmarkEnd w:id="24"/>
      <w:bookmarkStart w:id="25" w:name="_Hlt75236011"/>
      <w:bookmarkEnd w:id="25"/>
      <w:bookmarkStart w:id="26" w:name="_Hlt68072998"/>
      <w:bookmarkEnd w:id="26"/>
      <w:bookmarkStart w:id="27" w:name="_Hlt68072990"/>
      <w:bookmarkEnd w:id="27"/>
      <w:bookmarkStart w:id="28" w:name="_Hlt74714665"/>
      <w:bookmarkEnd w:id="28"/>
      <w:bookmarkStart w:id="29" w:name="_Hlt68057669"/>
      <w:bookmarkEnd w:id="29"/>
      <w:bookmarkStart w:id="30" w:name="_Hlt75236101"/>
      <w:bookmarkEnd w:id="30"/>
    </w:p>
    <w:bookmarkEnd w:id="13"/>
    <w:bookmarkEnd w:id="14"/>
    <w:p>
      <w:pPr>
        <w:pStyle w:val="5"/>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pPr>
        <w:snapToGrid w:val="0"/>
        <w:spacing w:line="360" w:lineRule="auto"/>
        <w:rPr>
          <w:rFonts w:ascii="宋体" w:hAnsi="宋体"/>
          <w:b/>
          <w:bCs/>
          <w:sz w:val="24"/>
          <w:shd w:val="clear" w:color="auto" w:fill="FFFFFF"/>
        </w:rPr>
      </w:pPr>
      <w:bookmarkStart w:id="32" w:name="_Toc446000920"/>
      <w:bookmarkStart w:id="33" w:name="_Toc445998850"/>
      <w:bookmarkStart w:id="34" w:name="_Toc442016601"/>
      <w:r>
        <w:rPr>
          <w:rFonts w:ascii="宋体" w:hAnsi="宋体"/>
          <w:b/>
          <w:bCs/>
          <w:sz w:val="24"/>
          <w:shd w:val="clear" w:color="auto" w:fill="FFFFFF"/>
        </w:rPr>
        <w:t>一、</w:t>
      </w:r>
      <w:r>
        <w:rPr>
          <w:rFonts w:hint="eastAsia" w:ascii="宋体" w:hAnsi="宋体"/>
          <w:b/>
          <w:bCs/>
          <w:sz w:val="24"/>
          <w:shd w:val="clear" w:color="auto" w:fill="FFFFFF"/>
        </w:rPr>
        <w:t>磋商内容</w:t>
      </w:r>
    </w:p>
    <w:p>
      <w:pPr>
        <w:snapToGrid w:val="0"/>
        <w:spacing w:line="360" w:lineRule="auto"/>
        <w:ind w:firstLine="480" w:firstLineChars="200"/>
        <w:rPr>
          <w:rFonts w:ascii="宋体" w:hAnsi="宋体"/>
          <w:sz w:val="24"/>
        </w:rPr>
      </w:pPr>
      <w:r>
        <w:rPr>
          <w:rFonts w:hint="eastAsia" w:ascii="宋体" w:hAnsi="宋体"/>
          <w:sz w:val="24"/>
        </w:rPr>
        <w:t>1、采购内容：杭州市第三人民医院小额零星设施维修、工程修缮项目，服务期1年，具体内容按采购人需要实施，并分项审计结算。</w:t>
      </w:r>
    </w:p>
    <w:p>
      <w:pPr>
        <w:snapToGrid w:val="0"/>
        <w:spacing w:line="360" w:lineRule="auto"/>
        <w:ind w:firstLine="480" w:firstLineChars="200"/>
        <w:rPr>
          <w:rFonts w:ascii="宋体" w:hAnsi="宋体"/>
          <w:sz w:val="24"/>
        </w:rPr>
      </w:pPr>
      <w:r>
        <w:rPr>
          <w:rFonts w:hint="eastAsia" w:ascii="宋体" w:hAnsi="宋体"/>
          <w:sz w:val="24"/>
        </w:rPr>
        <w:t>2、工程规模及内容：医院小额零星设施维修、工程修缮项目指单项金额在20万元(不含)以下的设施维修项目。</w:t>
      </w:r>
    </w:p>
    <w:p>
      <w:pPr>
        <w:snapToGrid w:val="0"/>
        <w:spacing w:line="360" w:lineRule="auto"/>
        <w:ind w:firstLine="480" w:firstLineChars="200"/>
        <w:rPr>
          <w:rFonts w:ascii="宋体" w:hAnsi="宋体"/>
          <w:sz w:val="24"/>
        </w:rPr>
      </w:pPr>
      <w:r>
        <w:rPr>
          <w:rFonts w:hint="eastAsia" w:ascii="宋体" w:hAnsi="宋体"/>
          <w:sz w:val="24"/>
        </w:rPr>
        <w:t>3 本工程施工、验收、材料的选用必须符合磋商文件要求和现行的相关标准和技术</w:t>
      </w:r>
    </w:p>
    <w:p>
      <w:pPr>
        <w:snapToGrid w:val="0"/>
        <w:spacing w:line="360" w:lineRule="auto"/>
        <w:rPr>
          <w:rFonts w:ascii="宋体" w:hAnsi="宋体"/>
          <w:sz w:val="24"/>
        </w:rPr>
      </w:pPr>
      <w:r>
        <w:rPr>
          <w:rFonts w:hint="eastAsia" w:ascii="宋体" w:hAnsi="宋体"/>
          <w:sz w:val="24"/>
        </w:rPr>
        <w:t>规范。</w:t>
      </w:r>
    </w:p>
    <w:p>
      <w:pPr>
        <w:snapToGrid w:val="0"/>
        <w:spacing w:line="360" w:lineRule="auto"/>
        <w:ind w:firstLine="480" w:firstLineChars="200"/>
        <w:rPr>
          <w:rFonts w:ascii="宋体" w:hAnsi="宋体"/>
          <w:sz w:val="24"/>
        </w:rPr>
      </w:pPr>
      <w:r>
        <w:rPr>
          <w:rFonts w:hint="eastAsia" w:ascii="宋体" w:hAnsi="宋体"/>
          <w:sz w:val="24"/>
        </w:rPr>
        <w:t>4 本工程所使用的材料制造商首先参照采购文件中的材料要求</w:t>
      </w:r>
      <w:r>
        <w:rPr>
          <w:rFonts w:hint="eastAsia"/>
          <w:lang w:eastAsia="zh-CN"/>
        </w:rPr>
        <w:t>（</w:t>
      </w:r>
      <w:r>
        <w:rPr>
          <w:rFonts w:hint="eastAsia"/>
          <w:lang w:val="en-US" w:eastAsia="zh-CN"/>
        </w:rPr>
        <w:t>参照</w:t>
      </w:r>
      <w:r>
        <w:rPr>
          <w:rFonts w:hint="eastAsia"/>
          <w:lang w:eastAsia="zh-CN"/>
        </w:rPr>
        <w:t>清单编制说明）</w:t>
      </w:r>
      <w:r>
        <w:rPr>
          <w:rFonts w:hint="eastAsia" w:ascii="宋体" w:hAnsi="宋体"/>
          <w:sz w:val="24"/>
        </w:rPr>
        <w:t>，其他品牌尽量按医</w:t>
      </w:r>
    </w:p>
    <w:p>
      <w:pPr>
        <w:snapToGrid w:val="0"/>
        <w:spacing w:line="360" w:lineRule="auto"/>
        <w:rPr>
          <w:rFonts w:ascii="宋体" w:hAnsi="宋体"/>
          <w:sz w:val="24"/>
        </w:rPr>
      </w:pPr>
      <w:r>
        <w:rPr>
          <w:rFonts w:hint="eastAsia" w:ascii="宋体" w:hAnsi="宋体"/>
          <w:sz w:val="24"/>
        </w:rPr>
        <w:t>院在用的，否则应采用同档次及以上档次和品质的产品，并经采购人认可后实施。</w:t>
      </w:r>
    </w:p>
    <w:p>
      <w:pPr>
        <w:snapToGrid w:val="0"/>
        <w:spacing w:line="360" w:lineRule="auto"/>
        <w:ind w:firstLine="480" w:firstLineChars="200"/>
        <w:rPr>
          <w:rFonts w:ascii="宋体" w:hAnsi="宋体"/>
          <w:sz w:val="24"/>
        </w:rPr>
      </w:pPr>
      <w:r>
        <w:rPr>
          <w:rFonts w:hint="eastAsia" w:ascii="宋体" w:hAnsi="宋体"/>
          <w:sz w:val="24"/>
        </w:rPr>
        <w:t>5、具体实施内容在合同实施期内由采购人按需另行通知。除完成现场维修工作外，</w:t>
      </w:r>
    </w:p>
    <w:p>
      <w:pPr>
        <w:snapToGrid w:val="0"/>
        <w:spacing w:line="360" w:lineRule="auto"/>
        <w:rPr>
          <w:rFonts w:ascii="宋体" w:hAnsi="宋体"/>
          <w:sz w:val="24"/>
        </w:rPr>
      </w:pPr>
      <w:r>
        <w:rPr>
          <w:rFonts w:hint="eastAsia" w:ascii="宋体" w:hAnsi="宋体"/>
          <w:sz w:val="24"/>
        </w:rPr>
        <w:t>工作内容还包括与本次维修有关的以下内容：</w:t>
      </w:r>
    </w:p>
    <w:p>
      <w:pPr>
        <w:numPr>
          <w:ilvl w:val="0"/>
          <w:numId w:val="2"/>
        </w:numPr>
        <w:snapToGrid w:val="0"/>
        <w:spacing w:line="360" w:lineRule="auto"/>
        <w:ind w:firstLine="480" w:firstLineChars="200"/>
        <w:rPr>
          <w:rFonts w:ascii="宋体" w:hAnsi="宋体"/>
          <w:sz w:val="24"/>
        </w:rPr>
      </w:pPr>
      <w:r>
        <w:rPr>
          <w:rFonts w:hint="eastAsia" w:ascii="宋体" w:hAnsi="宋体"/>
          <w:sz w:val="24"/>
        </w:rPr>
        <w:t>采购人根据维修改造工程情况要求供应商完成的其他工作和配合工作。</w:t>
      </w:r>
    </w:p>
    <w:p>
      <w:pPr>
        <w:numPr>
          <w:ilvl w:val="0"/>
          <w:numId w:val="2"/>
        </w:numPr>
        <w:snapToGrid w:val="0"/>
        <w:spacing w:line="360" w:lineRule="auto"/>
        <w:ind w:firstLine="480" w:firstLineChars="200"/>
        <w:rPr>
          <w:rFonts w:ascii="宋体" w:hAnsi="宋体"/>
          <w:sz w:val="24"/>
        </w:rPr>
      </w:pPr>
      <w:r>
        <w:rPr>
          <w:rFonts w:hint="eastAsia" w:ascii="宋体" w:hAnsi="宋体"/>
          <w:sz w:val="24"/>
        </w:rPr>
        <w:t>负责工程竣工验收技术资料（包括施工前后影像资料）的汇总、整理、移交工作。</w:t>
      </w:r>
    </w:p>
    <w:p>
      <w:pPr>
        <w:snapToGrid w:val="0"/>
        <w:spacing w:line="360" w:lineRule="auto"/>
        <w:rPr>
          <w:rFonts w:ascii="宋体" w:hAnsi="宋体"/>
          <w:b/>
          <w:bCs/>
          <w:sz w:val="24"/>
          <w:shd w:val="clear" w:color="auto" w:fill="FFFFFF"/>
        </w:rPr>
      </w:pPr>
      <w:r>
        <w:rPr>
          <w:rFonts w:hint="eastAsia" w:ascii="宋体" w:hAnsi="宋体"/>
          <w:b/>
          <w:bCs/>
          <w:sz w:val="24"/>
          <w:shd w:val="clear" w:color="auto" w:fill="FFFFFF"/>
        </w:rPr>
        <w:t>二、现场条件及踏勘</w:t>
      </w:r>
    </w:p>
    <w:p>
      <w:pPr>
        <w:snapToGrid w:val="0"/>
        <w:spacing w:line="360" w:lineRule="auto"/>
        <w:ind w:firstLine="480" w:firstLineChars="200"/>
        <w:rPr>
          <w:rFonts w:ascii="宋体" w:hAnsi="宋体"/>
          <w:sz w:val="24"/>
        </w:rPr>
      </w:pPr>
      <w:r>
        <w:rPr>
          <w:rFonts w:hint="eastAsia" w:ascii="宋体" w:hAnsi="宋体"/>
          <w:sz w:val="24"/>
        </w:rPr>
        <w:t>1、施工不能影响医院正常的医疗工作。</w:t>
      </w:r>
    </w:p>
    <w:p>
      <w:pPr>
        <w:snapToGrid w:val="0"/>
        <w:spacing w:line="360" w:lineRule="auto"/>
        <w:ind w:firstLine="480" w:firstLineChars="200"/>
        <w:rPr>
          <w:rFonts w:ascii="宋体" w:hAnsi="宋体"/>
          <w:sz w:val="24"/>
        </w:rPr>
      </w:pPr>
      <w:r>
        <w:rPr>
          <w:rFonts w:hint="eastAsia" w:ascii="宋体" w:hAnsi="宋体"/>
          <w:sz w:val="24"/>
        </w:rPr>
        <w:t>2、采购人不组织现场踏勘，</w:t>
      </w:r>
      <w:r>
        <w:rPr>
          <w:rFonts w:ascii="宋体" w:hAnsi="宋体"/>
          <w:sz w:val="24"/>
        </w:rPr>
        <w:t>供应商</w:t>
      </w:r>
      <w:r>
        <w:rPr>
          <w:rFonts w:hint="eastAsia" w:ascii="宋体" w:hAnsi="宋体"/>
          <w:sz w:val="24"/>
        </w:rPr>
        <w:t>应自行</w:t>
      </w:r>
      <w:r>
        <w:rPr>
          <w:rFonts w:ascii="宋体" w:hAnsi="宋体"/>
          <w:sz w:val="24"/>
        </w:rPr>
        <w:t>对工程现场和周围环境进行</w:t>
      </w:r>
      <w:r>
        <w:rPr>
          <w:rFonts w:hint="eastAsia" w:ascii="宋体" w:hAnsi="宋体"/>
          <w:sz w:val="24"/>
        </w:rPr>
        <w:t>踏勘和了解</w:t>
      </w:r>
      <w:r>
        <w:rPr>
          <w:rFonts w:ascii="宋体" w:hAnsi="宋体"/>
          <w:sz w:val="24"/>
        </w:rPr>
        <w:t>，以获取有关编制磋商响应文件和签署合同所需的各</w:t>
      </w:r>
      <w:r>
        <w:rPr>
          <w:rFonts w:hint="eastAsia" w:ascii="宋体" w:hAnsi="宋体"/>
          <w:sz w:val="24"/>
        </w:rPr>
        <w:t>种</w:t>
      </w:r>
      <w:r>
        <w:rPr>
          <w:rFonts w:ascii="宋体" w:hAnsi="宋体"/>
          <w:sz w:val="24"/>
        </w:rPr>
        <w:t>资料</w:t>
      </w:r>
      <w:r>
        <w:rPr>
          <w:rFonts w:hint="eastAsia" w:ascii="宋体" w:hAnsi="宋体"/>
          <w:sz w:val="24"/>
        </w:rPr>
        <w:t>，</w:t>
      </w:r>
      <w:r>
        <w:rPr>
          <w:rFonts w:ascii="宋体" w:hAnsi="宋体"/>
          <w:sz w:val="24"/>
        </w:rPr>
        <w:t>并应充分</w:t>
      </w:r>
      <w:r>
        <w:rPr>
          <w:rFonts w:hint="eastAsia" w:ascii="宋体" w:hAnsi="宋体"/>
          <w:sz w:val="24"/>
        </w:rPr>
        <w:t>考虑影响本次报价的因素、</w:t>
      </w:r>
      <w:r>
        <w:rPr>
          <w:rFonts w:ascii="宋体" w:hAnsi="宋体"/>
          <w:sz w:val="24"/>
        </w:rPr>
        <w:t>预计</w:t>
      </w:r>
      <w:r>
        <w:rPr>
          <w:rFonts w:hint="eastAsia" w:ascii="宋体" w:hAnsi="宋体"/>
          <w:sz w:val="24"/>
        </w:rPr>
        <w:t>实施</w:t>
      </w:r>
      <w:r>
        <w:rPr>
          <w:rFonts w:ascii="宋体" w:hAnsi="宋体"/>
          <w:sz w:val="24"/>
        </w:rPr>
        <w:t>过程中各种不利因素，由此可能发生的费用均由供应商考虑并包含在投标报价中。成交后</w:t>
      </w:r>
      <w:r>
        <w:rPr>
          <w:rFonts w:hint="eastAsia" w:ascii="宋体" w:hAnsi="宋体"/>
          <w:sz w:val="24"/>
        </w:rPr>
        <w:t>，供应商</w:t>
      </w:r>
      <w:r>
        <w:rPr>
          <w:rFonts w:ascii="宋体" w:hAnsi="宋体"/>
          <w:sz w:val="24"/>
        </w:rPr>
        <w:t>不得</w:t>
      </w:r>
      <w:r>
        <w:rPr>
          <w:rFonts w:hint="eastAsia" w:ascii="宋体" w:hAnsi="宋体"/>
          <w:sz w:val="24"/>
        </w:rPr>
        <w:t>再</w:t>
      </w:r>
      <w:r>
        <w:rPr>
          <w:rFonts w:ascii="宋体" w:hAnsi="宋体"/>
          <w:sz w:val="24"/>
        </w:rPr>
        <w:t>以不完全了解现场情况</w:t>
      </w:r>
      <w:r>
        <w:rPr>
          <w:rFonts w:hint="eastAsia" w:ascii="宋体" w:hAnsi="宋体"/>
          <w:sz w:val="24"/>
        </w:rPr>
        <w:t>等</w:t>
      </w:r>
      <w:r>
        <w:rPr>
          <w:rFonts w:ascii="宋体" w:hAnsi="宋体"/>
          <w:sz w:val="24"/>
        </w:rPr>
        <w:t>为理由而提出额外付款或延长工期等</w:t>
      </w:r>
      <w:r>
        <w:rPr>
          <w:rFonts w:hint="eastAsia" w:ascii="宋体" w:hAnsi="宋体"/>
          <w:sz w:val="24"/>
        </w:rPr>
        <w:t>的</w:t>
      </w:r>
      <w:r>
        <w:rPr>
          <w:rFonts w:ascii="宋体" w:hAnsi="宋体"/>
          <w:sz w:val="24"/>
        </w:rPr>
        <w:t>要求，若有此类要求，采购人将不作任何答复与考虑，供应商应承担现场踏勘的责任和风险</w:t>
      </w:r>
      <w:r>
        <w:rPr>
          <w:rFonts w:hint="eastAsia" w:ascii="宋体" w:hAnsi="宋体"/>
          <w:sz w:val="24"/>
        </w:rPr>
        <w:t>，</w:t>
      </w:r>
      <w:r>
        <w:rPr>
          <w:rFonts w:ascii="宋体" w:hAnsi="宋体"/>
          <w:sz w:val="24"/>
        </w:rPr>
        <w:t>踏勘现场的费用由供应商自</w:t>
      </w:r>
      <w:r>
        <w:rPr>
          <w:rFonts w:hint="eastAsia" w:ascii="宋体" w:hAnsi="宋体"/>
          <w:sz w:val="24"/>
        </w:rPr>
        <w:t>行</w:t>
      </w:r>
      <w:r>
        <w:rPr>
          <w:rFonts w:ascii="宋体" w:hAnsi="宋体"/>
          <w:sz w:val="24"/>
        </w:rPr>
        <w:t>承担。</w:t>
      </w:r>
    </w:p>
    <w:p>
      <w:pPr>
        <w:snapToGrid w:val="0"/>
        <w:spacing w:line="360" w:lineRule="auto"/>
        <w:ind w:firstLine="480" w:firstLineChars="200"/>
        <w:rPr>
          <w:rFonts w:ascii="宋体" w:hAnsi="宋体"/>
          <w:sz w:val="24"/>
        </w:rPr>
      </w:pPr>
      <w:r>
        <w:rPr>
          <w:rFonts w:hint="eastAsia" w:ascii="宋体" w:hAnsi="宋体"/>
          <w:sz w:val="24"/>
        </w:rPr>
        <w:t>3、为减少改造工程对医院正常医务工作的影响，需要按医院要求管理，临时调整施工时间等；施工作业环境的种种不利因素，如夜间施工、垃圾装袋外运、施工人员的核酸检测等等，均需由供应商考虑，并将所需费用包含在投标报价中。</w:t>
      </w:r>
    </w:p>
    <w:p>
      <w:pPr>
        <w:snapToGrid w:val="0"/>
        <w:spacing w:line="360" w:lineRule="auto"/>
        <w:rPr>
          <w:rFonts w:ascii="宋体" w:hAnsi="宋体"/>
          <w:b/>
          <w:bCs/>
          <w:sz w:val="24"/>
          <w:shd w:val="clear" w:color="auto" w:fill="FFFFFF"/>
        </w:rPr>
      </w:pPr>
      <w:r>
        <w:rPr>
          <w:rFonts w:hint="eastAsia" w:ascii="宋体" w:hAnsi="宋体"/>
          <w:b/>
          <w:bCs/>
          <w:sz w:val="24"/>
          <w:shd w:val="clear" w:color="auto" w:fill="FFFFFF"/>
        </w:rPr>
        <w:t>三</w:t>
      </w:r>
      <w:r>
        <w:rPr>
          <w:rFonts w:ascii="宋体" w:hAnsi="宋体"/>
          <w:b/>
          <w:bCs/>
          <w:sz w:val="24"/>
          <w:shd w:val="clear" w:color="auto" w:fill="FFFFFF"/>
        </w:rPr>
        <w:t>、</w:t>
      </w:r>
      <w:r>
        <w:rPr>
          <w:rFonts w:hint="eastAsia" w:ascii="宋体" w:hAnsi="宋体"/>
          <w:b/>
          <w:bCs/>
          <w:sz w:val="24"/>
          <w:shd w:val="clear" w:color="auto" w:fill="FFFFFF"/>
        </w:rPr>
        <w:t>工程费用结算及磋商报价</w:t>
      </w:r>
    </w:p>
    <w:p>
      <w:pPr>
        <w:snapToGrid w:val="0"/>
        <w:spacing w:line="360" w:lineRule="auto"/>
        <w:ind w:firstLine="480" w:firstLineChars="200"/>
        <w:rPr>
          <w:rFonts w:ascii="宋体" w:hAnsi="宋体"/>
          <w:sz w:val="24"/>
        </w:rPr>
      </w:pPr>
      <w:r>
        <w:rPr>
          <w:rFonts w:hint="eastAsia" w:ascii="宋体" w:hAnsi="宋体"/>
          <w:sz w:val="24"/>
        </w:rPr>
        <w:t>1、本次报价在现行《建设工程工程量清单计价规范》（GB 50500-2013）、《浙江省市政工程预算定额》(2018 版)基础上编制。</w:t>
      </w:r>
    </w:p>
    <w:p>
      <w:pPr>
        <w:snapToGrid w:val="0"/>
        <w:spacing w:line="360" w:lineRule="auto"/>
        <w:ind w:firstLine="480" w:firstLineChars="200"/>
        <w:rPr>
          <w:rFonts w:ascii="宋体" w:hAnsi="宋体"/>
          <w:sz w:val="24"/>
        </w:rPr>
      </w:pPr>
      <w:r>
        <w:rPr>
          <w:rFonts w:hint="eastAsia" w:ascii="宋体" w:hAnsi="宋体"/>
          <w:sz w:val="24"/>
        </w:rPr>
        <w:t>2、工程造价编制口径：</w:t>
      </w:r>
    </w:p>
    <w:p>
      <w:pPr>
        <w:snapToGrid w:val="0"/>
        <w:spacing w:line="360" w:lineRule="auto"/>
        <w:ind w:firstLine="480" w:firstLineChars="200"/>
        <w:rPr>
          <w:rFonts w:ascii="宋体" w:hAnsi="宋体"/>
          <w:sz w:val="24"/>
        </w:rPr>
      </w:pPr>
      <w:r>
        <w:rPr>
          <w:rFonts w:hint="eastAsia" w:ascii="宋体" w:hAnsi="宋体"/>
          <w:sz w:val="24"/>
        </w:rPr>
        <w:t>2.1编制依据：</w:t>
      </w:r>
    </w:p>
    <w:p>
      <w:pPr>
        <w:snapToGrid w:val="0"/>
        <w:spacing w:line="360" w:lineRule="auto"/>
        <w:ind w:firstLine="480" w:firstLineChars="200"/>
        <w:rPr>
          <w:rFonts w:ascii="宋体" w:hAnsi="宋体"/>
          <w:sz w:val="24"/>
        </w:rPr>
      </w:pPr>
      <w:r>
        <w:rPr>
          <w:rFonts w:hint="eastAsia" w:ascii="宋体" w:hAnsi="宋体"/>
          <w:sz w:val="24"/>
        </w:rPr>
        <w:t>（1）本工程施工现场，业主提供相关资料等；</w:t>
      </w:r>
    </w:p>
    <w:p>
      <w:pPr>
        <w:snapToGrid w:val="0"/>
        <w:spacing w:line="360" w:lineRule="auto"/>
        <w:ind w:firstLine="480" w:firstLineChars="200"/>
        <w:rPr>
          <w:rFonts w:ascii="宋体" w:hAnsi="宋体"/>
          <w:sz w:val="24"/>
        </w:rPr>
      </w:pPr>
      <w:r>
        <w:rPr>
          <w:rFonts w:hint="eastAsia" w:ascii="宋体" w:hAnsi="宋体"/>
          <w:sz w:val="24"/>
        </w:rPr>
        <w:t>（2）《建设工程工程量清单计价规范》（GB 50500-2013）；</w:t>
      </w:r>
    </w:p>
    <w:p>
      <w:pPr>
        <w:snapToGrid w:val="0"/>
        <w:spacing w:line="360" w:lineRule="auto"/>
        <w:ind w:firstLine="480" w:firstLineChars="200"/>
        <w:rPr>
          <w:rFonts w:ascii="宋体" w:hAnsi="宋体"/>
          <w:sz w:val="24"/>
        </w:rPr>
      </w:pPr>
      <w:r>
        <w:rPr>
          <w:rFonts w:hint="eastAsia" w:ascii="宋体" w:hAnsi="宋体"/>
          <w:sz w:val="24"/>
        </w:rPr>
        <w:t>（3）《杭州市建设工程工程量清单计价实施细则》（2018年修订）；</w:t>
      </w:r>
    </w:p>
    <w:p>
      <w:pPr>
        <w:snapToGrid w:val="0"/>
        <w:spacing w:line="360" w:lineRule="auto"/>
        <w:ind w:firstLine="480" w:firstLineChars="200"/>
        <w:rPr>
          <w:rFonts w:ascii="宋体" w:hAnsi="宋体"/>
          <w:sz w:val="24"/>
        </w:rPr>
      </w:pPr>
      <w:r>
        <w:rPr>
          <w:rFonts w:hint="eastAsia" w:ascii="宋体" w:hAnsi="宋体"/>
          <w:sz w:val="24"/>
        </w:rPr>
        <w:t>（4）《房屋建筑与装饰工程工程量计算规范》（GB 50854-2013）；</w:t>
      </w:r>
    </w:p>
    <w:p>
      <w:pPr>
        <w:snapToGrid w:val="0"/>
        <w:spacing w:line="360" w:lineRule="auto"/>
        <w:ind w:firstLine="480" w:firstLineChars="200"/>
        <w:rPr>
          <w:rFonts w:ascii="宋体" w:hAnsi="宋体"/>
          <w:sz w:val="24"/>
        </w:rPr>
      </w:pPr>
      <w:r>
        <w:rPr>
          <w:rFonts w:hint="eastAsia" w:ascii="宋体" w:hAnsi="宋体"/>
          <w:sz w:val="24"/>
        </w:rPr>
        <w:t>（5）《浙江省建设工程计价规则（2018版）》；</w:t>
      </w:r>
    </w:p>
    <w:p>
      <w:pPr>
        <w:snapToGrid w:val="0"/>
        <w:spacing w:line="360" w:lineRule="auto"/>
        <w:ind w:firstLine="480" w:firstLineChars="200"/>
        <w:rPr>
          <w:rFonts w:ascii="宋体" w:hAnsi="宋体"/>
          <w:sz w:val="24"/>
        </w:rPr>
      </w:pPr>
      <w:r>
        <w:rPr>
          <w:rFonts w:hint="eastAsia" w:ascii="宋体" w:hAnsi="宋体"/>
          <w:sz w:val="24"/>
        </w:rPr>
        <w:t>（6）《浙江省房屋建筑与装饰工程预算定额》（2018版）；</w:t>
      </w:r>
    </w:p>
    <w:p>
      <w:pPr>
        <w:snapToGrid w:val="0"/>
        <w:spacing w:line="360" w:lineRule="auto"/>
        <w:ind w:firstLine="480" w:firstLineChars="200"/>
        <w:rPr>
          <w:rFonts w:ascii="宋体" w:hAnsi="宋体"/>
          <w:sz w:val="24"/>
        </w:rPr>
      </w:pPr>
      <w:r>
        <w:rPr>
          <w:rFonts w:hint="eastAsia" w:ascii="宋体" w:hAnsi="宋体"/>
          <w:sz w:val="24"/>
        </w:rPr>
        <w:t>（7）《浙江省通用安装工程预算定额》（2018版）；</w:t>
      </w:r>
    </w:p>
    <w:p>
      <w:pPr>
        <w:snapToGrid w:val="0"/>
        <w:spacing w:line="360" w:lineRule="auto"/>
        <w:ind w:firstLine="480" w:firstLineChars="200"/>
        <w:rPr>
          <w:rFonts w:ascii="宋体" w:hAnsi="宋体"/>
          <w:sz w:val="24"/>
        </w:rPr>
      </w:pPr>
      <w:r>
        <w:rPr>
          <w:rFonts w:hint="eastAsia" w:ascii="宋体" w:hAnsi="宋体"/>
          <w:sz w:val="24"/>
        </w:rPr>
        <w:t>（8）《浙江省市政工程预算定额》（2018版）；</w:t>
      </w:r>
    </w:p>
    <w:p>
      <w:pPr>
        <w:snapToGrid w:val="0"/>
        <w:spacing w:line="360" w:lineRule="auto"/>
        <w:ind w:firstLine="480" w:firstLineChars="200"/>
        <w:rPr>
          <w:rFonts w:ascii="宋体" w:hAnsi="宋体"/>
          <w:sz w:val="24"/>
        </w:rPr>
      </w:pPr>
      <w:r>
        <w:rPr>
          <w:rFonts w:hint="eastAsia" w:ascii="宋体" w:hAnsi="宋体"/>
          <w:sz w:val="24"/>
        </w:rPr>
        <w:t>（9）《浙江省园林绿化及仿古建筑工程预算定额》（2018版）；</w:t>
      </w:r>
    </w:p>
    <w:p>
      <w:pPr>
        <w:snapToGrid w:val="0"/>
        <w:spacing w:line="360" w:lineRule="auto"/>
        <w:ind w:firstLine="480" w:firstLineChars="200"/>
        <w:rPr>
          <w:rFonts w:ascii="宋体" w:hAnsi="宋体"/>
          <w:sz w:val="24"/>
        </w:rPr>
      </w:pPr>
      <w:r>
        <w:rPr>
          <w:rFonts w:hint="eastAsia" w:ascii="宋体" w:hAnsi="宋体"/>
          <w:sz w:val="24"/>
        </w:rPr>
        <w:t>（10） 关于颁发浙江省建设工程计价依据（2018版）的通知 浙建建（2018）61号；</w:t>
      </w:r>
    </w:p>
    <w:p>
      <w:pPr>
        <w:snapToGrid w:val="0"/>
        <w:spacing w:line="360" w:lineRule="auto"/>
        <w:ind w:firstLine="480" w:firstLineChars="200"/>
        <w:rPr>
          <w:rFonts w:ascii="宋体" w:hAnsi="宋体"/>
          <w:sz w:val="24"/>
        </w:rPr>
      </w:pPr>
      <w:r>
        <w:rPr>
          <w:rFonts w:hint="eastAsia" w:ascii="宋体" w:hAnsi="宋体"/>
          <w:sz w:val="24"/>
        </w:rPr>
        <w:t>（11）关于增值税调整后我省建设工程计价依据增值税税率及有关计价系数调整的通知浙建建发[2019]92号；</w:t>
      </w:r>
    </w:p>
    <w:p>
      <w:pPr>
        <w:snapToGrid w:val="0"/>
        <w:spacing w:line="360" w:lineRule="auto"/>
        <w:ind w:firstLine="480" w:firstLineChars="200"/>
        <w:rPr>
          <w:rFonts w:ascii="宋体" w:hAnsi="宋体"/>
          <w:sz w:val="24"/>
        </w:rPr>
      </w:pPr>
      <w:r>
        <w:rPr>
          <w:rFonts w:hint="eastAsia" w:ascii="宋体" w:hAnsi="宋体"/>
          <w:sz w:val="24"/>
        </w:rPr>
        <w:t>（12）杭渣土领[2020]1号-关于发布杭州市工程渣土消纳市场信息价的通知；</w:t>
      </w:r>
    </w:p>
    <w:p>
      <w:pPr>
        <w:snapToGrid w:val="0"/>
        <w:spacing w:line="360" w:lineRule="auto"/>
        <w:ind w:firstLine="480" w:firstLineChars="200"/>
        <w:rPr>
          <w:rFonts w:ascii="宋体" w:hAnsi="宋体"/>
          <w:sz w:val="24"/>
        </w:rPr>
      </w:pPr>
      <w:r>
        <w:rPr>
          <w:rFonts w:hint="eastAsia" w:ascii="宋体" w:hAnsi="宋体"/>
          <w:sz w:val="24"/>
        </w:rPr>
        <w:t>（13）《杭州市城乡建设委员会关于推进杭州市建筑施工领域安全生产责任保险工作的通知》（杭建工发〔2021〕384号）、《关于明确杭州市建筑施工领域安全生产责任保险费用计取的通知》。</w:t>
      </w:r>
    </w:p>
    <w:p>
      <w:pPr>
        <w:snapToGrid w:val="0"/>
        <w:spacing w:line="360" w:lineRule="auto"/>
        <w:ind w:firstLine="480" w:firstLineChars="200"/>
        <w:rPr>
          <w:rFonts w:ascii="宋体" w:hAnsi="宋体"/>
          <w:sz w:val="24"/>
        </w:rPr>
      </w:pPr>
      <w:r>
        <w:rPr>
          <w:rFonts w:hint="eastAsia" w:ascii="宋体" w:hAnsi="宋体"/>
          <w:sz w:val="24"/>
        </w:rPr>
        <w:t>（14）《浙建建发〔2022〕37号 省建设厅关于调整建筑工程安全文明施工费的通知》；</w:t>
      </w:r>
    </w:p>
    <w:p>
      <w:pPr>
        <w:snapToGrid w:val="0"/>
        <w:spacing w:line="360" w:lineRule="auto"/>
        <w:ind w:firstLine="480" w:firstLineChars="200"/>
        <w:rPr>
          <w:rFonts w:ascii="宋体" w:hAnsi="宋体"/>
          <w:sz w:val="24"/>
        </w:rPr>
      </w:pPr>
      <w:r>
        <w:rPr>
          <w:rFonts w:hint="eastAsia" w:ascii="宋体" w:hAnsi="宋体"/>
          <w:sz w:val="24"/>
        </w:rPr>
        <w:t>（15）与本工程有关的标准、规范、技术资料；</w:t>
      </w:r>
    </w:p>
    <w:p>
      <w:pPr>
        <w:snapToGrid w:val="0"/>
        <w:spacing w:line="360" w:lineRule="auto"/>
        <w:ind w:firstLine="480" w:firstLineChars="200"/>
        <w:rPr>
          <w:rFonts w:ascii="宋体" w:hAnsi="宋体"/>
          <w:sz w:val="24"/>
        </w:rPr>
      </w:pPr>
      <w:r>
        <w:rPr>
          <w:rFonts w:hint="eastAsia" w:ascii="宋体" w:hAnsi="宋体"/>
          <w:sz w:val="24"/>
        </w:rPr>
        <w:t>（16）项目清单编制过程中图纸疑问、答疑纪要及各方回复；</w:t>
      </w:r>
    </w:p>
    <w:p>
      <w:pPr>
        <w:snapToGrid w:val="0"/>
        <w:spacing w:line="360" w:lineRule="auto"/>
        <w:ind w:firstLine="480" w:firstLineChars="200"/>
        <w:rPr>
          <w:rFonts w:ascii="宋体" w:hAnsi="宋体"/>
          <w:sz w:val="24"/>
        </w:rPr>
      </w:pPr>
      <w:r>
        <w:rPr>
          <w:rFonts w:hint="eastAsia" w:ascii="宋体" w:hAnsi="宋体"/>
          <w:sz w:val="24"/>
        </w:rPr>
        <w:t>（17）其他相关资料。</w:t>
      </w:r>
    </w:p>
    <w:p>
      <w:pPr>
        <w:snapToGrid w:val="0"/>
        <w:spacing w:line="360" w:lineRule="auto"/>
        <w:ind w:firstLine="480" w:firstLineChars="200"/>
        <w:rPr>
          <w:rFonts w:ascii="宋体" w:hAnsi="宋体"/>
          <w:sz w:val="24"/>
        </w:rPr>
      </w:pPr>
      <w:r>
        <w:rPr>
          <w:rFonts w:hint="eastAsia" w:ascii="宋体" w:hAnsi="宋体"/>
          <w:sz w:val="24"/>
        </w:rPr>
        <w:t>以上编制依据若发生政策性调整的，按最新版新政策执行。</w:t>
      </w:r>
    </w:p>
    <w:p>
      <w:pPr>
        <w:snapToGrid w:val="0"/>
        <w:spacing w:line="360" w:lineRule="auto"/>
        <w:ind w:firstLine="480" w:firstLineChars="200"/>
        <w:rPr>
          <w:rFonts w:ascii="宋体" w:hAnsi="宋体"/>
          <w:sz w:val="24"/>
        </w:rPr>
      </w:pPr>
      <w:r>
        <w:rPr>
          <w:rFonts w:hint="eastAsia" w:ascii="宋体" w:hAnsi="宋体"/>
          <w:sz w:val="24"/>
        </w:rPr>
        <w:t>2.2编制原则：工程量清单综合单价法；</w:t>
      </w:r>
    </w:p>
    <w:p>
      <w:pPr>
        <w:snapToGrid w:val="0"/>
        <w:spacing w:line="360" w:lineRule="auto"/>
        <w:ind w:firstLine="480" w:firstLineChars="200"/>
        <w:rPr>
          <w:rFonts w:ascii="宋体" w:hAnsi="宋体"/>
          <w:sz w:val="24"/>
        </w:rPr>
      </w:pPr>
      <w:r>
        <w:rPr>
          <w:rFonts w:hint="eastAsia" w:ascii="宋体" w:hAnsi="宋体"/>
          <w:sz w:val="24"/>
        </w:rPr>
        <w:t>2.3工程类别：根据实际项目特征划分；</w:t>
      </w:r>
    </w:p>
    <w:p>
      <w:pPr>
        <w:snapToGrid w:val="0"/>
        <w:spacing w:line="360" w:lineRule="auto"/>
        <w:ind w:firstLine="480" w:firstLineChars="200"/>
        <w:rPr>
          <w:rFonts w:ascii="宋体" w:hAnsi="宋体"/>
          <w:sz w:val="24"/>
        </w:rPr>
      </w:pPr>
      <w:r>
        <w:rPr>
          <w:rFonts w:hint="eastAsia" w:ascii="宋体" w:hAnsi="宋体"/>
          <w:sz w:val="24"/>
        </w:rPr>
        <w:t>2.4关于施工组织措施费、规费及税金等费用的要求：采用"增值税一般计税方法"</w:t>
      </w:r>
    </w:p>
    <w:p>
      <w:pPr>
        <w:numPr>
          <w:ilvl w:val="0"/>
          <w:numId w:val="3"/>
        </w:numPr>
        <w:snapToGrid w:val="0"/>
        <w:spacing w:line="360" w:lineRule="auto"/>
        <w:ind w:firstLine="480" w:firstLineChars="200"/>
        <w:rPr>
          <w:rFonts w:ascii="宋体" w:hAnsi="宋体"/>
          <w:sz w:val="24"/>
        </w:rPr>
      </w:pPr>
      <w:r>
        <w:rPr>
          <w:rFonts w:hint="eastAsia" w:ascii="宋体" w:hAnsi="宋体"/>
          <w:sz w:val="24"/>
        </w:rPr>
        <w:t>安全文明施工费按照《浙建建发〔2022〕37号 省建设厅关于调整建筑工程安全文明施工费的通知》要求，安全文明施工基本费按照《浙江省建设工程计价规则（2018版）》的费率乘以1.15系数，根据2018版定额计价规则的相关规定，投标报价不得低于规定费率的下限，本工程按市区工程计取，取费基数为：人工费+机械费；费率如下：单独装饰工程为5.91%、安装工程为7.35%；</w:t>
      </w:r>
    </w:p>
    <w:p>
      <w:pPr>
        <w:numPr>
          <w:ilvl w:val="0"/>
          <w:numId w:val="3"/>
        </w:numPr>
        <w:snapToGrid w:val="0"/>
        <w:spacing w:line="360" w:lineRule="auto"/>
        <w:ind w:firstLine="480" w:firstLineChars="200"/>
        <w:rPr>
          <w:rFonts w:ascii="宋体" w:hAnsi="宋体"/>
          <w:sz w:val="24"/>
        </w:rPr>
      </w:pPr>
      <w:r>
        <w:rPr>
          <w:rFonts w:hint="eastAsia" w:ascii="宋体" w:hAnsi="宋体"/>
          <w:sz w:val="24"/>
        </w:rPr>
        <w:t>企业管理费中应包括施工企业现场监控和现场临时宿舍取暖降温费用，以及施工企业对建筑以及材料、构件和建筑安装物进行的一般鉴定、检查所发生的检验试验费等相关费用；为保障工程质量和安全，企业管理费报价不得低于省建设行政主管部门颁发的《浙江省建设工程计价规则》企业管理费弹性费率下限乘以20%的计算值，本工程为单独装饰工程，企业管理费取费基数均为“人工费+机械费”，最低费率不得低于相应弹性费率下限值（即单独装饰工程为11.37%、安装工程为16.29%；）乘以20%（即单独装饰工程为2.274%、安装工程为3.258%）。同时，投标人必须对企业管理费中所包含的施工企业的现场监控（如有）、现场临时宿舍取暖降温费用（如有），在相应的清单明细表中（表2-5）进行单独费用报价分析。</w:t>
      </w:r>
    </w:p>
    <w:p>
      <w:pPr>
        <w:numPr>
          <w:ilvl w:val="0"/>
          <w:numId w:val="3"/>
        </w:numPr>
        <w:snapToGrid w:val="0"/>
        <w:spacing w:line="360" w:lineRule="auto"/>
        <w:ind w:firstLine="480" w:firstLineChars="200"/>
        <w:rPr>
          <w:rFonts w:ascii="宋体" w:hAnsi="宋体"/>
          <w:sz w:val="24"/>
        </w:rPr>
      </w:pPr>
      <w:r>
        <w:rPr>
          <w:rFonts w:hint="eastAsia" w:ascii="宋体" w:hAnsi="宋体"/>
          <w:sz w:val="24"/>
        </w:rPr>
        <w:t>根据《杭州市城乡建设委员会关于推进杭州市建筑施工领域安全生产责任保险工作的通知》（杭建工发〔2021〕384号）、《关于明确杭州市建筑施工领域安全生产责任保险费用计取的通知》等文件要求，本项目招标控制价编制时已考虑安责险预算并计入建安工程造价内，请投标人在投标报价时，结合工程实际和企业信用状况将安责险列入企业管理费中进行自主报价</w:t>
      </w:r>
    </w:p>
    <w:p>
      <w:pPr>
        <w:numPr>
          <w:ilvl w:val="0"/>
          <w:numId w:val="3"/>
        </w:numPr>
        <w:snapToGrid w:val="0"/>
        <w:spacing w:line="360" w:lineRule="auto"/>
        <w:ind w:firstLine="480" w:firstLineChars="200"/>
        <w:rPr>
          <w:rFonts w:ascii="宋体" w:hAnsi="宋体"/>
          <w:sz w:val="24"/>
        </w:rPr>
      </w:pPr>
      <w:r>
        <w:rPr>
          <w:rFonts w:hint="eastAsia" w:ascii="宋体" w:hAnsi="宋体"/>
          <w:sz w:val="24"/>
        </w:rPr>
        <w:t>规费取费基数为：人工费+机械费；取费费率：单独装饰工程27.92%、安装工程30.63%，政策平稳期内不得低于标准费率的30%。</w:t>
      </w:r>
    </w:p>
    <w:p>
      <w:pPr>
        <w:numPr>
          <w:ilvl w:val="0"/>
          <w:numId w:val="3"/>
        </w:numPr>
        <w:snapToGrid w:val="0"/>
        <w:spacing w:line="360" w:lineRule="auto"/>
        <w:ind w:firstLine="480" w:firstLineChars="200"/>
        <w:rPr>
          <w:rFonts w:ascii="宋体" w:hAnsi="宋体"/>
          <w:sz w:val="24"/>
        </w:rPr>
      </w:pPr>
      <w:r>
        <w:rPr>
          <w:rFonts w:hint="eastAsia" w:ascii="宋体" w:hAnsi="宋体"/>
          <w:sz w:val="24"/>
        </w:rPr>
        <w:t>税金费率按照浙建建发[2019]92号《关于增值税调整后我省建设工程计价依据增值税税率及有关计价系数调整的通知》计取，取费基数为分部分项工程费+措施项目费+其他项目费+规费，本项目采用一般计税法，费率为9%。</w:t>
      </w:r>
    </w:p>
    <w:p>
      <w:pPr>
        <w:snapToGrid w:val="0"/>
        <w:spacing w:line="360" w:lineRule="auto"/>
        <w:ind w:firstLine="480" w:firstLineChars="200"/>
        <w:rPr>
          <w:rFonts w:ascii="宋体" w:hAnsi="宋体"/>
          <w:sz w:val="24"/>
        </w:rPr>
      </w:pPr>
      <w:r>
        <w:rPr>
          <w:rFonts w:hint="eastAsia" w:ascii="宋体" w:hAnsi="宋体"/>
          <w:sz w:val="24"/>
        </w:rPr>
        <w:t>2.5危险作业意外伤害保险费不另计取，由供应商在磋商报价时考虑；</w:t>
      </w:r>
    </w:p>
    <w:p>
      <w:pPr>
        <w:snapToGrid w:val="0"/>
        <w:spacing w:line="360" w:lineRule="auto"/>
        <w:ind w:firstLine="480" w:firstLineChars="200"/>
        <w:rPr>
          <w:rFonts w:ascii="宋体" w:hAnsi="宋体"/>
          <w:sz w:val="24"/>
        </w:rPr>
      </w:pPr>
      <w:r>
        <w:rPr>
          <w:rFonts w:hint="eastAsia" w:ascii="宋体" w:hAnsi="宋体"/>
          <w:sz w:val="24"/>
        </w:rPr>
        <w:t>2.6风险费用不另计取，由供应商已在磋商报价时考虑；</w:t>
      </w:r>
    </w:p>
    <w:p>
      <w:pPr>
        <w:snapToGrid w:val="0"/>
        <w:spacing w:line="360" w:lineRule="auto"/>
        <w:ind w:firstLine="480" w:firstLineChars="200"/>
        <w:rPr>
          <w:rFonts w:ascii="宋体" w:hAnsi="宋体"/>
          <w:sz w:val="24"/>
        </w:rPr>
      </w:pPr>
      <w:r>
        <w:rPr>
          <w:rFonts w:hint="eastAsia" w:ascii="宋体" w:hAnsi="宋体"/>
          <w:sz w:val="24"/>
        </w:rPr>
        <w:t>2.7乙供材料价格：（1）有相同投标价的执行投标价，无相同项目但有类似项目，参照类似项目的单价确定（a、模拟工程量清单中项目特征或工程内容发生部分变更时，应以原综合单位为基础，仅就变更部门相应定额子母调整综合单价；b、模拟工程量清单中主材变更，则仅调整其主材价差价，其主材单价的确定，按有信息价的参考信息价，无信息价的投标人参照同期同类材料市场价格水平、投标报价水平等因素，向发包人报价，发包人初步认可后施工，最终价格由审计单位根据当时市场价审定确定）；（2）无投标价也无类似项目的按开工日杭州市正刊“不含进项税市场信息价”计取，如杭州市无信息价则参考浙江省信息价；（3）对当地信息价正刊没有公布的材料，同时也不在投标价中的材料，投标人请参照同期同类材料市场价格水平、投标报价水平等因素，向发包人报价，发包人初步认可后施工，最终价格由审计单位根据当时市场价审定确定。</w:t>
      </w:r>
    </w:p>
    <w:p>
      <w:pPr>
        <w:snapToGrid w:val="0"/>
        <w:spacing w:line="360" w:lineRule="auto"/>
        <w:ind w:firstLine="480" w:firstLineChars="200"/>
        <w:rPr>
          <w:rFonts w:ascii="宋体" w:hAnsi="宋体"/>
          <w:sz w:val="24"/>
        </w:rPr>
      </w:pPr>
      <w:r>
        <w:rPr>
          <w:rFonts w:hint="eastAsia" w:ascii="宋体" w:hAnsi="宋体"/>
          <w:sz w:val="24"/>
        </w:rPr>
        <w:t>2.8垃圾清运费，倾倒至政府规定合法地点，运距自行考虑（含消纳费）；</w:t>
      </w:r>
    </w:p>
    <w:p>
      <w:pPr>
        <w:autoSpaceDE w:val="0"/>
        <w:autoSpaceDN w:val="0"/>
        <w:snapToGrid w:val="0"/>
        <w:spacing w:line="360" w:lineRule="auto"/>
        <w:ind w:firstLine="480" w:firstLineChars="200"/>
        <w:textAlignment w:val="bottom"/>
        <w:rPr>
          <w:rFonts w:ascii="宋体" w:hAnsi="宋体"/>
          <w:sz w:val="24"/>
        </w:rPr>
      </w:pPr>
      <w:r>
        <w:rPr>
          <w:rFonts w:hint="eastAsia" w:ascii="宋体" w:hAnsi="宋体"/>
          <w:sz w:val="24"/>
        </w:rPr>
        <w:t>2.9工程量有施工图纸的按施工图纸计算，无施工图纸的由施工单位出施工图并经采购人审核后按施工图纸计算，不能出施工图纸的，由审计单位、施工单位共同按现场实际测量进行结算。</w:t>
      </w:r>
    </w:p>
    <w:p>
      <w:pPr>
        <w:snapToGrid w:val="0"/>
        <w:spacing w:line="360" w:lineRule="auto"/>
        <w:ind w:firstLine="480" w:firstLineChars="200"/>
        <w:rPr>
          <w:rFonts w:ascii="宋体" w:hAnsi="宋体"/>
          <w:sz w:val="24"/>
        </w:rPr>
      </w:pPr>
      <w:r>
        <w:rPr>
          <w:rFonts w:hint="eastAsia" w:ascii="宋体" w:hAnsi="宋体"/>
          <w:sz w:val="24"/>
        </w:rPr>
        <w:t>3、项目实施与结算：中标供应商在施工前期需先提交工程量清单与报价，采购人针对报价价格进行医院审批流程，审批通过后施工，施工完成后每3个月递交工程量总清单并进行结算，最终价格以审计单位根据“工程造价编制口径”进行结算审计，最终价格以审计单位审定为准。</w:t>
      </w:r>
    </w:p>
    <w:p>
      <w:pPr>
        <w:snapToGrid w:val="0"/>
        <w:spacing w:line="360" w:lineRule="auto"/>
        <w:rPr>
          <w:rFonts w:ascii="宋体" w:hAnsi="宋体" w:cs="宋体"/>
          <w:sz w:val="24"/>
        </w:rPr>
      </w:pPr>
      <w:r>
        <w:rPr>
          <w:rFonts w:hint="eastAsia" w:ascii="宋体" w:hAnsi="宋体" w:cs="宋体"/>
          <w:b/>
          <w:sz w:val="24"/>
        </w:rPr>
        <w:t>三、施工质量目标</w:t>
      </w:r>
    </w:p>
    <w:p>
      <w:pPr>
        <w:snapToGrid w:val="0"/>
        <w:spacing w:line="360" w:lineRule="auto"/>
        <w:ind w:firstLine="480" w:firstLineChars="200"/>
        <w:rPr>
          <w:rFonts w:ascii="宋体" w:hAnsi="宋体" w:cs="宋体"/>
          <w:sz w:val="24"/>
        </w:rPr>
      </w:pPr>
      <w:r>
        <w:rPr>
          <w:rFonts w:hint="eastAsia" w:ascii="宋体" w:hAnsi="宋体" w:cs="宋体"/>
          <w:sz w:val="24"/>
        </w:rPr>
        <w:t>（1）符合设计要求，工程质量达到国家规定的验收合格标准，确保一次性验收合</w:t>
      </w:r>
    </w:p>
    <w:p>
      <w:pPr>
        <w:snapToGrid w:val="0"/>
        <w:spacing w:line="360" w:lineRule="auto"/>
        <w:rPr>
          <w:rFonts w:ascii="宋体" w:hAnsi="宋体" w:cs="宋体"/>
          <w:sz w:val="24"/>
        </w:rPr>
      </w:pPr>
      <w:r>
        <w:rPr>
          <w:rFonts w:hint="eastAsia" w:ascii="宋体" w:hAnsi="宋体" w:cs="宋体"/>
          <w:sz w:val="24"/>
        </w:rPr>
        <w:t>格。</w:t>
      </w:r>
    </w:p>
    <w:p>
      <w:pPr>
        <w:snapToGrid w:val="0"/>
        <w:spacing w:line="360" w:lineRule="auto"/>
        <w:ind w:firstLine="480" w:firstLineChars="200"/>
        <w:rPr>
          <w:rFonts w:ascii="宋体" w:hAnsi="宋体" w:cs="宋体"/>
          <w:sz w:val="24"/>
        </w:rPr>
      </w:pPr>
      <w:r>
        <w:rPr>
          <w:rFonts w:hint="eastAsia" w:ascii="宋体" w:hAnsi="宋体" w:cs="宋体"/>
          <w:sz w:val="24"/>
        </w:rPr>
        <w:t>（2）供应商成交后必须严格按合同条款、施工图设计及审定的施工组织设计方案</w:t>
      </w:r>
    </w:p>
    <w:p>
      <w:pPr>
        <w:snapToGrid w:val="0"/>
        <w:spacing w:line="360" w:lineRule="auto"/>
        <w:rPr>
          <w:rFonts w:ascii="宋体" w:hAnsi="宋体" w:cs="宋体"/>
          <w:sz w:val="24"/>
        </w:rPr>
      </w:pPr>
      <w:r>
        <w:rPr>
          <w:rFonts w:hint="eastAsia" w:ascii="宋体" w:hAnsi="宋体" w:cs="宋体"/>
          <w:sz w:val="24"/>
        </w:rPr>
        <w:t>及相关施工规范、技术标准精心组织施工。</w:t>
      </w:r>
    </w:p>
    <w:p>
      <w:pPr>
        <w:snapToGrid w:val="0"/>
        <w:spacing w:line="360" w:lineRule="auto"/>
        <w:ind w:firstLine="480" w:firstLineChars="200"/>
        <w:rPr>
          <w:rFonts w:ascii="宋体" w:hAnsi="宋体" w:cs="宋体"/>
          <w:sz w:val="24"/>
        </w:rPr>
      </w:pPr>
      <w:r>
        <w:rPr>
          <w:rFonts w:hint="eastAsia" w:ascii="宋体" w:hAnsi="宋体" w:cs="宋体"/>
          <w:sz w:val="24"/>
        </w:rPr>
        <w:t xml:space="preserve">（3）工程质量保修期： </w:t>
      </w:r>
    </w:p>
    <w:p>
      <w:pPr>
        <w:snapToGrid w:val="0"/>
        <w:spacing w:line="360" w:lineRule="auto"/>
        <w:ind w:firstLine="480" w:firstLineChars="200"/>
        <w:rPr>
          <w:rFonts w:ascii="宋体" w:hAnsi="宋体" w:cs="宋体"/>
          <w:sz w:val="24"/>
        </w:rPr>
      </w:pPr>
      <w:r>
        <w:rPr>
          <w:rFonts w:hint="eastAsia" w:ascii="宋体" w:hAnsi="宋体" w:cs="宋体"/>
          <w:sz w:val="24"/>
        </w:rPr>
        <w:t xml:space="preserve">单项工程，保修期为 1 年；零星维修项目若出现质量问题无条件免费修复。 </w:t>
      </w:r>
    </w:p>
    <w:p>
      <w:pPr>
        <w:snapToGrid w:val="0"/>
        <w:spacing w:line="360" w:lineRule="auto"/>
        <w:ind w:firstLine="480" w:firstLineChars="200"/>
        <w:rPr>
          <w:rFonts w:ascii="宋体" w:hAnsi="宋体" w:cs="宋体"/>
          <w:sz w:val="24"/>
        </w:rPr>
      </w:pPr>
      <w:r>
        <w:rPr>
          <w:rFonts w:hint="eastAsia" w:ascii="宋体" w:hAnsi="宋体" w:cs="宋体"/>
          <w:sz w:val="24"/>
        </w:rPr>
        <w:t xml:space="preserve">采购文件未约定的工程内容的保修期按《建设工程质量管理条例》的规定。 </w:t>
      </w:r>
    </w:p>
    <w:p>
      <w:pPr>
        <w:snapToGrid w:val="0"/>
        <w:spacing w:line="360" w:lineRule="auto"/>
        <w:ind w:firstLine="480" w:firstLineChars="200"/>
        <w:rPr>
          <w:rFonts w:ascii="宋体" w:hAnsi="宋体"/>
          <w:b/>
          <w:bCs/>
          <w:sz w:val="24"/>
        </w:rPr>
      </w:pPr>
      <w:r>
        <w:rPr>
          <w:rFonts w:hint="eastAsia" w:ascii="宋体" w:hAnsi="宋体" w:cs="宋体"/>
          <w:sz w:val="24"/>
        </w:rPr>
        <w:t>建设工程的保修期，自竣工验收合格之日起计算。</w:t>
      </w:r>
    </w:p>
    <w:p>
      <w:pPr>
        <w:snapToGrid w:val="0"/>
        <w:spacing w:line="360" w:lineRule="auto"/>
        <w:rPr>
          <w:rFonts w:ascii="宋体" w:hAnsi="宋体"/>
          <w:b/>
          <w:bCs/>
          <w:sz w:val="24"/>
        </w:rPr>
      </w:pPr>
      <w:r>
        <w:rPr>
          <w:rFonts w:hint="eastAsia" w:ascii="宋体" w:hAnsi="宋体"/>
          <w:b/>
          <w:bCs/>
          <w:sz w:val="24"/>
        </w:rPr>
        <w:t>四丶施工工期（或进度）要求及其他</w:t>
      </w:r>
    </w:p>
    <w:bookmarkEnd w:id="32"/>
    <w:bookmarkEnd w:id="33"/>
    <w:bookmarkEnd w:id="34"/>
    <w:p>
      <w:pPr>
        <w:snapToGrid w:val="0"/>
        <w:spacing w:line="360" w:lineRule="auto"/>
        <w:ind w:firstLine="480" w:firstLineChars="200"/>
        <w:rPr>
          <w:rFonts w:ascii="宋体" w:hAnsi="宋体"/>
          <w:sz w:val="24"/>
        </w:rPr>
      </w:pPr>
      <w:bookmarkStart w:id="35" w:name="_Toc339532066"/>
      <w:bookmarkStart w:id="36" w:name="_Toc339532102"/>
      <w:r>
        <w:rPr>
          <w:rFonts w:hint="eastAsia" w:ascii="宋体" w:hAnsi="宋体"/>
          <w:sz w:val="24"/>
        </w:rPr>
        <w:t>4.1 服务期自签订合同之日起1年。合同期满，若采购人未完成下一服务期的采购工作，成交供应商需根据采购人的要求延续提供服务至采购人完成下一服务期的项目采购工作、确定成交供应商为止，费用标准按原合同规定执行。</w:t>
      </w:r>
    </w:p>
    <w:p>
      <w:pPr>
        <w:snapToGrid w:val="0"/>
        <w:spacing w:line="360" w:lineRule="auto"/>
        <w:ind w:firstLine="480" w:firstLineChars="200"/>
        <w:rPr>
          <w:rFonts w:ascii="宋体" w:hAnsi="宋体"/>
          <w:sz w:val="24"/>
        </w:rPr>
      </w:pPr>
      <w:r>
        <w:rPr>
          <w:rFonts w:hint="eastAsia" w:ascii="宋体" w:hAnsi="宋体"/>
          <w:sz w:val="24"/>
        </w:rPr>
        <w:t>4.2 供应商根据各自的施工经验以及工程特点，现场提供的条件，同时充分考虑各种可能产生的不利因素，并结合企业自身实力，在磋商响应文件中做出承诺，全部工作必须确保安全和质量，并满足采购人对工期和进度的要求。</w:t>
      </w:r>
    </w:p>
    <w:p>
      <w:pPr>
        <w:snapToGrid w:val="0"/>
        <w:spacing w:line="360" w:lineRule="auto"/>
        <w:ind w:firstLine="480" w:firstLineChars="200"/>
        <w:rPr>
          <w:rFonts w:ascii="宋体" w:hAnsi="宋体"/>
          <w:sz w:val="24"/>
        </w:rPr>
      </w:pPr>
      <w:r>
        <w:rPr>
          <w:rFonts w:hint="eastAsia" w:ascii="宋体" w:hAnsi="宋体"/>
          <w:sz w:val="24"/>
        </w:rPr>
        <w:t xml:space="preserve"> 4.3 采购人要求实际装修或者维修工程需要提供驻院服务或者随叫随到的，供应商必须配合，响应时间不超过24小时，保证维修工程及时完成；如提供驻院服务，每天驻院服务的施工队伍至少包括现场主管</w:t>
      </w:r>
      <w:r>
        <w:rPr>
          <w:rFonts w:hint="eastAsia" w:ascii="宋体" w:hAnsi="宋体"/>
          <w:sz w:val="24"/>
          <w:u w:val="single"/>
        </w:rPr>
        <w:t>1</w:t>
      </w:r>
      <w:r>
        <w:rPr>
          <w:rFonts w:hint="eastAsia" w:ascii="宋体" w:hAnsi="宋体"/>
          <w:sz w:val="24"/>
        </w:rPr>
        <w:t>名、木工</w:t>
      </w:r>
      <w:r>
        <w:rPr>
          <w:rFonts w:hint="eastAsia" w:ascii="宋体" w:hAnsi="宋体"/>
          <w:sz w:val="24"/>
          <w:u w:val="single"/>
        </w:rPr>
        <w:t>1</w:t>
      </w:r>
      <w:r>
        <w:rPr>
          <w:rFonts w:hint="eastAsia" w:ascii="宋体" w:hAnsi="宋体"/>
          <w:sz w:val="24"/>
        </w:rPr>
        <w:t>名、泥工</w:t>
      </w:r>
      <w:r>
        <w:rPr>
          <w:rFonts w:hint="eastAsia" w:ascii="宋体" w:hAnsi="宋体"/>
          <w:sz w:val="24"/>
          <w:u w:val="single"/>
        </w:rPr>
        <w:t>1</w:t>
      </w:r>
      <w:r>
        <w:rPr>
          <w:rFonts w:hint="eastAsia" w:ascii="宋体" w:hAnsi="宋体"/>
          <w:sz w:val="24"/>
        </w:rPr>
        <w:t>名、油漆工</w:t>
      </w:r>
      <w:r>
        <w:rPr>
          <w:rFonts w:hint="eastAsia" w:ascii="宋体" w:hAnsi="宋体"/>
          <w:sz w:val="24"/>
          <w:u w:val="single"/>
        </w:rPr>
        <w:t>1</w:t>
      </w:r>
      <w:r>
        <w:rPr>
          <w:rFonts w:hint="eastAsia" w:ascii="宋体" w:hAnsi="宋体"/>
          <w:sz w:val="24"/>
        </w:rPr>
        <w:t>名、水电工</w:t>
      </w:r>
      <w:r>
        <w:rPr>
          <w:rFonts w:hint="eastAsia" w:ascii="宋体" w:hAnsi="宋体"/>
          <w:sz w:val="24"/>
          <w:u w:val="single"/>
        </w:rPr>
        <w:t>1</w:t>
      </w:r>
      <w:r>
        <w:rPr>
          <w:rFonts w:hint="eastAsia" w:ascii="宋体" w:hAnsi="宋体"/>
          <w:sz w:val="24"/>
        </w:rPr>
        <w:t>名，其他工种按维修工作需要配置；要求派出人数、专业和工种与施工内容相符，且有相应的施工经验和上岗证。</w:t>
      </w:r>
    </w:p>
    <w:p>
      <w:pPr>
        <w:snapToGrid w:val="0"/>
        <w:spacing w:line="360" w:lineRule="auto"/>
        <w:ind w:firstLine="480" w:firstLineChars="200"/>
        <w:rPr>
          <w:rFonts w:ascii="宋体" w:hAnsi="宋体"/>
          <w:sz w:val="24"/>
        </w:rPr>
      </w:pPr>
      <w:r>
        <w:rPr>
          <w:rFonts w:hint="eastAsia" w:ascii="宋体" w:hAnsi="宋体"/>
          <w:sz w:val="24"/>
        </w:rPr>
        <w:t xml:space="preserve"> 4.4 如未及时到场维修或未在按采购人要求的时间内完成，则每发生一次由采购人在履约保证金中扣除 1000 元人民币，情节严重的，采购人可单方解除合同。</w:t>
      </w:r>
    </w:p>
    <w:p>
      <w:pPr>
        <w:snapToGrid w:val="0"/>
        <w:spacing w:line="360" w:lineRule="auto"/>
        <w:ind w:firstLine="480" w:firstLineChars="200"/>
        <w:rPr>
          <w:rFonts w:ascii="宋体" w:hAnsi="宋体"/>
          <w:sz w:val="24"/>
        </w:rPr>
      </w:pPr>
      <w:r>
        <w:rPr>
          <w:rFonts w:hint="eastAsia" w:ascii="宋体" w:hAnsi="宋体"/>
          <w:sz w:val="24"/>
        </w:rPr>
        <w:t xml:space="preserve"> 4.5 成交单位每月附影像资料、科室确认单、验收单，一同上报工程量，工程量结算每季度由采购人总务部送第三方审计一次。</w:t>
      </w:r>
    </w:p>
    <w:p>
      <w:pPr>
        <w:snapToGrid w:val="0"/>
        <w:spacing w:line="360" w:lineRule="auto"/>
        <w:ind w:firstLine="600" w:firstLineChars="250"/>
        <w:rPr>
          <w:rFonts w:ascii="宋体" w:hAnsi="宋体"/>
          <w:sz w:val="24"/>
        </w:rPr>
      </w:pPr>
      <w:r>
        <w:rPr>
          <w:rFonts w:hint="eastAsia" w:ascii="宋体" w:hAnsi="宋体"/>
          <w:sz w:val="24"/>
        </w:rPr>
        <w:t>4.6 报价中应包含文明施工费，建筑垃圾应及时清理及外运，费用根据投标报价。</w:t>
      </w:r>
      <w:bookmarkEnd w:id="35"/>
      <w:bookmarkEnd w:id="36"/>
    </w:p>
    <w:p>
      <w:pPr>
        <w:snapToGrid w:val="0"/>
        <w:spacing w:line="360" w:lineRule="auto"/>
        <w:rPr>
          <w:rFonts w:ascii="宋体" w:hAnsi="宋体" w:cs="宋体"/>
          <w:b/>
          <w:sz w:val="24"/>
        </w:rPr>
      </w:pPr>
      <w:r>
        <w:rPr>
          <w:rFonts w:hint="eastAsia" w:ascii="宋体" w:hAnsi="宋体" w:cs="宋体"/>
          <w:b/>
          <w:sz w:val="24"/>
        </w:rPr>
        <w:t>五、设备、材料供应</w:t>
      </w:r>
    </w:p>
    <w:p>
      <w:pPr>
        <w:snapToGrid w:val="0"/>
        <w:spacing w:line="360" w:lineRule="auto"/>
        <w:ind w:firstLine="480" w:firstLineChars="200"/>
        <w:rPr>
          <w:rFonts w:ascii="宋体" w:hAnsi="宋体" w:cs="宋体"/>
          <w:sz w:val="24"/>
        </w:rPr>
      </w:pPr>
      <w:r>
        <w:rPr>
          <w:rFonts w:hint="eastAsia" w:ascii="宋体" w:hAnsi="宋体" w:cs="宋体"/>
          <w:sz w:val="24"/>
        </w:rPr>
        <w:t>5.1 本工作所需全部材料由成交供应商按采购人推荐的品牌表中的品牌采购（除非采购文件及合同中另有约定）。所有材料均应有合格证或质保书，并经采购人确认，但该确认并不能免除或减少成交供应商应负的任何质量责任。成交供应商若使用劣质建材施工，一经发现，采购人有权制止使用，甚至责令停工、返工或终止合同。无论采购人是否发现和制止，由于使用劣质建材施工所引起的责任均由成交供应商负责。</w:t>
      </w:r>
    </w:p>
    <w:p>
      <w:pPr>
        <w:snapToGrid w:val="0"/>
        <w:spacing w:line="360" w:lineRule="auto"/>
        <w:ind w:firstLine="480" w:firstLineChars="200"/>
        <w:rPr>
          <w:rFonts w:ascii="宋体" w:hAnsi="宋体" w:cs="宋体"/>
          <w:sz w:val="24"/>
        </w:rPr>
      </w:pPr>
      <w:r>
        <w:rPr>
          <w:rFonts w:hint="eastAsia" w:ascii="宋体" w:hAnsi="宋体" w:cs="宋体"/>
          <w:sz w:val="24"/>
        </w:rPr>
        <w:t>5.2 采购人如有甲供设备需供应商配合安装的，供应商不得以任何理由进行推诿，由采购人采购的成品（若有）只计取安装费、运输费，设备验收、保管等相关费用由供应商在报价中综合考虑。设备本身的价格不进入报价。</w:t>
      </w:r>
    </w:p>
    <w:p>
      <w:pPr>
        <w:keepNext/>
        <w:keepLines/>
        <w:snapToGrid w:val="0"/>
        <w:spacing w:line="360" w:lineRule="auto"/>
        <w:rPr>
          <w:rFonts w:ascii="宋体" w:hAnsi="宋体" w:cs="宋体"/>
          <w:b/>
          <w:bCs/>
          <w:sz w:val="24"/>
        </w:rPr>
      </w:pPr>
      <w:bookmarkStart w:id="37" w:name="_Toc479705459"/>
      <w:bookmarkStart w:id="38" w:name="_Toc471994779"/>
      <w:bookmarkStart w:id="39" w:name="_Toc479705406"/>
      <w:bookmarkStart w:id="40" w:name="_Toc450810609"/>
      <w:r>
        <w:rPr>
          <w:rFonts w:hint="eastAsia" w:ascii="宋体" w:hAnsi="宋体" w:cs="宋体"/>
          <w:b/>
          <w:bCs/>
          <w:sz w:val="24"/>
        </w:rPr>
        <w:t>六、</w:t>
      </w:r>
      <w:bookmarkEnd w:id="37"/>
      <w:bookmarkEnd w:id="38"/>
      <w:bookmarkEnd w:id="39"/>
      <w:bookmarkEnd w:id="40"/>
      <w:r>
        <w:rPr>
          <w:rFonts w:hint="eastAsia" w:ascii="宋体" w:hAnsi="宋体" w:cs="宋体"/>
          <w:b/>
          <w:bCs/>
          <w:sz w:val="24"/>
        </w:rPr>
        <w:t>工程管理原则</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6.1本工程承包范围内的工程项目，成交供应商未经采购人同意，一律不得分包、转包，成交供应商擅自分包、转包，一经发现立即取消成交供应商的承包资格，成交供应商应承担由此引起的一切经济责任和法律责任，扣罚</w:t>
      </w:r>
      <w:r>
        <w:rPr>
          <w:rFonts w:hint="eastAsia" w:ascii="宋体" w:hAnsi="宋体" w:cs="宋体"/>
          <w:sz w:val="24"/>
          <w:lang w:val="en-US" w:eastAsia="zh-CN"/>
        </w:rPr>
        <w:t>全额</w:t>
      </w:r>
      <w:r>
        <w:rPr>
          <w:rFonts w:hint="eastAsia" w:ascii="宋体" w:hAnsi="宋体" w:cs="宋体"/>
          <w:sz w:val="24"/>
        </w:rPr>
        <w:t>履约保证金，并应另向采购人支付合同总金额 30%的违约金 ；成交供应商在平时的零星维修中必须做到：随叫随到，及时处理，文明服务，同时不影响医院正常医疗、教学秩序。</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6.2在工程实施过程中，如发现成交供应商为挂靠单位，采购人可立即终止合同。成交供应商应承担由此引起的一切经济责任和法律责任，扣罚</w:t>
      </w:r>
      <w:r>
        <w:rPr>
          <w:rFonts w:hint="eastAsia" w:ascii="宋体" w:hAnsi="宋体" w:cs="宋体"/>
          <w:sz w:val="24"/>
          <w:lang w:val="en-US" w:eastAsia="zh-CN"/>
        </w:rPr>
        <w:t>全额</w:t>
      </w:r>
      <w:r>
        <w:rPr>
          <w:rFonts w:hint="eastAsia" w:ascii="宋体" w:hAnsi="宋体" w:cs="宋体"/>
          <w:sz w:val="24"/>
        </w:rPr>
        <w:t>履约保证金，并应另向采购人支付合同总金额 30%的违约金，并上报建设工程主管部门。</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6.3成交供应商严格按照已确认的施工技术方案组织实施，并无条件接受采购人的项目管理部门的管理。</w:t>
      </w:r>
    </w:p>
    <w:p>
      <w:pPr>
        <w:tabs>
          <w:tab w:val="left" w:pos="0"/>
        </w:tabs>
        <w:snapToGrid w:val="0"/>
        <w:spacing w:line="360" w:lineRule="auto"/>
        <w:ind w:firstLine="482" w:firstLineChars="201"/>
        <w:rPr>
          <w:rFonts w:ascii="宋体" w:hAnsi="宋体" w:cs="宋体"/>
          <w:sz w:val="24"/>
          <w:highlight w:val="none"/>
        </w:rPr>
      </w:pPr>
      <w:r>
        <w:rPr>
          <w:rFonts w:hint="eastAsia" w:ascii="宋体" w:hAnsi="宋体" w:cs="宋体"/>
          <w:sz w:val="24"/>
          <w:highlight w:val="none"/>
        </w:rPr>
        <w:t>6.4成交供应商在磋商响应文件中确定的工程项目经理及</w:t>
      </w:r>
      <w:r>
        <w:rPr>
          <w:rFonts w:hint="eastAsia" w:ascii="宋体" w:hAnsi="宋体" w:cs="宋体"/>
          <w:sz w:val="24"/>
          <w:highlight w:val="none"/>
          <w:lang w:eastAsia="zh-CN"/>
        </w:rPr>
        <w:t>项目管理团队</w:t>
      </w:r>
      <w:r>
        <w:rPr>
          <w:rFonts w:hint="eastAsia" w:ascii="宋体" w:hAnsi="宋体" w:cs="宋体"/>
          <w:sz w:val="24"/>
          <w:highlight w:val="none"/>
        </w:rPr>
        <w:t>人员</w:t>
      </w:r>
      <w:r>
        <w:rPr>
          <w:rFonts w:hint="eastAsia" w:ascii="宋体" w:hAnsi="宋体" w:cs="宋体"/>
          <w:sz w:val="24"/>
          <w:highlight w:val="none"/>
          <w:lang w:eastAsia="zh-CN"/>
        </w:rPr>
        <w:t>（</w:t>
      </w:r>
      <w:r>
        <w:rPr>
          <w:rFonts w:hint="eastAsia" w:ascii="宋体" w:hAnsi="宋体" w:cs="宋体"/>
          <w:sz w:val="24"/>
          <w:highlight w:val="none"/>
        </w:rPr>
        <w:t>需至少提供</w:t>
      </w:r>
      <w:r>
        <w:rPr>
          <w:rFonts w:hint="eastAsia" w:ascii="宋体" w:hAnsi="宋体" w:cs="宋体"/>
          <w:sz w:val="24"/>
          <w:highlight w:val="none"/>
          <w:lang w:val="en-US" w:eastAsia="zh-CN"/>
        </w:rPr>
        <w:t>一</w:t>
      </w:r>
      <w:r>
        <w:rPr>
          <w:rFonts w:hint="eastAsia" w:ascii="宋体" w:hAnsi="宋体" w:cs="宋体"/>
          <w:sz w:val="24"/>
          <w:highlight w:val="none"/>
        </w:rPr>
        <w:t>名施工员，一名安全员，一名技术负责人</w:t>
      </w:r>
      <w:r>
        <w:rPr>
          <w:rFonts w:hint="eastAsia" w:ascii="宋体" w:hAnsi="宋体" w:cs="宋体"/>
          <w:sz w:val="24"/>
          <w:highlight w:val="none"/>
          <w:lang w:eastAsia="zh-CN"/>
        </w:rPr>
        <w:t>），项目</w:t>
      </w:r>
      <w:r>
        <w:rPr>
          <w:rFonts w:hint="eastAsia" w:ascii="宋体" w:hAnsi="宋体" w:cs="宋体"/>
          <w:sz w:val="24"/>
          <w:highlight w:val="none"/>
          <w:lang w:val="en-US" w:eastAsia="zh-CN"/>
        </w:rPr>
        <w:t>经理</w:t>
      </w:r>
      <w:r>
        <w:rPr>
          <w:rFonts w:hint="eastAsia" w:ascii="宋体" w:hAnsi="宋体" w:cs="宋体"/>
          <w:sz w:val="24"/>
          <w:highlight w:val="none"/>
          <w:lang w:eastAsia="zh-CN"/>
        </w:rPr>
        <w:t>需</w:t>
      </w:r>
      <w:r>
        <w:rPr>
          <w:rFonts w:hint="eastAsia" w:ascii="宋体" w:hAnsi="宋体" w:cs="宋体"/>
          <w:sz w:val="24"/>
          <w:highlight w:val="none"/>
          <w:lang w:val="en-US" w:eastAsia="zh-CN"/>
        </w:rPr>
        <w:t>具有</w:t>
      </w:r>
      <w:r>
        <w:rPr>
          <w:rFonts w:hint="eastAsia" w:ascii="宋体" w:hAnsi="宋体" w:cs="宋体"/>
          <w:sz w:val="24"/>
          <w:highlight w:val="none"/>
          <w:lang w:eastAsia="zh-CN"/>
        </w:rPr>
        <w:t>建筑工程专业</w:t>
      </w:r>
      <w:r>
        <w:rPr>
          <w:rFonts w:hint="eastAsia" w:ascii="宋体" w:hAnsi="宋体" w:cs="宋体"/>
          <w:sz w:val="24"/>
          <w:highlight w:val="none"/>
          <w:lang w:val="en-US" w:eastAsia="zh-CN"/>
        </w:rPr>
        <w:t>二</w:t>
      </w:r>
      <w:r>
        <w:rPr>
          <w:rFonts w:hint="eastAsia" w:ascii="宋体" w:hAnsi="宋体" w:cs="宋体"/>
          <w:sz w:val="24"/>
          <w:highlight w:val="none"/>
          <w:lang w:eastAsia="zh-CN"/>
        </w:rPr>
        <w:t>级注册建造师，技术负责人具有二级及以上注册建造师。</w:t>
      </w:r>
      <w:r>
        <w:rPr>
          <w:rFonts w:hint="eastAsia" w:ascii="宋体" w:hAnsi="宋体" w:cs="宋体"/>
          <w:sz w:val="24"/>
          <w:highlight w:val="none"/>
        </w:rPr>
        <w:t>未经采购人同意，不得调换和撤离本工程确定的成交供应商的</w:t>
      </w:r>
      <w:r>
        <w:rPr>
          <w:rFonts w:hint="eastAsia" w:ascii="宋体" w:hAnsi="宋体" w:cs="宋体"/>
          <w:sz w:val="24"/>
          <w:highlight w:val="none"/>
          <w:lang w:eastAsia="zh-CN"/>
        </w:rPr>
        <w:t>项目管理团队</w:t>
      </w:r>
      <w:r>
        <w:rPr>
          <w:rFonts w:hint="eastAsia" w:ascii="宋体" w:hAnsi="宋体" w:cs="宋体"/>
          <w:sz w:val="24"/>
          <w:highlight w:val="none"/>
        </w:rPr>
        <w:t>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成交供应商不得姑息迁就，拖延撤换和有碍工程进展，否则，采购人有权单方面终止合同，并对由此造成的采购人损失，予以追究赔偿。</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6.5 安全施工、文明管理：</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（1）成交供应商应服从当地政府有关部门在社会治安、综合治理、计划生育、交通管理、环境保护等的管理规定，成交供应商应设专职人员负责本条款的执行，采购人有权对此进行监督检查。</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（2）磋商响应文件中应有详细的施工安全措施和安全管理组织及配备专职负责人的说明和承诺，以确保安全生产。</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（3）成交供应商在工程施工期间，必须配备专职用电管理员，全面负责施工用电的管理。</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（4）成交供应商在施工全过程中，要认真做好材料和成品的保护，因失窃失火或其他原因而造成的损失均由成交供应商负责。凡由此而损及采购人利益时，成交供应商应负责赔偿采购人的损失。</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（5）在工程施工过程中，因成交供应商原因造成的一切安全事故，由成交供应商承担全部经济责任和法律责任。</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（6）成交供应商因自身施工而对相邻工程施工造成影响或对医院及第三方设施、设备、人员造成财产或人员伤害的，由成交供应商采取措施解决，费用由成交供应商负担。</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（7）任何施工区域必须必须符合医院院感要求，有降尘降噪措施，并做好施工安全、消防安全、用电安全等相关措施和手续。</w:t>
      </w:r>
    </w:p>
    <w:p>
      <w:pPr>
        <w:tabs>
          <w:tab w:val="left" w:pos="0"/>
        </w:tabs>
        <w:snapToGrid w:val="0"/>
        <w:spacing w:line="360" w:lineRule="auto"/>
        <w:ind w:firstLine="482" w:firstLineChars="201"/>
        <w:rPr>
          <w:rFonts w:hint="eastAsia" w:ascii="宋体" w:hAnsi="宋体" w:cs="宋体"/>
          <w:sz w:val="24"/>
        </w:rPr>
      </w:pPr>
      <w:r>
        <w:rPr>
          <w:rFonts w:hint="eastAsia" w:ascii="宋体" w:hAnsi="宋体" w:cs="宋体"/>
          <w:sz w:val="24"/>
          <w:lang w:val="en-US" w:eastAsia="zh-CN"/>
        </w:rPr>
        <w:t>6.6</w:t>
      </w:r>
      <w:r>
        <w:rPr>
          <w:rFonts w:hint="eastAsia" w:ascii="宋体" w:hAnsi="宋体" w:cs="宋体"/>
          <w:sz w:val="24"/>
        </w:rPr>
        <w:t>乙方在进行户外作业施工前，必须对开挖区域进行实地勘察，楼宇内施工时必须挂牌上岗（项目经理、施工人员等全部施工人员），施工前必须先告知甲方施工科室负责人或工作人员，甲方特殊区域施工需根据特殊区域施工要求进行（例如实验区域等有洁净要求、必须在周末施工等），施工完成后及时清理现场，现场施工产生的建筑垃圾必须于3天内清理完毕，每延迟1天，扣款1000元，费用在履约保证金内扣除；延迟清理超过 10 天或累计延迟超过 3 次（含）的，甲方有权视情形解除合同，乙方需承担合同总金额20%的违约金，如该违约金不足以弥补甲方损失的，乙方应继续补足</w:t>
      </w:r>
    </w:p>
    <w:p>
      <w:pPr>
        <w:tabs>
          <w:tab w:val="left" w:pos="0"/>
        </w:tabs>
        <w:snapToGrid w:val="0"/>
        <w:spacing w:line="360" w:lineRule="auto"/>
        <w:ind w:firstLine="482" w:firstLineChars="201"/>
        <w:rPr>
          <w:rFonts w:hint="default" w:ascii="宋体" w:hAnsi="宋体" w:eastAsia="宋体" w:cs="宋体"/>
          <w:sz w:val="24"/>
          <w:lang w:val="en-US" w:eastAsia="zh-CN"/>
        </w:rPr>
      </w:pPr>
      <w:r>
        <w:rPr>
          <w:rFonts w:hint="eastAsia" w:ascii="宋体" w:hAnsi="宋体" w:cs="宋体"/>
          <w:sz w:val="24"/>
          <w:lang w:val="en-US" w:eastAsia="zh-CN"/>
        </w:rPr>
        <w:t xml:space="preserve">6.7 </w:t>
      </w:r>
      <w:r>
        <w:rPr>
          <w:rFonts w:hint="eastAsia" w:ascii="宋体" w:hAnsi="宋体" w:cs="宋体"/>
          <w:sz w:val="24"/>
        </w:rPr>
        <w:t>乙方需在甲方提出施工需求后24小时内至现场实地查看，72小时内进场施工，因施工方原因影响进场时间或影响完工时间，每次扣罚1000元，费用在履约保证金内扣除；超过 3 次（含）的，甲方有权视情形解除合同，乙方需承担合同总金额20%的违约金，如该违约金不足以弥补甲方损失的，乙方应继续补足</w:t>
      </w:r>
    </w:p>
    <w:p>
      <w:pPr>
        <w:tabs>
          <w:tab w:val="left" w:pos="0"/>
        </w:tabs>
        <w:snapToGrid w:val="0"/>
        <w:spacing w:line="360" w:lineRule="auto"/>
        <w:ind w:firstLine="482" w:firstLineChars="201"/>
        <w:rPr>
          <w:rFonts w:ascii="宋体" w:hAnsi="宋体" w:cs="宋体"/>
          <w:sz w:val="24"/>
        </w:rPr>
      </w:pPr>
      <w:r>
        <w:rPr>
          <w:rFonts w:hint="eastAsia" w:ascii="宋体" w:hAnsi="宋体" w:cs="宋体"/>
          <w:sz w:val="24"/>
        </w:rPr>
        <w:t>6.</w:t>
      </w:r>
      <w:r>
        <w:rPr>
          <w:rFonts w:hint="eastAsia" w:ascii="宋体" w:hAnsi="宋体" w:cs="宋体"/>
          <w:sz w:val="24"/>
          <w:lang w:val="en-US" w:eastAsia="zh-CN"/>
        </w:rPr>
        <w:t>8</w:t>
      </w:r>
      <w:r>
        <w:rPr>
          <w:rFonts w:hint="eastAsia" w:ascii="宋体" w:hAnsi="宋体" w:cs="宋体"/>
          <w:sz w:val="24"/>
        </w:rPr>
        <w:t xml:space="preserve"> 成交供应商应负责涉及本工程施工的其他配合工作。</w:t>
      </w:r>
    </w:p>
    <w:p>
      <w:pPr>
        <w:spacing w:line="360" w:lineRule="auto"/>
        <w:ind w:firstLine="435"/>
        <w:jc w:val="left"/>
        <w:rPr>
          <w:b/>
          <w:sz w:val="24"/>
          <w:shd w:val="clear" w:color="auto" w:fill="FFFF00"/>
        </w:rPr>
      </w:pPr>
      <w:r>
        <w:rPr>
          <w:rFonts w:hint="eastAsia" w:ascii="宋体" w:hAnsi="宋体" w:cs="宋体"/>
          <w:b/>
          <w:bCs/>
          <w:sz w:val="24"/>
        </w:rPr>
        <w:t>七、工程量最终以审计单位审计为准</w:t>
      </w:r>
    </w:p>
    <w:p>
      <w:pPr>
        <w:snapToGrid w:val="0"/>
        <w:spacing w:line="360" w:lineRule="auto"/>
        <w:jc w:val="center"/>
        <w:outlineLvl w:val="0"/>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41" w:name="_Toc184308053"/>
      <w:bookmarkEnd w:id="41"/>
      <w:bookmarkStart w:id="42" w:name="_Toc184310286"/>
      <w:bookmarkEnd w:id="42"/>
      <w:bookmarkStart w:id="43" w:name="_Toc184310341"/>
      <w:bookmarkEnd w:id="43"/>
      <w:bookmarkStart w:id="44" w:name="_Toc184310303"/>
      <w:bookmarkEnd w:id="44"/>
      <w:bookmarkStart w:id="45" w:name="_Toc184310283"/>
      <w:bookmarkEnd w:id="45"/>
      <w:bookmarkStart w:id="46" w:name="_Toc184308106"/>
      <w:bookmarkEnd w:id="46"/>
      <w:bookmarkStart w:id="47" w:name="_Toc184313281"/>
      <w:bookmarkEnd w:id="47"/>
      <w:bookmarkStart w:id="48" w:name="_Toc184310292"/>
      <w:bookmarkEnd w:id="48"/>
      <w:bookmarkStart w:id="49" w:name="_Toc184308087"/>
      <w:bookmarkEnd w:id="49"/>
      <w:bookmarkStart w:id="50" w:name="_Toc184312083"/>
      <w:bookmarkEnd w:id="50"/>
      <w:bookmarkStart w:id="51" w:name="_Toc184312131"/>
      <w:bookmarkEnd w:id="51"/>
      <w:bookmarkStart w:id="52" w:name="_Toc184310284"/>
      <w:bookmarkEnd w:id="52"/>
      <w:bookmarkStart w:id="53" w:name="_Toc184310338"/>
      <w:bookmarkEnd w:id="53"/>
      <w:bookmarkStart w:id="54" w:name="_Toc184312077"/>
      <w:bookmarkEnd w:id="54"/>
      <w:bookmarkStart w:id="55" w:name="_Toc184312109"/>
      <w:bookmarkEnd w:id="55"/>
      <w:bookmarkStart w:id="56" w:name="_Toc184313251"/>
      <w:bookmarkEnd w:id="56"/>
      <w:bookmarkStart w:id="57" w:name="_Toc184310344"/>
      <w:bookmarkEnd w:id="57"/>
      <w:bookmarkStart w:id="58" w:name="_Toc184310280"/>
      <w:bookmarkEnd w:id="58"/>
      <w:bookmarkStart w:id="59" w:name="_Toc184313253"/>
      <w:bookmarkEnd w:id="59"/>
      <w:bookmarkStart w:id="60" w:name="_Toc184313264"/>
      <w:bookmarkEnd w:id="60"/>
      <w:bookmarkStart w:id="61" w:name="_Toc184313275"/>
      <w:bookmarkEnd w:id="61"/>
      <w:bookmarkStart w:id="62" w:name="_Toc184313245"/>
      <w:bookmarkEnd w:id="62"/>
      <w:bookmarkStart w:id="63" w:name="_Toc184312108"/>
      <w:bookmarkEnd w:id="63"/>
      <w:bookmarkStart w:id="64" w:name="_Toc184308064"/>
      <w:bookmarkEnd w:id="64"/>
      <w:bookmarkStart w:id="65" w:name="_Toc184308048"/>
      <w:bookmarkEnd w:id="65"/>
      <w:bookmarkStart w:id="66" w:name="_Toc184313277"/>
      <w:bookmarkEnd w:id="66"/>
      <w:bookmarkStart w:id="67" w:name="_Toc184308037"/>
      <w:bookmarkEnd w:id="67"/>
      <w:bookmarkStart w:id="68" w:name="_Toc184312101"/>
      <w:bookmarkEnd w:id="68"/>
      <w:bookmarkStart w:id="69" w:name="_Toc184312070"/>
      <w:bookmarkEnd w:id="69"/>
      <w:bookmarkStart w:id="70" w:name="_Toc184313293"/>
      <w:bookmarkEnd w:id="70"/>
      <w:bookmarkStart w:id="71" w:name="_Toc184308099"/>
      <w:bookmarkEnd w:id="71"/>
      <w:bookmarkStart w:id="72" w:name="_Toc184313287"/>
      <w:bookmarkEnd w:id="72"/>
      <w:bookmarkStart w:id="73" w:name="_Toc184312112"/>
      <w:bookmarkEnd w:id="73"/>
      <w:bookmarkStart w:id="74" w:name="_Toc184313262"/>
      <w:bookmarkEnd w:id="74"/>
      <w:bookmarkStart w:id="75" w:name="_Toc184308093"/>
      <w:bookmarkEnd w:id="75"/>
      <w:bookmarkStart w:id="76" w:name="_Toc184308038"/>
      <w:bookmarkEnd w:id="76"/>
      <w:bookmarkStart w:id="77" w:name="_Toc184313250"/>
      <w:bookmarkEnd w:id="77"/>
      <w:bookmarkStart w:id="78" w:name="_Toc184314441"/>
      <w:bookmarkEnd w:id="78"/>
      <w:bookmarkStart w:id="79" w:name="_Toc184308068"/>
      <w:bookmarkEnd w:id="79"/>
      <w:bookmarkStart w:id="80" w:name="_Toc184308049"/>
      <w:bookmarkEnd w:id="80"/>
      <w:bookmarkStart w:id="81" w:name="_Toc184314459"/>
      <w:bookmarkEnd w:id="81"/>
      <w:bookmarkStart w:id="82" w:name="_Toc184312074"/>
      <w:bookmarkEnd w:id="82"/>
      <w:bookmarkStart w:id="83" w:name="_Toc184310314"/>
      <w:bookmarkEnd w:id="83"/>
      <w:bookmarkStart w:id="84" w:name="_Toc184314417"/>
      <w:bookmarkEnd w:id="84"/>
      <w:bookmarkStart w:id="85" w:name="_Toc184312079"/>
      <w:bookmarkEnd w:id="85"/>
      <w:bookmarkStart w:id="86" w:name="_Toc184310302"/>
      <w:bookmarkEnd w:id="86"/>
      <w:bookmarkStart w:id="87" w:name="_Toc184312129"/>
      <w:bookmarkEnd w:id="87"/>
      <w:bookmarkStart w:id="88" w:name="_Toc184314419"/>
      <w:bookmarkEnd w:id="88"/>
      <w:bookmarkStart w:id="89" w:name="_Toc184312133"/>
      <w:bookmarkEnd w:id="89"/>
      <w:bookmarkStart w:id="90" w:name="_Toc184314432"/>
      <w:bookmarkEnd w:id="90"/>
      <w:bookmarkStart w:id="91" w:name="_Toc184314433"/>
      <w:bookmarkEnd w:id="91"/>
      <w:bookmarkStart w:id="92" w:name="_Toc184314476"/>
      <w:bookmarkEnd w:id="92"/>
      <w:bookmarkStart w:id="93" w:name="_Toc184313255"/>
      <w:bookmarkEnd w:id="93"/>
      <w:bookmarkStart w:id="94" w:name="_Toc184308043"/>
      <w:bookmarkEnd w:id="94"/>
      <w:bookmarkStart w:id="95" w:name="_Toc184313286"/>
      <w:bookmarkEnd w:id="95"/>
      <w:bookmarkStart w:id="96" w:name="_Toc184313247"/>
      <w:bookmarkEnd w:id="96"/>
      <w:bookmarkStart w:id="97" w:name="_Toc184313292"/>
      <w:bookmarkEnd w:id="97"/>
      <w:bookmarkStart w:id="98" w:name="_Toc184313258"/>
      <w:bookmarkEnd w:id="98"/>
      <w:bookmarkStart w:id="99" w:name="_Toc184310325"/>
      <w:bookmarkEnd w:id="99"/>
      <w:bookmarkStart w:id="100" w:name="_Toc184312090"/>
      <w:bookmarkEnd w:id="100"/>
      <w:bookmarkStart w:id="101" w:name="_Toc184310272"/>
      <w:bookmarkEnd w:id="101"/>
      <w:bookmarkStart w:id="102" w:name="_Toc184314426"/>
      <w:bookmarkEnd w:id="102"/>
      <w:bookmarkStart w:id="103" w:name="_Toc184313298"/>
      <w:bookmarkEnd w:id="103"/>
      <w:bookmarkStart w:id="104" w:name="_Toc184314472"/>
      <w:bookmarkEnd w:id="104"/>
      <w:bookmarkStart w:id="105" w:name="_Toc184312072"/>
      <w:bookmarkEnd w:id="105"/>
      <w:bookmarkStart w:id="106" w:name="_Toc184314471"/>
      <w:bookmarkEnd w:id="106"/>
      <w:bookmarkStart w:id="107" w:name="_Toc184310296"/>
      <w:bookmarkEnd w:id="107"/>
      <w:bookmarkStart w:id="108" w:name="_Toc184312078"/>
      <w:bookmarkEnd w:id="108"/>
      <w:bookmarkStart w:id="109" w:name="_Toc184314439"/>
      <w:bookmarkEnd w:id="109"/>
      <w:bookmarkStart w:id="110" w:name="_Toc184312099"/>
      <w:bookmarkEnd w:id="110"/>
      <w:bookmarkStart w:id="111" w:name="_Toc184308058"/>
      <w:bookmarkEnd w:id="111"/>
      <w:bookmarkStart w:id="112" w:name="_Toc184313284"/>
      <w:bookmarkEnd w:id="112"/>
      <w:bookmarkStart w:id="113" w:name="_Toc184312128"/>
      <w:bookmarkEnd w:id="113"/>
      <w:bookmarkStart w:id="114" w:name="_Toc184308071"/>
      <w:bookmarkEnd w:id="114"/>
      <w:bookmarkStart w:id="115" w:name="_Toc184308056"/>
      <w:bookmarkEnd w:id="115"/>
      <w:bookmarkStart w:id="116" w:name="_Toc184313283"/>
      <w:bookmarkEnd w:id="116"/>
      <w:bookmarkStart w:id="117" w:name="_Toc184313261"/>
      <w:bookmarkEnd w:id="117"/>
      <w:bookmarkStart w:id="118" w:name="_Toc184308088"/>
      <w:bookmarkEnd w:id="118"/>
      <w:bookmarkStart w:id="119" w:name="_Toc184310331"/>
      <w:bookmarkEnd w:id="119"/>
      <w:bookmarkStart w:id="120" w:name="_Toc184314422"/>
      <w:bookmarkEnd w:id="120"/>
      <w:bookmarkStart w:id="121" w:name="_Toc184310340"/>
      <w:bookmarkEnd w:id="121"/>
      <w:bookmarkStart w:id="122" w:name="_Toc184312122"/>
      <w:bookmarkEnd w:id="122"/>
      <w:bookmarkStart w:id="123" w:name="_Toc184313254"/>
      <w:bookmarkEnd w:id="123"/>
      <w:bookmarkStart w:id="124" w:name="_Toc184313243"/>
      <w:bookmarkEnd w:id="124"/>
      <w:bookmarkStart w:id="125" w:name="_Toc184314454"/>
      <w:bookmarkEnd w:id="125"/>
      <w:bookmarkStart w:id="126" w:name="_Toc184314420"/>
      <w:bookmarkEnd w:id="126"/>
      <w:bookmarkStart w:id="127" w:name="_Toc184310336"/>
      <w:bookmarkEnd w:id="127"/>
      <w:bookmarkStart w:id="128" w:name="_Toc184310310"/>
      <w:bookmarkEnd w:id="128"/>
      <w:bookmarkStart w:id="129" w:name="_Toc184312069"/>
      <w:bookmarkEnd w:id="129"/>
      <w:bookmarkStart w:id="130" w:name="_Toc184314481"/>
      <w:bookmarkEnd w:id="130"/>
      <w:bookmarkStart w:id="131" w:name="_Toc184310282"/>
      <w:bookmarkEnd w:id="131"/>
      <w:bookmarkStart w:id="132" w:name="_Toc184312132"/>
      <w:bookmarkEnd w:id="132"/>
      <w:bookmarkStart w:id="133" w:name="_Toc184308039"/>
      <w:bookmarkEnd w:id="133"/>
      <w:bookmarkStart w:id="134" w:name="_Toc184310326"/>
      <w:bookmarkEnd w:id="134"/>
      <w:bookmarkStart w:id="135" w:name="_Toc184313290"/>
      <w:bookmarkEnd w:id="135"/>
      <w:bookmarkStart w:id="136" w:name="_Toc184308101"/>
      <w:bookmarkEnd w:id="136"/>
      <w:bookmarkStart w:id="137" w:name="_Toc184308042"/>
      <w:bookmarkEnd w:id="137"/>
      <w:bookmarkStart w:id="138" w:name="_Toc184314480"/>
      <w:bookmarkEnd w:id="138"/>
      <w:bookmarkStart w:id="139" w:name="_Toc184308065"/>
      <w:bookmarkEnd w:id="139"/>
      <w:bookmarkStart w:id="140" w:name="_Toc184314444"/>
      <w:bookmarkEnd w:id="140"/>
      <w:bookmarkStart w:id="141" w:name="_Toc184312095"/>
      <w:bookmarkEnd w:id="141"/>
      <w:bookmarkStart w:id="142" w:name="_Toc184314461"/>
      <w:bookmarkEnd w:id="142"/>
      <w:bookmarkStart w:id="143" w:name="_Toc184310324"/>
      <w:bookmarkEnd w:id="143"/>
      <w:bookmarkStart w:id="144" w:name="_Toc184313266"/>
      <w:bookmarkEnd w:id="144"/>
      <w:bookmarkStart w:id="145" w:name="_Toc184312085"/>
      <w:bookmarkEnd w:id="145"/>
      <w:bookmarkStart w:id="146" w:name="_Toc184313310"/>
      <w:bookmarkEnd w:id="146"/>
      <w:bookmarkStart w:id="147" w:name="_Toc184312119"/>
      <w:bookmarkEnd w:id="147"/>
      <w:bookmarkStart w:id="148" w:name="_Toc184310295"/>
      <w:bookmarkEnd w:id="148"/>
      <w:bookmarkStart w:id="149" w:name="_Toc184312139"/>
      <w:bookmarkEnd w:id="149"/>
      <w:bookmarkStart w:id="150" w:name="_Toc184310277"/>
      <w:bookmarkEnd w:id="150"/>
      <w:bookmarkStart w:id="151" w:name="_Toc184308100"/>
      <w:bookmarkEnd w:id="151"/>
      <w:bookmarkStart w:id="152" w:name="_Toc184313242"/>
      <w:bookmarkEnd w:id="152"/>
      <w:bookmarkStart w:id="153" w:name="_Toc184314465"/>
      <w:bookmarkEnd w:id="153"/>
      <w:bookmarkStart w:id="154" w:name="_Toc184314468"/>
      <w:bookmarkEnd w:id="154"/>
      <w:bookmarkStart w:id="155" w:name="_Toc184308092"/>
      <w:bookmarkEnd w:id="155"/>
      <w:bookmarkStart w:id="156" w:name="_Toc184312102"/>
      <w:bookmarkEnd w:id="156"/>
      <w:bookmarkStart w:id="157" w:name="_Toc184308086"/>
      <w:bookmarkEnd w:id="157"/>
      <w:bookmarkStart w:id="158" w:name="_Toc184310301"/>
      <w:bookmarkEnd w:id="158"/>
      <w:bookmarkStart w:id="159" w:name="_Toc184312100"/>
      <w:bookmarkEnd w:id="159"/>
      <w:bookmarkStart w:id="160" w:name="_Toc184310294"/>
      <w:bookmarkEnd w:id="160"/>
      <w:bookmarkStart w:id="161" w:name="_Toc184310307"/>
      <w:bookmarkEnd w:id="161"/>
      <w:bookmarkStart w:id="162" w:name="_Toc184308091"/>
      <w:bookmarkEnd w:id="162"/>
      <w:bookmarkStart w:id="163" w:name="_Toc184313280"/>
      <w:bookmarkEnd w:id="163"/>
      <w:bookmarkStart w:id="164" w:name="_Toc184308046"/>
      <w:bookmarkEnd w:id="164"/>
      <w:bookmarkStart w:id="165" w:name="_Toc184313249"/>
      <w:bookmarkEnd w:id="165"/>
      <w:bookmarkStart w:id="166" w:name="_Toc184308066"/>
      <w:bookmarkEnd w:id="166"/>
      <w:bookmarkStart w:id="167" w:name="_Toc184314428"/>
      <w:bookmarkEnd w:id="167"/>
      <w:bookmarkStart w:id="168" w:name="_Toc184312118"/>
      <w:bookmarkEnd w:id="168"/>
      <w:bookmarkStart w:id="169" w:name="_Toc184313239"/>
      <w:bookmarkEnd w:id="169"/>
      <w:bookmarkStart w:id="170" w:name="_Toc184310305"/>
      <w:bookmarkEnd w:id="170"/>
      <w:bookmarkStart w:id="171" w:name="_Toc184308057"/>
      <w:bookmarkEnd w:id="171"/>
      <w:bookmarkStart w:id="172" w:name="_Toc184312089"/>
      <w:bookmarkEnd w:id="172"/>
      <w:bookmarkStart w:id="173" w:name="_Toc184314460"/>
      <w:bookmarkEnd w:id="173"/>
      <w:bookmarkStart w:id="174" w:name="_Toc184313289"/>
      <w:bookmarkEnd w:id="174"/>
      <w:bookmarkStart w:id="175" w:name="_Toc184314451"/>
      <w:bookmarkEnd w:id="175"/>
      <w:bookmarkStart w:id="176" w:name="_Toc184314462"/>
      <w:bookmarkEnd w:id="176"/>
      <w:bookmarkStart w:id="177" w:name="_Toc184314469"/>
      <w:bookmarkEnd w:id="177"/>
      <w:bookmarkStart w:id="178" w:name="_Toc184312120"/>
      <w:bookmarkEnd w:id="178"/>
      <w:bookmarkStart w:id="179" w:name="_Toc184308051"/>
      <w:bookmarkEnd w:id="179"/>
      <w:bookmarkStart w:id="180" w:name="_Toc184313260"/>
      <w:bookmarkEnd w:id="180"/>
      <w:bookmarkStart w:id="181" w:name="_Toc184313301"/>
      <w:bookmarkEnd w:id="181"/>
      <w:bookmarkStart w:id="182" w:name="_Toc184310328"/>
      <w:bookmarkEnd w:id="182"/>
      <w:bookmarkStart w:id="183" w:name="_Toc184308040"/>
      <w:bookmarkEnd w:id="183"/>
      <w:bookmarkStart w:id="184" w:name="_Toc184313252"/>
      <w:bookmarkEnd w:id="184"/>
      <w:bookmarkStart w:id="185" w:name="_Toc184310316"/>
      <w:bookmarkEnd w:id="185"/>
      <w:bookmarkStart w:id="186" w:name="_Toc184312091"/>
      <w:bookmarkEnd w:id="186"/>
      <w:bookmarkStart w:id="187" w:name="_Toc184314411"/>
      <w:bookmarkEnd w:id="187"/>
      <w:bookmarkStart w:id="188" w:name="_Toc184312076"/>
      <w:bookmarkEnd w:id="188"/>
      <w:bookmarkStart w:id="189" w:name="_Toc184310306"/>
      <w:bookmarkEnd w:id="189"/>
      <w:bookmarkStart w:id="190" w:name="_Toc184310337"/>
      <w:bookmarkEnd w:id="190"/>
      <w:bookmarkStart w:id="191" w:name="_Toc184314414"/>
      <w:bookmarkEnd w:id="191"/>
      <w:bookmarkStart w:id="192" w:name="_Toc184312110"/>
      <w:bookmarkEnd w:id="192"/>
      <w:bookmarkStart w:id="193" w:name="_Toc184312116"/>
      <w:bookmarkEnd w:id="193"/>
      <w:bookmarkStart w:id="194" w:name="_Toc184308044"/>
      <w:bookmarkEnd w:id="194"/>
      <w:bookmarkStart w:id="195" w:name="_Toc184313296"/>
      <w:bookmarkEnd w:id="195"/>
      <w:bookmarkStart w:id="196" w:name="_Toc184308063"/>
      <w:bookmarkEnd w:id="196"/>
      <w:bookmarkStart w:id="197" w:name="_Toc184310327"/>
      <w:bookmarkEnd w:id="197"/>
      <w:bookmarkStart w:id="198" w:name="_Toc184313272"/>
      <w:bookmarkEnd w:id="198"/>
      <w:bookmarkStart w:id="199" w:name="_Toc184310317"/>
      <w:bookmarkEnd w:id="199"/>
      <w:bookmarkStart w:id="200" w:name="_Toc184312096"/>
      <w:bookmarkEnd w:id="200"/>
      <w:bookmarkStart w:id="201" w:name="_Toc184310281"/>
      <w:bookmarkEnd w:id="201"/>
      <w:bookmarkStart w:id="202" w:name="_Toc184312068"/>
      <w:bookmarkEnd w:id="202"/>
      <w:bookmarkStart w:id="203" w:name="_Toc184312067"/>
      <w:bookmarkEnd w:id="203"/>
      <w:bookmarkStart w:id="204" w:name="_Toc184312086"/>
      <w:bookmarkEnd w:id="204"/>
      <w:bookmarkStart w:id="205" w:name="_Toc184313285"/>
      <w:bookmarkEnd w:id="205"/>
      <w:bookmarkStart w:id="206" w:name="_Toc184312092"/>
      <w:bookmarkEnd w:id="206"/>
      <w:bookmarkStart w:id="207" w:name="_Toc184308095"/>
      <w:bookmarkEnd w:id="207"/>
      <w:bookmarkStart w:id="208" w:name="_Toc184308090"/>
      <w:bookmarkEnd w:id="208"/>
      <w:bookmarkStart w:id="209" w:name="_Toc184314410"/>
      <w:bookmarkEnd w:id="209"/>
      <w:bookmarkStart w:id="210" w:name="_Toc184310330"/>
      <w:bookmarkEnd w:id="210"/>
      <w:bookmarkStart w:id="211" w:name="_Toc184308041"/>
      <w:bookmarkEnd w:id="211"/>
      <w:bookmarkStart w:id="212" w:name="_Toc184308078"/>
      <w:bookmarkEnd w:id="212"/>
      <w:bookmarkStart w:id="213" w:name="_Toc184308097"/>
      <w:bookmarkEnd w:id="213"/>
      <w:bookmarkStart w:id="214" w:name="_Toc184312134"/>
      <w:bookmarkEnd w:id="214"/>
      <w:bookmarkStart w:id="215" w:name="_Toc184314475"/>
      <w:bookmarkEnd w:id="215"/>
      <w:bookmarkStart w:id="216" w:name="_Toc184310334"/>
      <w:bookmarkEnd w:id="216"/>
      <w:bookmarkStart w:id="217" w:name="_Toc184312082"/>
      <w:bookmarkEnd w:id="217"/>
      <w:bookmarkStart w:id="218" w:name="_Toc184314437"/>
      <w:bookmarkEnd w:id="218"/>
      <w:bookmarkStart w:id="219" w:name="_Toc184314415"/>
      <w:bookmarkEnd w:id="219"/>
      <w:bookmarkStart w:id="220" w:name="_Toc184312084"/>
      <w:bookmarkEnd w:id="220"/>
      <w:bookmarkStart w:id="221" w:name="_Toc184308083"/>
      <w:bookmarkEnd w:id="221"/>
      <w:bookmarkStart w:id="222" w:name="_Toc184308089"/>
      <w:bookmarkEnd w:id="222"/>
      <w:bookmarkStart w:id="223" w:name="_Toc184310291"/>
      <w:bookmarkEnd w:id="223"/>
      <w:bookmarkStart w:id="224" w:name="_Toc184310313"/>
      <w:bookmarkEnd w:id="224"/>
      <w:bookmarkStart w:id="225" w:name="_Toc184310304"/>
      <w:bookmarkEnd w:id="225"/>
      <w:bookmarkStart w:id="226" w:name="_Toc184313278"/>
      <w:bookmarkEnd w:id="226"/>
      <w:bookmarkStart w:id="227" w:name="_Toc184313299"/>
      <w:bookmarkEnd w:id="227"/>
      <w:bookmarkStart w:id="228" w:name="_Toc184310299"/>
      <w:bookmarkEnd w:id="228"/>
      <w:bookmarkStart w:id="229" w:name="_Toc184313259"/>
      <w:bookmarkEnd w:id="229"/>
      <w:bookmarkStart w:id="230" w:name="_Toc184308069"/>
      <w:bookmarkEnd w:id="230"/>
      <w:bookmarkStart w:id="231" w:name="_Toc184314473"/>
      <w:bookmarkEnd w:id="231"/>
      <w:bookmarkStart w:id="232" w:name="_Toc184308045"/>
      <w:bookmarkEnd w:id="232"/>
      <w:bookmarkStart w:id="233" w:name="_Toc184314430"/>
      <w:bookmarkEnd w:id="233"/>
      <w:bookmarkStart w:id="234" w:name="_Toc184310278"/>
      <w:bookmarkEnd w:id="234"/>
      <w:bookmarkStart w:id="235" w:name="_Toc184314443"/>
      <w:bookmarkEnd w:id="235"/>
      <w:bookmarkStart w:id="236" w:name="_Toc184313273"/>
      <w:bookmarkEnd w:id="236"/>
      <w:bookmarkStart w:id="237" w:name="_Toc184314416"/>
      <w:bookmarkEnd w:id="237"/>
      <w:bookmarkStart w:id="238" w:name="_Toc184308073"/>
      <w:bookmarkEnd w:id="238"/>
      <w:bookmarkStart w:id="239" w:name="_Toc184308062"/>
      <w:bookmarkEnd w:id="239"/>
      <w:bookmarkStart w:id="240" w:name="_Toc184312123"/>
      <w:bookmarkEnd w:id="240"/>
      <w:bookmarkStart w:id="241" w:name="_Toc184308082"/>
      <w:bookmarkEnd w:id="241"/>
      <w:bookmarkStart w:id="242" w:name="_Toc184314438"/>
      <w:bookmarkEnd w:id="242"/>
      <w:bookmarkStart w:id="243" w:name="_Toc184313305"/>
      <w:bookmarkEnd w:id="243"/>
      <w:bookmarkStart w:id="244" w:name="_Toc184308107"/>
      <w:bookmarkEnd w:id="244"/>
      <w:bookmarkStart w:id="245" w:name="_Toc184314429"/>
      <w:bookmarkEnd w:id="245"/>
      <w:bookmarkStart w:id="246" w:name="_Toc184313256"/>
      <w:bookmarkEnd w:id="246"/>
      <w:bookmarkStart w:id="247" w:name="_Toc184314424"/>
      <w:bookmarkEnd w:id="247"/>
      <w:bookmarkStart w:id="248" w:name="_Toc184312104"/>
      <w:bookmarkEnd w:id="248"/>
      <w:bookmarkStart w:id="249" w:name="_Toc184313248"/>
      <w:bookmarkEnd w:id="249"/>
      <w:bookmarkStart w:id="250" w:name="_Toc184313276"/>
      <w:bookmarkEnd w:id="250"/>
      <w:bookmarkStart w:id="251" w:name="_Toc184312093"/>
      <w:bookmarkEnd w:id="251"/>
      <w:bookmarkStart w:id="252" w:name="_Toc184314474"/>
      <w:bookmarkEnd w:id="252"/>
      <w:bookmarkStart w:id="253" w:name="_Toc184314418"/>
      <w:bookmarkEnd w:id="253"/>
      <w:bookmarkStart w:id="254" w:name="_Toc184308050"/>
      <w:bookmarkEnd w:id="254"/>
      <w:bookmarkStart w:id="255" w:name="_Toc184310293"/>
      <w:bookmarkEnd w:id="255"/>
      <w:bookmarkStart w:id="256" w:name="_Toc184314447"/>
      <w:bookmarkEnd w:id="256"/>
      <w:bookmarkStart w:id="257" w:name="_Toc184312115"/>
      <w:bookmarkEnd w:id="257"/>
      <w:bookmarkStart w:id="258" w:name="_Toc184308060"/>
      <w:bookmarkEnd w:id="258"/>
      <w:bookmarkStart w:id="259" w:name="_Toc184312121"/>
      <w:bookmarkEnd w:id="259"/>
      <w:bookmarkStart w:id="260" w:name="_Toc184312094"/>
      <w:bookmarkEnd w:id="260"/>
      <w:bookmarkStart w:id="261" w:name="_Toc184314456"/>
      <w:bookmarkEnd w:id="261"/>
      <w:bookmarkStart w:id="262" w:name="_Toc184314448"/>
      <w:bookmarkEnd w:id="262"/>
      <w:bookmarkStart w:id="263" w:name="_Toc184313302"/>
      <w:bookmarkEnd w:id="263"/>
      <w:bookmarkStart w:id="264" w:name="_Toc184310287"/>
      <w:bookmarkEnd w:id="264"/>
      <w:bookmarkStart w:id="265" w:name="_Toc184310274"/>
      <w:bookmarkEnd w:id="265"/>
      <w:bookmarkStart w:id="266" w:name="_Toc184313295"/>
      <w:bookmarkEnd w:id="266"/>
      <w:bookmarkStart w:id="267" w:name="_Toc184310297"/>
      <w:bookmarkEnd w:id="267"/>
      <w:bookmarkStart w:id="268" w:name="_Toc184310308"/>
      <w:bookmarkEnd w:id="268"/>
      <w:bookmarkStart w:id="269" w:name="_Toc184314442"/>
      <w:bookmarkEnd w:id="269"/>
      <w:bookmarkStart w:id="270" w:name="_Toc184308084"/>
      <w:bookmarkEnd w:id="270"/>
      <w:bookmarkStart w:id="271" w:name="_Toc184313246"/>
      <w:bookmarkEnd w:id="271"/>
      <w:bookmarkStart w:id="272" w:name="_Toc184308102"/>
      <w:bookmarkEnd w:id="272"/>
      <w:bookmarkStart w:id="273" w:name="_Toc184308098"/>
      <w:bookmarkEnd w:id="273"/>
      <w:bookmarkStart w:id="274" w:name="_Toc184312087"/>
      <w:bookmarkEnd w:id="274"/>
      <w:bookmarkStart w:id="275" w:name="_Toc184310323"/>
      <w:bookmarkEnd w:id="275"/>
      <w:bookmarkStart w:id="276" w:name="_Toc184314427"/>
      <w:bookmarkEnd w:id="276"/>
      <w:bookmarkStart w:id="277" w:name="_Toc184312107"/>
      <w:bookmarkEnd w:id="277"/>
      <w:bookmarkStart w:id="278" w:name="_Toc184313309"/>
      <w:bookmarkEnd w:id="278"/>
      <w:bookmarkStart w:id="279" w:name="_Toc184308077"/>
      <w:bookmarkEnd w:id="279"/>
      <w:bookmarkStart w:id="280" w:name="_Toc184310285"/>
      <w:bookmarkEnd w:id="280"/>
      <w:bookmarkStart w:id="281" w:name="_Toc184313291"/>
      <w:bookmarkEnd w:id="281"/>
      <w:bookmarkStart w:id="282" w:name="_Toc184314435"/>
      <w:bookmarkEnd w:id="282"/>
      <w:bookmarkStart w:id="283" w:name="_Toc184312114"/>
      <w:bookmarkEnd w:id="283"/>
      <w:bookmarkStart w:id="284" w:name="_Toc184310333"/>
      <w:bookmarkEnd w:id="284"/>
      <w:bookmarkStart w:id="285" w:name="_Toc184312098"/>
      <w:bookmarkEnd w:id="285"/>
      <w:bookmarkStart w:id="286" w:name="_Toc184313241"/>
      <w:bookmarkEnd w:id="286"/>
      <w:bookmarkStart w:id="287" w:name="_Toc184310315"/>
      <w:bookmarkEnd w:id="287"/>
      <w:bookmarkStart w:id="288" w:name="_Toc184313268"/>
      <w:bookmarkEnd w:id="288"/>
      <w:bookmarkStart w:id="289" w:name="_Toc184310288"/>
      <w:bookmarkEnd w:id="289"/>
      <w:bookmarkStart w:id="290" w:name="_Toc184308047"/>
      <w:bookmarkEnd w:id="290"/>
      <w:bookmarkStart w:id="291" w:name="_Toc184308070"/>
      <w:bookmarkEnd w:id="291"/>
      <w:bookmarkStart w:id="292" w:name="_Toc184312138"/>
      <w:bookmarkEnd w:id="292"/>
      <w:bookmarkStart w:id="293" w:name="_Toc184308054"/>
      <w:bookmarkEnd w:id="293"/>
      <w:bookmarkStart w:id="294" w:name="_Toc184313263"/>
      <w:bookmarkEnd w:id="294"/>
      <w:bookmarkStart w:id="295" w:name="_Toc184308079"/>
      <w:bookmarkEnd w:id="295"/>
      <w:bookmarkStart w:id="296" w:name="_Toc184313238"/>
      <w:bookmarkEnd w:id="296"/>
      <w:bookmarkStart w:id="297" w:name="_Toc184310322"/>
      <w:bookmarkEnd w:id="297"/>
      <w:bookmarkStart w:id="298" w:name="_Toc184314446"/>
      <w:bookmarkEnd w:id="298"/>
      <w:bookmarkStart w:id="299" w:name="_Toc184310300"/>
      <w:bookmarkEnd w:id="299"/>
      <w:bookmarkStart w:id="300" w:name="_Toc184310273"/>
      <w:bookmarkEnd w:id="300"/>
      <w:bookmarkStart w:id="301" w:name="_Toc184313306"/>
      <w:bookmarkEnd w:id="301"/>
      <w:bookmarkStart w:id="302" w:name="_Toc184312097"/>
      <w:bookmarkEnd w:id="302"/>
      <w:bookmarkStart w:id="303" w:name="_Toc184314478"/>
      <w:bookmarkEnd w:id="303"/>
      <w:bookmarkStart w:id="304" w:name="_Toc184310321"/>
      <w:bookmarkEnd w:id="304"/>
      <w:bookmarkStart w:id="305" w:name="_Toc184308052"/>
      <w:bookmarkEnd w:id="305"/>
      <w:bookmarkStart w:id="306" w:name="_Toc184313308"/>
      <w:bookmarkEnd w:id="306"/>
      <w:bookmarkStart w:id="307" w:name="_Toc184308108"/>
      <w:bookmarkEnd w:id="307"/>
      <w:bookmarkStart w:id="308" w:name="_Toc184312124"/>
      <w:bookmarkEnd w:id="308"/>
      <w:bookmarkStart w:id="309" w:name="_Toc184314455"/>
      <w:bookmarkEnd w:id="309"/>
      <w:bookmarkStart w:id="310" w:name="_Toc184314445"/>
      <w:bookmarkEnd w:id="310"/>
      <w:bookmarkStart w:id="311" w:name="_Toc184310342"/>
      <w:bookmarkEnd w:id="311"/>
      <w:bookmarkStart w:id="312" w:name="_Toc184312075"/>
      <w:bookmarkEnd w:id="312"/>
      <w:bookmarkStart w:id="313" w:name="_Toc184313257"/>
      <w:bookmarkEnd w:id="313"/>
      <w:bookmarkStart w:id="314" w:name="_Toc184312111"/>
      <w:bookmarkEnd w:id="314"/>
      <w:bookmarkStart w:id="315" w:name="_Toc184314425"/>
      <w:bookmarkEnd w:id="315"/>
      <w:bookmarkStart w:id="316" w:name="_Toc184314423"/>
      <w:bookmarkEnd w:id="316"/>
      <w:bookmarkStart w:id="317" w:name="_Toc184308061"/>
      <w:bookmarkEnd w:id="317"/>
      <w:bookmarkStart w:id="318" w:name="_Toc184312125"/>
      <w:bookmarkEnd w:id="318"/>
      <w:bookmarkStart w:id="319" w:name="_Toc184314453"/>
      <w:bookmarkEnd w:id="319"/>
      <w:bookmarkStart w:id="320" w:name="_Toc184308085"/>
      <w:bookmarkEnd w:id="320"/>
      <w:bookmarkStart w:id="321" w:name="_Toc184313294"/>
      <w:bookmarkEnd w:id="321"/>
      <w:bookmarkStart w:id="322" w:name="_Toc184312106"/>
      <w:bookmarkEnd w:id="322"/>
      <w:bookmarkStart w:id="323" w:name="_Toc184308080"/>
      <w:bookmarkEnd w:id="323"/>
      <w:bookmarkStart w:id="324" w:name="_Toc184308067"/>
      <w:bookmarkEnd w:id="324"/>
      <w:bookmarkStart w:id="325" w:name="_Toc184314450"/>
      <w:bookmarkEnd w:id="325"/>
      <w:bookmarkStart w:id="326" w:name="_Toc184312135"/>
      <w:bookmarkEnd w:id="326"/>
      <w:bookmarkStart w:id="327" w:name="_Toc184310312"/>
      <w:bookmarkEnd w:id="327"/>
      <w:bookmarkStart w:id="328" w:name="_Toc184313303"/>
      <w:bookmarkEnd w:id="328"/>
      <w:bookmarkStart w:id="329" w:name="_Toc184313267"/>
      <w:bookmarkEnd w:id="329"/>
      <w:bookmarkStart w:id="330" w:name="_Toc184308075"/>
      <w:bookmarkEnd w:id="330"/>
      <w:bookmarkStart w:id="331" w:name="_Toc184308081"/>
      <w:bookmarkEnd w:id="331"/>
      <w:bookmarkStart w:id="332" w:name="_Toc184314452"/>
      <w:bookmarkEnd w:id="332"/>
      <w:bookmarkStart w:id="333" w:name="_Toc184310332"/>
      <w:bookmarkEnd w:id="333"/>
      <w:bookmarkStart w:id="334" w:name="_Toc184308036"/>
      <w:bookmarkEnd w:id="334"/>
      <w:bookmarkStart w:id="335" w:name="_Toc184310319"/>
      <w:bookmarkEnd w:id="335"/>
      <w:bookmarkStart w:id="336" w:name="_Toc184310298"/>
      <w:bookmarkEnd w:id="336"/>
      <w:bookmarkStart w:id="337" w:name="_Toc184310289"/>
      <w:bookmarkEnd w:id="337"/>
      <w:bookmarkStart w:id="338" w:name="_Toc184312105"/>
      <w:bookmarkEnd w:id="338"/>
      <w:bookmarkStart w:id="339" w:name="_Toc184313244"/>
      <w:bookmarkEnd w:id="339"/>
      <w:bookmarkStart w:id="340" w:name="_Toc184314466"/>
      <w:bookmarkEnd w:id="340"/>
      <w:bookmarkStart w:id="341" w:name="_Toc184314464"/>
      <w:bookmarkEnd w:id="341"/>
      <w:bookmarkStart w:id="342" w:name="_Toc184313304"/>
      <w:bookmarkEnd w:id="342"/>
      <w:bookmarkStart w:id="343" w:name="_Toc184313270"/>
      <w:bookmarkEnd w:id="343"/>
      <w:bookmarkStart w:id="344" w:name="_Toc184314458"/>
      <w:bookmarkEnd w:id="344"/>
      <w:bookmarkStart w:id="345" w:name="_Toc184312136"/>
      <w:bookmarkEnd w:id="345"/>
      <w:bookmarkStart w:id="346" w:name="_Toc184308055"/>
      <w:bookmarkEnd w:id="346"/>
      <w:bookmarkStart w:id="347" w:name="_Toc184312117"/>
      <w:bookmarkEnd w:id="347"/>
      <w:bookmarkStart w:id="348" w:name="_Toc184310276"/>
      <w:bookmarkEnd w:id="348"/>
      <w:bookmarkStart w:id="349" w:name="_Toc184308059"/>
      <w:bookmarkEnd w:id="349"/>
      <w:bookmarkStart w:id="350" w:name="_Toc184314440"/>
      <w:bookmarkEnd w:id="350"/>
      <w:bookmarkStart w:id="351" w:name="_Toc184314470"/>
      <w:bookmarkEnd w:id="351"/>
      <w:bookmarkStart w:id="352" w:name="_Toc184308104"/>
      <w:bookmarkEnd w:id="352"/>
      <w:bookmarkStart w:id="353" w:name="_Toc184308105"/>
      <w:bookmarkEnd w:id="353"/>
      <w:bookmarkStart w:id="354" w:name="_Toc184312113"/>
      <w:bookmarkEnd w:id="354"/>
      <w:bookmarkStart w:id="355" w:name="_Toc184312081"/>
      <w:bookmarkEnd w:id="355"/>
      <w:bookmarkStart w:id="356" w:name="_Toc184312071"/>
      <w:bookmarkEnd w:id="356"/>
      <w:bookmarkStart w:id="357" w:name="_Toc184308072"/>
      <w:bookmarkEnd w:id="357"/>
      <w:bookmarkStart w:id="358" w:name="_Toc184314449"/>
      <w:bookmarkEnd w:id="358"/>
      <w:bookmarkStart w:id="359" w:name="_Toc184313279"/>
      <w:bookmarkEnd w:id="359"/>
      <w:bookmarkStart w:id="360" w:name="_Toc184312130"/>
      <w:bookmarkEnd w:id="360"/>
      <w:bookmarkStart w:id="361" w:name="_Toc184312088"/>
      <w:bookmarkEnd w:id="361"/>
      <w:bookmarkStart w:id="362" w:name="_Toc184314482"/>
      <w:bookmarkEnd w:id="362"/>
      <w:bookmarkStart w:id="363" w:name="_Toc184314434"/>
      <w:bookmarkEnd w:id="363"/>
      <w:bookmarkStart w:id="364" w:name="_Toc184313265"/>
      <w:bookmarkEnd w:id="364"/>
      <w:bookmarkStart w:id="365" w:name="_Toc184310329"/>
      <w:bookmarkEnd w:id="365"/>
      <w:bookmarkStart w:id="366" w:name="_Toc184314463"/>
      <w:bookmarkEnd w:id="366"/>
      <w:bookmarkStart w:id="367" w:name="_Toc184310343"/>
      <w:bookmarkEnd w:id="367"/>
      <w:bookmarkStart w:id="368" w:name="_Toc184312137"/>
      <w:bookmarkEnd w:id="368"/>
      <w:bookmarkStart w:id="369" w:name="_Toc184312073"/>
      <w:bookmarkEnd w:id="369"/>
      <w:bookmarkStart w:id="370" w:name="_Toc184310279"/>
      <w:bookmarkEnd w:id="370"/>
      <w:bookmarkStart w:id="371" w:name="_Toc184313274"/>
      <w:bookmarkEnd w:id="371"/>
      <w:bookmarkStart w:id="372" w:name="_Toc184314413"/>
      <w:bookmarkEnd w:id="372"/>
      <w:bookmarkStart w:id="373" w:name="_Toc184313288"/>
      <w:bookmarkEnd w:id="373"/>
      <w:bookmarkStart w:id="374" w:name="_Toc184310290"/>
      <w:bookmarkEnd w:id="374"/>
      <w:bookmarkStart w:id="375" w:name="_Toc184312126"/>
      <w:bookmarkEnd w:id="375"/>
      <w:bookmarkStart w:id="376" w:name="_Toc184308096"/>
      <w:bookmarkEnd w:id="376"/>
      <w:bookmarkStart w:id="377" w:name="_Toc184313271"/>
      <w:bookmarkEnd w:id="377"/>
      <w:bookmarkStart w:id="378" w:name="_Toc184313307"/>
      <w:bookmarkEnd w:id="378"/>
      <w:bookmarkStart w:id="379" w:name="_Toc184314467"/>
      <w:bookmarkEnd w:id="379"/>
      <w:bookmarkStart w:id="380" w:name="_Toc184308103"/>
      <w:bookmarkEnd w:id="380"/>
      <w:bookmarkStart w:id="381" w:name="_Toc184308074"/>
      <w:bookmarkEnd w:id="381"/>
      <w:bookmarkStart w:id="382" w:name="_Toc184313297"/>
      <w:bookmarkEnd w:id="382"/>
      <w:bookmarkStart w:id="383" w:name="_Toc184312103"/>
      <w:bookmarkEnd w:id="383"/>
      <w:bookmarkStart w:id="384" w:name="_Toc184310311"/>
      <w:bookmarkEnd w:id="384"/>
      <w:bookmarkStart w:id="385" w:name="_Toc184310339"/>
      <w:bookmarkEnd w:id="385"/>
      <w:bookmarkStart w:id="386" w:name="_Toc184310309"/>
      <w:bookmarkEnd w:id="386"/>
      <w:bookmarkStart w:id="387" w:name="_Toc184308076"/>
      <w:bookmarkEnd w:id="387"/>
      <w:bookmarkStart w:id="388" w:name="_Toc184312127"/>
      <w:bookmarkEnd w:id="388"/>
      <w:bookmarkStart w:id="389" w:name="_Toc184314479"/>
      <w:bookmarkEnd w:id="389"/>
      <w:bookmarkStart w:id="390" w:name="_Toc184314431"/>
      <w:bookmarkEnd w:id="390"/>
      <w:bookmarkStart w:id="391" w:name="_Toc184314477"/>
      <w:bookmarkEnd w:id="391"/>
      <w:bookmarkStart w:id="392" w:name="_Toc184310318"/>
      <w:bookmarkEnd w:id="392"/>
      <w:bookmarkStart w:id="393" w:name="_Toc184313269"/>
      <w:bookmarkEnd w:id="393"/>
      <w:bookmarkStart w:id="394" w:name="_Toc184313240"/>
      <w:bookmarkEnd w:id="394"/>
      <w:bookmarkStart w:id="395" w:name="_Toc184312080"/>
      <w:bookmarkEnd w:id="395"/>
      <w:bookmarkStart w:id="396" w:name="_Toc184313282"/>
      <w:bookmarkEnd w:id="396"/>
      <w:bookmarkStart w:id="397" w:name="_Toc184314412"/>
      <w:bookmarkEnd w:id="397"/>
      <w:bookmarkStart w:id="398" w:name="_Toc184310275"/>
      <w:bookmarkEnd w:id="398"/>
      <w:bookmarkStart w:id="399" w:name="_Toc184313300"/>
      <w:bookmarkEnd w:id="399"/>
      <w:bookmarkStart w:id="400" w:name="_Toc184314436"/>
      <w:bookmarkEnd w:id="400"/>
      <w:bookmarkStart w:id="401" w:name="_Toc184310320"/>
      <w:bookmarkEnd w:id="401"/>
      <w:bookmarkStart w:id="402" w:name="_Toc184314421"/>
      <w:bookmarkEnd w:id="402"/>
      <w:bookmarkStart w:id="403" w:name="_Toc184308094"/>
      <w:bookmarkEnd w:id="403"/>
      <w:bookmarkStart w:id="404" w:name="_Toc184310335"/>
      <w:bookmarkEnd w:id="404"/>
      <w:bookmarkStart w:id="405" w:name="_Toc184314457"/>
      <w:bookmarkEnd w:id="405"/>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76"/>
        <w:gridCol w:w="7174"/>
        <w:gridCol w:w="70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snapToGrid w:val="0"/>
              <w:jc w:val="center"/>
              <w:outlineLvl w:val="0"/>
              <w:rPr>
                <w:rFonts w:ascii="宋体" w:hAnsi="宋体" w:cs="宋体"/>
                <w:bCs/>
                <w:sz w:val="24"/>
              </w:rPr>
            </w:pPr>
            <w:r>
              <w:rPr>
                <w:rFonts w:hint="eastAsia" w:ascii="宋体" w:hAnsi="宋体" w:cs="宋体"/>
                <w:bCs/>
                <w:sz w:val="24"/>
              </w:rPr>
              <w:t>序号</w:t>
            </w:r>
          </w:p>
        </w:tc>
        <w:tc>
          <w:tcPr>
            <w:tcW w:w="976" w:type="dxa"/>
            <w:vAlign w:val="center"/>
          </w:tcPr>
          <w:p>
            <w:pPr>
              <w:snapToGrid w:val="0"/>
              <w:jc w:val="center"/>
              <w:outlineLvl w:val="0"/>
              <w:rPr>
                <w:rFonts w:ascii="宋体" w:hAnsi="宋体" w:cs="宋体"/>
                <w:bCs/>
                <w:sz w:val="24"/>
              </w:rPr>
            </w:pPr>
            <w:r>
              <w:rPr>
                <w:rFonts w:hint="eastAsia" w:ascii="宋体" w:hAnsi="宋体" w:cs="宋体"/>
                <w:bCs/>
                <w:sz w:val="24"/>
              </w:rPr>
              <w:t>评审内容</w:t>
            </w:r>
          </w:p>
        </w:tc>
        <w:tc>
          <w:tcPr>
            <w:tcW w:w="7174" w:type="dxa"/>
            <w:vAlign w:val="center"/>
          </w:tcPr>
          <w:p>
            <w:pPr>
              <w:snapToGrid w:val="0"/>
              <w:jc w:val="center"/>
              <w:outlineLvl w:val="0"/>
              <w:rPr>
                <w:rFonts w:ascii="宋体" w:hAnsi="宋体" w:cs="宋体"/>
                <w:bCs/>
                <w:sz w:val="24"/>
              </w:rPr>
            </w:pPr>
            <w:r>
              <w:rPr>
                <w:rFonts w:hint="eastAsia" w:ascii="宋体" w:hAnsi="宋体" w:cs="宋体"/>
                <w:bCs/>
                <w:sz w:val="24"/>
              </w:rPr>
              <w:t>评审标准</w:t>
            </w:r>
          </w:p>
        </w:tc>
        <w:tc>
          <w:tcPr>
            <w:tcW w:w="709" w:type="dxa"/>
            <w:vAlign w:val="center"/>
          </w:tcPr>
          <w:p>
            <w:pPr>
              <w:snapToGrid w:val="0"/>
              <w:jc w:val="center"/>
              <w:outlineLvl w:val="0"/>
              <w:rPr>
                <w:rFonts w:ascii="宋体" w:hAnsi="宋体" w:cs="宋体"/>
                <w:bCs/>
                <w:sz w:val="24"/>
              </w:rPr>
            </w:pPr>
            <w:r>
              <w:rPr>
                <w:rFonts w:hint="eastAsia" w:ascii="宋体" w:hAnsi="宋体" w:cs="宋体"/>
                <w:bCs/>
                <w:sz w:val="24"/>
              </w:rPr>
              <w:t>权重</w:t>
            </w:r>
          </w:p>
        </w:tc>
        <w:tc>
          <w:tcPr>
            <w:tcW w:w="1298" w:type="dxa"/>
          </w:tcPr>
          <w:p>
            <w:pPr>
              <w:snapToGrid w:val="0"/>
              <w:jc w:val="center"/>
              <w:outlineLvl w:val="0"/>
              <w:rPr>
                <w:rFonts w:ascii="宋体" w:hAnsi="宋体" w:cs="宋体"/>
                <w:bCs/>
                <w:sz w:val="24"/>
              </w:rPr>
            </w:pPr>
            <w:r>
              <w:rPr>
                <w:rFonts w:hint="eastAsia" w:ascii="宋体" w:hAnsi="宋体" w:cs="宋体"/>
                <w:bCs/>
                <w:szCs w:val="21"/>
              </w:rPr>
              <w:t>响应文件中评审标准相应的商务技术资料目录</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69" w:type="dxa"/>
            <w:vAlign w:val="center"/>
          </w:tcPr>
          <w:p>
            <w:pPr>
              <w:snapToGrid w:val="0"/>
              <w:jc w:val="center"/>
              <w:rPr>
                <w:rFonts w:ascii="宋体" w:hAnsi="宋体" w:cs="宋体"/>
                <w:sz w:val="24"/>
              </w:rPr>
            </w:pPr>
            <w:r>
              <w:rPr>
                <w:rFonts w:hint="eastAsia" w:ascii="宋体" w:hAnsi="宋体" w:cs="宋体"/>
                <w:kern w:val="0"/>
                <w:sz w:val="24"/>
              </w:rPr>
              <w:t>1</w:t>
            </w:r>
          </w:p>
        </w:tc>
        <w:tc>
          <w:tcPr>
            <w:tcW w:w="976" w:type="dxa"/>
            <w:vAlign w:val="center"/>
          </w:tcPr>
          <w:p>
            <w:pPr>
              <w:snapToGrid w:val="0"/>
              <w:jc w:val="center"/>
              <w:rPr>
                <w:rFonts w:ascii="宋体" w:hAnsi="宋体" w:cs="宋体"/>
                <w:sz w:val="24"/>
              </w:rPr>
            </w:pPr>
            <w:r>
              <w:rPr>
                <w:rFonts w:hint="eastAsia" w:ascii="宋体" w:hAnsi="宋体" w:cs="宋体"/>
                <w:kern w:val="0"/>
                <w:sz w:val="24"/>
              </w:rPr>
              <w:t>企业业绩</w:t>
            </w:r>
          </w:p>
        </w:tc>
        <w:tc>
          <w:tcPr>
            <w:tcW w:w="7174" w:type="dxa"/>
            <w:vAlign w:val="center"/>
          </w:tcPr>
          <w:p>
            <w:pPr>
              <w:snapToGrid w:val="0"/>
              <w:jc w:val="left"/>
              <w:rPr>
                <w:rFonts w:ascii="宋体" w:hAnsi="宋体" w:cs="宋体"/>
                <w:kern w:val="0"/>
                <w:sz w:val="24"/>
              </w:rPr>
            </w:pPr>
            <w:r>
              <w:rPr>
                <w:rFonts w:hint="eastAsia" w:ascii="宋体" w:hAnsi="宋体" w:cs="宋体"/>
                <w:kern w:val="0"/>
                <w:sz w:val="24"/>
              </w:rPr>
              <w:t>供应商自2021年1月1日以来具有类似年度零星工程维修项目业绩，每个得0.5分，最多得1分。</w:t>
            </w:r>
          </w:p>
          <w:p>
            <w:pPr>
              <w:snapToGrid w:val="0"/>
              <w:jc w:val="left"/>
              <w:rPr>
                <w:rFonts w:ascii="宋体" w:hAnsi="宋体" w:cs="宋体"/>
                <w:sz w:val="24"/>
              </w:rPr>
            </w:pPr>
            <w:r>
              <w:rPr>
                <w:rFonts w:hint="eastAsia" w:ascii="宋体" w:hAnsi="宋体" w:cs="宋体"/>
                <w:kern w:val="0"/>
                <w:sz w:val="24"/>
              </w:rPr>
              <w:t>证明材料：施工合同复印件加盖公章。同一个用户不重复得分。</w:t>
            </w:r>
          </w:p>
        </w:tc>
        <w:tc>
          <w:tcPr>
            <w:tcW w:w="709" w:type="dxa"/>
            <w:vAlign w:val="center"/>
          </w:tcPr>
          <w:p>
            <w:pPr>
              <w:snapToGrid w:val="0"/>
              <w:jc w:val="center"/>
              <w:rPr>
                <w:rFonts w:ascii="宋体" w:hAnsi="宋体" w:cs="宋体"/>
                <w:bCs/>
                <w:sz w:val="24"/>
              </w:rPr>
            </w:pPr>
            <w:r>
              <w:rPr>
                <w:rFonts w:hint="eastAsia" w:ascii="宋体" w:hAnsi="宋体" w:cs="宋体"/>
                <w:kern w:val="0"/>
                <w:sz w:val="24"/>
              </w:rPr>
              <w:t>1</w:t>
            </w:r>
          </w:p>
        </w:tc>
        <w:tc>
          <w:tcPr>
            <w:tcW w:w="1298" w:type="dxa"/>
            <w:vAlign w:val="center"/>
          </w:tcPr>
          <w:p>
            <w:pPr>
              <w:snapToGrid w:val="0"/>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569" w:type="dxa"/>
            <w:vAlign w:val="center"/>
          </w:tcPr>
          <w:p>
            <w:pPr>
              <w:snapToGrid w:val="0"/>
              <w:jc w:val="center"/>
              <w:rPr>
                <w:rFonts w:ascii="宋体" w:hAnsi="宋体" w:cs="宋体"/>
                <w:sz w:val="24"/>
              </w:rPr>
            </w:pPr>
            <w:r>
              <w:rPr>
                <w:rFonts w:hint="eastAsia" w:ascii="宋体" w:hAnsi="宋体" w:cs="宋体"/>
                <w:kern w:val="0"/>
                <w:sz w:val="24"/>
              </w:rPr>
              <w:t>2</w:t>
            </w:r>
          </w:p>
        </w:tc>
        <w:tc>
          <w:tcPr>
            <w:tcW w:w="976" w:type="dxa"/>
            <w:vAlign w:val="center"/>
          </w:tcPr>
          <w:p>
            <w:pPr>
              <w:snapToGrid w:val="0"/>
              <w:jc w:val="center"/>
              <w:rPr>
                <w:rFonts w:ascii="宋体" w:hAnsi="宋体" w:cs="宋体"/>
                <w:sz w:val="24"/>
              </w:rPr>
            </w:pPr>
            <w:r>
              <w:rPr>
                <w:rFonts w:hint="eastAsia" w:ascii="宋体" w:hAnsi="宋体" w:cs="宋体"/>
                <w:kern w:val="0"/>
                <w:sz w:val="24"/>
              </w:rPr>
              <w:t>供应商认证证书</w:t>
            </w:r>
          </w:p>
        </w:tc>
        <w:tc>
          <w:tcPr>
            <w:tcW w:w="7174" w:type="dxa"/>
            <w:vAlign w:val="center"/>
          </w:tcPr>
          <w:p>
            <w:pPr>
              <w:snapToGrid w:val="0"/>
              <w:jc w:val="left"/>
              <w:rPr>
                <w:rFonts w:ascii="宋体" w:hAnsi="宋体" w:cs="宋体"/>
                <w:kern w:val="0"/>
                <w:sz w:val="24"/>
              </w:rPr>
            </w:pPr>
            <w:r>
              <w:rPr>
                <w:rFonts w:hint="eastAsia" w:ascii="宋体" w:hAnsi="宋体" w:cs="宋体"/>
                <w:kern w:val="0"/>
                <w:sz w:val="24"/>
              </w:rPr>
              <w:t>供应商具有有效的质量管理体系认证证书、环境管理体系认证证书、职业健康安全管理体系认证证书，每个得1分，最高得3分。</w:t>
            </w:r>
          </w:p>
          <w:p>
            <w:pPr>
              <w:snapToGrid w:val="0"/>
              <w:jc w:val="left"/>
              <w:rPr>
                <w:rFonts w:ascii="宋体" w:hAnsi="宋体" w:cs="宋体"/>
                <w:sz w:val="24"/>
              </w:rPr>
            </w:pPr>
            <w:r>
              <w:rPr>
                <w:rFonts w:hint="eastAsia" w:ascii="宋体" w:hAnsi="宋体" w:cs="宋体"/>
                <w:kern w:val="0"/>
                <w:sz w:val="24"/>
              </w:rPr>
              <w:t>证明材料：须提供以上有效证书扫描件或证书在全国认证认可信息公共服务平台上证书状态为“有效”的查询结果网页截图打印件，否则不得分。</w:t>
            </w:r>
          </w:p>
        </w:tc>
        <w:tc>
          <w:tcPr>
            <w:tcW w:w="709" w:type="dxa"/>
            <w:vAlign w:val="center"/>
          </w:tcPr>
          <w:p>
            <w:pPr>
              <w:snapToGrid w:val="0"/>
              <w:jc w:val="center"/>
              <w:rPr>
                <w:rFonts w:ascii="宋体" w:hAnsi="宋体" w:cs="宋体"/>
                <w:bCs/>
                <w:sz w:val="24"/>
              </w:rPr>
            </w:pPr>
            <w:r>
              <w:rPr>
                <w:rFonts w:hint="eastAsia" w:ascii="宋体" w:hAnsi="宋体" w:cs="宋体"/>
                <w:kern w:val="0"/>
                <w:sz w:val="24"/>
              </w:rPr>
              <w:t>3</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69" w:type="dxa"/>
            <w:vMerge w:val="restart"/>
            <w:vAlign w:val="center"/>
          </w:tcPr>
          <w:p>
            <w:pPr>
              <w:snapToGrid w:val="0"/>
              <w:jc w:val="center"/>
              <w:rPr>
                <w:rFonts w:ascii="宋体" w:hAnsi="宋体" w:cs="宋体"/>
                <w:sz w:val="24"/>
              </w:rPr>
            </w:pPr>
            <w:r>
              <w:rPr>
                <w:rFonts w:hint="eastAsia" w:ascii="宋体" w:hAnsi="宋体" w:cs="宋体"/>
                <w:kern w:val="0"/>
                <w:sz w:val="24"/>
              </w:rPr>
              <w:t>3</w:t>
            </w:r>
          </w:p>
        </w:tc>
        <w:tc>
          <w:tcPr>
            <w:tcW w:w="976" w:type="dxa"/>
            <w:vMerge w:val="restart"/>
            <w:vAlign w:val="center"/>
          </w:tcPr>
          <w:p>
            <w:pPr>
              <w:snapToGrid w:val="0"/>
              <w:jc w:val="center"/>
              <w:rPr>
                <w:rFonts w:ascii="宋体" w:hAnsi="宋体" w:cs="宋体"/>
                <w:sz w:val="24"/>
              </w:rPr>
            </w:pPr>
            <w:r>
              <w:rPr>
                <w:rFonts w:hint="eastAsia" w:ascii="宋体" w:hAnsi="宋体" w:cs="宋体"/>
                <w:sz w:val="24"/>
              </w:rPr>
              <w:t>拟派项目管理人员</w:t>
            </w:r>
          </w:p>
        </w:tc>
        <w:tc>
          <w:tcPr>
            <w:tcW w:w="7174" w:type="dxa"/>
            <w:vAlign w:val="center"/>
          </w:tcPr>
          <w:p>
            <w:pPr>
              <w:snapToGrid w:val="0"/>
              <w:outlineLvl w:val="0"/>
              <w:rPr>
                <w:rFonts w:ascii="宋体" w:hAnsi="宋体" w:cs="宋体"/>
                <w:kern w:val="0"/>
                <w:sz w:val="24"/>
              </w:rPr>
            </w:pPr>
            <w:r>
              <w:rPr>
                <w:rFonts w:hint="eastAsia" w:ascii="宋体" w:hAnsi="宋体" w:cs="宋体"/>
                <w:kern w:val="0"/>
                <w:sz w:val="24"/>
              </w:rPr>
              <w:t>拟派</w:t>
            </w:r>
            <w:r>
              <w:rPr>
                <w:rFonts w:hint="eastAsia" w:ascii="宋体" w:hAnsi="宋体" w:cs="宋体"/>
                <w:kern w:val="0"/>
                <w:sz w:val="24"/>
                <w:lang w:eastAsia="zh-CN"/>
              </w:rPr>
              <w:t>项目经理</w:t>
            </w:r>
            <w:r>
              <w:rPr>
                <w:rFonts w:hint="eastAsia" w:ascii="宋体" w:hAnsi="宋体" w:cs="宋体"/>
                <w:kern w:val="0"/>
                <w:sz w:val="24"/>
              </w:rPr>
              <w:t>为建筑工程专业二级注册建造师的得2分</w:t>
            </w:r>
          </w:p>
          <w:p>
            <w:pPr>
              <w:rPr>
                <w:rFonts w:ascii="宋体" w:hAnsi="宋体" w:cs="宋体"/>
                <w:sz w:val="24"/>
              </w:rPr>
            </w:pPr>
            <w:r>
              <w:rPr>
                <w:rFonts w:hint="eastAsia" w:ascii="宋体" w:hAnsi="宋体" w:cs="宋体"/>
                <w:kern w:val="0"/>
                <w:sz w:val="24"/>
              </w:rPr>
              <w:t>证明材料：提供相关证书扫描件加盖公章及近三个月来任意时间的社保证明材料。</w:t>
            </w:r>
          </w:p>
        </w:tc>
        <w:tc>
          <w:tcPr>
            <w:tcW w:w="709" w:type="dxa"/>
            <w:vAlign w:val="center"/>
          </w:tcPr>
          <w:p>
            <w:pPr>
              <w:snapToGrid w:val="0"/>
              <w:jc w:val="center"/>
              <w:rPr>
                <w:rFonts w:ascii="宋体" w:hAnsi="宋体" w:cs="宋体"/>
                <w:bCs/>
                <w:sz w:val="24"/>
              </w:rPr>
            </w:pPr>
            <w:r>
              <w:rPr>
                <w:rFonts w:hint="eastAsia" w:ascii="宋体" w:hAnsi="宋体" w:cs="宋体"/>
                <w:kern w:val="0"/>
                <w:sz w:val="24"/>
              </w:rPr>
              <w:t>2</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9" w:type="dxa"/>
            <w:vMerge w:val="continue"/>
            <w:vAlign w:val="center"/>
          </w:tcPr>
          <w:p>
            <w:pPr>
              <w:snapToGrid w:val="0"/>
              <w:jc w:val="center"/>
              <w:rPr>
                <w:rFonts w:ascii="宋体" w:hAnsi="宋体" w:cs="宋体"/>
                <w:kern w:val="0"/>
                <w:sz w:val="24"/>
              </w:rPr>
            </w:pPr>
          </w:p>
        </w:tc>
        <w:tc>
          <w:tcPr>
            <w:tcW w:w="976" w:type="dxa"/>
            <w:vMerge w:val="continue"/>
            <w:vAlign w:val="center"/>
          </w:tcPr>
          <w:p>
            <w:pPr>
              <w:snapToGrid w:val="0"/>
              <w:jc w:val="center"/>
              <w:rPr>
                <w:rFonts w:ascii="宋体" w:hAnsi="宋体" w:cs="宋体"/>
                <w:sz w:val="24"/>
              </w:rPr>
            </w:pPr>
          </w:p>
        </w:tc>
        <w:tc>
          <w:tcPr>
            <w:tcW w:w="7174" w:type="dxa"/>
            <w:vAlign w:val="center"/>
          </w:tcPr>
          <w:p>
            <w:pPr>
              <w:snapToGrid w:val="0"/>
              <w:outlineLvl w:val="0"/>
              <w:rPr>
                <w:rFonts w:ascii="宋体" w:hAnsi="宋体" w:cs="宋体"/>
                <w:kern w:val="0"/>
                <w:sz w:val="24"/>
              </w:rPr>
            </w:pPr>
            <w:r>
              <w:rPr>
                <w:rFonts w:hint="eastAsia" w:ascii="宋体" w:hAnsi="宋体" w:cs="宋体"/>
                <w:kern w:val="0"/>
                <w:sz w:val="24"/>
              </w:rPr>
              <w:t>技术负责人具有二级及以上注册建造师得3分</w:t>
            </w:r>
          </w:p>
          <w:p>
            <w:pPr>
              <w:rPr>
                <w:rFonts w:ascii="宋体" w:hAnsi="宋体" w:cs="宋体"/>
                <w:kern w:val="0"/>
                <w:sz w:val="24"/>
              </w:rPr>
            </w:pPr>
            <w:r>
              <w:rPr>
                <w:rFonts w:hint="eastAsia" w:ascii="宋体" w:hAnsi="宋体" w:cs="宋体"/>
                <w:kern w:val="0"/>
                <w:sz w:val="24"/>
              </w:rPr>
              <w:t>证明材料：提供相关证书扫描件加盖公章及近三个月来任意时间的社保证明材料。</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3</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69" w:type="dxa"/>
            <w:vMerge w:val="continue"/>
            <w:vAlign w:val="center"/>
          </w:tcPr>
          <w:p>
            <w:pPr>
              <w:snapToGrid w:val="0"/>
              <w:jc w:val="center"/>
              <w:rPr>
                <w:rFonts w:ascii="宋体" w:hAnsi="宋体" w:cs="宋体"/>
                <w:sz w:val="24"/>
              </w:rPr>
            </w:pPr>
          </w:p>
        </w:tc>
        <w:tc>
          <w:tcPr>
            <w:tcW w:w="976" w:type="dxa"/>
            <w:vMerge w:val="continue"/>
            <w:vAlign w:val="center"/>
          </w:tcPr>
          <w:p>
            <w:pPr>
              <w:snapToGrid w:val="0"/>
              <w:jc w:val="center"/>
              <w:rPr>
                <w:rFonts w:ascii="宋体" w:hAnsi="宋体" w:cs="宋体"/>
                <w:sz w:val="24"/>
              </w:rPr>
            </w:pPr>
          </w:p>
        </w:tc>
        <w:tc>
          <w:tcPr>
            <w:tcW w:w="7174" w:type="dxa"/>
            <w:vAlign w:val="center"/>
          </w:tcPr>
          <w:p>
            <w:pPr>
              <w:snapToGrid w:val="0"/>
              <w:jc w:val="left"/>
              <w:rPr>
                <w:rFonts w:ascii="宋体" w:hAnsi="宋体" w:cs="宋体"/>
                <w:kern w:val="0"/>
                <w:sz w:val="24"/>
              </w:rPr>
            </w:pPr>
            <w:r>
              <w:rPr>
                <w:rFonts w:hint="eastAsia" w:ascii="宋体" w:hAnsi="宋体" w:cs="宋体"/>
                <w:kern w:val="0"/>
                <w:sz w:val="24"/>
              </w:rPr>
              <w:t>供应商拟派项目管理团队完善且满足现场施工要求的得3分</w:t>
            </w:r>
          </w:p>
          <w:p>
            <w:pPr>
              <w:snapToGrid w:val="0"/>
              <w:jc w:val="left"/>
              <w:rPr>
                <w:rFonts w:ascii="宋体" w:hAnsi="宋体" w:cs="宋体"/>
                <w:sz w:val="24"/>
              </w:rPr>
            </w:pPr>
            <w:r>
              <w:rPr>
                <w:rFonts w:hint="eastAsia" w:ascii="宋体" w:hAnsi="宋体" w:cs="宋体"/>
                <w:kern w:val="0"/>
                <w:sz w:val="24"/>
              </w:rPr>
              <w:t>证明材料：提供相关证书扫描件及近三个月来任意时间的社保证明材料。</w:t>
            </w:r>
          </w:p>
        </w:tc>
        <w:tc>
          <w:tcPr>
            <w:tcW w:w="709" w:type="dxa"/>
            <w:vAlign w:val="center"/>
          </w:tcPr>
          <w:p>
            <w:pPr>
              <w:jc w:val="center"/>
            </w:pPr>
            <w:r>
              <w:rPr>
                <w:rFonts w:hint="eastAsia" w:ascii="宋体" w:hAnsi="宋体" w:cs="宋体"/>
                <w:kern w:val="0"/>
                <w:sz w:val="24"/>
              </w:rPr>
              <w:t>3</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569" w:type="dxa"/>
            <w:vAlign w:val="center"/>
          </w:tcPr>
          <w:p>
            <w:pPr>
              <w:snapToGrid w:val="0"/>
              <w:jc w:val="center"/>
              <w:rPr>
                <w:rFonts w:ascii="宋体" w:hAnsi="宋体" w:cs="宋体"/>
                <w:kern w:val="0"/>
                <w:sz w:val="24"/>
              </w:rPr>
            </w:pPr>
            <w:r>
              <w:rPr>
                <w:rFonts w:hint="eastAsia" w:ascii="宋体" w:hAnsi="宋体" w:cs="宋体"/>
                <w:kern w:val="0"/>
                <w:sz w:val="24"/>
              </w:rPr>
              <w:t>4</w:t>
            </w:r>
          </w:p>
        </w:tc>
        <w:tc>
          <w:tcPr>
            <w:tcW w:w="976" w:type="dxa"/>
            <w:vMerge w:val="restart"/>
            <w:vAlign w:val="center"/>
          </w:tcPr>
          <w:p>
            <w:pPr>
              <w:snapToGrid w:val="0"/>
              <w:jc w:val="left"/>
              <w:rPr>
                <w:rFonts w:ascii="宋体" w:hAnsi="宋体" w:cs="宋体"/>
                <w:kern w:val="0"/>
                <w:sz w:val="24"/>
              </w:rPr>
            </w:pPr>
            <w:r>
              <w:rPr>
                <w:rFonts w:hint="eastAsia" w:ascii="宋体" w:hAnsi="宋体" w:cs="宋体"/>
                <w:kern w:val="0"/>
                <w:sz w:val="24"/>
              </w:rPr>
              <w:t>实施方案</w:t>
            </w:r>
          </w:p>
        </w:tc>
        <w:tc>
          <w:tcPr>
            <w:tcW w:w="7174" w:type="dxa"/>
            <w:vAlign w:val="center"/>
          </w:tcPr>
          <w:p>
            <w:pPr>
              <w:snapToGrid w:val="0"/>
              <w:outlineLvl w:val="0"/>
              <w:rPr>
                <w:rFonts w:ascii="宋体" w:hAnsi="宋体" w:cs="宋体"/>
                <w:kern w:val="0"/>
                <w:sz w:val="24"/>
              </w:rPr>
            </w:pPr>
            <w:r>
              <w:rPr>
                <w:rFonts w:hint="eastAsia" w:ascii="宋体" w:hAnsi="宋体" w:cs="宋体"/>
                <w:kern w:val="0"/>
                <w:sz w:val="24"/>
              </w:rPr>
              <w:t>根据保证工期的施工组织方案和措施的严密性及合理性进行评分。内容整体全面、有结合项目经验进行描述的、提出的解决措施及方案。</w:t>
            </w:r>
          </w:p>
          <w:p>
            <w:pPr>
              <w:snapToGrid w:val="0"/>
              <w:outlineLvl w:val="0"/>
              <w:rPr>
                <w:rFonts w:ascii="宋体" w:hAnsi="宋体" w:cs="宋体"/>
                <w:kern w:val="0"/>
                <w:sz w:val="24"/>
              </w:rPr>
            </w:pPr>
            <w:r>
              <w:rPr>
                <w:rFonts w:hint="eastAsia" w:ascii="宋体" w:hAnsi="宋体" w:cs="宋体"/>
                <w:kern w:val="0"/>
                <w:sz w:val="24"/>
              </w:rPr>
              <w:t>1）对项目切实有推进作用的，整体完全满足本项目采购要求的得4分。</w:t>
            </w:r>
          </w:p>
          <w:p>
            <w:pPr>
              <w:snapToGrid w:val="0"/>
              <w:outlineLvl w:val="0"/>
              <w:rPr>
                <w:rFonts w:ascii="宋体" w:hAnsi="宋体" w:cs="宋体"/>
                <w:kern w:val="0"/>
                <w:sz w:val="24"/>
              </w:rPr>
            </w:pPr>
            <w:r>
              <w:rPr>
                <w:rFonts w:hint="eastAsia" w:ascii="宋体" w:hAnsi="宋体" w:cs="宋体"/>
                <w:kern w:val="0"/>
                <w:sz w:val="24"/>
              </w:rPr>
              <w:t>2）描述相对普通，整体情况一般的得2分。</w:t>
            </w:r>
          </w:p>
          <w:p>
            <w:pPr>
              <w:snapToGrid w:val="0"/>
              <w:outlineLvl w:val="0"/>
              <w:rPr>
                <w:rFonts w:ascii="宋体" w:hAnsi="宋体" w:cs="宋体"/>
                <w:kern w:val="0"/>
                <w:sz w:val="24"/>
              </w:rPr>
            </w:pPr>
            <w:r>
              <w:rPr>
                <w:rFonts w:hint="eastAsia" w:ascii="宋体" w:hAnsi="宋体" w:cs="宋体"/>
                <w:kern w:val="0"/>
                <w:sz w:val="24"/>
              </w:rPr>
              <w:t>3）描述粗略，整体较差，无法完全满足本项目需求的得1分。</w:t>
            </w:r>
          </w:p>
          <w:p>
            <w:pPr>
              <w:numPr>
                <w:ilvl w:val="0"/>
                <w:numId w:val="4"/>
              </w:numPr>
              <w:snapToGrid w:val="0"/>
              <w:outlineLvl w:val="0"/>
              <w:rPr>
                <w:rFonts w:ascii="宋体" w:hAnsi="宋体" w:cs="宋体"/>
                <w:kern w:val="0"/>
                <w:sz w:val="24"/>
              </w:rPr>
            </w:pPr>
            <w:r>
              <w:rPr>
                <w:rFonts w:hint="eastAsia" w:ascii="宋体" w:hAnsi="宋体" w:cs="宋体"/>
                <w:kern w:val="0"/>
                <w:sz w:val="24"/>
              </w:rPr>
              <w:t>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4</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976" w:type="dxa"/>
            <w:vMerge w:val="continue"/>
            <w:vAlign w:val="center"/>
          </w:tcPr>
          <w:p>
            <w:pPr>
              <w:snapToGrid w:val="0"/>
              <w:rPr>
                <w:rFonts w:ascii="宋体" w:hAnsi="宋体" w:cs="宋体"/>
                <w:sz w:val="24"/>
              </w:rPr>
            </w:pPr>
          </w:p>
        </w:tc>
        <w:tc>
          <w:tcPr>
            <w:tcW w:w="7174" w:type="dxa"/>
            <w:vAlign w:val="center"/>
          </w:tcPr>
          <w:p>
            <w:pPr>
              <w:snapToGrid w:val="0"/>
              <w:outlineLvl w:val="0"/>
              <w:rPr>
                <w:rFonts w:ascii="宋体" w:hAnsi="宋体" w:cs="宋体"/>
                <w:kern w:val="0"/>
                <w:sz w:val="24"/>
              </w:rPr>
            </w:pPr>
            <w:r>
              <w:rPr>
                <w:rFonts w:hint="eastAsia" w:ascii="宋体" w:hAnsi="宋体" w:cs="宋体"/>
                <w:kern w:val="0"/>
                <w:sz w:val="24"/>
              </w:rPr>
              <w:t>根据保证工程质量的技术方案和措施的严密性及合理性进行评分。内容整体</w:t>
            </w:r>
            <w:r>
              <w:rPr>
                <w:rFonts w:hint="eastAsia"/>
              </w:rPr>
              <w:t>全</w:t>
            </w:r>
            <w:r>
              <w:rPr>
                <w:rFonts w:hint="eastAsia" w:ascii="宋体" w:hAnsi="宋体" w:cs="宋体"/>
                <w:kern w:val="0"/>
                <w:sz w:val="24"/>
              </w:rPr>
              <w:t>面、有结合项目经验进行描述的、提出的解决措施及方案。</w:t>
            </w:r>
          </w:p>
          <w:p>
            <w:pPr>
              <w:snapToGrid w:val="0"/>
              <w:outlineLvl w:val="0"/>
              <w:rPr>
                <w:rFonts w:ascii="宋体" w:hAnsi="宋体" w:cs="宋体"/>
                <w:kern w:val="0"/>
                <w:sz w:val="24"/>
              </w:rPr>
            </w:pPr>
            <w:r>
              <w:rPr>
                <w:rFonts w:hint="eastAsia" w:ascii="宋体" w:hAnsi="宋体" w:cs="宋体"/>
                <w:kern w:val="0"/>
                <w:sz w:val="24"/>
              </w:rPr>
              <w:t>1）对项目切实有推进作用的，整体完全满足本项目采购要求的得4分。</w:t>
            </w:r>
          </w:p>
          <w:p>
            <w:pPr>
              <w:snapToGrid w:val="0"/>
              <w:outlineLvl w:val="0"/>
              <w:rPr>
                <w:rFonts w:ascii="宋体" w:hAnsi="宋体" w:cs="宋体"/>
                <w:kern w:val="0"/>
                <w:sz w:val="24"/>
              </w:rPr>
            </w:pPr>
            <w:r>
              <w:rPr>
                <w:rFonts w:hint="eastAsia" w:ascii="宋体" w:hAnsi="宋体" w:cs="宋体"/>
                <w:kern w:val="0"/>
                <w:sz w:val="24"/>
              </w:rPr>
              <w:t>2）描述相对普通，整体情况一般的得2分。</w:t>
            </w:r>
          </w:p>
          <w:p>
            <w:pPr>
              <w:snapToGrid w:val="0"/>
              <w:outlineLvl w:val="0"/>
              <w:rPr>
                <w:rFonts w:ascii="宋体" w:hAnsi="宋体" w:cs="宋体"/>
                <w:kern w:val="0"/>
                <w:sz w:val="24"/>
              </w:rPr>
            </w:pPr>
            <w:r>
              <w:rPr>
                <w:rFonts w:hint="eastAsia" w:ascii="宋体" w:hAnsi="宋体" w:cs="宋体"/>
                <w:kern w:val="0"/>
                <w:sz w:val="24"/>
              </w:rPr>
              <w:t>3）描述粗略，整体较差，无法完全满足本项目需求的得1分。</w:t>
            </w:r>
          </w:p>
          <w:p>
            <w:pPr>
              <w:snapToGrid w:val="0"/>
              <w:outlineLvl w:val="0"/>
            </w:pPr>
            <w:r>
              <w:rPr>
                <w:rFonts w:hint="eastAsia" w:ascii="宋体" w:hAnsi="宋体" w:cs="宋体"/>
                <w:kern w:val="0"/>
                <w:sz w:val="24"/>
              </w:rPr>
              <w:t>4）未提供不得分。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4</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69" w:type="dxa"/>
            <w:vAlign w:val="center"/>
          </w:tcPr>
          <w:p>
            <w:pPr>
              <w:contextualSpacing/>
              <w:jc w:val="left"/>
              <w:rPr>
                <w:rFonts w:ascii="宋体" w:hAnsi="宋体" w:cs="宋体"/>
                <w:kern w:val="0"/>
                <w:sz w:val="24"/>
              </w:rPr>
            </w:pPr>
            <w:r>
              <w:rPr>
                <w:rFonts w:hint="eastAsia" w:ascii="宋体" w:hAnsi="宋体" w:cs="宋体"/>
                <w:kern w:val="0"/>
                <w:sz w:val="24"/>
              </w:rPr>
              <w:t>6</w:t>
            </w:r>
          </w:p>
        </w:tc>
        <w:tc>
          <w:tcPr>
            <w:tcW w:w="976" w:type="dxa"/>
            <w:vMerge w:val="continue"/>
            <w:vAlign w:val="center"/>
          </w:tcPr>
          <w:p>
            <w:pPr>
              <w:contextualSpacing/>
              <w:jc w:val="left"/>
              <w:rPr>
                <w:rFonts w:ascii="宋体" w:hAnsi="宋体" w:cs="宋体"/>
                <w:kern w:val="0"/>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根据保证项目实施的技术力量和人力资源安排的合理性，专业配置与工程内容的相适性进行评分。</w:t>
            </w:r>
          </w:p>
          <w:p>
            <w:pPr>
              <w:contextualSpacing/>
              <w:jc w:val="left"/>
              <w:rPr>
                <w:rFonts w:ascii="宋体" w:hAnsi="宋体" w:cs="宋体"/>
                <w:kern w:val="0"/>
                <w:sz w:val="24"/>
              </w:rPr>
            </w:pPr>
            <w:r>
              <w:rPr>
                <w:rFonts w:hint="eastAsia" w:ascii="宋体" w:hAnsi="宋体" w:cs="宋体"/>
                <w:kern w:val="0"/>
                <w:sz w:val="24"/>
              </w:rPr>
              <w:t>1)实施的技术力量专业齐全、人力资源安排合理，有利于项目实施的得5分。</w:t>
            </w:r>
          </w:p>
          <w:p>
            <w:pPr>
              <w:contextualSpacing/>
              <w:jc w:val="left"/>
              <w:rPr>
                <w:rFonts w:ascii="宋体" w:hAnsi="宋体" w:cs="宋体"/>
                <w:kern w:val="0"/>
                <w:sz w:val="24"/>
              </w:rPr>
            </w:pPr>
            <w:r>
              <w:rPr>
                <w:rFonts w:hint="eastAsia" w:ascii="宋体" w:hAnsi="宋体" w:cs="宋体"/>
                <w:kern w:val="0"/>
                <w:sz w:val="24"/>
              </w:rPr>
              <w:t>2)实施的技术力量专业较齐全、人力资源安排较合理，能有效保障项目实施的得4分。</w:t>
            </w:r>
          </w:p>
          <w:p>
            <w:pPr>
              <w:contextualSpacing/>
              <w:jc w:val="left"/>
              <w:rPr>
                <w:rFonts w:ascii="宋体" w:hAnsi="宋体" w:cs="宋体"/>
                <w:kern w:val="0"/>
                <w:sz w:val="24"/>
              </w:rPr>
            </w:pPr>
            <w:r>
              <w:rPr>
                <w:rFonts w:hint="eastAsia" w:ascii="宋体" w:hAnsi="宋体" w:cs="宋体"/>
                <w:kern w:val="0"/>
                <w:sz w:val="24"/>
              </w:rPr>
              <w:t>3)实施的技术力量专业基本齐全、人力资源安排基本合理，能保障项目实施的得3分。</w:t>
            </w:r>
          </w:p>
          <w:p>
            <w:pPr>
              <w:contextualSpacing/>
              <w:jc w:val="left"/>
              <w:rPr>
                <w:rFonts w:ascii="宋体" w:hAnsi="宋体" w:cs="宋体"/>
                <w:kern w:val="0"/>
                <w:sz w:val="24"/>
              </w:rPr>
            </w:pPr>
            <w:r>
              <w:rPr>
                <w:rFonts w:hint="eastAsia" w:ascii="宋体" w:hAnsi="宋体" w:cs="宋体"/>
                <w:kern w:val="0"/>
                <w:sz w:val="24"/>
              </w:rPr>
              <w:t>4)实施的技术力量专业存在缺陷、人力资源安排欠合理，难以保障项目实施的得2分。</w:t>
            </w:r>
          </w:p>
          <w:p>
            <w:pPr>
              <w:contextualSpacing/>
              <w:jc w:val="left"/>
              <w:rPr>
                <w:rFonts w:ascii="宋体" w:hAnsi="宋体" w:cs="宋体"/>
                <w:kern w:val="0"/>
                <w:sz w:val="24"/>
              </w:rPr>
            </w:pPr>
            <w:r>
              <w:rPr>
                <w:rFonts w:hint="eastAsia" w:ascii="宋体" w:hAnsi="宋体" w:cs="宋体"/>
                <w:kern w:val="0"/>
                <w:sz w:val="24"/>
              </w:rPr>
              <w:t>5）实施的技术力量专业缺陷较多、人力资源安排不合理，不能保障项目实施的得1分。</w:t>
            </w:r>
          </w:p>
          <w:p>
            <w:pPr>
              <w:contextualSpacing/>
              <w:jc w:val="left"/>
              <w:rPr>
                <w:rFonts w:ascii="宋体" w:hAnsi="宋体" w:cs="宋体"/>
                <w:kern w:val="0"/>
                <w:sz w:val="24"/>
              </w:rPr>
            </w:pPr>
            <w:r>
              <w:rPr>
                <w:rFonts w:hint="eastAsia" w:ascii="宋体" w:hAnsi="宋体" w:cs="宋体"/>
                <w:kern w:val="0"/>
                <w:sz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9" w:type="dxa"/>
            <w:vAlign w:val="center"/>
          </w:tcPr>
          <w:p>
            <w:pPr>
              <w:snapToGrid w:val="0"/>
              <w:jc w:val="left"/>
              <w:rPr>
                <w:rFonts w:ascii="宋体" w:hAnsi="宋体" w:cs="宋体"/>
                <w:kern w:val="0"/>
                <w:sz w:val="24"/>
              </w:rPr>
            </w:pPr>
            <w:r>
              <w:rPr>
                <w:rFonts w:hint="eastAsia" w:ascii="宋体" w:hAnsi="宋体" w:cs="宋体"/>
                <w:kern w:val="0"/>
                <w:sz w:val="24"/>
              </w:rPr>
              <w:t>7</w:t>
            </w:r>
          </w:p>
        </w:tc>
        <w:tc>
          <w:tcPr>
            <w:tcW w:w="976" w:type="dxa"/>
            <w:vMerge w:val="continue"/>
            <w:vAlign w:val="center"/>
          </w:tcPr>
          <w:p>
            <w:pPr>
              <w:snapToGrid w:val="0"/>
              <w:rPr>
                <w:rFonts w:ascii="宋体" w:hAnsi="宋体" w:cs="宋体"/>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根据验收的方案合理性和竣工资料完整性和及时性等进行评分</w:t>
            </w:r>
          </w:p>
          <w:p>
            <w:pPr>
              <w:contextualSpacing/>
              <w:jc w:val="left"/>
              <w:rPr>
                <w:rFonts w:ascii="宋体" w:hAnsi="宋体" w:cs="宋体"/>
                <w:kern w:val="0"/>
                <w:sz w:val="24"/>
              </w:rPr>
            </w:pPr>
            <w:r>
              <w:rPr>
                <w:rFonts w:hint="eastAsia" w:ascii="宋体" w:hAnsi="宋体" w:cs="宋体"/>
                <w:kern w:val="0"/>
                <w:sz w:val="24"/>
              </w:rPr>
              <w:t>1）验收方案较为科学、合理、较完整可行，竣工资料完整、及时得5分；</w:t>
            </w:r>
          </w:p>
          <w:p>
            <w:pPr>
              <w:contextualSpacing/>
              <w:jc w:val="left"/>
              <w:rPr>
                <w:rFonts w:ascii="宋体" w:hAnsi="宋体" w:cs="宋体"/>
                <w:kern w:val="0"/>
                <w:sz w:val="24"/>
              </w:rPr>
            </w:pPr>
            <w:r>
              <w:rPr>
                <w:rFonts w:hint="eastAsia" w:ascii="宋体" w:hAnsi="宋体" w:cs="宋体"/>
                <w:kern w:val="0"/>
                <w:sz w:val="24"/>
              </w:rPr>
              <w:t>2）验收方案基本科学、合理，基本满足需求，竣工资料基本完整、及时得2分</w:t>
            </w:r>
          </w:p>
          <w:p>
            <w:pPr>
              <w:contextualSpacing/>
              <w:jc w:val="left"/>
              <w:rPr>
                <w:rFonts w:ascii="宋体" w:hAnsi="宋体" w:cs="宋体"/>
                <w:kern w:val="0"/>
                <w:sz w:val="24"/>
              </w:rPr>
            </w:pPr>
            <w:r>
              <w:rPr>
                <w:rFonts w:hint="eastAsia" w:ascii="宋体" w:hAnsi="宋体" w:cs="宋体"/>
                <w:kern w:val="0"/>
                <w:sz w:val="24"/>
              </w:rPr>
              <w:t>3）验收方案欠科学、欠合理，竣工资料存在瑕疵，响应不太及时得1分；</w:t>
            </w:r>
          </w:p>
          <w:p>
            <w:pPr>
              <w:pStyle w:val="61"/>
              <w:ind w:firstLine="0"/>
              <w:rPr>
                <w:lang w:val="en-US"/>
              </w:rPr>
            </w:pPr>
            <w:r>
              <w:rPr>
                <w:rFonts w:hint="eastAsia" w:hAnsi="宋体" w:cs="宋体"/>
                <w:kern w:val="0"/>
                <w:szCs w:val="24"/>
                <w:lang w:val="en-US"/>
              </w:rPr>
              <w:t>4</w:t>
            </w:r>
            <w:r>
              <w:rPr>
                <w:rFonts w:hint="eastAsia" w:hAnsi="宋体" w:cs="宋体"/>
                <w:kern w:val="0"/>
                <w:szCs w:val="24"/>
              </w:rPr>
              <w:t>）未提供不得分。</w:t>
            </w:r>
          </w:p>
        </w:tc>
        <w:tc>
          <w:tcPr>
            <w:tcW w:w="709" w:type="dxa"/>
            <w:vAlign w:val="center"/>
          </w:tcPr>
          <w:p>
            <w:r>
              <w:rPr>
                <w:rFonts w:hint="eastAsia" w:ascii="宋体" w:hAnsi="宋体" w:cs="宋体"/>
                <w:kern w:val="0"/>
                <w:sz w:val="24"/>
              </w:rPr>
              <w:t>5</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9" w:type="dxa"/>
            <w:vAlign w:val="center"/>
          </w:tcPr>
          <w:p>
            <w:pPr>
              <w:jc w:val="center"/>
              <w:rPr>
                <w:rFonts w:ascii="宋体" w:hAnsi="宋体" w:cs="宋体"/>
                <w:sz w:val="24"/>
              </w:rPr>
            </w:pPr>
            <w:r>
              <w:rPr>
                <w:rFonts w:hint="eastAsia" w:ascii="宋体" w:hAnsi="宋体" w:cs="宋体"/>
                <w:sz w:val="24"/>
              </w:rPr>
              <w:t>8</w:t>
            </w:r>
          </w:p>
        </w:tc>
        <w:tc>
          <w:tcPr>
            <w:tcW w:w="976" w:type="dxa"/>
            <w:vMerge w:val="continue"/>
            <w:vAlign w:val="center"/>
          </w:tcPr>
          <w:p>
            <w:pPr>
              <w:snapToGrid w:val="0"/>
              <w:rPr>
                <w:rFonts w:ascii="宋体" w:hAnsi="宋体" w:cs="宋体"/>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针对医院日常各类维修工程的特点和施工环境、医院特殊区域环境条件下组织施工的技术方案和措施的阐述和承诺，供应商结合对本项目采购需求的理解，对服务存在的难点、要点问题分析方案及措施进行评分：</w:t>
            </w:r>
          </w:p>
          <w:p>
            <w:pPr>
              <w:contextualSpacing/>
              <w:jc w:val="left"/>
              <w:rPr>
                <w:rFonts w:ascii="宋体" w:hAnsi="宋体" w:cs="宋体"/>
                <w:kern w:val="0"/>
                <w:sz w:val="24"/>
              </w:rPr>
            </w:pPr>
            <w:r>
              <w:rPr>
                <w:rFonts w:hint="eastAsia" w:ascii="宋体" w:hAnsi="宋体" w:cs="宋体"/>
                <w:kern w:val="0"/>
                <w:sz w:val="24"/>
              </w:rPr>
              <w:t>1）技术方案和措施科学、合理、到位，完整可行的得5分；</w:t>
            </w:r>
          </w:p>
          <w:p>
            <w:pPr>
              <w:contextualSpacing/>
              <w:jc w:val="left"/>
              <w:rPr>
                <w:rFonts w:ascii="宋体" w:hAnsi="宋体" w:cs="宋体"/>
                <w:kern w:val="0"/>
                <w:sz w:val="24"/>
              </w:rPr>
            </w:pPr>
            <w:r>
              <w:rPr>
                <w:rFonts w:hint="eastAsia" w:ascii="宋体" w:hAnsi="宋体" w:cs="宋体"/>
                <w:kern w:val="0"/>
                <w:sz w:val="24"/>
              </w:rPr>
              <w:t>2）技术方案和措施较为科学、合理、到位，较完整可行，得4分；</w:t>
            </w:r>
          </w:p>
          <w:p>
            <w:pPr>
              <w:contextualSpacing/>
              <w:jc w:val="left"/>
              <w:rPr>
                <w:rFonts w:ascii="宋体" w:hAnsi="宋体" w:cs="宋体"/>
                <w:kern w:val="0"/>
                <w:sz w:val="24"/>
              </w:rPr>
            </w:pPr>
            <w:r>
              <w:rPr>
                <w:rFonts w:hint="eastAsia" w:ascii="宋体" w:hAnsi="宋体" w:cs="宋体"/>
                <w:kern w:val="0"/>
                <w:sz w:val="24"/>
              </w:rPr>
              <w:t>3）技术方案和措施基本科学、合理，基本满足需求，得3分</w:t>
            </w:r>
          </w:p>
          <w:p>
            <w:pPr>
              <w:contextualSpacing/>
              <w:jc w:val="left"/>
              <w:rPr>
                <w:rFonts w:ascii="宋体" w:hAnsi="宋体" w:cs="宋体"/>
                <w:kern w:val="0"/>
                <w:sz w:val="24"/>
              </w:rPr>
            </w:pPr>
            <w:r>
              <w:rPr>
                <w:rFonts w:hint="eastAsia" w:ascii="宋体" w:hAnsi="宋体" w:cs="宋体"/>
                <w:kern w:val="0"/>
                <w:sz w:val="24"/>
              </w:rPr>
              <w:t>4）技术方案和措施欠科学、欠合理，存在瑕疵，得2分；</w:t>
            </w:r>
          </w:p>
          <w:p>
            <w:pPr>
              <w:contextualSpacing/>
              <w:jc w:val="left"/>
              <w:rPr>
                <w:rFonts w:ascii="宋体" w:hAnsi="宋体" w:cs="宋体"/>
                <w:kern w:val="0"/>
                <w:sz w:val="24"/>
              </w:rPr>
            </w:pPr>
            <w:r>
              <w:rPr>
                <w:rFonts w:hint="eastAsia" w:ascii="宋体" w:hAnsi="宋体" w:cs="宋体"/>
                <w:kern w:val="0"/>
                <w:sz w:val="24"/>
              </w:rPr>
              <w:t>5）技术方案和措施欠科学、欠合理、措施缺陷较多，得1分；</w:t>
            </w:r>
          </w:p>
          <w:p>
            <w:pPr>
              <w:contextualSpacing/>
              <w:jc w:val="left"/>
              <w:rPr>
                <w:rFonts w:ascii="宋体" w:hAnsi="宋体" w:cs="宋体"/>
                <w:kern w:val="0"/>
                <w:sz w:val="24"/>
              </w:rPr>
            </w:pPr>
            <w:r>
              <w:rPr>
                <w:rFonts w:hint="eastAsia" w:ascii="宋体" w:hAnsi="宋体" w:cs="宋体"/>
                <w:kern w:val="0"/>
                <w:sz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69" w:type="dxa"/>
            <w:vAlign w:val="center"/>
          </w:tcPr>
          <w:p>
            <w:pPr>
              <w:snapToGrid w:val="0"/>
              <w:jc w:val="left"/>
              <w:rPr>
                <w:rFonts w:ascii="宋体" w:hAnsi="宋体" w:cs="宋体"/>
                <w:kern w:val="0"/>
                <w:sz w:val="24"/>
              </w:rPr>
            </w:pPr>
            <w:r>
              <w:rPr>
                <w:rFonts w:hint="eastAsia" w:ascii="宋体" w:hAnsi="宋体" w:cs="宋体"/>
                <w:kern w:val="0"/>
                <w:sz w:val="24"/>
              </w:rPr>
              <w:t>9</w:t>
            </w:r>
          </w:p>
        </w:tc>
        <w:tc>
          <w:tcPr>
            <w:tcW w:w="976" w:type="dxa"/>
            <w:vMerge w:val="continue"/>
            <w:vAlign w:val="center"/>
          </w:tcPr>
          <w:p>
            <w:pPr>
              <w:snapToGrid w:val="0"/>
              <w:rPr>
                <w:rFonts w:ascii="宋体" w:hAnsi="宋体" w:cs="宋体"/>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安全、文明施工及市政、市容、环保、消防等的保证措施等。</w:t>
            </w:r>
          </w:p>
          <w:p>
            <w:pPr>
              <w:contextualSpacing/>
              <w:jc w:val="left"/>
              <w:rPr>
                <w:rFonts w:ascii="宋体" w:hAnsi="宋体" w:cs="宋体"/>
                <w:kern w:val="0"/>
                <w:sz w:val="24"/>
              </w:rPr>
            </w:pPr>
            <w:r>
              <w:rPr>
                <w:rFonts w:hint="eastAsia" w:ascii="宋体" w:hAnsi="宋体" w:cs="宋体"/>
                <w:kern w:val="0"/>
                <w:sz w:val="24"/>
              </w:rPr>
              <w:t>1）保证措施科学、合理、到位，完整可行的得5分；</w:t>
            </w:r>
          </w:p>
          <w:p>
            <w:pPr>
              <w:contextualSpacing/>
              <w:jc w:val="left"/>
              <w:rPr>
                <w:rFonts w:ascii="宋体" w:hAnsi="宋体" w:cs="宋体"/>
                <w:kern w:val="0"/>
                <w:sz w:val="24"/>
              </w:rPr>
            </w:pPr>
            <w:r>
              <w:rPr>
                <w:rFonts w:hint="eastAsia" w:ascii="宋体" w:hAnsi="宋体" w:cs="宋体"/>
                <w:kern w:val="0"/>
                <w:sz w:val="24"/>
              </w:rPr>
              <w:t>2）保证措施较为科学、合理、到位，较完整可行，得4分；</w:t>
            </w:r>
          </w:p>
          <w:p>
            <w:pPr>
              <w:contextualSpacing/>
              <w:jc w:val="left"/>
              <w:rPr>
                <w:rFonts w:ascii="宋体" w:hAnsi="宋体" w:cs="宋体"/>
                <w:kern w:val="0"/>
                <w:sz w:val="24"/>
              </w:rPr>
            </w:pPr>
            <w:r>
              <w:rPr>
                <w:rFonts w:hint="eastAsia" w:ascii="宋体" w:hAnsi="宋体" w:cs="宋体"/>
                <w:kern w:val="0"/>
                <w:sz w:val="24"/>
              </w:rPr>
              <w:t>3）保证措施基本科学、合理，基本满足需求，得3分</w:t>
            </w:r>
          </w:p>
          <w:p>
            <w:pPr>
              <w:contextualSpacing/>
              <w:jc w:val="left"/>
              <w:rPr>
                <w:rFonts w:ascii="宋体" w:hAnsi="宋体" w:cs="宋体"/>
                <w:kern w:val="0"/>
                <w:sz w:val="24"/>
              </w:rPr>
            </w:pPr>
            <w:r>
              <w:rPr>
                <w:rFonts w:hint="eastAsia" w:ascii="宋体" w:hAnsi="宋体" w:cs="宋体"/>
                <w:kern w:val="0"/>
                <w:sz w:val="24"/>
              </w:rPr>
              <w:t>4）保证措施欠科学、欠合理，存在瑕疵，得2分；</w:t>
            </w:r>
          </w:p>
          <w:p>
            <w:pPr>
              <w:contextualSpacing/>
              <w:jc w:val="left"/>
              <w:rPr>
                <w:rFonts w:ascii="宋体" w:hAnsi="宋体" w:cs="宋体"/>
                <w:kern w:val="0"/>
                <w:sz w:val="24"/>
              </w:rPr>
            </w:pPr>
            <w:r>
              <w:rPr>
                <w:rFonts w:hint="eastAsia" w:ascii="宋体" w:hAnsi="宋体" w:cs="宋体"/>
                <w:kern w:val="0"/>
                <w:sz w:val="24"/>
              </w:rPr>
              <w:t>5）保证措施欠科学、欠合理、措施缺陷较多，得1分；</w:t>
            </w:r>
          </w:p>
          <w:p>
            <w:pPr>
              <w:contextualSpacing/>
              <w:jc w:val="left"/>
              <w:rPr>
                <w:rFonts w:ascii="宋体" w:hAnsi="宋体" w:cs="宋体"/>
                <w:kern w:val="0"/>
                <w:sz w:val="24"/>
              </w:rPr>
            </w:pPr>
            <w:r>
              <w:rPr>
                <w:rFonts w:hint="eastAsia" w:ascii="宋体" w:hAnsi="宋体" w:cs="宋体"/>
                <w:kern w:val="0"/>
                <w:sz w:val="24"/>
              </w:rPr>
              <w:t>6）未提供不得分。</w:t>
            </w:r>
          </w:p>
        </w:tc>
        <w:tc>
          <w:tcPr>
            <w:tcW w:w="709" w:type="dxa"/>
            <w:vAlign w:val="center"/>
          </w:tcPr>
          <w:p>
            <w:pPr>
              <w:contextualSpacing/>
              <w:jc w:val="center"/>
              <w:rPr>
                <w:rFonts w:ascii="宋体" w:hAnsi="宋体" w:cs="宋体"/>
                <w:kern w:val="0"/>
                <w:sz w:val="24"/>
              </w:rPr>
            </w:pPr>
            <w:r>
              <w:rPr>
                <w:rFonts w:hint="eastAsia" w:ascii="宋体" w:hAnsi="宋体" w:cs="宋体"/>
                <w:kern w:val="0"/>
                <w:sz w:val="24"/>
              </w:rPr>
              <w:t>5</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9" w:type="dxa"/>
            <w:vAlign w:val="center"/>
          </w:tcPr>
          <w:p>
            <w:pPr>
              <w:contextualSpacing/>
              <w:jc w:val="left"/>
              <w:rPr>
                <w:rFonts w:ascii="宋体" w:hAnsi="宋体" w:cs="宋体"/>
                <w:kern w:val="0"/>
                <w:sz w:val="24"/>
              </w:rPr>
            </w:pPr>
            <w:r>
              <w:rPr>
                <w:rFonts w:hint="eastAsia" w:ascii="宋体" w:hAnsi="宋体" w:cs="宋体"/>
                <w:kern w:val="0"/>
                <w:sz w:val="24"/>
              </w:rPr>
              <w:t>10</w:t>
            </w:r>
          </w:p>
        </w:tc>
        <w:tc>
          <w:tcPr>
            <w:tcW w:w="976" w:type="dxa"/>
            <w:vMerge w:val="continue"/>
            <w:vAlign w:val="center"/>
          </w:tcPr>
          <w:p>
            <w:pPr>
              <w:contextualSpacing/>
              <w:jc w:val="left"/>
              <w:rPr>
                <w:rFonts w:ascii="宋体" w:hAnsi="宋体" w:cs="宋体"/>
                <w:kern w:val="0"/>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项目组施工班组人员组成：组成人员名单、工种、岗位证书、工作经历等，提供相关证明资料。</w:t>
            </w:r>
          </w:p>
          <w:p>
            <w:pPr>
              <w:contextualSpacing/>
              <w:jc w:val="left"/>
              <w:rPr>
                <w:rFonts w:ascii="宋体" w:hAnsi="宋体" w:cs="宋体"/>
                <w:kern w:val="0"/>
                <w:sz w:val="24"/>
              </w:rPr>
            </w:pPr>
            <w:r>
              <w:rPr>
                <w:rFonts w:hint="eastAsia" w:ascii="宋体" w:hAnsi="宋体" w:cs="宋体"/>
                <w:kern w:val="0"/>
                <w:sz w:val="24"/>
              </w:rPr>
              <w:t>1)施工班组人员工种齐全、证书齐全，工作经历丰富，有利于项目实施的得5分。</w:t>
            </w:r>
          </w:p>
          <w:p>
            <w:pPr>
              <w:contextualSpacing/>
              <w:jc w:val="left"/>
              <w:rPr>
                <w:rFonts w:ascii="宋体" w:hAnsi="宋体" w:cs="宋体"/>
                <w:kern w:val="0"/>
                <w:sz w:val="24"/>
              </w:rPr>
            </w:pPr>
            <w:r>
              <w:rPr>
                <w:rFonts w:hint="eastAsia" w:ascii="宋体" w:hAnsi="宋体" w:cs="宋体"/>
                <w:kern w:val="0"/>
                <w:sz w:val="24"/>
              </w:rPr>
              <w:t>2)施工班组人员工种较齐全、证书较全，工作经历较丰富，能有效保障项目实施的得4分。</w:t>
            </w:r>
          </w:p>
          <w:p>
            <w:pPr>
              <w:contextualSpacing/>
              <w:jc w:val="left"/>
              <w:rPr>
                <w:rFonts w:ascii="宋体" w:hAnsi="宋体" w:cs="宋体"/>
                <w:kern w:val="0"/>
                <w:sz w:val="24"/>
              </w:rPr>
            </w:pPr>
            <w:r>
              <w:rPr>
                <w:rFonts w:hint="eastAsia" w:ascii="宋体" w:hAnsi="宋体" w:cs="宋体"/>
                <w:kern w:val="0"/>
                <w:sz w:val="24"/>
              </w:rPr>
              <w:t>3)施工班组人员工种基本齐全、证书基本齐全，有工作经历，能保障项目实施的得3分。</w:t>
            </w:r>
          </w:p>
          <w:p>
            <w:pPr>
              <w:contextualSpacing/>
              <w:jc w:val="left"/>
              <w:rPr>
                <w:rFonts w:ascii="宋体" w:hAnsi="宋体" w:cs="宋体"/>
                <w:kern w:val="0"/>
                <w:sz w:val="24"/>
              </w:rPr>
            </w:pPr>
            <w:r>
              <w:rPr>
                <w:rFonts w:hint="eastAsia" w:ascii="宋体" w:hAnsi="宋体" w:cs="宋体"/>
                <w:kern w:val="0"/>
                <w:sz w:val="24"/>
              </w:rPr>
              <w:t>4)施工班组人员工种存在缺陷、证书不全，部分人员缺乏工作经历，难以保障项目实施的得2分。</w:t>
            </w:r>
          </w:p>
          <w:p>
            <w:pPr>
              <w:contextualSpacing/>
              <w:jc w:val="left"/>
              <w:rPr>
                <w:rFonts w:ascii="宋体" w:hAnsi="宋体" w:cs="宋体"/>
                <w:kern w:val="0"/>
                <w:sz w:val="24"/>
              </w:rPr>
            </w:pPr>
            <w:r>
              <w:rPr>
                <w:rFonts w:hint="eastAsia" w:ascii="宋体" w:hAnsi="宋体" w:cs="宋体"/>
                <w:kern w:val="0"/>
                <w:sz w:val="24"/>
              </w:rPr>
              <w:t>5）施工班组人员工种专业缺陷较多、无岗位证书、大部分缺乏工作经历，不能保障项目实施的得1分。</w:t>
            </w:r>
          </w:p>
          <w:p>
            <w:pPr>
              <w:contextualSpacing/>
              <w:jc w:val="left"/>
              <w:rPr>
                <w:rFonts w:ascii="宋体" w:hAnsi="宋体" w:cs="宋体"/>
                <w:kern w:val="0"/>
                <w:sz w:val="24"/>
              </w:rPr>
            </w:pPr>
            <w:r>
              <w:rPr>
                <w:rFonts w:hint="eastAsia" w:ascii="宋体" w:hAnsi="宋体" w:cs="宋体"/>
                <w:kern w:val="0"/>
                <w:sz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569" w:type="dxa"/>
            <w:vAlign w:val="center"/>
          </w:tcPr>
          <w:p>
            <w:pPr>
              <w:snapToGrid w:val="0"/>
              <w:jc w:val="left"/>
              <w:rPr>
                <w:rFonts w:ascii="宋体" w:hAnsi="宋体" w:cs="宋体"/>
                <w:kern w:val="0"/>
                <w:sz w:val="24"/>
              </w:rPr>
            </w:pPr>
            <w:r>
              <w:rPr>
                <w:rFonts w:hint="eastAsia" w:ascii="宋体" w:hAnsi="宋体" w:cs="宋体"/>
                <w:kern w:val="0"/>
                <w:sz w:val="24"/>
              </w:rPr>
              <w:t>11</w:t>
            </w:r>
          </w:p>
        </w:tc>
        <w:tc>
          <w:tcPr>
            <w:tcW w:w="976" w:type="dxa"/>
            <w:vMerge w:val="continue"/>
            <w:vAlign w:val="center"/>
          </w:tcPr>
          <w:p>
            <w:pPr>
              <w:snapToGrid w:val="0"/>
              <w:rPr>
                <w:rFonts w:ascii="宋体" w:hAnsi="宋体" w:cs="宋体"/>
                <w:sz w:val="24"/>
              </w:rPr>
            </w:pPr>
          </w:p>
        </w:tc>
        <w:tc>
          <w:tcPr>
            <w:tcW w:w="7174" w:type="dxa"/>
            <w:vAlign w:val="center"/>
          </w:tcPr>
          <w:p>
            <w:pPr>
              <w:snapToGrid w:val="0"/>
              <w:contextualSpacing/>
              <w:jc w:val="left"/>
              <w:rPr>
                <w:rFonts w:ascii="宋体" w:hAnsi="宋体" w:cs="宋体"/>
                <w:kern w:val="0"/>
                <w:sz w:val="24"/>
              </w:rPr>
            </w:pPr>
            <w:r>
              <w:rPr>
                <w:rFonts w:hint="eastAsia" w:ascii="宋体" w:hAnsi="宋体" w:cs="宋体"/>
                <w:kern w:val="0"/>
                <w:sz w:val="24"/>
              </w:rPr>
              <w:t>施工材料、品牌选择和供货保障措施。</w:t>
            </w:r>
          </w:p>
          <w:p>
            <w:pPr>
              <w:snapToGrid w:val="0"/>
              <w:rPr>
                <w:rFonts w:ascii="宋体" w:hAnsi="宋体"/>
                <w:sz w:val="24"/>
              </w:rPr>
            </w:pPr>
            <w:r>
              <w:rPr>
                <w:rFonts w:hint="eastAsia" w:ascii="宋体" w:hAnsi="宋体"/>
                <w:sz w:val="24"/>
              </w:rPr>
              <w:t>1) 材料的选用能完全满足项目的要求，质量保证措施合理的得5分；</w:t>
            </w:r>
          </w:p>
          <w:p>
            <w:pPr>
              <w:snapToGrid w:val="0"/>
              <w:rPr>
                <w:rFonts w:ascii="宋体" w:hAnsi="宋体"/>
                <w:sz w:val="24"/>
              </w:rPr>
            </w:pPr>
            <w:r>
              <w:rPr>
                <w:rFonts w:hint="eastAsia" w:ascii="宋体" w:hAnsi="宋体"/>
                <w:sz w:val="24"/>
              </w:rPr>
              <w:t>2) 材料的选用能较好满足项目的要求，质量保证措施比较合理的得3分；</w:t>
            </w:r>
          </w:p>
          <w:p>
            <w:pPr>
              <w:snapToGrid w:val="0"/>
              <w:rPr>
                <w:rFonts w:ascii="宋体" w:hAnsi="宋体"/>
                <w:sz w:val="24"/>
              </w:rPr>
            </w:pPr>
            <w:r>
              <w:rPr>
                <w:rFonts w:hint="eastAsia" w:ascii="宋体" w:hAnsi="宋体"/>
                <w:sz w:val="24"/>
              </w:rPr>
              <w:t>3）材料的选用能基本满足项目的要求，质量保证措施比较合理的得2分；</w:t>
            </w:r>
          </w:p>
          <w:p>
            <w:pPr>
              <w:snapToGrid w:val="0"/>
              <w:rPr>
                <w:rFonts w:ascii="宋体" w:hAnsi="宋体"/>
                <w:sz w:val="24"/>
              </w:rPr>
            </w:pPr>
            <w:r>
              <w:rPr>
                <w:rFonts w:hint="eastAsia" w:ascii="宋体" w:hAnsi="宋体"/>
                <w:sz w:val="24"/>
              </w:rPr>
              <w:t>4）材料的选用、质量保证措施一般，存在瑕疵的得1分；</w:t>
            </w:r>
          </w:p>
          <w:p>
            <w:pPr>
              <w:pStyle w:val="61"/>
              <w:snapToGrid w:val="0"/>
              <w:spacing w:line="240" w:lineRule="auto"/>
              <w:ind w:firstLine="0"/>
              <w:rPr>
                <w:lang w:val="en-US"/>
              </w:rPr>
            </w:pPr>
            <w:r>
              <w:rPr>
                <w:rFonts w:hint="eastAsia" w:hAnsi="宋体"/>
                <w:lang w:val="en-US"/>
              </w:rPr>
              <w:t>5</w:t>
            </w:r>
            <w:r>
              <w:rPr>
                <w:rFonts w:hint="eastAsia" w:hAnsi="宋体"/>
              </w:rPr>
              <w:t>）未提供不得分。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9" w:type="dxa"/>
            <w:vAlign w:val="center"/>
          </w:tcPr>
          <w:p>
            <w:pPr>
              <w:snapToGrid w:val="0"/>
              <w:jc w:val="left"/>
              <w:rPr>
                <w:rFonts w:ascii="宋体" w:hAnsi="宋体" w:cs="宋体"/>
                <w:kern w:val="0"/>
                <w:sz w:val="24"/>
              </w:rPr>
            </w:pPr>
            <w:r>
              <w:rPr>
                <w:rFonts w:hint="eastAsia" w:ascii="宋体" w:hAnsi="宋体" w:cs="宋体"/>
                <w:kern w:val="0"/>
                <w:sz w:val="24"/>
              </w:rPr>
              <w:t>12</w:t>
            </w:r>
          </w:p>
        </w:tc>
        <w:tc>
          <w:tcPr>
            <w:tcW w:w="976" w:type="dxa"/>
            <w:vMerge w:val="continue"/>
            <w:vAlign w:val="center"/>
          </w:tcPr>
          <w:p>
            <w:pPr>
              <w:snapToGrid w:val="0"/>
              <w:rPr>
                <w:rFonts w:ascii="宋体" w:hAnsi="宋体" w:cs="宋体"/>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针</w:t>
            </w:r>
            <w:r>
              <w:rPr>
                <w:rFonts w:hint="eastAsia" w:ascii="宋体" w:hAnsi="宋体"/>
                <w:sz w:val="24"/>
                <w:szCs w:val="20"/>
                <w:lang w:val="zh-CN"/>
              </w:rPr>
              <w:t>对</w:t>
            </w:r>
            <w:r>
              <w:rPr>
                <w:rFonts w:hint="eastAsia" w:ascii="宋体" w:hAnsi="宋体"/>
                <w:sz w:val="24"/>
                <w:szCs w:val="20"/>
              </w:rPr>
              <w:t>单个</w:t>
            </w:r>
            <w:r>
              <w:rPr>
                <w:rFonts w:hint="eastAsia" w:ascii="宋体" w:hAnsi="宋体"/>
                <w:sz w:val="24"/>
                <w:szCs w:val="20"/>
                <w:lang w:val="zh-CN"/>
              </w:rPr>
              <w:t>项目具体实施方案：</w:t>
            </w:r>
            <w:r>
              <w:rPr>
                <w:rFonts w:hint="eastAsia" w:ascii="宋体" w:hAnsi="宋体"/>
                <w:sz w:val="24"/>
                <w:szCs w:val="20"/>
              </w:rPr>
              <w:t>包括接到</w:t>
            </w:r>
            <w:r>
              <w:rPr>
                <w:rFonts w:hint="eastAsia" w:ascii="宋体" w:hAnsi="宋体"/>
                <w:sz w:val="24"/>
                <w:szCs w:val="20"/>
                <w:lang w:val="zh-CN"/>
              </w:rPr>
              <w:t>采购人任务后施工组织计划安排、人员安排措施及响应</w:t>
            </w:r>
            <w:r>
              <w:rPr>
                <w:rFonts w:hint="eastAsia" w:ascii="宋体" w:hAnsi="宋体" w:cs="宋体"/>
                <w:kern w:val="0"/>
                <w:sz w:val="24"/>
              </w:rPr>
              <w:t>及时性等</w:t>
            </w:r>
          </w:p>
          <w:p>
            <w:pPr>
              <w:contextualSpacing/>
              <w:jc w:val="left"/>
              <w:rPr>
                <w:rFonts w:ascii="宋体" w:hAnsi="宋体" w:cs="宋体"/>
                <w:kern w:val="0"/>
                <w:sz w:val="24"/>
              </w:rPr>
            </w:pPr>
            <w:r>
              <w:rPr>
                <w:rFonts w:hint="eastAsia" w:ascii="宋体" w:hAnsi="宋体" w:cs="宋体"/>
                <w:kern w:val="0"/>
                <w:sz w:val="24"/>
              </w:rPr>
              <w:t>1）实施方案科学、合理、到位，完整可行的得5分；</w:t>
            </w:r>
          </w:p>
          <w:p>
            <w:pPr>
              <w:contextualSpacing/>
              <w:jc w:val="left"/>
              <w:rPr>
                <w:rFonts w:ascii="宋体" w:hAnsi="宋体" w:cs="宋体"/>
                <w:kern w:val="0"/>
                <w:sz w:val="24"/>
              </w:rPr>
            </w:pPr>
            <w:r>
              <w:rPr>
                <w:rFonts w:hint="eastAsia" w:ascii="宋体" w:hAnsi="宋体" w:cs="宋体"/>
                <w:kern w:val="0"/>
                <w:sz w:val="24"/>
              </w:rPr>
              <w:t>2）实施方案较为科学、合理、到位，较完整可行，得3分；</w:t>
            </w:r>
          </w:p>
          <w:p>
            <w:pPr>
              <w:contextualSpacing/>
              <w:jc w:val="left"/>
              <w:rPr>
                <w:rFonts w:ascii="宋体" w:hAnsi="宋体" w:cs="宋体"/>
                <w:kern w:val="0"/>
                <w:sz w:val="24"/>
              </w:rPr>
            </w:pPr>
            <w:r>
              <w:rPr>
                <w:rFonts w:hint="eastAsia" w:ascii="宋体" w:hAnsi="宋体" w:cs="宋体"/>
                <w:kern w:val="0"/>
                <w:sz w:val="24"/>
              </w:rPr>
              <w:t>3）实施方案基本科学、合理，基本满足需求，得2分</w:t>
            </w:r>
          </w:p>
          <w:p>
            <w:pPr>
              <w:contextualSpacing/>
              <w:jc w:val="left"/>
              <w:rPr>
                <w:rFonts w:ascii="宋体" w:hAnsi="宋体" w:cs="宋体"/>
                <w:kern w:val="0"/>
                <w:sz w:val="24"/>
              </w:rPr>
            </w:pPr>
            <w:r>
              <w:rPr>
                <w:rFonts w:hint="eastAsia" w:ascii="宋体" w:hAnsi="宋体" w:cs="宋体"/>
                <w:kern w:val="0"/>
                <w:sz w:val="24"/>
              </w:rPr>
              <w:t>4）实施方案欠科学、欠合理，存在瑕疵，得1分；</w:t>
            </w:r>
          </w:p>
          <w:p>
            <w:pPr>
              <w:pStyle w:val="61"/>
              <w:ind w:firstLine="0"/>
              <w:rPr>
                <w:lang w:val="en-US"/>
              </w:rPr>
            </w:pPr>
            <w:r>
              <w:rPr>
                <w:rFonts w:hint="eastAsia" w:hAnsi="宋体" w:cs="宋体"/>
                <w:kern w:val="0"/>
                <w:szCs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69" w:type="dxa"/>
            <w:vAlign w:val="center"/>
          </w:tcPr>
          <w:p>
            <w:pPr>
              <w:snapToGrid w:val="0"/>
              <w:jc w:val="center"/>
              <w:rPr>
                <w:rFonts w:ascii="宋体" w:hAnsi="宋体" w:cs="宋体"/>
                <w:kern w:val="0"/>
                <w:sz w:val="24"/>
              </w:rPr>
            </w:pPr>
            <w:r>
              <w:rPr>
                <w:rFonts w:hint="eastAsia" w:ascii="宋体" w:hAnsi="宋体" w:cs="宋体"/>
                <w:kern w:val="0"/>
                <w:sz w:val="24"/>
              </w:rPr>
              <w:t>13</w:t>
            </w:r>
          </w:p>
        </w:tc>
        <w:tc>
          <w:tcPr>
            <w:tcW w:w="976" w:type="dxa"/>
            <w:vAlign w:val="center"/>
          </w:tcPr>
          <w:p>
            <w:pPr>
              <w:snapToGrid w:val="0"/>
              <w:jc w:val="left"/>
              <w:rPr>
                <w:rFonts w:ascii="宋体" w:hAnsi="宋体" w:cs="宋体"/>
                <w:kern w:val="0"/>
                <w:sz w:val="24"/>
              </w:rPr>
            </w:pPr>
            <w:r>
              <w:rPr>
                <w:rFonts w:hint="eastAsia" w:ascii="宋体" w:hAnsi="宋体" w:cs="宋体"/>
                <w:kern w:val="0"/>
                <w:sz w:val="24"/>
              </w:rPr>
              <w:t>合理化建议</w:t>
            </w:r>
          </w:p>
        </w:tc>
        <w:tc>
          <w:tcPr>
            <w:tcW w:w="7174" w:type="dxa"/>
            <w:vAlign w:val="center"/>
          </w:tcPr>
          <w:p>
            <w:pPr>
              <w:snapToGrid w:val="0"/>
              <w:jc w:val="left"/>
              <w:rPr>
                <w:rFonts w:ascii="宋体" w:hAnsi="宋体" w:cs="宋体"/>
                <w:kern w:val="0"/>
                <w:sz w:val="24"/>
              </w:rPr>
            </w:pPr>
            <w:r>
              <w:rPr>
                <w:rFonts w:hint="eastAsia" w:ascii="宋体" w:hAnsi="宋体" w:cs="宋体"/>
                <w:kern w:val="0"/>
                <w:sz w:val="24"/>
              </w:rPr>
              <w:t>针对本项目提出的合理化建议。</w:t>
            </w:r>
          </w:p>
          <w:p>
            <w:pPr>
              <w:contextualSpacing/>
              <w:jc w:val="left"/>
              <w:rPr>
                <w:rFonts w:ascii="宋体" w:hAnsi="宋体" w:cs="宋体"/>
                <w:kern w:val="0"/>
                <w:sz w:val="24"/>
              </w:rPr>
            </w:pPr>
            <w:r>
              <w:rPr>
                <w:rFonts w:hint="eastAsia" w:ascii="宋体" w:hAnsi="宋体" w:cs="宋体"/>
                <w:kern w:val="0"/>
                <w:sz w:val="24"/>
              </w:rPr>
              <w:t>1）建议完全合理，方案清晰、完整的得5分；</w:t>
            </w:r>
          </w:p>
          <w:p>
            <w:pPr>
              <w:contextualSpacing/>
              <w:jc w:val="left"/>
              <w:rPr>
                <w:rFonts w:ascii="宋体" w:hAnsi="宋体" w:cs="宋体"/>
                <w:kern w:val="0"/>
                <w:sz w:val="24"/>
              </w:rPr>
            </w:pPr>
            <w:r>
              <w:rPr>
                <w:rFonts w:hint="eastAsia" w:ascii="宋体" w:hAnsi="宋体" w:cs="宋体"/>
                <w:kern w:val="0"/>
                <w:sz w:val="24"/>
              </w:rPr>
              <w:t>2）建议合理，方案清晰性、完整性较好的得4分；</w:t>
            </w:r>
          </w:p>
          <w:p>
            <w:pPr>
              <w:contextualSpacing/>
              <w:jc w:val="left"/>
              <w:rPr>
                <w:rFonts w:ascii="宋体" w:hAnsi="宋体" w:cs="宋体"/>
                <w:kern w:val="0"/>
                <w:sz w:val="24"/>
              </w:rPr>
            </w:pPr>
            <w:r>
              <w:rPr>
                <w:rFonts w:hint="eastAsia" w:ascii="宋体" w:hAnsi="宋体" w:cs="宋体"/>
                <w:kern w:val="0"/>
                <w:sz w:val="24"/>
              </w:rPr>
              <w:t>3）建议基本合理，方案基本清晰、完整的得3分；</w:t>
            </w:r>
          </w:p>
          <w:p>
            <w:pPr>
              <w:contextualSpacing/>
              <w:jc w:val="left"/>
              <w:rPr>
                <w:rFonts w:ascii="宋体" w:hAnsi="宋体" w:cs="宋体"/>
                <w:kern w:val="0"/>
                <w:sz w:val="24"/>
              </w:rPr>
            </w:pPr>
            <w:r>
              <w:rPr>
                <w:rFonts w:hint="eastAsia" w:ascii="宋体" w:hAnsi="宋体" w:cs="宋体"/>
                <w:kern w:val="0"/>
                <w:sz w:val="24"/>
              </w:rPr>
              <w:t>4）建议一般，方案一般的得2分；</w:t>
            </w:r>
          </w:p>
          <w:p>
            <w:pPr>
              <w:snapToGrid w:val="0"/>
              <w:jc w:val="left"/>
              <w:rPr>
                <w:rFonts w:ascii="宋体" w:hAnsi="宋体" w:cs="宋体"/>
                <w:kern w:val="0"/>
                <w:sz w:val="24"/>
              </w:rPr>
            </w:pPr>
            <w:r>
              <w:rPr>
                <w:rFonts w:hint="eastAsia" w:ascii="宋体" w:hAnsi="宋体" w:cs="宋体"/>
                <w:kern w:val="0"/>
                <w:sz w:val="24"/>
              </w:rPr>
              <w:t>5）建议不合理或方案内容混乱，内容缺失严重的得1分；</w:t>
            </w:r>
          </w:p>
          <w:p>
            <w:pPr>
              <w:snapToGrid w:val="0"/>
              <w:jc w:val="left"/>
            </w:pPr>
            <w:r>
              <w:rPr>
                <w:rFonts w:hint="eastAsia" w:ascii="宋体" w:hAnsi="宋体" w:cs="宋体"/>
                <w:kern w:val="0"/>
                <w:sz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69" w:type="dxa"/>
            <w:vMerge w:val="restart"/>
            <w:vAlign w:val="center"/>
          </w:tcPr>
          <w:p>
            <w:pPr>
              <w:snapToGrid w:val="0"/>
              <w:jc w:val="center"/>
              <w:rPr>
                <w:rFonts w:ascii="宋体" w:hAnsi="宋体" w:cs="宋体"/>
                <w:kern w:val="0"/>
                <w:sz w:val="24"/>
              </w:rPr>
            </w:pPr>
            <w:r>
              <w:rPr>
                <w:rFonts w:hint="eastAsia" w:ascii="宋体" w:hAnsi="宋体" w:cs="宋体"/>
                <w:kern w:val="0"/>
                <w:sz w:val="24"/>
              </w:rPr>
              <w:t>14</w:t>
            </w:r>
          </w:p>
        </w:tc>
        <w:tc>
          <w:tcPr>
            <w:tcW w:w="976" w:type="dxa"/>
            <w:vMerge w:val="restart"/>
            <w:vAlign w:val="center"/>
          </w:tcPr>
          <w:p>
            <w:pPr>
              <w:snapToGrid w:val="0"/>
              <w:jc w:val="left"/>
              <w:rPr>
                <w:rFonts w:ascii="宋体" w:hAnsi="宋体" w:cs="宋体"/>
                <w:kern w:val="0"/>
                <w:sz w:val="24"/>
              </w:rPr>
            </w:pPr>
            <w:r>
              <w:rPr>
                <w:rFonts w:hint="eastAsia" w:ascii="宋体" w:hAnsi="宋体" w:cs="宋体"/>
                <w:kern w:val="0"/>
                <w:sz w:val="24"/>
              </w:rPr>
              <w:t>其他服务承诺</w:t>
            </w:r>
          </w:p>
        </w:tc>
        <w:tc>
          <w:tcPr>
            <w:tcW w:w="7174" w:type="dxa"/>
            <w:vAlign w:val="center"/>
          </w:tcPr>
          <w:p>
            <w:pPr>
              <w:snapToGrid w:val="0"/>
              <w:jc w:val="left"/>
              <w:rPr>
                <w:rFonts w:ascii="宋体" w:hAnsi="宋体" w:cs="宋体"/>
                <w:kern w:val="0"/>
                <w:sz w:val="24"/>
              </w:rPr>
            </w:pPr>
            <w:r>
              <w:rPr>
                <w:rFonts w:hint="eastAsia" w:ascii="宋体" w:hAnsi="宋体" w:cs="宋体"/>
                <w:kern w:val="0"/>
                <w:sz w:val="24"/>
              </w:rPr>
              <w:t>驻院服务的承诺，包括应急抢修项目人员安排、响应时间和措施。</w:t>
            </w:r>
          </w:p>
          <w:p>
            <w:pPr>
              <w:contextualSpacing/>
              <w:jc w:val="left"/>
              <w:rPr>
                <w:rFonts w:ascii="宋体" w:hAnsi="宋体" w:cs="宋体"/>
                <w:kern w:val="0"/>
                <w:sz w:val="24"/>
              </w:rPr>
            </w:pPr>
            <w:r>
              <w:rPr>
                <w:rFonts w:hint="eastAsia" w:ascii="宋体" w:hAnsi="宋体" w:cs="宋体"/>
                <w:kern w:val="0"/>
                <w:sz w:val="24"/>
              </w:rPr>
              <w:t>1）承诺科学、合理、到位，完整可行的得5分；</w:t>
            </w:r>
          </w:p>
          <w:p>
            <w:pPr>
              <w:contextualSpacing/>
              <w:jc w:val="left"/>
              <w:rPr>
                <w:rFonts w:ascii="宋体" w:hAnsi="宋体" w:cs="宋体"/>
                <w:kern w:val="0"/>
                <w:sz w:val="24"/>
              </w:rPr>
            </w:pPr>
            <w:r>
              <w:rPr>
                <w:rFonts w:hint="eastAsia" w:ascii="宋体" w:hAnsi="宋体" w:cs="宋体"/>
                <w:kern w:val="0"/>
                <w:sz w:val="24"/>
              </w:rPr>
              <w:t>2）承诺较为科学、合理、到位，较完整可行，得4分；</w:t>
            </w:r>
          </w:p>
          <w:p>
            <w:pPr>
              <w:contextualSpacing/>
              <w:jc w:val="left"/>
              <w:rPr>
                <w:rFonts w:ascii="宋体" w:hAnsi="宋体" w:cs="宋体"/>
                <w:kern w:val="0"/>
                <w:sz w:val="24"/>
              </w:rPr>
            </w:pPr>
            <w:r>
              <w:rPr>
                <w:rFonts w:hint="eastAsia" w:ascii="宋体" w:hAnsi="宋体" w:cs="宋体"/>
                <w:kern w:val="0"/>
                <w:sz w:val="24"/>
              </w:rPr>
              <w:t>3）承诺基本科学、合理，基本满足需求，得3分</w:t>
            </w:r>
          </w:p>
          <w:p>
            <w:pPr>
              <w:contextualSpacing/>
              <w:jc w:val="left"/>
              <w:rPr>
                <w:rFonts w:ascii="宋体" w:hAnsi="宋体" w:cs="宋体"/>
                <w:kern w:val="0"/>
                <w:sz w:val="24"/>
              </w:rPr>
            </w:pPr>
            <w:r>
              <w:rPr>
                <w:rFonts w:hint="eastAsia" w:ascii="宋体" w:hAnsi="宋体" w:cs="宋体"/>
                <w:kern w:val="0"/>
                <w:sz w:val="24"/>
              </w:rPr>
              <w:t>4）承诺欠科学、欠合理，存在瑕疵，得2分；</w:t>
            </w:r>
          </w:p>
          <w:p>
            <w:pPr>
              <w:contextualSpacing/>
              <w:jc w:val="left"/>
              <w:rPr>
                <w:rFonts w:ascii="宋体" w:hAnsi="宋体" w:cs="宋体"/>
                <w:kern w:val="0"/>
                <w:sz w:val="24"/>
              </w:rPr>
            </w:pPr>
            <w:r>
              <w:rPr>
                <w:rFonts w:hint="eastAsia" w:ascii="宋体" w:hAnsi="宋体" w:cs="宋体"/>
                <w:kern w:val="0"/>
                <w:sz w:val="24"/>
              </w:rPr>
              <w:t>5）承诺欠科学、欠合理、措施缺陷较多，得1分；</w:t>
            </w:r>
          </w:p>
          <w:p>
            <w:pPr>
              <w:snapToGrid w:val="0"/>
              <w:jc w:val="left"/>
              <w:rPr>
                <w:rFonts w:ascii="宋体" w:hAnsi="宋体" w:cs="宋体"/>
                <w:kern w:val="0"/>
                <w:sz w:val="24"/>
              </w:rPr>
            </w:pPr>
            <w:r>
              <w:rPr>
                <w:rFonts w:hint="eastAsia" w:ascii="宋体" w:hAnsi="宋体" w:cs="宋体"/>
                <w:kern w:val="0"/>
                <w:sz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69" w:type="dxa"/>
            <w:vMerge w:val="continue"/>
            <w:vAlign w:val="center"/>
          </w:tcPr>
          <w:p>
            <w:pPr>
              <w:snapToGrid w:val="0"/>
              <w:jc w:val="center"/>
              <w:rPr>
                <w:rFonts w:ascii="宋体" w:hAnsi="宋体" w:cs="宋体"/>
                <w:kern w:val="0"/>
                <w:sz w:val="24"/>
              </w:rPr>
            </w:pPr>
          </w:p>
        </w:tc>
        <w:tc>
          <w:tcPr>
            <w:tcW w:w="976" w:type="dxa"/>
            <w:vMerge w:val="continue"/>
            <w:vAlign w:val="center"/>
          </w:tcPr>
          <w:p>
            <w:pPr>
              <w:snapToGrid w:val="0"/>
              <w:jc w:val="left"/>
              <w:rPr>
                <w:rFonts w:ascii="宋体" w:hAnsi="宋体" w:cs="宋体"/>
                <w:kern w:val="0"/>
                <w:sz w:val="24"/>
              </w:rPr>
            </w:pPr>
          </w:p>
        </w:tc>
        <w:tc>
          <w:tcPr>
            <w:tcW w:w="7174" w:type="dxa"/>
            <w:vAlign w:val="center"/>
          </w:tcPr>
          <w:p>
            <w:pPr>
              <w:contextualSpacing/>
              <w:jc w:val="left"/>
              <w:rPr>
                <w:rFonts w:ascii="宋体" w:hAnsi="宋体" w:cs="宋体"/>
                <w:kern w:val="0"/>
                <w:sz w:val="24"/>
              </w:rPr>
            </w:pPr>
            <w:r>
              <w:rPr>
                <w:rFonts w:hint="eastAsia" w:ascii="宋体" w:hAnsi="宋体" w:cs="宋体"/>
                <w:kern w:val="0"/>
                <w:sz w:val="24"/>
              </w:rPr>
              <w:t>针对本工程的特点其它承诺提供（如方案、图纸设计等）</w:t>
            </w:r>
          </w:p>
          <w:p>
            <w:pPr>
              <w:contextualSpacing/>
              <w:jc w:val="left"/>
              <w:rPr>
                <w:rFonts w:ascii="宋体" w:hAnsi="宋体" w:cs="宋体"/>
                <w:kern w:val="0"/>
                <w:sz w:val="24"/>
              </w:rPr>
            </w:pPr>
            <w:r>
              <w:rPr>
                <w:rFonts w:hint="eastAsia" w:ascii="宋体" w:hAnsi="宋体" w:cs="宋体"/>
                <w:kern w:val="0"/>
                <w:sz w:val="24"/>
              </w:rPr>
              <w:t>1）其它承诺科学、合理、可行，有利于项目实施的得5分；</w:t>
            </w:r>
          </w:p>
          <w:p>
            <w:pPr>
              <w:contextualSpacing/>
              <w:jc w:val="left"/>
              <w:rPr>
                <w:rFonts w:ascii="宋体" w:hAnsi="宋体" w:cs="宋体"/>
                <w:kern w:val="0"/>
                <w:sz w:val="24"/>
              </w:rPr>
            </w:pPr>
            <w:r>
              <w:rPr>
                <w:rFonts w:hint="eastAsia" w:ascii="宋体" w:hAnsi="宋体" w:cs="宋体"/>
                <w:kern w:val="0"/>
                <w:sz w:val="24"/>
              </w:rPr>
              <w:t>2）其它承诺较为科学、合理、可行，能有效保障项目实施的得4分；</w:t>
            </w:r>
          </w:p>
          <w:p>
            <w:pPr>
              <w:contextualSpacing/>
              <w:jc w:val="left"/>
              <w:rPr>
                <w:rFonts w:ascii="宋体" w:hAnsi="宋体" w:cs="宋体"/>
                <w:kern w:val="0"/>
                <w:sz w:val="24"/>
              </w:rPr>
            </w:pPr>
            <w:r>
              <w:rPr>
                <w:rFonts w:hint="eastAsia" w:ascii="宋体" w:hAnsi="宋体" w:cs="宋体"/>
                <w:kern w:val="0"/>
                <w:sz w:val="24"/>
              </w:rPr>
              <w:t>3）其它承诺基本科学、合理、可行，能保障项目实施的得3分；</w:t>
            </w:r>
          </w:p>
          <w:p>
            <w:pPr>
              <w:contextualSpacing/>
              <w:jc w:val="left"/>
              <w:rPr>
                <w:rFonts w:ascii="宋体" w:hAnsi="宋体" w:cs="宋体"/>
                <w:kern w:val="0"/>
                <w:sz w:val="24"/>
              </w:rPr>
            </w:pPr>
            <w:r>
              <w:rPr>
                <w:rFonts w:hint="eastAsia" w:ascii="宋体" w:hAnsi="宋体" w:cs="宋体"/>
                <w:kern w:val="0"/>
                <w:sz w:val="24"/>
              </w:rPr>
              <w:t>4）其它承诺欠科学、欠合理，存在瑕疵，难以保障项目实施的得2分；</w:t>
            </w:r>
          </w:p>
          <w:p>
            <w:pPr>
              <w:contextualSpacing/>
              <w:jc w:val="left"/>
              <w:rPr>
                <w:rFonts w:ascii="宋体" w:hAnsi="宋体" w:cs="宋体"/>
                <w:kern w:val="0"/>
                <w:sz w:val="24"/>
              </w:rPr>
            </w:pPr>
            <w:r>
              <w:rPr>
                <w:rFonts w:hint="eastAsia" w:ascii="宋体" w:hAnsi="宋体" w:cs="宋体"/>
                <w:kern w:val="0"/>
                <w:sz w:val="24"/>
              </w:rPr>
              <w:t>5）其它承诺欠科学、欠合理、措施缺陷较多，不能保障项目实施的得1分；</w:t>
            </w:r>
          </w:p>
          <w:p>
            <w:pPr>
              <w:snapToGrid w:val="0"/>
              <w:jc w:val="left"/>
              <w:rPr>
                <w:rFonts w:ascii="宋体" w:hAnsi="宋体" w:cs="宋体"/>
                <w:kern w:val="0"/>
                <w:sz w:val="24"/>
              </w:rPr>
            </w:pPr>
            <w:r>
              <w:rPr>
                <w:rFonts w:hint="eastAsia" w:ascii="宋体" w:hAnsi="宋体" w:cs="宋体"/>
                <w:kern w:val="0"/>
                <w:sz w:val="24"/>
              </w:rPr>
              <w:t>6）未提供不得分。</w:t>
            </w:r>
          </w:p>
        </w:tc>
        <w:tc>
          <w:tcPr>
            <w:tcW w:w="709" w:type="dxa"/>
            <w:vAlign w:val="center"/>
          </w:tcPr>
          <w:p>
            <w:pPr>
              <w:snapToGrid w:val="0"/>
              <w:jc w:val="center"/>
              <w:rPr>
                <w:rFonts w:ascii="宋体" w:hAnsi="宋体" w:cs="宋体"/>
                <w:kern w:val="0"/>
                <w:sz w:val="24"/>
              </w:rPr>
            </w:pPr>
            <w:r>
              <w:rPr>
                <w:rFonts w:hint="eastAsia" w:ascii="宋体" w:hAnsi="宋体" w:cs="宋体"/>
                <w:kern w:val="0"/>
                <w:sz w:val="24"/>
              </w:rPr>
              <w:t>5</w:t>
            </w:r>
          </w:p>
        </w:tc>
        <w:tc>
          <w:tcPr>
            <w:tcW w:w="1298"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569" w:type="dxa"/>
            <w:vAlign w:val="center"/>
          </w:tcPr>
          <w:p>
            <w:pPr>
              <w:snapToGrid w:val="0"/>
              <w:jc w:val="center"/>
              <w:outlineLvl w:val="0"/>
              <w:rPr>
                <w:rFonts w:ascii="宋体" w:hAnsi="宋体" w:cs="宋体"/>
                <w:sz w:val="24"/>
              </w:rPr>
            </w:pPr>
            <w:r>
              <w:rPr>
                <w:rFonts w:hint="eastAsia" w:ascii="宋体" w:hAnsi="宋体" w:cs="宋体"/>
                <w:sz w:val="24"/>
              </w:rPr>
              <w:t>15</w:t>
            </w:r>
          </w:p>
        </w:tc>
        <w:tc>
          <w:tcPr>
            <w:tcW w:w="976" w:type="dxa"/>
            <w:vAlign w:val="center"/>
          </w:tcPr>
          <w:p>
            <w:pPr>
              <w:snapToGrid w:val="0"/>
              <w:jc w:val="center"/>
              <w:outlineLvl w:val="0"/>
              <w:rPr>
                <w:rFonts w:ascii="宋体" w:hAnsi="宋体" w:cs="宋体"/>
                <w:sz w:val="24"/>
              </w:rPr>
            </w:pPr>
            <w:r>
              <w:rPr>
                <w:rFonts w:hint="eastAsia" w:ascii="宋体" w:hAnsi="宋体" w:cs="宋体"/>
                <w:sz w:val="24"/>
              </w:rPr>
              <w:t>报价</w:t>
            </w:r>
          </w:p>
        </w:tc>
        <w:tc>
          <w:tcPr>
            <w:tcW w:w="7174" w:type="dxa"/>
            <w:vAlign w:val="center"/>
          </w:tcPr>
          <w:p>
            <w:pPr>
              <w:snapToGrid w:val="0"/>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有效最后报价的最低价作为评审基准价，其最低报价为满分；按［最后报价得分=（评审基准价/最后报价）*30］的计算公式计算。</w:t>
            </w:r>
          </w:p>
          <w:p>
            <w:pPr>
              <w:widowControl/>
              <w:shd w:val="clear" w:color="auto" w:fill="FFFFFF"/>
              <w:adjustRightInd/>
              <w:snapToGrid w:val="0"/>
              <w:ind w:firstLine="420"/>
              <w:rPr>
                <w:rFonts w:ascii="宋体" w:hAnsi="宋体" w:cs="宋体"/>
                <w:sz w:val="24"/>
              </w:rPr>
            </w:pPr>
            <w:r>
              <w:rPr>
                <w:rFonts w:hint="eastAsia" w:ascii="宋体" w:hAnsi="宋体" w:cs="宋体"/>
                <w:sz w:val="24"/>
              </w:rPr>
              <w:t>评审过程中，不得去掉报价中的最高报价和最低报价。</w:t>
            </w:r>
          </w:p>
          <w:p>
            <w:pPr>
              <w:widowControl/>
              <w:shd w:val="clear" w:color="auto" w:fill="FFFFFF"/>
              <w:adjustRightInd/>
              <w:snapToGrid w:val="0"/>
              <w:ind w:firstLine="420"/>
              <w:rPr>
                <w:rFonts w:ascii="宋体" w:hAnsi="宋体" w:cs="宋体"/>
                <w:sz w:val="24"/>
              </w:rPr>
            </w:pPr>
            <w:r>
              <w:rPr>
                <w:rFonts w:hint="eastAsia" w:ascii="宋体" w:hAnsi="宋体" w:cs="宋体"/>
                <w:sz w:val="24"/>
              </w:rPr>
              <w:t>因落实政府采购政策需要进行价格调整的，以调整后的价格计算评审基准价和最后报价。</w:t>
            </w:r>
          </w:p>
          <w:p>
            <w:pPr>
              <w:widowControl/>
              <w:shd w:val="clear" w:color="auto" w:fill="FFFFFF"/>
              <w:adjustRightInd/>
              <w:snapToGrid w:val="0"/>
              <w:ind w:firstLine="420"/>
              <w:rPr>
                <w:rFonts w:ascii="宋体" w:hAnsi="宋体" w:cs="宋体"/>
                <w:sz w:val="24"/>
              </w:rPr>
            </w:pPr>
            <w:r>
              <w:rPr>
                <w:rFonts w:hint="eastAsia" w:ascii="宋体" w:hAnsi="宋体" w:cs="宋体"/>
                <w:b/>
                <w:bCs/>
                <w:sz w:val="24"/>
                <w:u w:val="single"/>
                <w:lang w:val="zh-CN"/>
              </w:rPr>
              <w:t>本项目面向</w:t>
            </w:r>
            <w:r>
              <w:rPr>
                <w:rFonts w:hint="eastAsia" w:ascii="宋体" w:hAnsi="宋体" w:cs="宋体"/>
                <w:b/>
                <w:bCs/>
                <w:sz w:val="24"/>
                <w:u w:val="single"/>
              </w:rPr>
              <w:t>中小</w:t>
            </w:r>
            <w:r>
              <w:rPr>
                <w:rFonts w:hint="eastAsia" w:ascii="宋体" w:hAnsi="宋体" w:cs="宋体"/>
                <w:b/>
                <w:bCs/>
                <w:sz w:val="24"/>
                <w:u w:val="single"/>
                <w:lang w:val="zh-CN"/>
              </w:rPr>
              <w:t>企业采购，不进行价格扣除或价格分加分。</w:t>
            </w:r>
          </w:p>
        </w:tc>
        <w:tc>
          <w:tcPr>
            <w:tcW w:w="709" w:type="dxa"/>
            <w:vAlign w:val="center"/>
          </w:tcPr>
          <w:p>
            <w:pPr>
              <w:snapToGrid w:val="0"/>
              <w:jc w:val="center"/>
              <w:outlineLvl w:val="0"/>
              <w:rPr>
                <w:rFonts w:ascii="宋体" w:hAnsi="宋体" w:cs="宋体"/>
                <w:bCs/>
                <w:sz w:val="24"/>
              </w:rPr>
            </w:pPr>
            <w:r>
              <w:rPr>
                <w:rFonts w:hint="eastAsia" w:ascii="宋体" w:hAnsi="宋体" w:cs="宋体"/>
                <w:bCs/>
                <w:sz w:val="24"/>
              </w:rPr>
              <w:t>30</w:t>
            </w:r>
          </w:p>
        </w:tc>
        <w:tc>
          <w:tcPr>
            <w:tcW w:w="1298" w:type="dxa"/>
            <w:vAlign w:val="center"/>
          </w:tcPr>
          <w:p>
            <w:pPr>
              <w:snapToGrid w:val="0"/>
              <w:jc w:val="center"/>
              <w:outlineLvl w:val="0"/>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9" w:type="dxa"/>
            <w:vAlign w:val="center"/>
          </w:tcPr>
          <w:p>
            <w:pPr>
              <w:snapToGrid w:val="0"/>
              <w:ind w:firstLine="240" w:firstLineChars="100"/>
              <w:outlineLvl w:val="0"/>
              <w:rPr>
                <w:rFonts w:ascii="宋体" w:hAnsi="宋体" w:cs="宋体"/>
                <w:sz w:val="24"/>
              </w:rPr>
            </w:pPr>
          </w:p>
        </w:tc>
        <w:tc>
          <w:tcPr>
            <w:tcW w:w="976" w:type="dxa"/>
            <w:vAlign w:val="center"/>
          </w:tcPr>
          <w:p>
            <w:pPr>
              <w:snapToGrid w:val="0"/>
              <w:ind w:firstLine="240" w:firstLineChars="100"/>
              <w:outlineLvl w:val="0"/>
              <w:rPr>
                <w:rFonts w:ascii="宋体" w:hAnsi="宋体" w:cs="宋体"/>
                <w:sz w:val="24"/>
              </w:rPr>
            </w:pPr>
          </w:p>
        </w:tc>
        <w:tc>
          <w:tcPr>
            <w:tcW w:w="7174" w:type="dxa"/>
            <w:vAlign w:val="center"/>
          </w:tcPr>
          <w:p>
            <w:pPr>
              <w:widowControl/>
              <w:shd w:val="clear" w:color="auto" w:fill="FFFFFF"/>
              <w:adjustRightInd/>
              <w:snapToGrid w:val="0"/>
              <w:ind w:firstLine="420"/>
              <w:rPr>
                <w:rFonts w:ascii="宋体" w:hAnsi="宋体" w:cs="宋体"/>
                <w:sz w:val="24"/>
              </w:rPr>
            </w:pPr>
            <w:r>
              <w:rPr>
                <w:rFonts w:hint="eastAsia" w:ascii="宋体" w:hAnsi="宋体" w:cs="宋体"/>
                <w:sz w:val="24"/>
              </w:rPr>
              <w:t>注意：不得以特定金额的业绩作为评审因素</w:t>
            </w:r>
          </w:p>
        </w:tc>
        <w:tc>
          <w:tcPr>
            <w:tcW w:w="709" w:type="dxa"/>
            <w:vAlign w:val="center"/>
          </w:tcPr>
          <w:p>
            <w:pPr>
              <w:snapToGrid w:val="0"/>
              <w:ind w:firstLine="120" w:firstLineChars="50"/>
              <w:outlineLvl w:val="0"/>
              <w:rPr>
                <w:rFonts w:ascii="宋体" w:hAnsi="宋体" w:cs="宋体"/>
                <w:sz w:val="24"/>
              </w:rPr>
            </w:pPr>
          </w:p>
        </w:tc>
        <w:tc>
          <w:tcPr>
            <w:tcW w:w="1298" w:type="dxa"/>
            <w:vAlign w:val="center"/>
          </w:tcPr>
          <w:p>
            <w:pPr>
              <w:snapToGrid w:val="0"/>
              <w:jc w:val="center"/>
              <w:outlineLvl w:val="0"/>
              <w:rPr>
                <w:rFonts w:ascii="宋体" w:hAnsi="宋体" w:cs="宋体"/>
                <w:sz w:val="24"/>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29"/>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29"/>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29"/>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5"/>
        <w:snapToGrid w:val="0"/>
        <w:spacing w:line="360" w:lineRule="auto"/>
        <w:rPr>
          <w:rFonts w:cs="宋体"/>
        </w:rPr>
      </w:pPr>
      <w:r>
        <w:rPr>
          <w:rFonts w:hint="eastAsia" w:cs="宋体"/>
        </w:rPr>
        <w:t>5.1因情况变化，不再符合规定的竞争性磋商采购方式适用情形的；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5"/>
        <w:snapToGrid w:val="0"/>
        <w:spacing w:line="360" w:lineRule="auto"/>
        <w:rPr>
          <w:rFonts w:cs="宋体"/>
        </w:rPr>
      </w:pPr>
      <w:r>
        <w:rPr>
          <w:rFonts w:hint="eastAsia" w:cs="宋体"/>
        </w:rPr>
        <w:t>6.1未确定成交供应商的，终止本次政府采购活动，重新开展政府采购活动。</w:t>
      </w:r>
    </w:p>
    <w:p>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6.4政府采购合同已经履行，给采购人、供应商造成损失的，由责任人承担赔偿责任。</w:t>
      </w:r>
    </w:p>
    <w:p>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406" w:name="第五部分"/>
      <w:bookmarkStart w:id="407" w:name="_Toc86217003"/>
      <w:r>
        <w:rPr>
          <w:rFonts w:hint="eastAsia" w:ascii="宋体" w:hAnsi="宋体" w:cs="宋体"/>
          <w:b/>
          <w:sz w:val="36"/>
          <w:szCs w:val="36"/>
        </w:rPr>
        <w:t>第五部分 拟签订的合同文本</w:t>
      </w:r>
    </w:p>
    <w:p>
      <w:pPr>
        <w:snapToGrid w:val="0"/>
        <w:spacing w:line="360" w:lineRule="auto"/>
        <w:rPr>
          <w:rFonts w:ascii="宋体" w:hAnsi="宋体" w:cs="宋体"/>
          <w:color w:val="000000"/>
          <w:sz w:val="24"/>
        </w:rPr>
      </w:pPr>
      <w:bookmarkStart w:id="408" w:name="_Toc351203652"/>
      <w:r>
        <w:rPr>
          <w:rFonts w:hint="eastAsia" w:ascii="宋体" w:hAnsi="宋体" w:cs="宋体"/>
          <w:color w:val="000000"/>
          <w:sz w:val="24"/>
        </w:rPr>
        <w:t>合同号:_____________</w:t>
      </w:r>
    </w:p>
    <w:p>
      <w:pPr>
        <w:snapToGrid w:val="0"/>
        <w:spacing w:line="360" w:lineRule="auto"/>
        <w:rPr>
          <w:rFonts w:ascii="宋体" w:hAnsi="宋体" w:cs="宋体"/>
          <w:color w:val="000000"/>
          <w:sz w:val="24"/>
        </w:rPr>
      </w:pPr>
      <w:r>
        <w:rPr>
          <w:rFonts w:hint="eastAsia" w:ascii="宋体" w:hAnsi="宋体" w:cs="宋体"/>
          <w:color w:val="000000"/>
          <w:sz w:val="24"/>
        </w:rPr>
        <w:t>项目发包人：</w:t>
      </w:r>
      <w:r>
        <w:rPr>
          <w:rFonts w:hint="eastAsia" w:ascii="宋体" w:hAnsi="宋体" w:cs="宋体"/>
          <w:color w:val="000000"/>
          <w:sz w:val="24"/>
          <w:u w:val="single"/>
        </w:rPr>
        <w:t xml:space="preserve">杭州市第三人民医院   </w:t>
      </w:r>
      <w:r>
        <w:rPr>
          <w:rFonts w:hint="eastAsia" w:ascii="宋体" w:hAnsi="宋体" w:cs="宋体"/>
          <w:color w:val="000000"/>
          <w:sz w:val="24"/>
        </w:rPr>
        <w:t>（以下简称甲方）</w:t>
      </w:r>
    </w:p>
    <w:p>
      <w:pPr>
        <w:snapToGrid w:val="0"/>
        <w:spacing w:line="360" w:lineRule="auto"/>
        <w:rPr>
          <w:rFonts w:ascii="宋体" w:hAnsi="宋体" w:cs="宋体"/>
          <w:color w:val="000000"/>
          <w:sz w:val="24"/>
        </w:rPr>
      </w:pPr>
      <w:r>
        <w:rPr>
          <w:rFonts w:hint="eastAsia" w:ascii="宋体" w:hAnsi="宋体" w:cs="宋体"/>
          <w:color w:val="000000"/>
          <w:sz w:val="24"/>
        </w:rPr>
        <w:t>项目承包人：</w:t>
      </w:r>
      <w:r>
        <w:rPr>
          <w:rFonts w:hint="eastAsia" w:ascii="宋体" w:hAnsi="宋体" w:cs="宋体"/>
          <w:color w:val="000000"/>
          <w:sz w:val="24"/>
          <w:u w:val="single"/>
        </w:rPr>
        <w:t xml:space="preserve">                           </w:t>
      </w:r>
      <w:r>
        <w:rPr>
          <w:rFonts w:hint="eastAsia" w:ascii="宋体" w:hAnsi="宋体" w:cs="宋体"/>
          <w:color w:val="000000"/>
          <w:sz w:val="24"/>
        </w:rPr>
        <w:t>（以下简称乙方）</w:t>
      </w:r>
    </w:p>
    <w:p>
      <w:pPr>
        <w:pStyle w:val="5"/>
        <w:snapToGrid w:val="0"/>
        <w:spacing w:line="360" w:lineRule="auto"/>
        <w:ind w:firstLine="480" w:firstLineChars="200"/>
        <w:rPr>
          <w:rFonts w:hAnsi="宋体" w:cs="宋体"/>
          <w:color w:val="000000"/>
          <w:sz w:val="24"/>
          <w:szCs w:val="24"/>
        </w:rPr>
      </w:pPr>
      <w:r>
        <w:rPr>
          <w:rFonts w:hint="eastAsia" w:hAnsi="宋体" w:cs="宋体"/>
          <w:color w:val="000000"/>
          <w:sz w:val="24"/>
          <w:szCs w:val="24"/>
        </w:rPr>
        <w:t>甲、乙双方根据有关法律规定，本着友好合作、协商一致的原则，就乙方承包甲方小额零星设施维修</w:t>
      </w:r>
      <w:r>
        <w:rPr>
          <w:rFonts w:hint="eastAsia" w:hAnsi="宋体"/>
          <w:sz w:val="24"/>
        </w:rPr>
        <w:t>、工程修缮项目</w:t>
      </w:r>
      <w:r>
        <w:rPr>
          <w:rFonts w:hAnsi="宋体" w:cs="宋体"/>
          <w:color w:val="000000"/>
          <w:sz w:val="24"/>
          <w:szCs w:val="24"/>
        </w:rPr>
        <w:t>的</w:t>
      </w:r>
      <w:r>
        <w:rPr>
          <w:rFonts w:hint="eastAsia" w:hAnsi="宋体" w:cs="宋体"/>
          <w:color w:val="000000"/>
          <w:sz w:val="24"/>
          <w:szCs w:val="24"/>
        </w:rPr>
        <w:t>有关事宜达成协议如下：</w:t>
      </w:r>
    </w:p>
    <w:p>
      <w:pPr>
        <w:pStyle w:val="5"/>
        <w:snapToGrid w:val="0"/>
        <w:spacing w:line="360" w:lineRule="auto"/>
        <w:rPr>
          <w:rFonts w:hAnsi="宋体" w:cs="宋体"/>
          <w:b/>
          <w:color w:val="000000"/>
          <w:sz w:val="24"/>
          <w:szCs w:val="24"/>
        </w:rPr>
      </w:pPr>
      <w:r>
        <w:rPr>
          <w:rFonts w:hint="eastAsia" w:hAnsi="宋体" w:cs="宋体"/>
          <w:b/>
          <w:color w:val="000000"/>
          <w:sz w:val="24"/>
          <w:szCs w:val="24"/>
        </w:rPr>
        <w:t>一、承包范围和要求：</w:t>
      </w:r>
    </w:p>
    <w:p>
      <w:pPr>
        <w:pStyle w:val="5"/>
        <w:snapToGrid w:val="0"/>
        <w:spacing w:line="360" w:lineRule="auto"/>
        <w:ind w:firstLine="360" w:firstLineChars="150"/>
        <w:rPr>
          <w:rFonts w:hAnsi="宋体" w:cs="宋体"/>
          <w:color w:val="000000"/>
          <w:sz w:val="24"/>
          <w:szCs w:val="24"/>
        </w:rPr>
      </w:pPr>
      <w:r>
        <w:rPr>
          <w:rFonts w:hint="eastAsia" w:hAnsi="宋体" w:cs="宋体"/>
          <w:color w:val="000000"/>
          <w:sz w:val="24"/>
          <w:szCs w:val="24"/>
        </w:rPr>
        <w:t>1、承包区域和要求：杭州市第三人民医院</w:t>
      </w:r>
      <w:r>
        <w:rPr>
          <w:rFonts w:hAnsi="宋体" w:cs="宋体"/>
          <w:sz w:val="24"/>
          <w:szCs w:val="24"/>
        </w:rPr>
        <w:t>内</w:t>
      </w:r>
      <w:r>
        <w:rPr>
          <w:rFonts w:hint="eastAsia" w:hAnsi="宋体" w:cs="宋体"/>
          <w:color w:val="000000"/>
          <w:sz w:val="24"/>
          <w:szCs w:val="24"/>
        </w:rPr>
        <w:t>，质量要求符合（工程施工质量验收规范）合格标准，如对工程质量有不同质量验收规范的，以验收规范较为严格的执行。</w:t>
      </w:r>
    </w:p>
    <w:p>
      <w:pPr>
        <w:pStyle w:val="5"/>
        <w:snapToGrid w:val="0"/>
        <w:spacing w:line="360" w:lineRule="auto"/>
        <w:ind w:firstLine="360" w:firstLineChars="150"/>
        <w:rPr>
          <w:rFonts w:hint="eastAsia" w:hAnsi="宋体" w:eastAsia="宋体" w:cs="宋体"/>
          <w:color w:val="000000"/>
          <w:sz w:val="24"/>
          <w:szCs w:val="24"/>
          <w:lang w:eastAsia="zh-CN"/>
        </w:rPr>
      </w:pPr>
      <w:r>
        <w:rPr>
          <w:rFonts w:hint="eastAsia" w:hAnsi="宋体" w:cs="宋体"/>
          <w:color w:val="000000"/>
          <w:sz w:val="24"/>
          <w:szCs w:val="24"/>
        </w:rPr>
        <w:t>2、承包期限：______年______月______日至______年______月______日。</w:t>
      </w:r>
      <w:r>
        <w:rPr>
          <w:rFonts w:hint="eastAsia" w:hAnsi="宋体" w:cs="宋体"/>
          <w:color w:val="000000"/>
          <w:sz w:val="24"/>
          <w:szCs w:val="24"/>
          <w:lang w:eastAsia="zh-CN"/>
        </w:rPr>
        <w:t>（</w:t>
      </w:r>
      <w:r>
        <w:rPr>
          <w:rFonts w:hint="eastAsia" w:hAnsi="宋体" w:cs="宋体"/>
          <w:color w:val="000000"/>
          <w:sz w:val="24"/>
          <w:szCs w:val="24"/>
        </w:rPr>
        <w:t>在承包期限内，如累计结算金额已达合同总金额时，合同自动终止</w:t>
      </w:r>
      <w:r>
        <w:rPr>
          <w:rFonts w:hint="eastAsia" w:hAnsi="宋体" w:cs="宋体"/>
          <w:color w:val="000000"/>
          <w:sz w:val="24"/>
          <w:szCs w:val="24"/>
          <w:lang w:eastAsia="zh-CN"/>
        </w:rPr>
        <w:t>）</w:t>
      </w:r>
    </w:p>
    <w:p>
      <w:pPr>
        <w:pStyle w:val="5"/>
        <w:snapToGrid w:val="0"/>
        <w:spacing w:line="360" w:lineRule="auto"/>
        <w:ind w:firstLine="360" w:firstLineChars="150"/>
        <w:rPr>
          <w:rFonts w:hAnsi="宋体" w:cs="宋体"/>
          <w:color w:val="000000"/>
          <w:sz w:val="32"/>
          <w:szCs w:val="32"/>
          <w:highlight w:val="none"/>
        </w:rPr>
      </w:pPr>
      <w:r>
        <w:rPr>
          <w:rFonts w:hint="eastAsia"/>
          <w:sz w:val="24"/>
          <w:szCs w:val="24"/>
        </w:rPr>
        <w:t>3、工程质量保修期：单项工程，保</w:t>
      </w:r>
      <w:r>
        <w:rPr>
          <w:rFonts w:hint="eastAsia"/>
          <w:sz w:val="24"/>
          <w:szCs w:val="24"/>
          <w:highlight w:val="none"/>
        </w:rPr>
        <w:t>修期为</w:t>
      </w:r>
      <w:r>
        <w:rPr>
          <w:rFonts w:hint="eastAsia"/>
          <w:sz w:val="24"/>
          <w:szCs w:val="24"/>
          <w:highlight w:val="none"/>
          <w:lang w:val="en-US" w:eastAsia="zh-CN"/>
        </w:rPr>
        <w:t xml:space="preserve">二 </w:t>
      </w:r>
      <w:r>
        <w:rPr>
          <w:rFonts w:hint="eastAsia"/>
          <w:sz w:val="24"/>
          <w:szCs w:val="24"/>
          <w:highlight w:val="none"/>
        </w:rPr>
        <w:t>年；零星维修项目若出现质量问题无条件免费修复。采购文件未约定的工程内容的保修期按《建设工程质量管理条例》的规定。建设工程的保修期，自竣工验收合格之日起计算。</w:t>
      </w:r>
    </w:p>
    <w:p>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二、零星工程承包价格：</w:t>
      </w:r>
    </w:p>
    <w:p>
      <w:pPr>
        <w:pStyle w:val="968"/>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1、工程费用结算：</w:t>
      </w:r>
    </w:p>
    <w:p>
      <w:pPr>
        <w:pStyle w:val="968"/>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1.1结算依据：</w:t>
      </w:r>
    </w:p>
    <w:p>
      <w:pPr>
        <w:pStyle w:val="968"/>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（1）本工程施工现场，业主提供相关资料等；</w:t>
      </w:r>
    </w:p>
    <w:p>
      <w:pPr>
        <w:pStyle w:val="968"/>
        <w:snapToGrid w:val="0"/>
        <w:spacing w:line="360" w:lineRule="auto"/>
        <w:ind w:firstLine="480" w:firstLineChars="200"/>
        <w:rPr>
          <w:rFonts w:ascii="宋体" w:hAnsi="宋体" w:cs="宋体"/>
          <w:sz w:val="24"/>
        </w:rPr>
      </w:pPr>
      <w:r>
        <w:rPr>
          <w:rFonts w:hint="eastAsia" w:ascii="宋体" w:hAnsi="宋体" w:cs="宋体"/>
          <w:sz w:val="24"/>
          <w:highlight w:val="none"/>
        </w:rPr>
        <w:t>（2）《建设工程工程量清单计价规范》（GB 505</w:t>
      </w:r>
      <w:r>
        <w:rPr>
          <w:rFonts w:hint="eastAsia" w:ascii="宋体" w:hAnsi="宋体" w:cs="宋体"/>
          <w:sz w:val="24"/>
        </w:rPr>
        <w:t>00-2013）；</w:t>
      </w:r>
    </w:p>
    <w:p>
      <w:pPr>
        <w:pStyle w:val="968"/>
        <w:snapToGrid w:val="0"/>
        <w:spacing w:line="360" w:lineRule="auto"/>
        <w:ind w:firstLine="480" w:firstLineChars="200"/>
        <w:rPr>
          <w:rFonts w:ascii="宋体" w:hAnsi="宋体" w:cs="宋体"/>
          <w:sz w:val="24"/>
        </w:rPr>
      </w:pPr>
      <w:r>
        <w:rPr>
          <w:rFonts w:hint="eastAsia" w:ascii="宋体" w:hAnsi="宋体" w:cs="宋体"/>
          <w:sz w:val="24"/>
        </w:rPr>
        <w:t>（3）《杭州市建设工程工程量清单计价实施细则》（2018年修订）；</w:t>
      </w:r>
    </w:p>
    <w:p>
      <w:pPr>
        <w:pStyle w:val="968"/>
        <w:snapToGrid w:val="0"/>
        <w:spacing w:line="360" w:lineRule="auto"/>
        <w:ind w:firstLine="480" w:firstLineChars="200"/>
        <w:rPr>
          <w:rFonts w:ascii="宋体" w:hAnsi="宋体" w:cs="宋体"/>
          <w:sz w:val="24"/>
        </w:rPr>
      </w:pPr>
      <w:r>
        <w:rPr>
          <w:rFonts w:hint="eastAsia" w:ascii="宋体" w:hAnsi="宋体" w:cs="宋体"/>
          <w:sz w:val="24"/>
        </w:rPr>
        <w:t>（4）《房屋建筑与装饰工程工程量计算规范》（GB 50854-2013）；</w:t>
      </w:r>
    </w:p>
    <w:p>
      <w:pPr>
        <w:pStyle w:val="968"/>
        <w:snapToGrid w:val="0"/>
        <w:spacing w:line="360" w:lineRule="auto"/>
        <w:ind w:firstLine="480" w:firstLineChars="200"/>
        <w:rPr>
          <w:rFonts w:ascii="宋体" w:hAnsi="宋体" w:cs="宋体"/>
          <w:sz w:val="24"/>
        </w:rPr>
      </w:pPr>
      <w:r>
        <w:rPr>
          <w:rFonts w:hint="eastAsia" w:ascii="宋体" w:hAnsi="宋体" w:cs="宋体"/>
          <w:sz w:val="24"/>
        </w:rPr>
        <w:t>（5）《浙江省建设工程计价规则（2018版）》；</w:t>
      </w:r>
    </w:p>
    <w:p>
      <w:pPr>
        <w:pStyle w:val="968"/>
        <w:snapToGrid w:val="0"/>
        <w:spacing w:line="360" w:lineRule="auto"/>
        <w:ind w:firstLine="480" w:firstLineChars="200"/>
        <w:rPr>
          <w:rFonts w:ascii="宋体" w:hAnsi="宋体" w:cs="宋体"/>
          <w:sz w:val="24"/>
        </w:rPr>
      </w:pPr>
      <w:r>
        <w:rPr>
          <w:rFonts w:hint="eastAsia" w:ascii="宋体" w:hAnsi="宋体" w:cs="宋体"/>
          <w:sz w:val="24"/>
        </w:rPr>
        <w:t>（6）《浙江省房屋建筑与装饰工程预算定额》（2018版）；</w:t>
      </w:r>
    </w:p>
    <w:p>
      <w:pPr>
        <w:pStyle w:val="968"/>
        <w:snapToGrid w:val="0"/>
        <w:spacing w:line="360" w:lineRule="auto"/>
        <w:ind w:firstLine="480" w:firstLineChars="200"/>
        <w:rPr>
          <w:rFonts w:ascii="宋体" w:hAnsi="宋体" w:cs="宋体"/>
          <w:sz w:val="24"/>
        </w:rPr>
      </w:pPr>
      <w:r>
        <w:rPr>
          <w:rFonts w:hint="eastAsia" w:ascii="宋体" w:hAnsi="宋体" w:cs="宋体"/>
          <w:sz w:val="24"/>
        </w:rPr>
        <w:t>（7）《浙江省通用安装工程预算定额》（2018版）；</w:t>
      </w:r>
    </w:p>
    <w:p>
      <w:pPr>
        <w:pStyle w:val="968"/>
        <w:snapToGrid w:val="0"/>
        <w:spacing w:line="360" w:lineRule="auto"/>
        <w:ind w:firstLine="480" w:firstLineChars="200"/>
        <w:rPr>
          <w:rFonts w:ascii="宋体" w:hAnsi="宋体" w:cs="宋体"/>
          <w:sz w:val="24"/>
        </w:rPr>
      </w:pPr>
      <w:r>
        <w:rPr>
          <w:rFonts w:hint="eastAsia" w:ascii="宋体" w:hAnsi="宋体" w:cs="宋体"/>
          <w:sz w:val="24"/>
        </w:rPr>
        <w:t>（8）《浙江省市政工程预算定额》（2018版）；</w:t>
      </w:r>
    </w:p>
    <w:p>
      <w:pPr>
        <w:pStyle w:val="968"/>
        <w:snapToGrid w:val="0"/>
        <w:spacing w:line="360" w:lineRule="auto"/>
        <w:ind w:firstLine="480" w:firstLineChars="200"/>
        <w:rPr>
          <w:rFonts w:ascii="宋体" w:hAnsi="宋体" w:cs="宋体"/>
          <w:sz w:val="24"/>
        </w:rPr>
      </w:pPr>
      <w:r>
        <w:rPr>
          <w:rFonts w:hint="eastAsia" w:ascii="宋体" w:hAnsi="宋体" w:cs="宋体"/>
          <w:sz w:val="24"/>
        </w:rPr>
        <w:t>（9）《浙江省园林绿化及仿古建筑工程预算定额》（2018版）；</w:t>
      </w:r>
    </w:p>
    <w:p>
      <w:pPr>
        <w:pStyle w:val="968"/>
        <w:snapToGrid w:val="0"/>
        <w:spacing w:line="360" w:lineRule="auto"/>
        <w:ind w:firstLine="480" w:firstLineChars="200"/>
        <w:rPr>
          <w:rFonts w:ascii="宋体" w:hAnsi="宋体" w:cs="宋体"/>
          <w:sz w:val="24"/>
        </w:rPr>
      </w:pPr>
      <w:r>
        <w:rPr>
          <w:rFonts w:hint="eastAsia" w:ascii="宋体" w:hAnsi="宋体" w:cs="宋体"/>
          <w:sz w:val="24"/>
        </w:rPr>
        <w:t>（10） 关于颁发浙江省建设工程计价依据（2018版）的通知 浙建建（2018）61号；</w:t>
      </w:r>
    </w:p>
    <w:p>
      <w:pPr>
        <w:pStyle w:val="968"/>
        <w:snapToGrid w:val="0"/>
        <w:spacing w:line="360" w:lineRule="auto"/>
        <w:ind w:firstLine="480" w:firstLineChars="200"/>
        <w:rPr>
          <w:rFonts w:ascii="宋体" w:hAnsi="宋体" w:cs="宋体"/>
          <w:sz w:val="24"/>
        </w:rPr>
      </w:pPr>
      <w:r>
        <w:rPr>
          <w:rFonts w:hint="eastAsia" w:ascii="宋体" w:hAnsi="宋体" w:cs="宋体"/>
          <w:sz w:val="24"/>
        </w:rPr>
        <w:t>（11）关于增值税调整后我省建设工程计价依据增值税税率及有关计价系数调整的通知浙建建发[2019]92号；</w:t>
      </w:r>
    </w:p>
    <w:p>
      <w:pPr>
        <w:pStyle w:val="968"/>
        <w:snapToGrid w:val="0"/>
        <w:spacing w:line="360" w:lineRule="auto"/>
        <w:ind w:firstLine="480" w:firstLineChars="200"/>
        <w:rPr>
          <w:rFonts w:ascii="宋体" w:hAnsi="宋体" w:cs="宋体"/>
          <w:sz w:val="24"/>
        </w:rPr>
      </w:pPr>
      <w:r>
        <w:rPr>
          <w:rFonts w:hint="eastAsia" w:ascii="宋体" w:hAnsi="宋体" w:cs="宋体"/>
          <w:sz w:val="24"/>
        </w:rPr>
        <w:t>（12）杭渣土领[2020]1号-关于发布杭州市工程渣土消纳市场信息价的通知；</w:t>
      </w:r>
    </w:p>
    <w:p>
      <w:pPr>
        <w:pStyle w:val="968"/>
        <w:snapToGrid w:val="0"/>
        <w:spacing w:line="360" w:lineRule="auto"/>
        <w:ind w:firstLine="480" w:firstLineChars="200"/>
        <w:rPr>
          <w:rFonts w:ascii="宋体" w:hAnsi="宋体" w:cs="宋体"/>
          <w:sz w:val="24"/>
        </w:rPr>
      </w:pPr>
      <w:r>
        <w:rPr>
          <w:rFonts w:hint="eastAsia" w:ascii="宋体" w:hAnsi="宋体" w:cs="宋体"/>
          <w:sz w:val="24"/>
        </w:rPr>
        <w:t>（13）《杭州市城乡建设委员会关于推进杭州市建筑施工领域安全生产责任保险工作的通知》（杭建工发〔2021〕384号）、《关于明确杭州市建筑施工领域安全生产责任保险费用计取的通知》。</w:t>
      </w:r>
    </w:p>
    <w:p>
      <w:pPr>
        <w:pStyle w:val="968"/>
        <w:snapToGrid w:val="0"/>
        <w:spacing w:line="360" w:lineRule="auto"/>
        <w:ind w:firstLine="480" w:firstLineChars="200"/>
        <w:rPr>
          <w:rFonts w:ascii="宋体" w:hAnsi="宋体" w:cs="宋体"/>
          <w:sz w:val="24"/>
        </w:rPr>
      </w:pPr>
      <w:r>
        <w:rPr>
          <w:rFonts w:hint="eastAsia" w:ascii="宋体" w:hAnsi="宋体" w:cs="宋体"/>
          <w:sz w:val="24"/>
        </w:rPr>
        <w:t>（14）《浙建建发〔2022〕37号 省建设厅关于调整建筑工程安全文明施工费的通知》；</w:t>
      </w:r>
    </w:p>
    <w:p>
      <w:pPr>
        <w:pStyle w:val="968"/>
        <w:snapToGrid w:val="0"/>
        <w:spacing w:line="360" w:lineRule="auto"/>
        <w:ind w:firstLine="480" w:firstLineChars="200"/>
        <w:rPr>
          <w:rFonts w:ascii="宋体" w:hAnsi="宋体" w:cs="宋体"/>
          <w:sz w:val="24"/>
        </w:rPr>
      </w:pPr>
      <w:r>
        <w:rPr>
          <w:rFonts w:hint="eastAsia" w:ascii="宋体" w:hAnsi="宋体" w:cs="宋体"/>
          <w:sz w:val="24"/>
        </w:rPr>
        <w:t>（15）与本工程有关的标准、规范、技术资料；</w:t>
      </w:r>
    </w:p>
    <w:p>
      <w:pPr>
        <w:pStyle w:val="968"/>
        <w:snapToGrid w:val="0"/>
        <w:spacing w:line="360" w:lineRule="auto"/>
        <w:ind w:firstLine="480" w:firstLineChars="200"/>
        <w:rPr>
          <w:rFonts w:ascii="宋体" w:hAnsi="宋体" w:cs="宋体"/>
          <w:sz w:val="24"/>
        </w:rPr>
      </w:pPr>
      <w:r>
        <w:rPr>
          <w:rFonts w:hint="eastAsia" w:ascii="宋体" w:hAnsi="宋体" w:cs="宋体"/>
          <w:sz w:val="24"/>
        </w:rPr>
        <w:t>（16）项目清单编制过程中图纸疑问、答疑纪要及各方回复；</w:t>
      </w:r>
    </w:p>
    <w:p>
      <w:pPr>
        <w:pStyle w:val="968"/>
        <w:snapToGrid w:val="0"/>
        <w:spacing w:line="360" w:lineRule="auto"/>
        <w:ind w:firstLine="480" w:firstLineChars="200"/>
        <w:rPr>
          <w:rFonts w:ascii="宋体" w:hAnsi="宋体" w:eastAsia="宋体" w:cs="宋体"/>
          <w:color w:val="000000"/>
          <w:sz w:val="24"/>
          <w:szCs w:val="24"/>
        </w:rPr>
      </w:pPr>
      <w:r>
        <w:rPr>
          <w:rFonts w:hint="eastAsia" w:ascii="宋体" w:hAnsi="宋体" w:cs="宋体"/>
          <w:sz w:val="24"/>
        </w:rPr>
        <w:t>（17）其他相关资料。</w:t>
      </w:r>
    </w:p>
    <w:p>
      <w:pPr>
        <w:pStyle w:val="968"/>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1.2编制原则：工程量清单综合单价法；</w:t>
      </w:r>
    </w:p>
    <w:p>
      <w:pPr>
        <w:pStyle w:val="968"/>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1.3</w:t>
      </w:r>
      <w:r>
        <w:rPr>
          <w:rFonts w:hint="eastAsia" w:ascii="宋体" w:hAnsi="宋体" w:eastAsia="宋体" w:cs="宋体"/>
          <w:sz w:val="24"/>
          <w:szCs w:val="24"/>
        </w:rPr>
        <w:t>工程类别：</w:t>
      </w:r>
      <w:r>
        <w:rPr>
          <w:rFonts w:hint="eastAsia" w:ascii="宋体" w:hAnsi="宋体" w:cs="宋体"/>
          <w:sz w:val="24"/>
        </w:rPr>
        <w:t>根据实际项目特征划分</w:t>
      </w:r>
      <w:r>
        <w:rPr>
          <w:rFonts w:hint="eastAsia" w:ascii="宋体" w:hAnsi="宋体" w:eastAsia="宋体" w:cs="宋体"/>
          <w:color w:val="000000"/>
          <w:sz w:val="24"/>
          <w:szCs w:val="24"/>
        </w:rPr>
        <w:t>；</w:t>
      </w:r>
    </w:p>
    <w:p>
      <w:pPr>
        <w:snapToGrid w:val="0"/>
        <w:spacing w:line="360" w:lineRule="auto"/>
        <w:ind w:firstLine="480" w:firstLineChars="200"/>
        <w:rPr>
          <w:rFonts w:ascii="宋体" w:hAnsi="宋体"/>
          <w:sz w:val="24"/>
        </w:rPr>
      </w:pPr>
      <w:r>
        <w:rPr>
          <w:rFonts w:hint="eastAsia" w:ascii="宋体" w:hAnsi="宋体"/>
          <w:sz w:val="24"/>
        </w:rPr>
        <w:t>1.4关于施工组织措施费、规费及税金等费用的要求：采用"增值税一般计税方法"</w:t>
      </w:r>
    </w:p>
    <w:p>
      <w:pPr>
        <w:snapToGrid w:val="0"/>
        <w:spacing w:line="360" w:lineRule="auto"/>
        <w:ind w:firstLine="480" w:firstLineChars="200"/>
        <w:rPr>
          <w:rFonts w:ascii="宋体" w:hAnsi="宋体"/>
          <w:sz w:val="24"/>
        </w:rPr>
      </w:pPr>
      <w:r>
        <w:rPr>
          <w:rFonts w:hint="eastAsia" w:ascii="宋体" w:hAnsi="宋体"/>
          <w:sz w:val="24"/>
        </w:rPr>
        <w:t>1.4.1安全文明施工费按照《浙建建发〔2022〕37号 省建设厅关于调整建筑工程安全文明施工费的通知》要求，安全文明施工基本费按照《浙江省建设工程计价规则（2018版）》的费率乘以1.15系数，根据2018版定额计价规则的相关规定，投标报价不得低于规定费率的下限，本工程按市区工程计取，取费基数为：人工费+机械费；费率如下：单独装饰工程为5.91%、安装工程为7.35%；</w:t>
      </w:r>
    </w:p>
    <w:p>
      <w:pPr>
        <w:snapToGrid w:val="0"/>
        <w:spacing w:line="360" w:lineRule="auto"/>
        <w:ind w:firstLine="480" w:firstLineChars="200"/>
        <w:rPr>
          <w:rFonts w:ascii="宋体" w:hAnsi="宋体"/>
          <w:sz w:val="24"/>
        </w:rPr>
      </w:pPr>
      <w:r>
        <w:rPr>
          <w:rFonts w:hint="eastAsia" w:ascii="宋体" w:hAnsi="宋体"/>
          <w:sz w:val="24"/>
        </w:rPr>
        <w:t>1.4.2企业管理费中应包括施工企业现场监控和现场临时宿舍取暖降温费用，以及施工企业对建筑以及材料、构件和建筑安装物进行的一般鉴定、检查所发生的检验试验费等相关费用；为保障工程质量和安全，企业管理费报价不得低于省建设行政主管部门颁发的《浙江省建设工程计价规则》企业管理费弹性费率下限乘以20%的计算值，本工程为单独装饰工程，企业管理费取费基数均为“人工费+机械费”，最低费率不得低于相应弹性费率下限值（即单独装饰工程为11.37%、安装工程为16.29%；）乘以20%（即单独装饰工程为2.274%、安装工程为3.258%）。同时，乙方必须对企业管理费中所包含的施工企业的现场监控（如有）、现场临时宿舍取暖降温费用（如有），在相应的清单明细表中（表2-5）进行单独费用报价分析。</w:t>
      </w:r>
    </w:p>
    <w:p>
      <w:pPr>
        <w:snapToGrid w:val="0"/>
        <w:spacing w:line="360" w:lineRule="auto"/>
        <w:ind w:firstLine="480" w:firstLineChars="200"/>
        <w:rPr>
          <w:rFonts w:ascii="宋体" w:hAnsi="宋体"/>
          <w:sz w:val="24"/>
        </w:rPr>
      </w:pPr>
      <w:r>
        <w:rPr>
          <w:rFonts w:hint="eastAsia" w:ascii="宋体" w:hAnsi="宋体"/>
          <w:sz w:val="24"/>
        </w:rPr>
        <w:t>1.4.3规费取费基数为：人工费+机械费；取费费率：单独装饰工程27.92%、安装工程30.63%，政策平稳期内不得低于标准费率的30%。</w:t>
      </w:r>
    </w:p>
    <w:p>
      <w:pPr>
        <w:snapToGrid w:val="0"/>
        <w:spacing w:line="360" w:lineRule="auto"/>
        <w:ind w:firstLine="360" w:firstLineChars="150"/>
        <w:rPr>
          <w:rFonts w:ascii="宋体" w:hAnsi="宋体"/>
          <w:sz w:val="24"/>
        </w:rPr>
      </w:pPr>
      <w:r>
        <w:rPr>
          <w:rFonts w:hint="eastAsia" w:ascii="宋体" w:hAnsi="宋体"/>
          <w:sz w:val="24"/>
        </w:rPr>
        <w:t>1.4.4税金费率按照浙建建发[2019]92号《关于增值税调整后我省建设工程计价依据增值税税率及有关计价系数调整的通知》计取，取费基数为分部分项工程费+措施项目费+其他项目费+规费，本项目采用一般计税法，费率为9%。</w:t>
      </w:r>
    </w:p>
    <w:p>
      <w:pPr>
        <w:snapToGrid w:val="0"/>
        <w:spacing w:line="360" w:lineRule="auto"/>
        <w:ind w:firstLine="480" w:firstLineChars="200"/>
        <w:rPr>
          <w:rFonts w:ascii="宋体" w:hAnsi="宋体"/>
          <w:sz w:val="24"/>
        </w:rPr>
      </w:pPr>
      <w:r>
        <w:rPr>
          <w:rFonts w:hint="eastAsia" w:ascii="宋体" w:hAnsi="宋体"/>
          <w:sz w:val="24"/>
        </w:rPr>
        <w:t>1.5危险作业意外伤害保险费不另计取，由乙方在磋商报价时考虑；</w:t>
      </w:r>
    </w:p>
    <w:p>
      <w:pPr>
        <w:snapToGrid w:val="0"/>
        <w:spacing w:line="360" w:lineRule="auto"/>
        <w:ind w:firstLine="480" w:firstLineChars="200"/>
        <w:rPr>
          <w:rFonts w:ascii="宋体" w:hAnsi="宋体"/>
          <w:sz w:val="24"/>
        </w:rPr>
      </w:pPr>
      <w:r>
        <w:rPr>
          <w:rFonts w:hint="eastAsia" w:ascii="宋体" w:hAnsi="宋体"/>
          <w:sz w:val="24"/>
        </w:rPr>
        <w:t>1.6风险费用不另计取，由乙方已在磋商报价时考虑；</w:t>
      </w:r>
    </w:p>
    <w:p>
      <w:pPr>
        <w:snapToGrid w:val="0"/>
        <w:spacing w:line="360" w:lineRule="auto"/>
        <w:ind w:firstLine="480" w:firstLineChars="200"/>
        <w:rPr>
          <w:rFonts w:ascii="宋体" w:hAnsi="宋体"/>
          <w:sz w:val="24"/>
        </w:rPr>
      </w:pPr>
      <w:r>
        <w:rPr>
          <w:rFonts w:hint="eastAsia" w:ascii="宋体" w:hAnsi="宋体"/>
          <w:sz w:val="24"/>
        </w:rPr>
        <w:t>1.7乙供材料价格：（1）有相同投标价的执行投标价，无相同项目但有类似项目，参照类似项目的单价确定（a、模拟工程量清单中项目特征或工程内容发生部分变更时，应以原综合单位为基础，仅就变更部门相应定额子母调整综合单价；b、模拟工程量清单中主材变更，则仅调整其主材价差价，其主材单价的确定，按有信息价的参考信息价，无信息价的乙方参照同期同类材料市场价格水平、投标报价水平等因素，向甲方报价，甲方初步认可后施工，最终价格由审计单位根据当时市场价审定确定）；（2）无投标价也无类似项目的按开工日杭州市正刊“不含进项税市场信息价”计取，如杭州市无信息价则参考浙江省信息价；（3）对当地信息价正刊没有公布的材料，同时也不在投标价中的材料，乙方请参照同期同类材料市场价格水平、投标报价水平等因素，向甲方报价，甲方初步认可后施工，最终价格由审计单位根据当时市场价审定确定。1.8垃圾清运费，倾倒至政府规定合法地点，运距自行考虑（含消纳费）；</w:t>
      </w:r>
    </w:p>
    <w:p>
      <w:pPr>
        <w:autoSpaceDE w:val="0"/>
        <w:autoSpaceDN w:val="0"/>
        <w:snapToGrid w:val="0"/>
        <w:spacing w:line="360" w:lineRule="auto"/>
        <w:ind w:firstLine="480" w:firstLineChars="200"/>
        <w:textAlignment w:val="bottom"/>
        <w:rPr>
          <w:rFonts w:ascii="宋体" w:hAnsi="宋体"/>
          <w:sz w:val="24"/>
        </w:rPr>
      </w:pPr>
      <w:r>
        <w:rPr>
          <w:rFonts w:hint="eastAsia" w:ascii="宋体" w:hAnsi="宋体"/>
          <w:sz w:val="24"/>
        </w:rPr>
        <w:t>1.9工程量有施工图纸的按施工图纸计算，无施工图纸的由施工单位出施工图并经甲方审核后按施工图纸计算，不能出施工图纸的，由审计单位、施工单位共同按现场实际测量进行结算。</w:t>
      </w:r>
    </w:p>
    <w:p>
      <w:pPr>
        <w:snapToGrid w:val="0"/>
        <w:spacing w:line="360" w:lineRule="auto"/>
        <w:ind w:firstLine="480" w:firstLineChars="200"/>
        <w:rPr>
          <w:rFonts w:ascii="宋体" w:hAnsi="宋体"/>
          <w:sz w:val="24"/>
        </w:rPr>
      </w:pPr>
      <w:r>
        <w:rPr>
          <w:rFonts w:hint="eastAsia" w:ascii="宋体" w:hAnsi="宋体"/>
          <w:sz w:val="24"/>
        </w:rPr>
        <w:t>2、项目实施与结算：乙方在施工前期需先提交工程量清单与报价，甲方针对报价价格进行医院审批流程，审批通过后施工，施工完成后每3个月递交工程量总清单并进行结算，最终价格以审计单位根据“工程造价编制口径”进行结算审计，最终价格以审计单位审定为准。</w:t>
      </w:r>
    </w:p>
    <w:p>
      <w:pPr>
        <w:snapToGrid w:val="0"/>
        <w:spacing w:line="440" w:lineRule="exact"/>
        <w:rPr>
          <w:rFonts w:ascii="宋体" w:hAnsi="宋体" w:cs="Arial"/>
          <w:sz w:val="24"/>
        </w:rPr>
      </w:pPr>
      <w:r>
        <w:rPr>
          <w:rFonts w:hint="eastAsia" w:ascii="宋体" w:hAnsi="宋体" w:cs="Arial"/>
          <w:b/>
          <w:sz w:val="24"/>
        </w:rPr>
        <w:t>三、履约保证金</w:t>
      </w:r>
    </w:p>
    <w:p>
      <w:pPr>
        <w:snapToGrid w:val="0"/>
        <w:spacing w:line="440" w:lineRule="exact"/>
        <w:ind w:firstLine="480" w:firstLineChars="200"/>
        <w:rPr>
          <w:rFonts w:ascii="宋体" w:hAnsi="宋体" w:cs="Arial"/>
          <w:sz w:val="24"/>
        </w:rPr>
      </w:pPr>
      <w:r>
        <w:rPr>
          <w:rFonts w:hint="eastAsia" w:ascii="宋体" w:hAnsi="宋体" w:cs="Arial"/>
          <w:sz w:val="24"/>
        </w:rPr>
        <w:t>1、乙方必须在签订承包合同后七天内支付甲方履约保证金</w:t>
      </w:r>
      <w:r>
        <w:rPr>
          <w:rFonts w:hint="eastAsia" w:ascii="宋体" w:hAnsi="宋体" w:cs="Arial"/>
          <w:sz w:val="24"/>
          <w:u w:val="single"/>
        </w:rPr>
        <w:t xml:space="preserve">  万元</w:t>
      </w:r>
      <w:r>
        <w:rPr>
          <w:rFonts w:hint="eastAsia" w:ascii="宋体" w:hAnsi="宋体" w:cs="Arial"/>
          <w:sz w:val="24"/>
        </w:rPr>
        <w:t>人民币</w:t>
      </w:r>
      <w:r>
        <w:rPr>
          <w:rFonts w:hint="eastAsia" w:ascii="宋体" w:hAnsi="宋体" w:cs="Arial"/>
          <w:sz w:val="24"/>
          <w:lang w:eastAsia="zh-CN"/>
        </w:rPr>
        <w:t>（</w:t>
      </w:r>
      <w:r>
        <w:rPr>
          <w:rFonts w:hint="eastAsia" w:ascii="宋体" w:hAnsi="宋体" w:cs="Arial"/>
          <w:sz w:val="24"/>
          <w:lang w:val="en-US" w:eastAsia="zh-CN"/>
        </w:rPr>
        <w:t>合同总金额的1%</w:t>
      </w:r>
      <w:r>
        <w:rPr>
          <w:rFonts w:hint="eastAsia" w:ascii="宋体" w:hAnsi="宋体" w:cs="Arial"/>
          <w:sz w:val="24"/>
          <w:lang w:eastAsia="zh-CN"/>
        </w:rPr>
        <w:t>）</w:t>
      </w:r>
      <w:r>
        <w:rPr>
          <w:rFonts w:hint="eastAsia" w:ascii="宋体" w:hAnsi="宋体" w:cs="Arial"/>
          <w:sz w:val="24"/>
        </w:rPr>
        <w:t>，以保证乙方遵守本合同的一切条款、条件和承诺，该保证金在甲方的规定存续期间不计息。</w:t>
      </w:r>
    </w:p>
    <w:p>
      <w:pPr>
        <w:snapToGrid w:val="0"/>
        <w:spacing w:line="440" w:lineRule="exact"/>
        <w:ind w:firstLine="480" w:firstLineChars="200"/>
        <w:rPr>
          <w:rFonts w:ascii="宋体" w:hAnsi="宋体" w:cs="Arial"/>
          <w:sz w:val="24"/>
        </w:rPr>
      </w:pPr>
      <w:r>
        <w:rPr>
          <w:rFonts w:hint="eastAsia" w:ascii="宋体" w:hAnsi="宋体" w:cs="Arial"/>
          <w:sz w:val="24"/>
        </w:rPr>
        <w:t>2、甲方在任何时候都有权从履约保证金中扣除用于修复乙方损坏甲方的设备、设施、场地或因乙方违约而导致损失的金额或违约金，且乙方应在接到扣除履约保证金通知后一周内补足扣除差额，保证承包期间履约保证金的总额为</w:t>
      </w:r>
      <w:r>
        <w:rPr>
          <w:rFonts w:hint="eastAsia" w:ascii="宋体" w:hAnsi="宋体" w:cs="Arial"/>
          <w:sz w:val="24"/>
          <w:u w:val="single"/>
        </w:rPr>
        <w:t xml:space="preserve">     </w:t>
      </w:r>
      <w:r>
        <w:rPr>
          <w:rFonts w:hint="eastAsia" w:ascii="宋体" w:hAnsi="宋体" w:cs="Arial"/>
          <w:sz w:val="24"/>
        </w:rPr>
        <w:t>万元。</w:t>
      </w:r>
    </w:p>
    <w:p>
      <w:pPr>
        <w:snapToGrid w:val="0"/>
        <w:spacing w:line="440" w:lineRule="exact"/>
        <w:ind w:firstLine="480" w:firstLineChars="200"/>
        <w:rPr>
          <w:sz w:val="24"/>
        </w:rPr>
      </w:pPr>
      <w:r>
        <w:rPr>
          <w:rFonts w:hint="eastAsia" w:ascii="宋体" w:hAnsi="宋体" w:cs="Arial"/>
          <w:sz w:val="24"/>
        </w:rPr>
        <w:t>3、</w:t>
      </w:r>
      <w:r>
        <w:rPr>
          <w:rFonts w:hint="eastAsia"/>
          <w:sz w:val="24"/>
        </w:rPr>
        <w:t>乙方在合同期内单方面终止合同，或因乙方失误造成安全伤亡事故及纠纷，甲方有权扣除其部分或全部履约保证金。</w:t>
      </w:r>
    </w:p>
    <w:p>
      <w:pPr>
        <w:pStyle w:val="5"/>
        <w:spacing w:line="440" w:lineRule="exact"/>
        <w:ind w:firstLine="480" w:firstLineChars="200"/>
        <w:rPr>
          <w:rFonts w:hAnsi="宋体"/>
          <w:sz w:val="24"/>
        </w:rPr>
      </w:pPr>
      <w:r>
        <w:rPr>
          <w:rFonts w:hint="eastAsia" w:hAnsi="宋体"/>
          <w:sz w:val="24"/>
        </w:rPr>
        <w:t>4、履约保证金待最后一个单项零星维修工程质保期满后，扣除相应违约款或质量维修金后，无息退还。</w:t>
      </w:r>
    </w:p>
    <w:p/>
    <w:p>
      <w:pPr>
        <w:spacing w:line="440" w:lineRule="exact"/>
        <w:rPr>
          <w:rFonts w:ascii="宋体" w:hAnsi="宋体" w:cs="Arial"/>
          <w:b/>
          <w:sz w:val="24"/>
        </w:rPr>
      </w:pPr>
      <w:r>
        <w:rPr>
          <w:rFonts w:hint="eastAsia" w:ascii="宋体" w:hAnsi="宋体" w:cs="Arial"/>
          <w:b/>
          <w:sz w:val="24"/>
        </w:rPr>
        <w:t>四、甲、乙双方的义务</w:t>
      </w:r>
    </w:p>
    <w:p>
      <w:pPr>
        <w:spacing w:line="440" w:lineRule="exact"/>
        <w:ind w:firstLine="480" w:firstLineChars="200"/>
        <w:rPr>
          <w:rFonts w:ascii="宋体" w:hAnsi="宋体" w:cs="Arial"/>
          <w:bCs/>
          <w:sz w:val="24"/>
        </w:rPr>
      </w:pPr>
      <w:r>
        <w:rPr>
          <w:rFonts w:hint="eastAsia" w:ascii="宋体" w:hAnsi="宋体" w:cs="Arial"/>
          <w:bCs/>
          <w:sz w:val="24"/>
        </w:rPr>
        <w:t>1、乙方在进行户外作业施工前，必须对开挖区域进行实地勘察，楼宇内施工时必须挂牌上岗（项目经理、施工人员等全部施工人员），施工前必须先告知甲方施工科室负责人或工作人员，甲方特殊区域施工需根据特殊区域施工要求进行（例如实验区域等有洁净要求、必须在周末施工等），施工完成后及时清理现场，现场施工产生的建筑垃圾必须于3天内清理完毕，每延迟1天，扣款1000元，费用在履约保证金内扣除；延迟清理</w:t>
      </w:r>
      <w:r>
        <w:rPr>
          <w:rFonts w:hint="eastAsia" w:ascii="宋体" w:hAnsi="宋体" w:cs="Arial"/>
          <w:bCs/>
          <w:sz w:val="24"/>
          <w:highlight w:val="yellow"/>
        </w:rPr>
        <w:t>超过 10 天或累计延迟超过 3 次（含）的</w:t>
      </w:r>
      <w:r>
        <w:rPr>
          <w:rFonts w:hint="eastAsia" w:ascii="宋体" w:hAnsi="宋体" w:cs="Arial"/>
          <w:bCs/>
          <w:sz w:val="24"/>
        </w:rPr>
        <w:t>，甲方有权视情形解除合同，乙方需承担合同总金额20%的违约金，如该违约金不足以弥补甲方损失的，乙方应继续补足。</w:t>
      </w:r>
    </w:p>
    <w:p>
      <w:pPr>
        <w:spacing w:line="440" w:lineRule="exact"/>
        <w:ind w:firstLine="480" w:firstLineChars="200"/>
        <w:rPr>
          <w:rFonts w:ascii="宋体" w:hAnsi="宋体" w:cs="Arial"/>
          <w:bCs/>
          <w:sz w:val="24"/>
        </w:rPr>
      </w:pPr>
      <w:r>
        <w:rPr>
          <w:rFonts w:hint="eastAsia" w:ascii="宋体" w:hAnsi="宋体" w:cs="Arial"/>
          <w:bCs/>
          <w:sz w:val="24"/>
        </w:rPr>
        <w:t>2、乙方人员在施工过程中必须提高安全意识，注意施工及办公区域节水、节电、消防安全等，按要求配备灭火器，施工场地内禁止吸烟；甲方有权视情形解除合同，乙方需承担合同总金额25%的违约金，如该违约金不足以弥补甲方损失的，乙方应继续补足</w:t>
      </w:r>
      <w:r>
        <w:rPr>
          <w:rFonts w:hint="eastAsia"/>
        </w:rPr>
        <w:t>。</w:t>
      </w:r>
    </w:p>
    <w:p>
      <w:pPr>
        <w:spacing w:line="440" w:lineRule="exact"/>
        <w:ind w:firstLine="480" w:firstLineChars="200"/>
        <w:rPr>
          <w:rFonts w:ascii="宋体" w:hAnsi="宋体" w:cs="Arial"/>
          <w:bCs/>
          <w:sz w:val="24"/>
        </w:rPr>
      </w:pPr>
      <w:r>
        <w:rPr>
          <w:rFonts w:hint="eastAsia" w:ascii="宋体" w:hAnsi="宋体" w:cs="Arial"/>
          <w:bCs/>
          <w:sz w:val="24"/>
        </w:rPr>
        <w:t>3、如遇台风、大雪、洪涝等特殊天气，甲方有防冻、抗寒、抗台等需要，乙方需确保两名（及以上）人员专职配合甲方工作；</w:t>
      </w:r>
    </w:p>
    <w:p>
      <w:pPr>
        <w:spacing w:line="440" w:lineRule="exact"/>
        <w:ind w:firstLine="480" w:firstLineChars="200"/>
        <w:rPr>
          <w:rFonts w:ascii="宋体" w:hAnsi="宋体" w:cs="Arial"/>
          <w:bCs/>
          <w:sz w:val="24"/>
        </w:rPr>
      </w:pPr>
      <w:r>
        <w:rPr>
          <w:rFonts w:hint="eastAsia" w:ascii="宋体" w:hAnsi="宋体" w:cs="Arial"/>
          <w:bCs/>
          <w:sz w:val="24"/>
        </w:rPr>
        <w:t>4、关于联系单签证及结算送审事宜：</w:t>
      </w:r>
    </w:p>
    <w:p>
      <w:pPr>
        <w:spacing w:line="440" w:lineRule="exact"/>
        <w:ind w:firstLine="480" w:firstLineChars="200"/>
        <w:rPr>
          <w:rFonts w:ascii="宋体" w:hAnsi="宋体" w:cs="Arial"/>
          <w:bCs/>
          <w:sz w:val="24"/>
        </w:rPr>
      </w:pPr>
      <w:r>
        <w:rPr>
          <w:rFonts w:hint="eastAsia" w:ascii="宋体" w:hAnsi="宋体" w:cs="Arial"/>
          <w:bCs/>
          <w:sz w:val="24"/>
        </w:rPr>
        <w:t>（1）乙方在报送施工联系单时，必须注明（包含但不仅限于以下信息）：材料品牌、规格、工程量。</w:t>
      </w:r>
    </w:p>
    <w:p>
      <w:pPr>
        <w:spacing w:line="440" w:lineRule="exact"/>
        <w:ind w:firstLine="480" w:firstLineChars="200"/>
        <w:rPr>
          <w:rFonts w:ascii="宋体" w:hAnsi="宋体" w:cs="Arial"/>
          <w:bCs/>
          <w:sz w:val="24"/>
        </w:rPr>
      </w:pPr>
      <w:r>
        <w:rPr>
          <w:rFonts w:hint="eastAsia" w:ascii="宋体" w:hAnsi="宋体" w:cs="Arial"/>
          <w:bCs/>
          <w:sz w:val="24"/>
        </w:rPr>
        <w:t>（2）由乙方在每3个月末上报上3个月的工程联系单，甲方按规定按季度进行结算送审；</w:t>
      </w:r>
    </w:p>
    <w:p>
      <w:pPr>
        <w:spacing w:line="440" w:lineRule="exact"/>
        <w:ind w:firstLine="480" w:firstLineChars="200"/>
        <w:rPr>
          <w:rFonts w:ascii="宋体" w:hAnsi="宋体" w:cs="Arial"/>
          <w:bCs/>
          <w:color w:val="FF0000"/>
          <w:sz w:val="24"/>
        </w:rPr>
      </w:pPr>
      <w:r>
        <w:rPr>
          <w:rFonts w:hint="eastAsia" w:ascii="宋体" w:hAnsi="宋体" w:cs="Arial"/>
          <w:bCs/>
          <w:sz w:val="24"/>
        </w:rPr>
        <w:t>（4）涉及特殊工艺材料、造价信息或投标工程量子项外的材料，必须提前报备甲方同意后，方可施工，未报备则不予签证，最终价格以审计根据市场价审定为准；</w:t>
      </w:r>
    </w:p>
    <w:p>
      <w:pPr>
        <w:spacing w:line="440" w:lineRule="exact"/>
        <w:ind w:firstLine="480" w:firstLineChars="200"/>
        <w:rPr>
          <w:rFonts w:ascii="宋体" w:hAnsi="宋体" w:cs="Arial"/>
          <w:bCs/>
          <w:sz w:val="24"/>
        </w:rPr>
      </w:pPr>
      <w:r>
        <w:rPr>
          <w:rFonts w:hint="eastAsia" w:ascii="宋体" w:hAnsi="宋体" w:cs="Arial"/>
          <w:bCs/>
          <w:sz w:val="24"/>
        </w:rPr>
        <w:t>5、乙方需在施工前对项目工期进行预估，同时必须在甲方的既定工期内完成，如果因</w:t>
      </w:r>
      <w:r>
        <w:rPr>
          <w:rFonts w:hint="eastAsia" w:ascii="宋体" w:hAnsi="宋体" w:cs="Arial"/>
          <w:bCs/>
          <w:sz w:val="24"/>
          <w:lang w:val="en-US" w:eastAsia="zh-CN"/>
        </w:rPr>
        <w:t>乙</w:t>
      </w:r>
      <w:r>
        <w:rPr>
          <w:rFonts w:hint="eastAsia" w:ascii="宋体" w:hAnsi="宋体" w:cs="Arial"/>
          <w:bCs/>
          <w:sz w:val="24"/>
        </w:rPr>
        <w:t>方原因（非不可抗力原因）影响施工工期，每延迟1天，结算款付款延迟10天支付，并每次扣款1000元，</w:t>
      </w:r>
      <w:bookmarkStart w:id="409" w:name="OLE_LINK6"/>
      <w:r>
        <w:rPr>
          <w:rFonts w:hint="eastAsia" w:ascii="宋体" w:hAnsi="宋体" w:cs="Arial"/>
          <w:bCs/>
          <w:sz w:val="24"/>
        </w:rPr>
        <w:t>费用在履约保证金内扣除</w:t>
      </w:r>
      <w:bookmarkEnd w:id="409"/>
      <w:r>
        <w:rPr>
          <w:rFonts w:hint="eastAsia" w:ascii="宋体" w:hAnsi="宋体" w:cs="Arial"/>
          <w:bCs/>
          <w:sz w:val="24"/>
        </w:rPr>
        <w:t>；工期延迟</w:t>
      </w:r>
      <w:r>
        <w:rPr>
          <w:rFonts w:hint="eastAsia" w:ascii="宋体" w:hAnsi="宋体" w:cs="Arial"/>
          <w:bCs/>
          <w:sz w:val="24"/>
          <w:highlight w:val="yellow"/>
        </w:rPr>
        <w:t>超过 10 天或累计延迟超过 3 次（含）的</w:t>
      </w:r>
      <w:r>
        <w:rPr>
          <w:rFonts w:hint="eastAsia" w:ascii="宋体" w:hAnsi="宋体" w:cs="Arial"/>
          <w:bCs/>
          <w:sz w:val="24"/>
        </w:rPr>
        <w:t>，甲方有权视情形解除合同，乙方需承担合同总金额20%的违约金，如该违约金不足以弥补甲方损失的，乙方应继续补足。</w:t>
      </w:r>
    </w:p>
    <w:p>
      <w:pPr>
        <w:spacing w:line="440" w:lineRule="exact"/>
        <w:ind w:firstLine="480" w:firstLineChars="200"/>
        <w:rPr>
          <w:rFonts w:ascii="宋体" w:hAnsi="宋体" w:cs="Arial"/>
          <w:bCs/>
          <w:sz w:val="24"/>
        </w:rPr>
      </w:pPr>
      <w:r>
        <w:rPr>
          <w:rFonts w:hint="eastAsia" w:ascii="宋体" w:hAnsi="宋体" w:cs="Arial"/>
          <w:bCs/>
          <w:sz w:val="24"/>
        </w:rPr>
        <w:t>6、乙方需在甲方提出施工需求后24小时内至现场实地查看，72小时内进场施工，因施工方原因影响进场时间或影响完工时间，每次扣罚1000元，费用在履约保证金内扣除；</w:t>
      </w:r>
      <w:r>
        <w:rPr>
          <w:rFonts w:hint="eastAsia" w:ascii="宋体" w:hAnsi="宋体" w:cs="Arial"/>
          <w:bCs/>
          <w:sz w:val="24"/>
          <w:highlight w:val="yellow"/>
        </w:rPr>
        <w:t>超过 3 次（含）的</w:t>
      </w:r>
      <w:r>
        <w:rPr>
          <w:rFonts w:hint="eastAsia" w:ascii="宋体" w:hAnsi="宋体" w:cs="Arial"/>
          <w:bCs/>
          <w:sz w:val="24"/>
        </w:rPr>
        <w:t>，甲方有权视情形解除合同，乙方需承担</w:t>
      </w:r>
      <w:bookmarkStart w:id="410" w:name="OLE_LINK10"/>
      <w:r>
        <w:rPr>
          <w:rFonts w:hint="eastAsia" w:ascii="宋体" w:hAnsi="宋体" w:cs="Arial"/>
          <w:bCs/>
          <w:sz w:val="24"/>
        </w:rPr>
        <w:t>合同总金额20%</w:t>
      </w:r>
      <w:bookmarkEnd w:id="410"/>
      <w:r>
        <w:rPr>
          <w:rFonts w:hint="eastAsia" w:ascii="宋体" w:hAnsi="宋体" w:cs="Arial"/>
          <w:bCs/>
          <w:sz w:val="24"/>
        </w:rPr>
        <w:t>的违约金</w:t>
      </w:r>
      <w:bookmarkStart w:id="411" w:name="OLE_LINK11"/>
      <w:r>
        <w:rPr>
          <w:rFonts w:hint="eastAsia" w:ascii="宋体" w:hAnsi="宋体" w:cs="Arial"/>
          <w:bCs/>
          <w:sz w:val="24"/>
        </w:rPr>
        <w:t>，如该违约金不足以弥补甲方损失的，乙方应继续补足</w:t>
      </w:r>
      <w:bookmarkEnd w:id="411"/>
      <w:r>
        <w:rPr>
          <w:rFonts w:hint="eastAsia" w:ascii="宋体" w:hAnsi="宋体" w:cs="Arial"/>
          <w:bCs/>
          <w:sz w:val="24"/>
        </w:rPr>
        <w:t>。</w:t>
      </w:r>
    </w:p>
    <w:p>
      <w:pPr>
        <w:spacing w:line="440" w:lineRule="exact"/>
        <w:ind w:firstLine="480" w:firstLineChars="200"/>
        <w:rPr>
          <w:rFonts w:ascii="宋体" w:hAnsi="宋体" w:cs="Arial"/>
          <w:bCs/>
          <w:sz w:val="24"/>
        </w:rPr>
      </w:pPr>
      <w:r>
        <w:rPr>
          <w:rFonts w:hint="eastAsia" w:ascii="宋体" w:hAnsi="宋体" w:cs="Arial"/>
          <w:bCs/>
          <w:sz w:val="24"/>
        </w:rPr>
        <w:t>7、乙方必须按国家相关规范及行业标准要求施工，确保工程质量，规范施工工艺，建筑材料必须选用合格的材料（尽量选择造价信息内有的材料，便于结算审计），甲方将择时对主材进行抽样，抽样发现有违规的（包括但不限于未按照国家规范和标准施工、使用残次品、使用假冒伪劣产品等各项情形）</w:t>
      </w:r>
      <w:bookmarkStart w:id="412" w:name="OLE_LINK7"/>
      <w:r>
        <w:rPr>
          <w:rFonts w:hint="eastAsia" w:ascii="宋体" w:hAnsi="宋体" w:cs="Arial"/>
          <w:bCs/>
          <w:sz w:val="24"/>
        </w:rPr>
        <w:t>，</w:t>
      </w:r>
      <w:r>
        <w:rPr>
          <w:rFonts w:hint="eastAsia"/>
          <w:lang w:val="en-US" w:eastAsia="zh-CN"/>
        </w:rPr>
        <w:t>有以上情形的</w:t>
      </w:r>
      <w:r>
        <w:rPr>
          <w:rFonts w:hint="eastAsia" w:ascii="宋体" w:hAnsi="宋体" w:cs="Arial"/>
          <w:bCs/>
          <w:sz w:val="24"/>
          <w:lang w:val="en-US" w:eastAsia="zh-CN"/>
        </w:rPr>
        <w:t>扣除履约保证金1000元/次</w:t>
      </w:r>
      <w:r>
        <w:rPr>
          <w:rFonts w:hint="eastAsia"/>
        </w:rPr>
        <w:t>。</w:t>
      </w:r>
      <w:r>
        <w:rPr>
          <w:rFonts w:hint="eastAsia" w:ascii="宋体" w:hAnsi="宋体" w:cs="Arial"/>
          <w:bCs/>
          <w:sz w:val="24"/>
        </w:rPr>
        <w:t>质保</w:t>
      </w:r>
      <w:bookmarkEnd w:id="412"/>
      <w:r>
        <w:rPr>
          <w:rFonts w:hint="eastAsia" w:ascii="宋体" w:hAnsi="宋体" w:cs="Arial"/>
          <w:bCs/>
          <w:sz w:val="24"/>
        </w:rPr>
        <w:t>期内发生同样的质量问题，不再二次计价，乙方必须进行</w:t>
      </w:r>
      <w:bookmarkStart w:id="413" w:name="OLE_LINK9"/>
      <w:r>
        <w:rPr>
          <w:rFonts w:hint="eastAsia" w:ascii="宋体" w:hAnsi="宋体" w:cs="Arial"/>
          <w:bCs/>
          <w:sz w:val="24"/>
        </w:rPr>
        <w:t>免费修复、更换直至正常使用</w:t>
      </w:r>
      <w:bookmarkEnd w:id="413"/>
      <w:r>
        <w:rPr>
          <w:rFonts w:hint="eastAsia" w:ascii="宋体" w:hAnsi="宋体" w:cs="Arial"/>
          <w:bCs/>
          <w:sz w:val="24"/>
        </w:rPr>
        <w:t>，并向甲方支付</w:t>
      </w:r>
      <w:r>
        <w:rPr>
          <w:rFonts w:hint="eastAsia" w:ascii="宋体" w:hAnsi="宋体" w:cs="Arial"/>
          <w:bCs/>
          <w:sz w:val="24"/>
          <w:lang w:val="en-US" w:eastAsia="zh-CN"/>
        </w:rPr>
        <w:t>1000元/次</w:t>
      </w:r>
      <w:r>
        <w:rPr>
          <w:rFonts w:hint="eastAsia" w:ascii="宋体" w:hAnsi="宋体" w:cs="Arial"/>
          <w:bCs/>
          <w:sz w:val="24"/>
        </w:rPr>
        <w:t>违约金；如该违约金不足以弥补甲方损失的，乙方应继续补足；同时，新的质保期自正常使用之日起重新计算；</w:t>
      </w:r>
    </w:p>
    <w:p>
      <w:pPr>
        <w:spacing w:line="440" w:lineRule="exact"/>
        <w:ind w:firstLine="480" w:firstLineChars="200"/>
        <w:rPr>
          <w:rFonts w:ascii="宋体" w:hAnsi="宋体" w:cs="Arial"/>
          <w:bCs/>
          <w:sz w:val="24"/>
        </w:rPr>
      </w:pPr>
      <w:r>
        <w:rPr>
          <w:rFonts w:hint="eastAsia" w:ascii="宋体" w:hAnsi="宋体" w:cs="Arial"/>
          <w:bCs/>
          <w:sz w:val="24"/>
        </w:rPr>
        <w:t>8、甲方将根据施工性质，综合考虑施工能力，合理分配施工任务给乙方，如累积三次及以上对甲方安排的工作进行推脱或未按甲方要求落实完成，或甲方接到三次关于施工的投诉，</w:t>
      </w:r>
      <w:r>
        <w:rPr>
          <w:rFonts w:hint="eastAsia" w:ascii="宋体" w:hAnsi="宋体" w:cs="Arial"/>
          <w:bCs/>
          <w:sz w:val="24"/>
          <w:highlight w:val="cyan"/>
        </w:rPr>
        <w:t>甲方将在接下去的一个月内不再安排其参与任何施工任务，由此造成的</w:t>
      </w:r>
      <w:r>
        <w:rPr>
          <w:rFonts w:hint="eastAsia" w:ascii="宋体" w:hAnsi="宋体" w:cs="Arial"/>
          <w:bCs/>
          <w:sz w:val="24"/>
          <w:highlight w:val="cyan"/>
          <w:lang w:val="en-US" w:eastAsia="zh-CN"/>
        </w:rPr>
        <w:t>损失</w:t>
      </w:r>
      <w:r>
        <w:rPr>
          <w:rFonts w:hint="eastAsia" w:ascii="宋体" w:hAnsi="宋体" w:cs="Arial"/>
          <w:bCs/>
          <w:sz w:val="24"/>
          <w:highlight w:val="cyan"/>
        </w:rPr>
        <w:t>及全部责任由乙方承担</w:t>
      </w:r>
      <w:r>
        <w:rPr>
          <w:rFonts w:hint="eastAsia"/>
          <w:sz w:val="24"/>
          <w:szCs w:val="32"/>
        </w:rPr>
        <w:t>或甲方</w:t>
      </w:r>
      <w:r>
        <w:rPr>
          <w:rFonts w:hint="eastAsia" w:ascii="宋体" w:hAnsi="宋体" w:cs="Arial"/>
          <w:bCs/>
          <w:sz w:val="24"/>
        </w:rPr>
        <w:t>有权视情形解除合同，乙方需承担合同总金额25%的违约金，如该违约金不足以弥补甲方损失的，乙方应继续补足；</w:t>
      </w:r>
    </w:p>
    <w:p>
      <w:pPr>
        <w:spacing w:line="440" w:lineRule="exact"/>
        <w:ind w:firstLine="480" w:firstLineChars="200"/>
        <w:rPr>
          <w:rFonts w:ascii="宋体" w:hAnsi="宋体" w:cs="Arial"/>
          <w:bCs/>
          <w:sz w:val="24"/>
        </w:rPr>
      </w:pPr>
      <w:r>
        <w:rPr>
          <w:rFonts w:hint="eastAsia" w:ascii="宋体" w:hAnsi="宋体" w:cs="Arial"/>
          <w:bCs/>
          <w:sz w:val="24"/>
        </w:rPr>
        <w:t>9、乙方施工结束后，必须向甲方及时报告并完成项目验收及移交事宜；</w:t>
      </w:r>
    </w:p>
    <w:p>
      <w:pPr>
        <w:snapToGrid w:val="0"/>
        <w:spacing w:line="440" w:lineRule="exact"/>
        <w:ind w:firstLine="480" w:firstLineChars="200"/>
        <w:rPr>
          <w:rFonts w:ascii="宋体" w:hAnsi="宋体" w:cs="Arial"/>
          <w:bCs/>
          <w:sz w:val="24"/>
        </w:rPr>
      </w:pPr>
      <w:r>
        <w:rPr>
          <w:rFonts w:hint="eastAsia" w:ascii="宋体" w:hAnsi="宋体" w:cs="Arial"/>
          <w:bCs/>
          <w:sz w:val="24"/>
        </w:rPr>
        <w:t>10、乙方在施工过程中，如有特殊或紧急情况，必须立即报告，如在乙方能力范围内能进行紧急修复（抢修）的，应及时处置；乙方也可向甲方提出合理化建议，甲方将根据实际情况按施工单位提出的建议进行优化和整改；</w:t>
      </w:r>
    </w:p>
    <w:p>
      <w:pPr>
        <w:snapToGrid w:val="0"/>
        <w:spacing w:line="440" w:lineRule="exact"/>
        <w:ind w:firstLine="480" w:firstLineChars="200"/>
        <w:rPr>
          <w:rFonts w:ascii="宋体" w:hAnsi="宋体" w:cs="Arial"/>
          <w:sz w:val="24"/>
        </w:rPr>
      </w:pPr>
      <w:r>
        <w:rPr>
          <w:rFonts w:hint="eastAsia" w:ascii="宋体" w:hAnsi="宋体" w:cs="Arial"/>
          <w:bCs/>
          <w:sz w:val="24"/>
        </w:rPr>
        <w:t>11、乙方应</w:t>
      </w:r>
      <w:r>
        <w:rPr>
          <w:rFonts w:hint="eastAsia" w:ascii="宋体" w:hAnsi="宋体" w:cs="Arial"/>
          <w:sz w:val="24"/>
        </w:rPr>
        <w:t>按照法律规定及合同约定组织完成工程施工，确保工程质量和安全，不进行转包及违法分包，并在工程缺陷责任期和保修期内承担相应的工程维修责任。如未经甲方事先书面同意，乙方进行转包或违法分包，甲方有权解除合同，</w:t>
      </w:r>
      <w:r>
        <w:rPr>
          <w:rFonts w:hint="eastAsia" w:ascii="宋体" w:hAnsi="宋体" w:cs="Arial"/>
          <w:bCs/>
          <w:sz w:val="24"/>
        </w:rPr>
        <w:t>乙方需承担合同总金额30%的违约金，如该违约金不足以弥补甲方损失的，乙方应继续补足</w:t>
      </w:r>
      <w:r>
        <w:rPr>
          <w:rFonts w:hint="eastAsia" w:ascii="宋体" w:hAnsi="宋体" w:cs="Arial"/>
          <w:sz w:val="24"/>
        </w:rPr>
        <w:t>。</w:t>
      </w:r>
    </w:p>
    <w:p>
      <w:pPr>
        <w:snapToGrid w:val="0"/>
        <w:spacing w:line="440" w:lineRule="exact"/>
        <w:ind w:firstLine="480" w:firstLineChars="200"/>
        <w:rPr>
          <w:rFonts w:ascii="宋体" w:hAnsi="宋体" w:cs="Arial"/>
          <w:sz w:val="24"/>
        </w:rPr>
      </w:pPr>
      <w:r>
        <w:rPr>
          <w:rFonts w:hint="eastAsia" w:ascii="宋体" w:hAnsi="宋体" w:cs="Arial"/>
          <w:sz w:val="24"/>
        </w:rPr>
        <w:t>12、乙方应具备实施本项目对应的资质资格条件，如乙方不具备条件或为挂靠单位，甲方有权解除合同，</w:t>
      </w:r>
      <w:r>
        <w:rPr>
          <w:rFonts w:hint="eastAsia" w:ascii="宋体" w:hAnsi="宋体" w:cs="Arial"/>
          <w:bCs/>
          <w:sz w:val="24"/>
        </w:rPr>
        <w:t>乙方需承担合同总金额30%的违约金，</w:t>
      </w:r>
      <w:bookmarkStart w:id="414" w:name="OLE_LINK17"/>
      <w:r>
        <w:rPr>
          <w:rFonts w:hint="eastAsia" w:ascii="宋体" w:hAnsi="宋体" w:cs="Arial"/>
          <w:bCs/>
          <w:sz w:val="24"/>
        </w:rPr>
        <w:t>如该违约金不足以弥补甲方损失的，乙方应继续补足</w:t>
      </w:r>
      <w:r>
        <w:rPr>
          <w:rFonts w:hint="eastAsia" w:ascii="宋体" w:hAnsi="宋体" w:cs="Arial"/>
          <w:sz w:val="24"/>
        </w:rPr>
        <w:t>。</w:t>
      </w:r>
      <w:bookmarkEnd w:id="414"/>
    </w:p>
    <w:p>
      <w:pPr>
        <w:snapToGrid w:val="0"/>
        <w:spacing w:line="440" w:lineRule="exact"/>
        <w:ind w:firstLine="480" w:firstLineChars="200"/>
        <w:rPr>
          <w:rFonts w:hint="default" w:ascii="宋体" w:hAnsi="宋体" w:cs="Arial"/>
          <w:bCs/>
          <w:sz w:val="24"/>
          <w:lang w:val="en-US"/>
        </w:rPr>
      </w:pPr>
      <w:r>
        <w:rPr>
          <w:rFonts w:hint="eastAsia" w:ascii="宋体" w:hAnsi="宋体" w:cs="Arial"/>
          <w:sz w:val="24"/>
        </w:rPr>
        <w:t>13、乙方应保证工程质量，如达不到要求的，应接到甲方通知</w:t>
      </w:r>
      <w:r>
        <w:rPr>
          <w:rFonts w:hint="eastAsia" w:ascii="宋体" w:hAnsi="宋体" w:cs="Arial"/>
          <w:sz w:val="24"/>
          <w:lang w:val="en-US" w:eastAsia="zh-CN"/>
        </w:rPr>
        <w:t>2</w:t>
      </w:r>
      <w:r>
        <w:rPr>
          <w:rFonts w:hint="eastAsia" w:ascii="宋体" w:hAnsi="宋体" w:cs="Arial"/>
          <w:sz w:val="24"/>
        </w:rPr>
        <w:t>日内派人返工、整改，未按照甲方要求返工、整改完毕的，</w:t>
      </w:r>
      <w:r>
        <w:rPr>
          <w:rFonts w:hint="eastAsia" w:ascii="宋体" w:hAnsi="宋体" w:cs="Arial"/>
          <w:sz w:val="24"/>
          <w:lang w:val="en-US" w:eastAsia="zh-CN"/>
        </w:rPr>
        <w:t>扣除履约保证金1000元/次。</w:t>
      </w:r>
    </w:p>
    <w:p>
      <w:pPr>
        <w:spacing w:line="440" w:lineRule="exact"/>
        <w:rPr>
          <w:rFonts w:ascii="宋体" w:hAnsi="宋体" w:cs="Arial"/>
          <w:bCs/>
          <w:sz w:val="24"/>
        </w:rPr>
      </w:pPr>
      <w:r>
        <w:rPr>
          <w:rFonts w:hint="eastAsia" w:ascii="宋体" w:hAnsi="宋体" w:cs="Arial"/>
          <w:b/>
          <w:sz w:val="24"/>
        </w:rPr>
        <w:t>五、工程款支付与结算</w:t>
      </w:r>
      <w:r>
        <w:rPr>
          <w:rFonts w:hint="eastAsia" w:ascii="宋体" w:hAnsi="宋体" w:cs="Arial"/>
          <w:bCs/>
          <w:sz w:val="24"/>
        </w:rPr>
        <w:t xml:space="preserve">                    </w:t>
      </w:r>
    </w:p>
    <w:p>
      <w:pPr>
        <w:spacing w:line="440" w:lineRule="exact"/>
        <w:ind w:firstLine="480" w:firstLineChars="200"/>
        <w:rPr>
          <w:rFonts w:ascii="宋体" w:hAnsi="宋体" w:cs="Arial"/>
          <w:bCs/>
          <w:sz w:val="24"/>
        </w:rPr>
      </w:pPr>
      <w:r>
        <w:rPr>
          <w:rFonts w:hint="eastAsia" w:ascii="宋体" w:hAnsi="宋体" w:cs="Arial"/>
          <w:bCs/>
          <w:sz w:val="24"/>
        </w:rPr>
        <w:t>1、甲方确认质量合格并经审核的工程联系单方可作为结算依据，零星维修按季度结算送审，按审价结果进行支付结算。</w:t>
      </w:r>
    </w:p>
    <w:p>
      <w:pPr>
        <w:spacing w:line="440" w:lineRule="exact"/>
        <w:ind w:firstLine="480" w:firstLineChars="200"/>
        <w:rPr>
          <w:rFonts w:ascii="宋体" w:hAnsi="宋体" w:cs="Arial"/>
          <w:bCs/>
          <w:sz w:val="24"/>
        </w:rPr>
      </w:pPr>
      <w:r>
        <w:rPr>
          <w:rFonts w:hint="eastAsia" w:ascii="宋体" w:hAnsi="宋体" w:cs="Arial"/>
          <w:bCs/>
          <w:sz w:val="24"/>
        </w:rPr>
        <w:t>2、竣工验收合格决算审计完毕后,一个月内付至审计核定价的100%，审计费由甲方支付；</w:t>
      </w:r>
    </w:p>
    <w:p>
      <w:pPr>
        <w:spacing w:line="440" w:lineRule="exact"/>
        <w:ind w:firstLine="480" w:firstLineChars="200"/>
        <w:rPr>
          <w:rFonts w:ascii="宋体" w:hAnsi="宋体" w:cs="Arial"/>
          <w:bCs/>
          <w:sz w:val="24"/>
        </w:rPr>
      </w:pPr>
      <w:r>
        <w:rPr>
          <w:rFonts w:hint="eastAsia" w:ascii="宋体" w:hAnsi="宋体" w:cs="Arial"/>
          <w:bCs/>
          <w:sz w:val="24"/>
        </w:rPr>
        <w:t>3、乙方需向甲方提供等额有效的增值税发票，如乙方未提供发票或发票不符合合同约定，甲方有权有权中止支付对应费用直至提供合格发票，且甲方不构成违约。</w:t>
      </w:r>
    </w:p>
    <w:p>
      <w:pPr>
        <w:spacing w:line="440" w:lineRule="exact"/>
        <w:ind w:firstLine="480" w:firstLineChars="200"/>
        <w:rPr>
          <w:rFonts w:ascii="宋体" w:hAnsi="宋体" w:cs="Arial"/>
          <w:bCs/>
          <w:sz w:val="24"/>
        </w:rPr>
      </w:pPr>
      <w:r>
        <w:rPr>
          <w:rFonts w:hint="eastAsia" w:ascii="宋体" w:hAnsi="宋体" w:cs="Arial"/>
          <w:bCs/>
          <w:sz w:val="24"/>
        </w:rPr>
        <w:t>4、在甲方支付费用前，双方对本合同的履行或部分履行存有争议的，甲方有权中止支付对应费用且不构成违约，待争议解决后，再行支付。</w:t>
      </w:r>
    </w:p>
    <w:p>
      <w:pPr>
        <w:spacing w:line="440" w:lineRule="exact"/>
        <w:ind w:firstLine="480" w:firstLineChars="200"/>
        <w:rPr>
          <w:rFonts w:ascii="宋体" w:hAnsi="宋体" w:cs="Arial"/>
          <w:bCs/>
          <w:sz w:val="24"/>
        </w:rPr>
      </w:pPr>
      <w:r>
        <w:rPr>
          <w:rFonts w:hint="eastAsia" w:ascii="宋体" w:hAnsi="宋体" w:cs="Arial"/>
          <w:bCs/>
          <w:sz w:val="24"/>
        </w:rPr>
        <w:t>5、如乙方存在违约情形应向甲方承担违约责任的，甲方有权在待支付的费用或履约保证金（如有）中直接扣除相应款项，乙方应按照扣款后的金额开具等额有效的增值税发票，甲方亦可另行向乙方主张要求支付。</w:t>
      </w:r>
    </w:p>
    <w:p>
      <w:pPr>
        <w:spacing w:line="440" w:lineRule="exact"/>
        <w:rPr>
          <w:rFonts w:ascii="宋体" w:hAnsi="宋体" w:cs="Arial"/>
          <w:sz w:val="24"/>
        </w:rPr>
      </w:pPr>
      <w:r>
        <w:rPr>
          <w:rFonts w:hint="eastAsia" w:ascii="宋体" w:hAnsi="宋体" w:cs="Arial"/>
          <w:b/>
          <w:sz w:val="24"/>
        </w:rPr>
        <w:t>六、双方承诺</w:t>
      </w:r>
    </w:p>
    <w:p>
      <w:pPr>
        <w:snapToGrid w:val="0"/>
        <w:spacing w:line="440" w:lineRule="exact"/>
        <w:ind w:firstLine="480" w:firstLineChars="200"/>
        <w:rPr>
          <w:rFonts w:ascii="宋体" w:hAnsi="宋体" w:cs="Arial"/>
          <w:sz w:val="24"/>
        </w:rPr>
      </w:pPr>
      <w:r>
        <w:rPr>
          <w:rFonts w:hint="eastAsia" w:ascii="宋体" w:hAnsi="宋体" w:cs="Arial"/>
          <w:sz w:val="24"/>
        </w:rPr>
        <w:t>1.1、乙方对甲方作出如下承诺：</w:t>
      </w:r>
    </w:p>
    <w:p>
      <w:pPr>
        <w:snapToGrid w:val="0"/>
        <w:spacing w:line="440" w:lineRule="exact"/>
        <w:ind w:firstLine="480" w:firstLineChars="200"/>
        <w:rPr>
          <w:rFonts w:ascii="宋体" w:hAnsi="宋体" w:cs="Arial"/>
          <w:sz w:val="24"/>
        </w:rPr>
      </w:pPr>
      <w:r>
        <w:rPr>
          <w:rFonts w:hint="eastAsia" w:ascii="宋体" w:hAnsi="宋体" w:cs="Arial"/>
          <w:sz w:val="24"/>
        </w:rPr>
        <w:t>1.1、在承包区域内开展工作，其工作时间及工作质量必须满足甲方的工作要求,否则甲方有权终止合同。</w:t>
      </w:r>
    </w:p>
    <w:p>
      <w:pPr>
        <w:snapToGrid w:val="0"/>
        <w:spacing w:line="440" w:lineRule="exact"/>
        <w:ind w:firstLine="480" w:firstLineChars="200"/>
        <w:rPr>
          <w:rFonts w:ascii="宋体" w:hAnsi="宋体" w:cs="Arial"/>
          <w:sz w:val="24"/>
        </w:rPr>
      </w:pPr>
      <w:r>
        <w:rPr>
          <w:rFonts w:hint="eastAsia" w:ascii="宋体" w:hAnsi="宋体" w:cs="Arial"/>
          <w:sz w:val="24"/>
        </w:rPr>
        <w:t>1.2、乙方必须指定一位负责人，全权代表乙方与甲方保持密切联系并保证承包区域服务工作。</w:t>
      </w:r>
    </w:p>
    <w:p>
      <w:pPr>
        <w:snapToGrid w:val="0"/>
        <w:spacing w:line="440" w:lineRule="exact"/>
        <w:ind w:firstLine="480" w:firstLineChars="200"/>
        <w:rPr>
          <w:rFonts w:ascii="宋体" w:hAnsi="宋体" w:cs="Arial"/>
          <w:sz w:val="24"/>
        </w:rPr>
      </w:pPr>
      <w:r>
        <w:rPr>
          <w:rFonts w:hint="eastAsia" w:ascii="宋体" w:hAnsi="宋体" w:cs="Arial"/>
          <w:sz w:val="24"/>
        </w:rPr>
        <w:t>1.3、乙方所聘用的工作人员必须符合劳动部门有关用工规定。</w:t>
      </w:r>
    </w:p>
    <w:p>
      <w:pPr>
        <w:snapToGrid w:val="0"/>
        <w:spacing w:line="440" w:lineRule="exact"/>
        <w:ind w:firstLine="480" w:firstLineChars="200"/>
        <w:rPr>
          <w:rFonts w:ascii="宋体" w:hAnsi="宋体" w:cs="Arial"/>
          <w:sz w:val="24"/>
        </w:rPr>
      </w:pPr>
      <w:r>
        <w:rPr>
          <w:rFonts w:hint="eastAsia" w:ascii="宋体" w:hAnsi="宋体" w:cs="Arial"/>
          <w:sz w:val="24"/>
        </w:rPr>
        <w:t>1.4、禁止事项</w:t>
      </w:r>
    </w:p>
    <w:p>
      <w:pPr>
        <w:snapToGrid w:val="0"/>
        <w:spacing w:line="440" w:lineRule="exact"/>
        <w:ind w:firstLine="480" w:firstLineChars="200"/>
        <w:rPr>
          <w:rFonts w:ascii="宋体" w:hAnsi="宋体" w:cs="Arial"/>
          <w:sz w:val="24"/>
        </w:rPr>
      </w:pPr>
      <w:r>
        <w:rPr>
          <w:rFonts w:hint="eastAsia" w:ascii="宋体" w:hAnsi="宋体" w:cs="Arial"/>
          <w:sz w:val="24"/>
        </w:rPr>
        <w:t>1.4.1、乙方不得以任何理由向甲方工作人员支付好处费或赠送实物，否则，甲方有权终止合同。甲方人员也不得以任何形式向乙方的相关人员索取好处费或钱物等。</w:t>
      </w:r>
    </w:p>
    <w:p>
      <w:pPr>
        <w:snapToGrid w:val="0"/>
        <w:spacing w:line="440" w:lineRule="exact"/>
        <w:ind w:firstLine="480" w:firstLineChars="200"/>
        <w:rPr>
          <w:rFonts w:ascii="宋体" w:hAnsi="宋体" w:cs="Arial"/>
          <w:sz w:val="24"/>
        </w:rPr>
      </w:pPr>
      <w:r>
        <w:rPr>
          <w:rFonts w:hint="eastAsia" w:ascii="宋体" w:hAnsi="宋体" w:cs="Arial"/>
          <w:sz w:val="24"/>
        </w:rPr>
        <w:t>1.4.2、不得在承包区域住宿或从事非法活动，也不得从事有损甲方利益的活动，同时不允许在承包区域对甲方活动进行滋扰性的行为。</w:t>
      </w:r>
    </w:p>
    <w:p>
      <w:pPr>
        <w:snapToGrid w:val="0"/>
        <w:spacing w:line="440" w:lineRule="exact"/>
        <w:ind w:firstLine="480" w:firstLineChars="200"/>
        <w:rPr>
          <w:rFonts w:ascii="宋体" w:hAnsi="宋体" w:cs="Arial"/>
          <w:sz w:val="24"/>
        </w:rPr>
      </w:pPr>
      <w:r>
        <w:rPr>
          <w:rFonts w:hint="eastAsia" w:ascii="宋体" w:hAnsi="宋体" w:cs="Arial"/>
          <w:sz w:val="24"/>
        </w:rPr>
        <w:t>1.4.3、除经甲方批准进行必要的维修工程外，乙方不得损毁承包区域原有的设施和装潢，不得更改已铺设的电缆、电线等电力装置。</w:t>
      </w:r>
    </w:p>
    <w:p>
      <w:pPr>
        <w:snapToGrid w:val="0"/>
        <w:spacing w:line="440" w:lineRule="exact"/>
        <w:ind w:firstLine="480" w:firstLineChars="200"/>
        <w:rPr>
          <w:rFonts w:ascii="宋体" w:hAnsi="宋体" w:cs="Arial"/>
          <w:sz w:val="24"/>
        </w:rPr>
      </w:pPr>
      <w:r>
        <w:rPr>
          <w:rFonts w:hint="eastAsia" w:ascii="宋体" w:hAnsi="宋体" w:cs="Arial"/>
          <w:sz w:val="24"/>
        </w:rPr>
        <w:t>1.5、安全</w:t>
      </w:r>
    </w:p>
    <w:p>
      <w:pPr>
        <w:snapToGrid w:val="0"/>
        <w:spacing w:line="440" w:lineRule="exact"/>
        <w:ind w:firstLine="480" w:firstLineChars="200"/>
        <w:rPr>
          <w:rFonts w:ascii="宋体" w:hAnsi="宋体" w:cs="Arial"/>
          <w:sz w:val="24"/>
        </w:rPr>
      </w:pPr>
      <w:r>
        <w:rPr>
          <w:rFonts w:hint="eastAsia" w:ascii="宋体" w:hAnsi="宋体" w:cs="Arial"/>
          <w:sz w:val="24"/>
        </w:rPr>
        <w:t>1.5.1、在承包期内，乙方所有人员的事故由乙方自行全权负责，乙方应对其员工投保保险，并加强安全教育。</w:t>
      </w:r>
    </w:p>
    <w:p>
      <w:pPr>
        <w:pStyle w:val="5"/>
        <w:spacing w:line="440" w:lineRule="exact"/>
        <w:ind w:firstLine="480" w:firstLineChars="200"/>
        <w:rPr>
          <w:rFonts w:hAnsi="宋体"/>
          <w:sz w:val="24"/>
        </w:rPr>
      </w:pPr>
      <w:r>
        <w:rPr>
          <w:rFonts w:hint="eastAsia" w:hAnsi="宋体"/>
          <w:sz w:val="24"/>
        </w:rPr>
        <w:t>1.5.2、乙方及其员工遵守甲方的一切行政管理、消防安全等规定和制度。</w:t>
      </w:r>
    </w:p>
    <w:p>
      <w:pPr>
        <w:pStyle w:val="5"/>
        <w:spacing w:line="440" w:lineRule="exact"/>
        <w:ind w:firstLine="480" w:firstLineChars="200"/>
        <w:rPr>
          <w:rFonts w:hAnsi="宋体"/>
          <w:sz w:val="24"/>
        </w:rPr>
      </w:pPr>
      <w:r>
        <w:rPr>
          <w:rFonts w:hint="eastAsia" w:hAnsi="宋体"/>
          <w:sz w:val="24"/>
        </w:rPr>
        <w:t>1.5.3、乙方必须按国家有关安全操作规程施工。若发生因乙方措施不力而造成的安全事故，其责任及费用由乙方自行负责。</w:t>
      </w:r>
    </w:p>
    <w:p>
      <w:pPr>
        <w:pStyle w:val="5"/>
        <w:spacing w:line="440" w:lineRule="exact"/>
        <w:rPr>
          <w:rFonts w:hAnsi="宋体"/>
          <w:sz w:val="24"/>
        </w:rPr>
      </w:pPr>
      <w:r>
        <w:rPr>
          <w:rFonts w:hint="eastAsia" w:hAnsi="宋体"/>
          <w:sz w:val="24"/>
        </w:rPr>
        <w:t xml:space="preserve">    1.5.4、在合同期内，自行负责其施工人员一切工资、福利等，如发生工伤、职业暴露、职业病、疾病至死亡等情况，一切责任及费用由乙方全部负责。乙方所有人员的事故由乙方全权负责，乙方应对其员工投保保险，并加强安全教育。</w:t>
      </w:r>
    </w:p>
    <w:p>
      <w:pPr>
        <w:pStyle w:val="5"/>
        <w:spacing w:line="440" w:lineRule="exact"/>
        <w:rPr>
          <w:rFonts w:hAnsi="宋体"/>
          <w:b/>
          <w:sz w:val="24"/>
        </w:rPr>
      </w:pPr>
      <w:r>
        <w:rPr>
          <w:rFonts w:hint="eastAsia" w:hAnsi="宋体"/>
          <w:b/>
          <w:sz w:val="24"/>
        </w:rPr>
        <w:t>七、不可抗力</w:t>
      </w:r>
    </w:p>
    <w:p>
      <w:pPr>
        <w:pStyle w:val="5"/>
        <w:spacing w:line="440" w:lineRule="exact"/>
        <w:ind w:firstLine="480"/>
        <w:rPr>
          <w:rFonts w:hAnsi="宋体"/>
          <w:sz w:val="24"/>
        </w:rPr>
      </w:pPr>
      <w:r>
        <w:rPr>
          <w:rFonts w:hint="eastAsia" w:hAnsi="宋体"/>
          <w:sz w:val="24"/>
        </w:rPr>
        <w:t>1、在承包期间发生地震、火灾及其他双方不能控制的不可抗力事件原因，导致承包区域不能正常经营，合同不能全部履行。双方可以按以下各项执行：</w:t>
      </w:r>
    </w:p>
    <w:p>
      <w:pPr>
        <w:widowControl/>
        <w:spacing w:line="360" w:lineRule="auto"/>
        <w:ind w:firstLine="480" w:firstLineChars="200"/>
        <w:jc w:val="left"/>
        <w:rPr>
          <w:rFonts w:hAnsi="宋体" w:cs="Arial"/>
          <w:sz w:val="24"/>
        </w:rPr>
      </w:pPr>
      <w:r>
        <w:rPr>
          <w:rFonts w:hint="eastAsia" w:hAnsi="宋体" w:cs="Arial"/>
          <w:sz w:val="24"/>
        </w:rPr>
        <w:t>1.1、受到不可抗力影响的一方应于事件发生的5天内书面告知相对方，并在15天内向对方提供有关部门出具的证明文件。</w:t>
      </w:r>
    </w:p>
    <w:p>
      <w:pPr>
        <w:pStyle w:val="5"/>
        <w:spacing w:line="440" w:lineRule="exact"/>
        <w:ind w:firstLine="480"/>
        <w:rPr>
          <w:rFonts w:hAnsi="宋体"/>
          <w:sz w:val="24"/>
        </w:rPr>
      </w:pPr>
      <w:r>
        <w:rPr>
          <w:rFonts w:hint="eastAsia" w:hAnsi="宋体"/>
          <w:sz w:val="24"/>
        </w:rPr>
        <w:t>1.2、因不可抗力致使不能实现合同目的的，当事人可以解除合同。因不可抗力导致合同终止，并不影响任何一方对不可抗力先前发生的违约行为合法追偿。</w:t>
      </w:r>
    </w:p>
    <w:p>
      <w:pPr>
        <w:pStyle w:val="5"/>
        <w:spacing w:line="440" w:lineRule="exact"/>
        <w:ind w:firstLine="480"/>
        <w:rPr>
          <w:rFonts w:hAnsi="宋体"/>
          <w:sz w:val="24"/>
        </w:rPr>
      </w:pPr>
      <w:r>
        <w:rPr>
          <w:rFonts w:hint="eastAsia" w:hAnsi="宋体"/>
          <w:sz w:val="24"/>
        </w:rPr>
        <w:t>1.3、甲方不负责因不可抗力造成合同不能正常履行的责任。</w:t>
      </w:r>
    </w:p>
    <w:p>
      <w:pPr>
        <w:pStyle w:val="5"/>
        <w:spacing w:line="440" w:lineRule="exact"/>
        <w:ind w:firstLine="480"/>
        <w:rPr>
          <w:rFonts w:hAnsi="宋体"/>
          <w:sz w:val="24"/>
        </w:rPr>
      </w:pPr>
      <w:r>
        <w:rPr>
          <w:rFonts w:hint="eastAsia" w:hAnsi="宋体"/>
          <w:sz w:val="24"/>
        </w:rPr>
        <w:t>2、遇国家政策性调整，影响合同履行，双方协商解决。</w:t>
      </w:r>
    </w:p>
    <w:p>
      <w:pPr>
        <w:pStyle w:val="5"/>
        <w:spacing w:line="440" w:lineRule="exact"/>
        <w:rPr>
          <w:rFonts w:hAnsi="宋体"/>
          <w:sz w:val="24"/>
        </w:rPr>
      </w:pPr>
      <w:r>
        <w:rPr>
          <w:rFonts w:hint="eastAsia" w:hAnsi="宋体"/>
          <w:b/>
          <w:sz w:val="24"/>
        </w:rPr>
        <w:t>八、合同生效和终止</w:t>
      </w:r>
    </w:p>
    <w:p>
      <w:pPr>
        <w:pStyle w:val="5"/>
        <w:spacing w:line="440" w:lineRule="exact"/>
        <w:ind w:firstLine="480"/>
        <w:rPr>
          <w:rFonts w:hAnsi="宋体"/>
          <w:sz w:val="24"/>
          <w:highlight w:val="none"/>
        </w:rPr>
      </w:pPr>
      <w:r>
        <w:rPr>
          <w:rFonts w:hint="eastAsia" w:hAnsi="宋体"/>
          <w:sz w:val="24"/>
          <w:highlight w:val="none"/>
        </w:rPr>
        <w:t>1、本合同经双方法定代表人或其授权代表签字且加盖单位公章并在乙方提交履约保证金后生效。</w:t>
      </w:r>
    </w:p>
    <w:p>
      <w:pPr>
        <w:pStyle w:val="5"/>
        <w:spacing w:line="440" w:lineRule="exact"/>
        <w:ind w:firstLine="480"/>
        <w:rPr>
          <w:rFonts w:hAnsi="宋体"/>
          <w:sz w:val="24"/>
          <w:highlight w:val="none"/>
        </w:rPr>
      </w:pPr>
      <w:r>
        <w:rPr>
          <w:rFonts w:hint="eastAsia" w:hAnsi="宋体"/>
          <w:sz w:val="24"/>
          <w:highlight w:val="none"/>
        </w:rPr>
        <w:t>2、除本合同另有约定的外，乙方未能履行合同和遵守有关规定，在甲方发出书面警告后仍无采取补救措施可立即终止承包并单方解除本合同。</w:t>
      </w:r>
    </w:p>
    <w:p>
      <w:pPr>
        <w:pStyle w:val="669"/>
        <w:adjustRightInd w:val="0"/>
        <w:snapToGrid w:val="0"/>
        <w:spacing w:beforeLines="0" w:afterLines="0" w:line="440" w:lineRule="exact"/>
        <w:outlineLvl w:val="9"/>
        <w:rPr>
          <w:rFonts w:ascii="宋体" w:hAnsi="宋体" w:cs="Arial"/>
          <w:bCs w:val="0"/>
          <w:kern w:val="0"/>
          <w:szCs w:val="14"/>
          <w:highlight w:val="none"/>
        </w:rPr>
      </w:pPr>
      <w:r>
        <w:rPr>
          <w:rFonts w:hint="eastAsia" w:ascii="宋体" w:hAnsi="宋体" w:cs="Arial"/>
          <w:bCs w:val="0"/>
          <w:kern w:val="0"/>
          <w:szCs w:val="14"/>
          <w:highlight w:val="none"/>
        </w:rPr>
        <w:t>九、争议解决及违约责任</w:t>
      </w:r>
    </w:p>
    <w:p>
      <w:pPr>
        <w:pStyle w:val="16"/>
        <w:spacing w:line="440" w:lineRule="exact"/>
        <w:ind w:firstLine="480" w:firstLineChars="200"/>
        <w:rPr>
          <w:rFonts w:hAnsi="宋体" w:cs="Arial"/>
          <w:color w:val="auto"/>
          <w:sz w:val="24"/>
          <w:szCs w:val="14"/>
          <w:highlight w:val="none"/>
        </w:rPr>
      </w:pPr>
      <w:r>
        <w:rPr>
          <w:rFonts w:hint="eastAsia" w:hAnsi="宋体" w:cs="Arial"/>
          <w:color w:val="auto"/>
          <w:sz w:val="24"/>
          <w:szCs w:val="14"/>
          <w:highlight w:val="none"/>
        </w:rPr>
        <w:t>1、双方在执行合同中所发生的一切争议，应通过协商解决。如协商不成，向甲方法定地址所在地人民法院起诉。</w:t>
      </w:r>
    </w:p>
    <w:p>
      <w:pPr>
        <w:pStyle w:val="16"/>
        <w:spacing w:line="440" w:lineRule="exact"/>
        <w:ind w:firstLine="480" w:firstLineChars="200"/>
        <w:rPr>
          <w:rFonts w:hAnsi="宋体" w:cs="Arial"/>
          <w:color w:val="auto"/>
          <w:sz w:val="24"/>
          <w:szCs w:val="14"/>
          <w:highlight w:val="none"/>
        </w:rPr>
      </w:pPr>
      <w:r>
        <w:rPr>
          <w:rFonts w:hint="eastAsia" w:hAnsi="宋体" w:cs="Arial"/>
          <w:color w:val="auto"/>
          <w:sz w:val="24"/>
          <w:szCs w:val="14"/>
          <w:highlight w:val="none"/>
        </w:rPr>
        <w:t>2、在争议解决期间，本合同未涉及争议的其他部份应继续执行．</w:t>
      </w:r>
    </w:p>
    <w:p>
      <w:pPr>
        <w:pStyle w:val="16"/>
        <w:spacing w:line="440" w:lineRule="exact"/>
        <w:ind w:firstLine="480" w:firstLineChars="200"/>
        <w:rPr>
          <w:rFonts w:hAnsi="宋体" w:cs="Arial"/>
          <w:color w:val="auto"/>
          <w:sz w:val="24"/>
          <w:szCs w:val="14"/>
        </w:rPr>
      </w:pPr>
      <w:r>
        <w:rPr>
          <w:rFonts w:hint="eastAsia" w:hAnsi="宋体" w:cs="Arial"/>
          <w:color w:val="auto"/>
          <w:sz w:val="24"/>
          <w:szCs w:val="14"/>
          <w:highlight w:val="none"/>
        </w:rPr>
        <w:t>3、除本合同另有约定的外，乙方未按照本合同约定履行其义务存在其他违约行为的，应向甲方支付合同总金额的2%作为违约金；如该违约金不足</w:t>
      </w:r>
      <w:r>
        <w:rPr>
          <w:rFonts w:hint="eastAsia" w:hAnsi="宋体" w:cs="Arial"/>
          <w:color w:val="auto"/>
          <w:sz w:val="24"/>
          <w:szCs w:val="14"/>
        </w:rPr>
        <w:t>以弥补甲方因此所遭受的全部损失，乙方应予补足。</w:t>
      </w:r>
    </w:p>
    <w:p>
      <w:pPr>
        <w:pStyle w:val="61"/>
        <w:ind w:firstLine="480" w:firstLineChars="200"/>
        <w:rPr>
          <w:rFonts w:hAnsi="宋体" w:cs="Arial"/>
          <w:szCs w:val="14"/>
          <w:lang w:val="en-US"/>
        </w:rPr>
      </w:pPr>
      <w:r>
        <w:rPr>
          <w:rFonts w:hint="eastAsia" w:hAnsi="宋体" w:cs="Arial"/>
          <w:szCs w:val="14"/>
          <w:lang w:val="en-US"/>
        </w:rPr>
        <w:t>4、</w:t>
      </w:r>
      <w:r>
        <w:rPr>
          <w:rFonts w:hint="eastAsia" w:hAnsi="宋体"/>
          <w:color w:val="000000"/>
          <w:szCs w:val="21"/>
          <w:lang w:val="en-US"/>
        </w:rPr>
        <w:t>本合同所称甲方损失、全部损失，包括但不限于其直接经济损失、间接经济损失和因维权而产生的诉讼费、律师费、保全费、保全担保费、公证费、鉴定费、执行费等一切损失。</w:t>
      </w:r>
    </w:p>
    <w:p>
      <w:pPr>
        <w:pStyle w:val="16"/>
        <w:spacing w:line="440" w:lineRule="exact"/>
        <w:ind w:firstLine="0"/>
        <w:rPr>
          <w:rFonts w:hAnsi="宋体" w:cs="Arial"/>
          <w:b/>
          <w:color w:val="auto"/>
          <w:sz w:val="24"/>
          <w:szCs w:val="14"/>
        </w:rPr>
      </w:pPr>
      <w:r>
        <w:rPr>
          <w:rFonts w:hint="eastAsia" w:hAnsi="宋体" w:cs="Arial"/>
          <w:b/>
          <w:color w:val="auto"/>
          <w:sz w:val="24"/>
          <w:szCs w:val="14"/>
        </w:rPr>
        <w:t>十、其他</w:t>
      </w:r>
    </w:p>
    <w:p>
      <w:pPr>
        <w:pStyle w:val="16"/>
        <w:spacing w:line="440" w:lineRule="exact"/>
        <w:ind w:firstLine="480" w:firstLineChars="200"/>
        <w:rPr>
          <w:rFonts w:hAnsi="宋体" w:cs="Arial"/>
          <w:color w:val="auto"/>
          <w:sz w:val="24"/>
          <w:szCs w:val="14"/>
        </w:rPr>
      </w:pPr>
      <w:r>
        <w:rPr>
          <w:rFonts w:hint="eastAsia" w:hAnsi="宋体" w:cs="Arial"/>
          <w:color w:val="auto"/>
          <w:sz w:val="24"/>
          <w:szCs w:val="14"/>
        </w:rPr>
        <w:t>1、施工期间，材料、人员进出不得影响甲方正常的工作秩序。</w:t>
      </w:r>
    </w:p>
    <w:p>
      <w:pPr>
        <w:pStyle w:val="16"/>
        <w:spacing w:line="440" w:lineRule="exact"/>
        <w:ind w:firstLine="480" w:firstLineChars="200"/>
        <w:rPr>
          <w:rFonts w:hAnsi="宋体" w:cs="Arial"/>
          <w:color w:val="auto"/>
          <w:sz w:val="24"/>
          <w:szCs w:val="14"/>
        </w:rPr>
      </w:pPr>
      <w:r>
        <w:rPr>
          <w:rFonts w:hint="eastAsia" w:hAnsi="宋体" w:cs="Arial"/>
          <w:color w:val="auto"/>
          <w:sz w:val="24"/>
          <w:szCs w:val="14"/>
        </w:rPr>
        <w:t>2、乙方应严格遵守杭州市有关文明施工管理的规定，若本工程施工工地受到通报批评，甲方全额扣除乙方履约保证金</w:t>
      </w:r>
    </w:p>
    <w:p>
      <w:pPr>
        <w:pStyle w:val="16"/>
        <w:spacing w:line="440" w:lineRule="exact"/>
        <w:ind w:firstLine="480" w:firstLineChars="200"/>
        <w:rPr>
          <w:rFonts w:hAnsi="宋体" w:cs="Arial"/>
          <w:color w:val="auto"/>
          <w:sz w:val="24"/>
          <w:szCs w:val="14"/>
        </w:rPr>
      </w:pPr>
      <w:r>
        <w:rPr>
          <w:rFonts w:hint="eastAsia" w:hAnsi="宋体" w:cs="Arial"/>
          <w:color w:val="auto"/>
          <w:sz w:val="24"/>
          <w:szCs w:val="14"/>
        </w:rPr>
        <w:t>3、在乙方的责任区内由于乙方原因导致第三方的事故由乙方负责，甲方不承担任何责任。</w:t>
      </w:r>
    </w:p>
    <w:p>
      <w:pPr>
        <w:pStyle w:val="16"/>
        <w:spacing w:line="440" w:lineRule="exact"/>
        <w:ind w:firstLine="480" w:firstLineChars="200"/>
        <w:rPr>
          <w:rFonts w:hint="eastAsia" w:hAnsi="宋体" w:cs="Arial"/>
          <w:color w:val="auto"/>
          <w:sz w:val="24"/>
          <w:szCs w:val="14"/>
        </w:rPr>
      </w:pPr>
      <w:r>
        <w:rPr>
          <w:rFonts w:hint="eastAsia" w:hAnsi="宋体" w:cs="Arial"/>
          <w:color w:val="auto"/>
          <w:sz w:val="24"/>
          <w:szCs w:val="14"/>
        </w:rPr>
        <w:t>4、乙方不能保证工程质量要求、工期要求、施工要求，无故拒绝或拖延，甲方有权终止合同并除按照招标文件和合同条款处罚外，列入不良行为记录一次，给予通报。</w:t>
      </w:r>
      <w:bookmarkStart w:id="415" w:name="OLE_LINK18"/>
    </w:p>
    <w:bookmarkEnd w:id="415"/>
    <w:p>
      <w:pPr>
        <w:pStyle w:val="16"/>
        <w:spacing w:line="440" w:lineRule="exact"/>
        <w:ind w:firstLine="480" w:firstLineChars="200"/>
        <w:rPr>
          <w:rFonts w:hAnsi="宋体" w:cs="Arial"/>
          <w:color w:val="auto"/>
          <w:sz w:val="24"/>
          <w:szCs w:val="14"/>
        </w:rPr>
      </w:pPr>
      <w:r>
        <w:rPr>
          <w:rFonts w:hint="eastAsia" w:hAnsi="宋体" w:cs="Arial"/>
          <w:color w:val="auto"/>
          <w:sz w:val="24"/>
          <w:szCs w:val="14"/>
        </w:rPr>
        <w:t>5、本合同中所述通知，必须为书面形式，并有送达签收。</w:t>
      </w:r>
    </w:p>
    <w:p>
      <w:pPr>
        <w:spacing w:line="360" w:lineRule="auto"/>
        <w:ind w:firstLine="480" w:firstLineChars="200"/>
        <w:rPr>
          <w:rFonts w:hAnsi="宋体" w:cs="Arial"/>
          <w:sz w:val="24"/>
          <w:szCs w:val="14"/>
        </w:rPr>
      </w:pPr>
      <w:r>
        <w:rPr>
          <w:rFonts w:hint="eastAsia" w:hAnsi="宋体" w:cs="Arial"/>
          <w:sz w:val="24"/>
          <w:szCs w:val="14"/>
        </w:rPr>
        <w:t>6、</w:t>
      </w:r>
      <w:r>
        <w:rPr>
          <w:rFonts w:hint="eastAsia" w:ascii="宋体" w:hAnsi="宋体" w:cs="Arial"/>
          <w:snapToGrid w:val="0"/>
          <w:kern w:val="28"/>
          <w:sz w:val="24"/>
          <w:szCs w:val="14"/>
        </w:rPr>
        <w:t>下列文件为本合同的组成部分，并构成一个整体，需综合解释、相互补充。如果下列文件内容出现不一致的情形，那么在保证按照采购文件确定的事项的前提下，组成本合同的多个文件的优先适用顺序如下：（1）补充合同、变更协议；（2）本合同及附件；（3）中标或者成交通知书；（4）投标或者响应文件（含澄清或者说明文件）；（5）采购文件（含澄清或者修改文件）；（6）其他相关采购文件。</w:t>
      </w:r>
      <w:r>
        <w:rPr>
          <w:rFonts w:hint="eastAsia" w:hAnsi="宋体" w:cs="Arial"/>
          <w:sz w:val="24"/>
          <w:szCs w:val="14"/>
        </w:rPr>
        <w:t>如双方同意，可以书面修改或补充本合同条款。</w:t>
      </w:r>
    </w:p>
    <w:p>
      <w:pPr>
        <w:pStyle w:val="16"/>
        <w:spacing w:line="440" w:lineRule="exact"/>
        <w:ind w:firstLine="480" w:firstLineChars="200"/>
        <w:rPr>
          <w:rFonts w:hAnsi="宋体" w:cs="Arial"/>
          <w:color w:val="auto"/>
          <w:sz w:val="24"/>
          <w:szCs w:val="14"/>
        </w:rPr>
      </w:pPr>
      <w:r>
        <w:rPr>
          <w:rFonts w:hint="eastAsia" w:hAnsi="宋体" w:cs="Arial"/>
          <w:color w:val="auto"/>
          <w:sz w:val="24"/>
          <w:szCs w:val="14"/>
        </w:rPr>
        <w:t>7、本合同一式肆份，甲乙双方各执贰份。</w:t>
      </w:r>
    </w:p>
    <w:p>
      <w:pPr>
        <w:pStyle w:val="16"/>
        <w:spacing w:line="440" w:lineRule="exact"/>
        <w:ind w:firstLine="480" w:firstLineChars="200"/>
        <w:rPr>
          <w:rFonts w:hAnsi="宋体" w:cs="Arial"/>
          <w:sz w:val="24"/>
          <w:szCs w:val="14"/>
        </w:rPr>
      </w:pPr>
    </w:p>
    <w:p>
      <w:pPr>
        <w:pStyle w:val="16"/>
        <w:spacing w:line="440" w:lineRule="exact"/>
        <w:ind w:firstLine="480" w:firstLineChars="200"/>
        <w:rPr>
          <w:rFonts w:hAnsi="宋体" w:cs="Arial"/>
          <w:sz w:val="24"/>
          <w:szCs w:val="14"/>
        </w:rPr>
      </w:pPr>
      <w:r>
        <w:rPr>
          <w:rFonts w:hint="eastAsia" w:hAnsi="宋体" w:cs="Arial"/>
          <w:sz w:val="24"/>
          <w:szCs w:val="14"/>
        </w:rPr>
        <w:t xml:space="preserve">甲方：                                        乙方： 　　 </w:t>
      </w:r>
    </w:p>
    <w:p>
      <w:pPr>
        <w:pStyle w:val="5"/>
        <w:spacing w:line="440" w:lineRule="exact"/>
        <w:rPr>
          <w:rFonts w:hAnsi="宋体"/>
          <w:sz w:val="24"/>
          <w:szCs w:val="14"/>
        </w:rPr>
      </w:pPr>
      <w:r>
        <w:rPr>
          <w:rFonts w:hint="eastAsia" w:hAnsi="宋体"/>
          <w:sz w:val="24"/>
          <w:szCs w:val="14"/>
        </w:rPr>
        <w:t>（盖章）　　　　　　　　　　　                （盖章）</w:t>
      </w:r>
    </w:p>
    <w:p>
      <w:pPr>
        <w:pStyle w:val="5"/>
        <w:spacing w:line="440" w:lineRule="exact"/>
        <w:ind w:firstLine="480" w:firstLineChars="200"/>
        <w:rPr>
          <w:rFonts w:hAnsi="宋体"/>
          <w:sz w:val="24"/>
          <w:szCs w:val="14"/>
        </w:rPr>
      </w:pPr>
      <w:r>
        <w:rPr>
          <w:rFonts w:hint="eastAsia" w:hAnsi="宋体"/>
          <w:sz w:val="24"/>
          <w:szCs w:val="14"/>
        </w:rPr>
        <w:t xml:space="preserve">地址：                                        </w:t>
      </w:r>
      <w:r>
        <w:rPr>
          <w:rFonts w:hint="eastAsia" w:hAnsi="宋体"/>
          <w:sz w:val="24"/>
        </w:rPr>
        <w:t>地址</w:t>
      </w:r>
      <w:r>
        <w:rPr>
          <w:rFonts w:hint="eastAsia" w:hAnsi="宋体"/>
          <w:sz w:val="24"/>
          <w:lang w:val="zh-CN"/>
        </w:rPr>
        <w:t>：</w:t>
      </w:r>
    </w:p>
    <w:p>
      <w:pPr>
        <w:pStyle w:val="5"/>
        <w:spacing w:line="440" w:lineRule="exact"/>
        <w:ind w:firstLine="480" w:firstLineChars="200"/>
        <w:rPr>
          <w:rFonts w:hAnsi="宋体"/>
          <w:sz w:val="24"/>
          <w:szCs w:val="14"/>
        </w:rPr>
      </w:pPr>
      <w:r>
        <w:rPr>
          <w:rFonts w:hint="eastAsia" w:hAnsi="宋体"/>
          <w:sz w:val="24"/>
          <w:szCs w:val="14"/>
        </w:rPr>
        <w:t>法人代表或授权代表（签字）：　　　　　　</w:t>
      </w:r>
      <w:r>
        <w:rPr>
          <w:rFonts w:hAnsi="宋体"/>
          <w:sz w:val="24"/>
          <w:szCs w:val="14"/>
        </w:rPr>
        <w:t xml:space="preserve">  </w:t>
      </w:r>
      <w:r>
        <w:rPr>
          <w:rFonts w:hint="eastAsia" w:hAnsi="宋体"/>
          <w:sz w:val="24"/>
          <w:szCs w:val="14"/>
        </w:rPr>
        <w:t xml:space="preserve">    法人代表或授权代表（签字）：</w:t>
      </w:r>
    </w:p>
    <w:bookmarkEnd w:id="408"/>
    <w:p>
      <w:pPr>
        <w:spacing w:line="440" w:lineRule="exact"/>
        <w:ind w:firstLine="480" w:firstLineChars="200"/>
        <w:rPr>
          <w:rFonts w:ascii="宋体" w:hAnsi="宋体" w:cs="Arial"/>
          <w:snapToGrid w:val="0"/>
          <w:sz w:val="24"/>
          <w:szCs w:val="14"/>
        </w:rPr>
      </w:pPr>
      <w:r>
        <w:rPr>
          <w:rFonts w:hint="eastAsia" w:ascii="宋体" w:hAnsi="宋体" w:cs="Arial"/>
          <w:snapToGrid w:val="0"/>
          <w:sz w:val="24"/>
          <w:szCs w:val="14"/>
        </w:rPr>
        <w:t>联系人：                                      联系人：</w:t>
      </w:r>
    </w:p>
    <w:p>
      <w:pPr>
        <w:spacing w:line="440" w:lineRule="exact"/>
        <w:ind w:firstLine="480" w:firstLineChars="200"/>
        <w:rPr>
          <w:rFonts w:ascii="宋体" w:hAnsi="宋体" w:cs="Arial"/>
          <w:snapToGrid w:val="0"/>
          <w:sz w:val="24"/>
          <w:szCs w:val="14"/>
        </w:rPr>
      </w:pPr>
      <w:r>
        <w:rPr>
          <w:rFonts w:hint="eastAsia" w:ascii="宋体" w:hAnsi="宋体" w:cs="Arial"/>
          <w:snapToGrid w:val="0"/>
          <w:sz w:val="24"/>
          <w:szCs w:val="14"/>
        </w:rPr>
        <w:t xml:space="preserve">电话：                                        电话： </w:t>
      </w:r>
    </w:p>
    <w:p>
      <w:pPr>
        <w:spacing w:line="440" w:lineRule="exact"/>
        <w:ind w:firstLine="480" w:firstLineChars="200"/>
        <w:rPr>
          <w:rFonts w:ascii="宋体" w:hAnsi="宋体" w:cs="Arial"/>
          <w:snapToGrid w:val="0"/>
          <w:sz w:val="24"/>
          <w:szCs w:val="14"/>
        </w:rPr>
      </w:pPr>
      <w:r>
        <w:rPr>
          <w:rFonts w:hint="eastAsia" w:ascii="宋体" w:hAnsi="宋体" w:cs="Arial"/>
          <w:snapToGrid w:val="0"/>
          <w:sz w:val="24"/>
          <w:szCs w:val="14"/>
        </w:rPr>
        <w:t xml:space="preserve">开户银行：                                    开户银行： </w:t>
      </w:r>
    </w:p>
    <w:p>
      <w:pPr>
        <w:spacing w:line="440" w:lineRule="exact"/>
        <w:ind w:firstLine="480" w:firstLineChars="200"/>
        <w:rPr>
          <w:rFonts w:ascii="宋体" w:hAnsi="宋体" w:cs="Arial"/>
          <w:snapToGrid w:val="0"/>
          <w:sz w:val="24"/>
          <w:szCs w:val="14"/>
        </w:rPr>
      </w:pPr>
      <w:r>
        <w:rPr>
          <w:rFonts w:hint="eastAsia" w:ascii="宋体" w:hAnsi="宋体" w:cs="Arial"/>
          <w:snapToGrid w:val="0"/>
          <w:sz w:val="24"/>
          <w:szCs w:val="14"/>
        </w:rPr>
        <w:t xml:space="preserve">开户名称：                                    开户名称： </w:t>
      </w:r>
    </w:p>
    <w:p>
      <w:pPr>
        <w:spacing w:line="440" w:lineRule="exact"/>
        <w:ind w:firstLine="480" w:firstLineChars="200"/>
        <w:rPr>
          <w:rFonts w:ascii="宋体" w:hAnsi="宋体" w:cs="Arial"/>
          <w:snapToGrid w:val="0"/>
          <w:sz w:val="24"/>
          <w:szCs w:val="14"/>
        </w:rPr>
      </w:pPr>
      <w:r>
        <w:rPr>
          <w:rFonts w:hint="eastAsia" w:ascii="宋体" w:hAnsi="宋体" w:cs="Arial"/>
          <w:snapToGrid w:val="0"/>
          <w:sz w:val="24"/>
          <w:szCs w:val="14"/>
        </w:rPr>
        <w:t>开户账号：                                    开户账号：</w:t>
      </w:r>
    </w:p>
    <w:p>
      <w:pPr>
        <w:spacing w:line="440" w:lineRule="exact"/>
        <w:ind w:firstLine="480" w:firstLineChars="200"/>
        <w:rPr>
          <w:rFonts w:ascii="宋体" w:hAnsi="宋体" w:cs="Arial"/>
          <w:snapToGrid w:val="0"/>
          <w:sz w:val="24"/>
          <w:szCs w:val="14"/>
        </w:rPr>
      </w:pPr>
      <w:r>
        <w:rPr>
          <w:rFonts w:hint="eastAsia" w:ascii="宋体" w:hAnsi="宋体" w:cs="Arial"/>
          <w:snapToGrid w:val="0"/>
          <w:sz w:val="24"/>
          <w:szCs w:val="14"/>
        </w:rPr>
        <w:t>签订日期：  年  月  日                        签订日期：  年  月  日</w:t>
      </w:r>
    </w:p>
    <w:p>
      <w:pPr>
        <w:spacing w:line="440" w:lineRule="exact"/>
        <w:rPr>
          <w:rFonts w:ascii="宋体" w:hAnsi="宋体"/>
          <w:szCs w:val="21"/>
        </w:rPr>
      </w:pPr>
      <w:r>
        <w:rPr>
          <w:rFonts w:ascii="宋体" w:hAnsi="宋体"/>
          <w:szCs w:val="21"/>
        </w:rPr>
        <w:br w:type="page"/>
      </w:r>
      <w:r>
        <w:rPr>
          <w:rFonts w:ascii="宋体" w:hAnsi="宋体"/>
          <w:szCs w:val="21"/>
        </w:rPr>
        <w:t>附件</w:t>
      </w:r>
      <w:r>
        <w:rPr>
          <w:rFonts w:hint="eastAsia" w:ascii="宋体" w:hAnsi="宋体"/>
          <w:szCs w:val="21"/>
        </w:rPr>
        <w:t>1</w:t>
      </w:r>
      <w:r>
        <w:rPr>
          <w:rFonts w:ascii="宋体" w:hAnsi="宋体"/>
          <w:szCs w:val="21"/>
        </w:rPr>
        <w:t xml:space="preserve">：    </w:t>
      </w:r>
    </w:p>
    <w:p>
      <w:pPr>
        <w:spacing w:before="120" w:beforeLines="50" w:after="120" w:afterLines="50" w:line="440" w:lineRule="exact"/>
        <w:jc w:val="center"/>
        <w:rPr>
          <w:rFonts w:ascii="宋体" w:hAnsi="宋体"/>
          <w:b/>
          <w:bCs/>
          <w:sz w:val="24"/>
        </w:rPr>
      </w:pPr>
      <w:r>
        <w:rPr>
          <w:rFonts w:ascii="宋体" w:hAnsi="宋体"/>
          <w:b/>
          <w:bCs/>
          <w:sz w:val="24"/>
        </w:rPr>
        <w:t>工程质量保修书</w:t>
      </w:r>
    </w:p>
    <w:p>
      <w:pPr>
        <w:spacing w:line="500" w:lineRule="exact"/>
        <w:ind w:firstLine="480" w:firstLineChars="200"/>
        <w:rPr>
          <w:rFonts w:ascii="宋体" w:hAnsi="宋体"/>
          <w:sz w:val="24"/>
        </w:rPr>
      </w:pPr>
      <w:r>
        <w:rPr>
          <w:rFonts w:hint="eastAsia" w:ascii="宋体" w:hAnsi="宋体"/>
          <w:sz w:val="24"/>
        </w:rPr>
        <w:t>采购人</w:t>
      </w:r>
      <w:r>
        <w:rPr>
          <w:rFonts w:ascii="宋体" w:hAnsi="宋体"/>
          <w:sz w:val="24"/>
        </w:rPr>
        <w:t>（全称）：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500" w:lineRule="exact"/>
        <w:rPr>
          <w:rFonts w:ascii="宋体" w:hAnsi="宋体"/>
          <w:sz w:val="24"/>
        </w:rPr>
      </w:pPr>
      <w:r>
        <w:rPr>
          <w:rFonts w:ascii="宋体" w:hAnsi="宋体"/>
          <w:sz w:val="24"/>
        </w:rPr>
        <w:t>　　承包人（全称）：</w:t>
      </w:r>
      <w:r>
        <w:rPr>
          <w:rFonts w:ascii="宋体" w:hAnsi="宋体"/>
          <w:sz w:val="24"/>
          <w:u w:val="single"/>
        </w:rPr>
        <w:t xml:space="preserve">                                </w:t>
      </w:r>
      <w:r>
        <w:rPr>
          <w:rFonts w:ascii="宋体" w:hAnsi="宋体"/>
          <w:sz w:val="24"/>
        </w:rPr>
        <w:t xml:space="preserve"> </w:t>
      </w:r>
    </w:p>
    <w:p>
      <w:pPr>
        <w:spacing w:line="500" w:lineRule="exact"/>
        <w:rPr>
          <w:rFonts w:ascii="宋体" w:hAnsi="宋体"/>
          <w:sz w:val="24"/>
        </w:rPr>
      </w:pPr>
    </w:p>
    <w:p>
      <w:pPr>
        <w:spacing w:line="500" w:lineRule="exact"/>
        <w:rPr>
          <w:rFonts w:ascii="宋体" w:hAnsi="宋体"/>
          <w:sz w:val="24"/>
        </w:rPr>
      </w:pPr>
      <w:r>
        <w:rPr>
          <w:rFonts w:ascii="宋体" w:hAnsi="宋体"/>
          <w:sz w:val="24"/>
        </w:rPr>
        <w:t>　　</w:t>
      </w:r>
      <w:r>
        <w:rPr>
          <w:rFonts w:hint="eastAsia" w:ascii="宋体" w:hAnsi="宋体"/>
          <w:sz w:val="24"/>
        </w:rPr>
        <w:t>采购人</w:t>
      </w:r>
      <w:r>
        <w:rPr>
          <w:rFonts w:ascii="宋体" w:hAnsi="宋体"/>
          <w:sz w:val="24"/>
        </w:rPr>
        <w:t>和承包人根据《中华人民共和国建筑法》和《建设工程质量管理条例》，经协商一致就</w:t>
      </w:r>
      <w:r>
        <w:rPr>
          <w:rFonts w:ascii="宋体" w:hAnsi="宋体"/>
          <w:sz w:val="24"/>
          <w:u w:val="single"/>
        </w:rPr>
        <w:t xml:space="preserve"> </w:t>
      </w:r>
      <w:r>
        <w:rPr>
          <w:rFonts w:hint="eastAsia" w:ascii="宋体" w:hAnsi="宋体"/>
          <w:sz w:val="24"/>
          <w:u w:val="single"/>
        </w:rPr>
        <w:t xml:space="preserve">杭州市第三人民医院小额零星设施维修、工程修缮项目  </w:t>
      </w:r>
      <w:r>
        <w:rPr>
          <w:rFonts w:ascii="宋体" w:hAnsi="宋体"/>
          <w:sz w:val="24"/>
        </w:rPr>
        <w:t>签订工程质量保修书。</w:t>
      </w:r>
    </w:p>
    <w:p>
      <w:pPr>
        <w:spacing w:line="500" w:lineRule="exact"/>
        <w:rPr>
          <w:rFonts w:ascii="宋体" w:hAnsi="宋体"/>
          <w:sz w:val="24"/>
        </w:rPr>
      </w:pPr>
      <w:r>
        <w:rPr>
          <w:rFonts w:ascii="宋体" w:hAnsi="宋体"/>
          <w:sz w:val="24"/>
        </w:rPr>
        <w:t>　　一、工程质量保修范围和内容</w:t>
      </w:r>
    </w:p>
    <w:p>
      <w:pPr>
        <w:spacing w:line="500" w:lineRule="exact"/>
        <w:rPr>
          <w:rFonts w:ascii="宋体" w:hAnsi="宋体"/>
          <w:sz w:val="24"/>
        </w:rPr>
      </w:pPr>
      <w:r>
        <w:rPr>
          <w:rFonts w:ascii="宋体" w:hAnsi="宋体"/>
          <w:sz w:val="24"/>
        </w:rPr>
        <w:t>　　承包人在质量保修期内，按照有关法律规定和合同约定，承担工程质量保修责任。</w:t>
      </w:r>
    </w:p>
    <w:p>
      <w:pPr>
        <w:spacing w:line="500" w:lineRule="exact"/>
        <w:rPr>
          <w:rFonts w:ascii="宋体" w:hAnsi="宋体"/>
          <w:sz w:val="24"/>
        </w:rPr>
      </w:pPr>
      <w:r>
        <w:rPr>
          <w:rFonts w:ascii="宋体"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 w:val="24"/>
          <w:u w:val="single"/>
        </w:rPr>
        <w:t>包括招标文件和承包人实际完成工程量等所有内容</w:t>
      </w:r>
      <w:r>
        <w:rPr>
          <w:rFonts w:ascii="宋体" w:hAnsi="宋体"/>
          <w:sz w:val="24"/>
        </w:rPr>
        <w:t>。</w:t>
      </w:r>
    </w:p>
    <w:p>
      <w:pPr>
        <w:spacing w:line="500" w:lineRule="exact"/>
        <w:rPr>
          <w:rFonts w:ascii="宋体" w:hAnsi="宋体"/>
          <w:sz w:val="24"/>
        </w:rPr>
      </w:pPr>
      <w:r>
        <w:rPr>
          <w:rFonts w:ascii="宋体" w:hAnsi="宋体"/>
          <w:b/>
          <w:sz w:val="24"/>
        </w:rPr>
        <w:t>　　</w:t>
      </w:r>
      <w:r>
        <w:rPr>
          <w:rFonts w:ascii="宋体" w:hAnsi="宋体"/>
          <w:sz w:val="24"/>
        </w:rPr>
        <w:t>二、质量保修期</w:t>
      </w:r>
    </w:p>
    <w:p>
      <w:pPr>
        <w:spacing w:line="500" w:lineRule="exact"/>
        <w:ind w:firstLine="480" w:firstLineChars="200"/>
        <w:rPr>
          <w:rFonts w:ascii="宋体" w:hAnsi="宋体"/>
          <w:sz w:val="24"/>
        </w:rPr>
      </w:pPr>
      <w:r>
        <w:rPr>
          <w:rFonts w:ascii="宋体" w:hAnsi="宋体"/>
          <w:sz w:val="24"/>
        </w:rPr>
        <w:t>根据《建设工程质量管理条例》及有关规定，工程的质量保修期如下：</w:t>
      </w:r>
    </w:p>
    <w:p>
      <w:pPr>
        <w:spacing w:line="500" w:lineRule="exact"/>
        <w:ind w:firstLine="480" w:firstLineChars="200"/>
        <w:rPr>
          <w:rFonts w:ascii="宋体" w:hAnsi="宋体"/>
          <w:sz w:val="24"/>
        </w:rPr>
      </w:pPr>
      <w:r>
        <w:rPr>
          <w:rFonts w:hint="eastAsia" w:ascii="宋体" w:hAnsi="宋体"/>
          <w:sz w:val="24"/>
        </w:rPr>
        <w:t>1．地基基础工程和主体结构工程为设计文件规定的工程合理使用年限；</w:t>
      </w:r>
    </w:p>
    <w:p>
      <w:pPr>
        <w:spacing w:line="50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  5  </w:t>
      </w:r>
      <w:r>
        <w:rPr>
          <w:rFonts w:ascii="宋体" w:hAnsi="宋体"/>
          <w:sz w:val="24"/>
        </w:rPr>
        <w:t>年；</w:t>
      </w:r>
    </w:p>
    <w:p>
      <w:pPr>
        <w:spacing w:line="50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50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50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ascii="宋体" w:hAnsi="宋体"/>
          <w:sz w:val="24"/>
        </w:rPr>
        <w:t>个采暖期、供冷期；</w:t>
      </w:r>
    </w:p>
    <w:p>
      <w:pPr>
        <w:spacing w:line="500" w:lineRule="exact"/>
        <w:ind w:left="420" w:leftChars="200" w:firstLine="120" w:firstLineChars="50"/>
        <w:rPr>
          <w:rFonts w:ascii="宋体" w:hAnsi="宋体"/>
          <w:sz w:val="24"/>
        </w:rPr>
      </w:pPr>
      <w:r>
        <w:rPr>
          <w:rFonts w:hint="eastAsia" w:ascii="宋体" w:hAnsi="宋体"/>
          <w:sz w:val="24"/>
        </w:rPr>
        <w:t>6．</w:t>
      </w:r>
      <w:r>
        <w:rPr>
          <w:rFonts w:ascii="宋体" w:hAnsi="宋体"/>
          <w:sz w:val="24"/>
        </w:rPr>
        <w:t>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50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500" w:lineRule="exact"/>
        <w:rPr>
          <w:rFonts w:ascii="宋体" w:hAnsi="宋体"/>
          <w:sz w:val="24"/>
        </w:rPr>
      </w:pPr>
      <w:r>
        <w:rPr>
          <w:rFonts w:ascii="宋体" w:hAnsi="宋体"/>
          <w:sz w:val="24"/>
        </w:rPr>
        <w:t>　　质量保修期自工程竣工验收合格之日起计算。</w:t>
      </w:r>
    </w:p>
    <w:p>
      <w:pPr>
        <w:spacing w:line="500" w:lineRule="exact"/>
        <w:ind w:firstLine="480" w:firstLineChars="200"/>
        <w:rPr>
          <w:rFonts w:ascii="宋体" w:hAnsi="宋体"/>
          <w:sz w:val="24"/>
        </w:rPr>
      </w:pPr>
      <w:r>
        <w:rPr>
          <w:rFonts w:ascii="宋体" w:hAnsi="宋体"/>
          <w:sz w:val="24"/>
        </w:rPr>
        <w:t>三、缺陷责任期</w:t>
      </w:r>
    </w:p>
    <w:p>
      <w:pPr>
        <w:spacing w:line="500" w:lineRule="exact"/>
        <w:ind w:firstLine="480" w:firstLineChars="200"/>
        <w:rPr>
          <w:rFonts w:ascii="宋体" w:hAnsi="宋体"/>
          <w:sz w:val="24"/>
        </w:rPr>
      </w:pPr>
      <w:r>
        <w:rPr>
          <w:rFonts w:ascii="宋体" w:hAnsi="宋体"/>
          <w:sz w:val="24"/>
        </w:rPr>
        <w:t>工程缺陷责任期为</w:t>
      </w:r>
      <w:r>
        <w:rPr>
          <w:rFonts w:ascii="宋体" w:hAnsi="宋体"/>
          <w:sz w:val="24"/>
          <w:u w:val="single"/>
        </w:rPr>
        <w:t xml:space="preserve">    </w:t>
      </w:r>
      <w:r>
        <w:rPr>
          <w:rFonts w:hint="eastAsia" w:ascii="宋体" w:hAnsi="宋体"/>
          <w:sz w:val="24"/>
          <w:u w:val="single"/>
        </w:rPr>
        <w:t xml:space="preserve">12  </w:t>
      </w:r>
      <w:r>
        <w:rPr>
          <w:rFonts w:ascii="宋体" w:hAnsi="宋体"/>
          <w:sz w:val="24"/>
          <w:u w:val="single"/>
        </w:rPr>
        <w:t xml:space="preserve">  </w:t>
      </w:r>
      <w:r>
        <w:rPr>
          <w:rFonts w:ascii="宋体" w:hAnsi="宋体"/>
          <w:sz w:val="24"/>
        </w:rPr>
        <w:t>个月，缺陷责任期自</w:t>
      </w:r>
      <w:r>
        <w:rPr>
          <w:rFonts w:hint="eastAsia" w:ascii="宋体" w:hAnsi="宋体"/>
          <w:sz w:val="24"/>
        </w:rPr>
        <w:t>工程竣工验收合格之日</w:t>
      </w:r>
      <w:r>
        <w:rPr>
          <w:rFonts w:ascii="宋体" w:hAnsi="宋体"/>
          <w:sz w:val="24"/>
        </w:rPr>
        <w:t>起计算。单位工程先于全部工程进行验收，单位工程缺陷责任期自单位工程</w:t>
      </w:r>
      <w:r>
        <w:rPr>
          <w:rFonts w:hint="eastAsia" w:ascii="宋体" w:hAnsi="宋体"/>
          <w:sz w:val="24"/>
        </w:rPr>
        <w:t>验收合格之日期</w:t>
      </w:r>
      <w:r>
        <w:rPr>
          <w:rFonts w:ascii="宋体" w:hAnsi="宋体"/>
          <w:sz w:val="24"/>
        </w:rPr>
        <w:t>起算。</w:t>
      </w:r>
    </w:p>
    <w:p>
      <w:pPr>
        <w:spacing w:line="500" w:lineRule="exact"/>
        <w:ind w:firstLine="480" w:firstLineChars="200"/>
        <w:rPr>
          <w:rFonts w:ascii="宋体" w:hAnsi="宋体"/>
          <w:sz w:val="24"/>
        </w:rPr>
      </w:pPr>
      <w:r>
        <w:rPr>
          <w:rFonts w:ascii="宋体" w:hAnsi="宋体"/>
          <w:sz w:val="24"/>
        </w:rPr>
        <w:t>缺陷责任期终止后，</w:t>
      </w:r>
      <w:r>
        <w:rPr>
          <w:rFonts w:hint="eastAsia" w:ascii="宋体" w:hAnsi="宋体"/>
          <w:sz w:val="24"/>
        </w:rPr>
        <w:t>承包人</w:t>
      </w:r>
      <w:r>
        <w:rPr>
          <w:rFonts w:ascii="宋体" w:hAnsi="宋体"/>
          <w:sz w:val="24"/>
        </w:rPr>
        <w:t>应退还剩余的质量保证金。</w:t>
      </w:r>
    </w:p>
    <w:p>
      <w:pPr>
        <w:spacing w:line="500" w:lineRule="exact"/>
        <w:rPr>
          <w:rFonts w:ascii="宋体" w:hAnsi="宋体"/>
          <w:sz w:val="24"/>
        </w:rPr>
      </w:pPr>
      <w:r>
        <w:rPr>
          <w:rFonts w:ascii="宋体" w:hAnsi="宋体"/>
          <w:sz w:val="24"/>
        </w:rPr>
        <w:t xml:space="preserve">    四、质量保修责任</w:t>
      </w:r>
    </w:p>
    <w:p>
      <w:pPr>
        <w:spacing w:line="500" w:lineRule="exact"/>
        <w:ind w:firstLine="576" w:firstLineChars="240"/>
        <w:rPr>
          <w:rFonts w:ascii="宋体" w:hAnsi="宋体"/>
          <w:sz w:val="24"/>
        </w:rPr>
      </w:pPr>
      <w:r>
        <w:rPr>
          <w:rFonts w:hint="eastAsia" w:ascii="宋体" w:hAnsi="宋体"/>
          <w:sz w:val="24"/>
        </w:rPr>
        <w:t>1．</w:t>
      </w:r>
      <w:r>
        <w:rPr>
          <w:rFonts w:ascii="宋体" w:hAnsi="宋体"/>
          <w:sz w:val="24"/>
        </w:rPr>
        <w:t>属于保修范围、内容的项目，</w:t>
      </w:r>
      <w:r>
        <w:rPr>
          <w:rFonts w:hint="eastAsia" w:ascii="宋体" w:hAnsi="宋体"/>
          <w:sz w:val="24"/>
        </w:rPr>
        <w:t>承包人应当在接到报修通知后派人报修，接到报修后的到场维修时间为：土建和装饰部分是24小时、安装部分是12小时、弱电部分是24小时。</w:t>
      </w:r>
    </w:p>
    <w:p>
      <w:pPr>
        <w:spacing w:line="500" w:lineRule="exact"/>
        <w:ind w:firstLine="600" w:firstLineChars="250"/>
        <w:rPr>
          <w:rFonts w:ascii="宋体" w:hAnsi="宋体"/>
          <w:sz w:val="24"/>
        </w:rPr>
      </w:pPr>
      <w:r>
        <w:rPr>
          <w:rFonts w:hint="eastAsia" w:ascii="宋体" w:hAnsi="宋体"/>
          <w:sz w:val="24"/>
        </w:rPr>
        <w:t>2．经</w:t>
      </w:r>
      <w:r>
        <w:rPr>
          <w:rFonts w:hint="eastAsia" w:hAnsi="宋体"/>
          <w:sz w:val="24"/>
        </w:rPr>
        <w:t>采购人</w:t>
      </w:r>
      <w:r>
        <w:rPr>
          <w:rFonts w:hint="eastAsia" w:ascii="宋体" w:hAnsi="宋体"/>
          <w:sz w:val="24"/>
        </w:rPr>
        <w:t>后续维保部门界定，质保单位在应修复时间内未修复，则由</w:t>
      </w:r>
      <w:r>
        <w:rPr>
          <w:rFonts w:hint="eastAsia" w:hAnsi="宋体"/>
          <w:sz w:val="24"/>
        </w:rPr>
        <w:t>采购人</w:t>
      </w:r>
      <w:r>
        <w:rPr>
          <w:rFonts w:hint="eastAsia" w:ascii="宋体" w:hAnsi="宋体"/>
          <w:sz w:val="24"/>
        </w:rPr>
        <w:t>后续维保部门发维修函，要求在一定时间内修复，如仍未修复，则由</w:t>
      </w:r>
      <w:r>
        <w:rPr>
          <w:rFonts w:hint="eastAsia" w:hAnsi="宋体"/>
          <w:sz w:val="24"/>
        </w:rPr>
        <w:t>采购人</w:t>
      </w:r>
      <w:r>
        <w:rPr>
          <w:rFonts w:hint="eastAsia" w:ascii="宋体" w:hAnsi="宋体"/>
          <w:sz w:val="24"/>
        </w:rPr>
        <w:t>后续维保部门安排修复，维修费用经</w:t>
      </w:r>
      <w:r>
        <w:rPr>
          <w:rFonts w:hint="eastAsia" w:hAnsi="宋体"/>
          <w:sz w:val="24"/>
        </w:rPr>
        <w:t>采购人</w:t>
      </w:r>
      <w:r>
        <w:rPr>
          <w:rFonts w:hint="eastAsia" w:ascii="宋体" w:hAnsi="宋体"/>
          <w:sz w:val="24"/>
        </w:rPr>
        <w:t>审计科审计后，加倍从质保单位的质保金内扣除，如预留质保金足额，则采购人直接在质量保修金中扣除；如预留质保金不足，则承包人应按差额在15个工作日内支付给采购人，若承包人无故拖欠差额部分维修费用，则采购人有权追溯并采取取消承包人在采购人以后项目投标资格等权利。</w:t>
      </w:r>
    </w:p>
    <w:p>
      <w:pPr>
        <w:spacing w:line="500" w:lineRule="exact"/>
        <w:ind w:firstLine="600" w:firstLineChars="250"/>
        <w:rPr>
          <w:rFonts w:ascii="宋体" w:hAnsi="宋体"/>
          <w:sz w:val="24"/>
        </w:rPr>
      </w:pPr>
      <w:r>
        <w:rPr>
          <w:rFonts w:hint="eastAsia" w:ascii="宋体" w:hAnsi="宋体"/>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500" w:lineRule="exact"/>
        <w:ind w:firstLine="600" w:firstLineChars="250"/>
        <w:rPr>
          <w:rFonts w:ascii="宋体" w:hAnsi="宋体"/>
          <w:sz w:val="24"/>
        </w:rPr>
      </w:pPr>
      <w:r>
        <w:rPr>
          <w:rFonts w:ascii="宋体" w:hAnsi="宋体"/>
          <w:sz w:val="24"/>
        </w:rPr>
        <w:t>五、保修费用</w:t>
      </w:r>
    </w:p>
    <w:p>
      <w:pPr>
        <w:spacing w:line="500" w:lineRule="exact"/>
        <w:rPr>
          <w:rFonts w:ascii="宋体" w:hAnsi="宋体"/>
          <w:sz w:val="24"/>
        </w:rPr>
      </w:pPr>
      <w:r>
        <w:rPr>
          <w:rFonts w:ascii="宋体" w:hAnsi="宋体"/>
          <w:sz w:val="24"/>
        </w:rPr>
        <w:t>　　保修费用由造成质量缺陷的责任方承担。</w:t>
      </w:r>
    </w:p>
    <w:p>
      <w:pPr>
        <w:spacing w:line="500" w:lineRule="exact"/>
        <w:ind w:firstLine="600"/>
        <w:jc w:val="left"/>
        <w:rPr>
          <w:rFonts w:ascii="宋体" w:hAnsi="宋体"/>
          <w:sz w:val="24"/>
          <w:u w:val="single"/>
        </w:rPr>
      </w:pPr>
      <w:r>
        <w:rPr>
          <w:rFonts w:ascii="宋体" w:hAnsi="宋体"/>
          <w:b/>
          <w:sz w:val="24"/>
        </w:rPr>
        <w:t>六</w:t>
      </w:r>
      <w:r>
        <w:rPr>
          <w:rFonts w:ascii="宋体" w:hAnsi="宋体"/>
          <w:sz w:val="24"/>
        </w:rPr>
        <w:t>、双方约定的其他工程质量保修事项：</w:t>
      </w:r>
    </w:p>
    <w:p>
      <w:pPr>
        <w:spacing w:line="500" w:lineRule="exact"/>
        <w:ind w:firstLine="600"/>
        <w:jc w:val="left"/>
        <w:rPr>
          <w:rFonts w:ascii="宋体" w:hAnsi="宋体"/>
          <w:sz w:val="24"/>
        </w:rPr>
      </w:pPr>
      <w:r>
        <w:rPr>
          <w:rFonts w:hint="eastAsia" w:ascii="宋体" w:hAnsi="宋体"/>
          <w:sz w:val="24"/>
        </w:rPr>
        <w:t>1．双方约定的其他工程质量保修事项：质量保修期起始时间为验收合格次日起计。</w:t>
      </w:r>
    </w:p>
    <w:p>
      <w:pPr>
        <w:spacing w:line="500" w:lineRule="exact"/>
        <w:ind w:firstLine="600"/>
        <w:jc w:val="left"/>
        <w:rPr>
          <w:rFonts w:ascii="宋体" w:hAnsi="宋体"/>
          <w:sz w:val="24"/>
        </w:rPr>
      </w:pPr>
      <w:r>
        <w:rPr>
          <w:rFonts w:hint="eastAsia" w:ascii="宋体" w:hAnsi="宋体"/>
          <w:sz w:val="24"/>
        </w:rPr>
        <w:t>2．采购人在保修期间的管理由采购人总务部和保卫部二个部门对应负责。</w:t>
      </w:r>
    </w:p>
    <w:p>
      <w:pPr>
        <w:spacing w:line="500" w:lineRule="exact"/>
        <w:ind w:firstLine="600"/>
        <w:jc w:val="left"/>
        <w:rPr>
          <w:rFonts w:ascii="宋体" w:hAnsi="宋体"/>
          <w:sz w:val="24"/>
        </w:rPr>
      </w:pPr>
      <w:r>
        <w:rPr>
          <w:rFonts w:hint="eastAsia" w:ascii="宋体" w:hAnsi="宋体"/>
          <w:sz w:val="24"/>
        </w:rPr>
        <w:t>3．承包人的质量保修金在退还时，需由采购人总务部确认无质量问题方可退还。</w:t>
      </w:r>
      <w:r>
        <w:rPr>
          <w:rFonts w:ascii="宋体" w:hAnsi="宋体"/>
          <w:sz w:val="24"/>
        </w:rPr>
        <w:t xml:space="preserve"> </w:t>
      </w:r>
    </w:p>
    <w:p>
      <w:pPr>
        <w:spacing w:line="500" w:lineRule="exact"/>
        <w:ind w:firstLine="600"/>
        <w:jc w:val="left"/>
        <w:rPr>
          <w:rFonts w:ascii="宋体" w:hAnsi="宋体"/>
          <w:sz w:val="24"/>
          <w:u w:val="single"/>
        </w:rPr>
      </w:pPr>
      <w:r>
        <w:rPr>
          <w:rFonts w:hint="eastAsia" w:ascii="宋体" w:hAnsi="宋体"/>
          <w:sz w:val="24"/>
        </w:rPr>
        <w:t>4．承包人质量保修联系人</w:t>
      </w:r>
      <w:r>
        <w:rPr>
          <w:rFonts w:hint="eastAsia" w:ascii="宋体" w:hAnsi="宋体"/>
          <w:sz w:val="24"/>
          <w:u w:val="single"/>
        </w:rPr>
        <w:t>：            ，</w:t>
      </w:r>
      <w:r>
        <w:rPr>
          <w:rFonts w:hint="eastAsia" w:ascii="宋体" w:hAnsi="宋体"/>
          <w:sz w:val="24"/>
        </w:rPr>
        <w:t>联系电话</w:t>
      </w:r>
      <w:r>
        <w:rPr>
          <w:rFonts w:hint="eastAsia" w:ascii="宋体" w:hAnsi="宋体"/>
          <w:sz w:val="24"/>
          <w:u w:val="single"/>
        </w:rPr>
        <w:t>：            。</w:t>
      </w:r>
      <w:r>
        <w:rPr>
          <w:rFonts w:hint="eastAsia" w:ascii="宋体" w:hAnsi="宋体"/>
          <w:sz w:val="24"/>
        </w:rPr>
        <w:t>邮箱地址</w:t>
      </w:r>
      <w:r>
        <w:rPr>
          <w:rFonts w:hint="eastAsia" w:ascii="宋体" w:hAnsi="宋体"/>
          <w:sz w:val="24"/>
          <w:u w:val="single"/>
        </w:rPr>
        <w:t>：        。</w:t>
      </w:r>
    </w:p>
    <w:p>
      <w:pPr>
        <w:spacing w:line="500" w:lineRule="exact"/>
        <w:ind w:firstLine="456" w:firstLineChars="190"/>
        <w:rPr>
          <w:rFonts w:ascii="宋体" w:hAnsi="宋体"/>
          <w:sz w:val="24"/>
        </w:rPr>
      </w:pPr>
      <w:r>
        <w:rPr>
          <w:rFonts w:ascii="宋体" w:hAnsi="宋体"/>
          <w:sz w:val="24"/>
        </w:rPr>
        <w:t>工程质量保修书由</w:t>
      </w:r>
      <w:r>
        <w:rPr>
          <w:rFonts w:hint="eastAsia" w:ascii="宋体" w:hAnsi="宋体"/>
          <w:sz w:val="24"/>
        </w:rPr>
        <w:t>采购人</w:t>
      </w:r>
      <w:r>
        <w:rPr>
          <w:rFonts w:ascii="宋体" w:hAnsi="宋体"/>
          <w:sz w:val="24"/>
        </w:rPr>
        <w:t>、承包人在工程竣工验收前共同签署，作为施工合同附件，其有效期限至保修期满。</w:t>
      </w:r>
    </w:p>
    <w:p>
      <w:pPr>
        <w:spacing w:line="500" w:lineRule="exact"/>
        <w:ind w:firstLine="420"/>
        <w:rPr>
          <w:rFonts w:ascii="宋体" w:hAnsi="宋体"/>
          <w:sz w:val="24"/>
        </w:rPr>
      </w:pPr>
    </w:p>
    <w:p>
      <w:pPr>
        <w:spacing w:line="500" w:lineRule="exact"/>
        <w:rPr>
          <w:rFonts w:ascii="宋体" w:hAnsi="宋体"/>
          <w:sz w:val="24"/>
        </w:rPr>
      </w:pPr>
      <w:r>
        <w:rPr>
          <w:rFonts w:hint="eastAsia" w:ascii="宋体" w:hAnsi="宋体"/>
          <w:sz w:val="24"/>
        </w:rPr>
        <w:t>采购人</w:t>
      </w:r>
      <w:r>
        <w:rPr>
          <w:rFonts w:ascii="宋体" w:hAnsi="宋体"/>
          <w:sz w:val="24"/>
        </w:rPr>
        <w:t>(公章)：</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ascii="宋体" w:hAnsi="宋体"/>
          <w:sz w:val="24"/>
        </w:rPr>
        <w:t xml:space="preserve"> 承包人(公章)：</w:t>
      </w:r>
      <w:r>
        <w:rPr>
          <w:rFonts w:hint="eastAsia" w:ascii="MingLiU_HKSCS" w:hAnsi="MingLiU_HKSCS" w:cs="MingLiU_HKSCS"/>
          <w:sz w:val="24"/>
          <w:u w:val="single"/>
        </w:rPr>
        <w:t xml:space="preserve">              </w:t>
      </w:r>
    </w:p>
    <w:p>
      <w:pPr>
        <w:spacing w:line="500" w:lineRule="exact"/>
        <w:rPr>
          <w:rFonts w:ascii="宋体" w:hAnsi="宋体"/>
          <w:sz w:val="24"/>
        </w:rPr>
      </w:pPr>
      <w:r>
        <w:rPr>
          <w:rFonts w:ascii="宋体" w:hAnsi="宋体"/>
          <w:sz w:val="24"/>
        </w:rPr>
        <w:t>地  址：</w:t>
      </w:r>
      <w:r>
        <w:rPr>
          <w:rFonts w:ascii="宋体" w:hAnsi="宋体"/>
          <w:sz w:val="24"/>
          <w:u w:val="single"/>
        </w:rPr>
        <w:t xml:space="preserve"> </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hint="eastAsia" w:ascii="宋体" w:hAnsi="宋体"/>
          <w:sz w:val="24"/>
        </w:rPr>
        <w:t xml:space="preserve"> </w:t>
      </w:r>
      <w:r>
        <w:rPr>
          <w:rFonts w:ascii="宋体" w:hAnsi="宋体"/>
          <w:sz w:val="24"/>
        </w:rPr>
        <w:t>地  址：</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ascii="宋体" w:hAnsi="宋体"/>
          <w:sz w:val="24"/>
        </w:rPr>
        <w:t>法定代表人(签字)：</w:t>
      </w:r>
      <w:r>
        <w:rPr>
          <w:rFonts w:hint="eastAsia" w:ascii="MingLiU_HKSCS" w:hAnsi="MingLiU_HKSCS" w:cs="MingLiU_HKSCS"/>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法定代表人(签字)：</w:t>
      </w:r>
      <w:r>
        <w:rPr>
          <w:rFonts w:hint="eastAsia" w:ascii="MingLiU_HKSCS" w:hAnsi="MingLiU_HKSCS" w:cs="MingLiU_HKSCS"/>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ascii="宋体" w:hAnsi="宋体"/>
          <w:sz w:val="24"/>
        </w:rPr>
        <w:t>委托代理人(签字)：</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ascii="宋体" w:hAnsi="宋体"/>
          <w:sz w:val="24"/>
        </w:rPr>
        <w:t xml:space="preserve"> 委托代理人(签字)：</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ascii="宋体" w:hAnsi="宋体"/>
          <w:sz w:val="24"/>
        </w:rPr>
        <w:t>电  话：</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ascii="宋体" w:hAnsi="宋体"/>
          <w:sz w:val="24"/>
        </w:rPr>
        <w:t xml:space="preserve"> 电  话：</w:t>
      </w:r>
      <w:r>
        <w:rPr>
          <w:rFonts w:hint="eastAsia" w:ascii="MingLiU_HKSCS" w:hAnsi="MingLiU_HKSCS" w:cs="MingLiU_HKSCS"/>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ascii="宋体" w:hAnsi="宋体"/>
          <w:sz w:val="24"/>
        </w:rPr>
        <w:t>传  真：</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ascii="宋体" w:hAnsi="宋体"/>
          <w:sz w:val="24"/>
        </w:rPr>
        <w:t xml:space="preserve"> 传  真：</w:t>
      </w:r>
      <w:r>
        <w:rPr>
          <w:rFonts w:hint="eastAsia" w:ascii="MingLiU_HKSCS" w:hAnsi="MingLiU_HKSCS" w:cs="MingLiU_HKSCS"/>
          <w:sz w:val="24"/>
          <w:u w:val="single"/>
        </w:rPr>
        <w:t xml:space="preserve">                 </w:t>
      </w:r>
      <w:r>
        <w:rPr>
          <w:rFonts w:hint="eastAsia" w:ascii="宋体" w:hAnsi="宋体" w:cs="宋体"/>
          <w:sz w:val="24"/>
          <w:u w:val="single"/>
        </w:rPr>
        <w:t xml:space="preserve">   </w:t>
      </w:r>
    </w:p>
    <w:p>
      <w:pPr>
        <w:spacing w:line="500" w:lineRule="exact"/>
        <w:rPr>
          <w:rFonts w:ascii="宋体" w:hAnsi="宋体"/>
          <w:sz w:val="24"/>
        </w:rPr>
      </w:pPr>
      <w:r>
        <w:rPr>
          <w:rFonts w:ascii="宋体" w:hAnsi="宋体"/>
          <w:sz w:val="24"/>
        </w:rPr>
        <w:t>开户银行：</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ascii="宋体" w:hAnsi="宋体"/>
          <w:sz w:val="24"/>
        </w:rPr>
        <w:t xml:space="preserve"> 开户银行：</w:t>
      </w:r>
      <w:r>
        <w:rPr>
          <w:rFonts w:hint="eastAsia" w:ascii="MingLiU_HKSCS" w:hAnsi="MingLiU_HKSCS" w:cs="MingLiU_HKSCS"/>
          <w:sz w:val="24"/>
          <w:u w:val="single"/>
        </w:rPr>
        <w:t xml:space="preserve">               </w:t>
      </w:r>
      <w:r>
        <w:rPr>
          <w:rFonts w:hint="eastAsia" w:ascii="宋体" w:hAnsi="宋体" w:cs="宋体"/>
          <w:sz w:val="24"/>
          <w:u w:val="single"/>
        </w:rPr>
        <w:t xml:space="preserve">   </w:t>
      </w:r>
    </w:p>
    <w:p>
      <w:pPr>
        <w:spacing w:line="500" w:lineRule="exact"/>
        <w:rPr>
          <w:rFonts w:ascii="宋体" w:hAnsi="宋体"/>
          <w:sz w:val="24"/>
        </w:rPr>
      </w:pPr>
      <w:r>
        <w:rPr>
          <w:rFonts w:ascii="宋体" w:hAnsi="宋体"/>
          <w:sz w:val="24"/>
        </w:rPr>
        <w:t>账  号：</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hint="eastAsia" w:ascii="宋体" w:hAnsi="宋体"/>
          <w:sz w:val="24"/>
        </w:rPr>
        <w:t xml:space="preserve">  </w:t>
      </w:r>
      <w:r>
        <w:rPr>
          <w:rFonts w:ascii="宋体" w:hAnsi="宋体"/>
          <w:sz w:val="24"/>
        </w:rPr>
        <w:t>账</w:t>
      </w:r>
      <w:r>
        <w:rPr>
          <w:rFonts w:hint="eastAsia" w:ascii="宋体" w:hAnsi="宋体"/>
          <w:sz w:val="24"/>
        </w:rPr>
        <w:t xml:space="preserve"> </w:t>
      </w:r>
      <w:r>
        <w:rPr>
          <w:rFonts w:ascii="宋体" w:hAnsi="宋体"/>
          <w:sz w:val="24"/>
        </w:rPr>
        <w:t xml:space="preserve"> 号：</w:t>
      </w:r>
      <w:r>
        <w:rPr>
          <w:rFonts w:hint="eastAsia" w:ascii="MingLiU_HKSCS" w:hAnsi="MingLiU_HKSCS" w:cs="MingLiU_HKSCS"/>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500" w:lineRule="exact"/>
        <w:rPr>
          <w:rFonts w:ascii="宋体" w:hAnsi="宋体"/>
          <w:sz w:val="24"/>
        </w:rPr>
      </w:pPr>
      <w:r>
        <w:rPr>
          <w:rFonts w:ascii="宋体" w:hAnsi="宋体"/>
          <w:sz w:val="24"/>
        </w:rPr>
        <w:t>邮政编码：</w:t>
      </w:r>
      <w:r>
        <w:rPr>
          <w:rFonts w:hint="eastAsia" w:ascii="MingLiU_HKSCS" w:hAnsi="MingLiU_HKSCS" w:cs="MingLiU_HKSCS"/>
          <w:sz w:val="24"/>
          <w:u w:val="single"/>
        </w:rPr>
        <w:t xml:space="preserve">              </w:t>
      </w:r>
      <w:r>
        <w:rPr>
          <w:rFonts w:hint="eastAsia" w:ascii="宋体" w:hAnsi="宋体" w:cs="宋体"/>
          <w:sz w:val="24"/>
          <w:u w:val="single"/>
        </w:rPr>
        <w:t xml:space="preserve">   </w:t>
      </w:r>
      <w:r>
        <w:rPr>
          <w:rFonts w:ascii="宋体" w:hAnsi="宋体"/>
          <w:sz w:val="24"/>
        </w:rPr>
        <w:t xml:space="preserve"> 邮政编码：</w:t>
      </w:r>
      <w:r>
        <w:rPr>
          <w:rFonts w:hint="eastAsia" w:ascii="MingLiU_HKSCS" w:hAnsi="MingLiU_HKSCS" w:cs="MingLiU_HKSCS"/>
          <w:sz w:val="24"/>
          <w:u w:val="single"/>
        </w:rPr>
        <w:t xml:space="preserve">               </w:t>
      </w:r>
      <w:r>
        <w:rPr>
          <w:rFonts w:hint="eastAsia" w:ascii="宋体" w:hAnsi="宋体" w:cs="宋体"/>
          <w:sz w:val="24"/>
          <w:u w:val="single"/>
        </w:rPr>
        <w:t xml:space="preserve">   </w:t>
      </w:r>
    </w:p>
    <w:p>
      <w:pPr>
        <w:spacing w:line="440" w:lineRule="exact"/>
        <w:rPr>
          <w:rFonts w:ascii="宋体" w:hAnsi="宋体" w:cs="宋体"/>
          <w:sz w:val="24"/>
        </w:rPr>
      </w:pPr>
      <w:r>
        <w:rPr>
          <w:rFonts w:ascii="宋体" w:hAnsi="宋体"/>
          <w:b/>
          <w:sz w:val="24"/>
        </w:rPr>
        <w:br w:type="page"/>
      </w:r>
      <w:bookmarkStart w:id="416" w:name="_Toc267261701"/>
      <w:r>
        <w:rPr>
          <w:rFonts w:hint="eastAsia" w:ascii="宋体" w:hAnsi="宋体" w:cs="宋体"/>
          <w:sz w:val="24"/>
        </w:rPr>
        <w:t>附</w:t>
      </w:r>
      <w:bookmarkStart w:id="417" w:name="_Toc296944570"/>
      <w:bookmarkStart w:id="418" w:name="_Toc296346732"/>
      <w:bookmarkStart w:id="419" w:name="_Toc296891059"/>
      <w:bookmarkStart w:id="420" w:name="_Toc296347230"/>
      <w:bookmarkStart w:id="421" w:name="_Toc296503231"/>
      <w:bookmarkStart w:id="422" w:name="_Toc296891271"/>
      <w:r>
        <w:rPr>
          <w:rFonts w:hint="eastAsia" w:ascii="宋体" w:hAnsi="宋体" w:cs="宋体"/>
          <w:sz w:val="24"/>
        </w:rPr>
        <w:t>件2：</w:t>
      </w:r>
    </w:p>
    <w:bookmarkEnd w:id="416"/>
    <w:bookmarkEnd w:id="417"/>
    <w:bookmarkEnd w:id="418"/>
    <w:bookmarkEnd w:id="419"/>
    <w:bookmarkEnd w:id="420"/>
    <w:bookmarkEnd w:id="421"/>
    <w:bookmarkEnd w:id="422"/>
    <w:p>
      <w:pPr>
        <w:spacing w:before="120" w:beforeLines="50" w:after="120" w:afterLines="50" w:line="440" w:lineRule="exact"/>
        <w:jc w:val="center"/>
        <w:rPr>
          <w:rFonts w:ascii="宋体" w:hAnsi="宋体" w:cs="宋体"/>
          <w:sz w:val="24"/>
        </w:rPr>
      </w:pPr>
      <w:r>
        <w:rPr>
          <w:rFonts w:hint="eastAsia" w:ascii="宋体" w:hAnsi="宋体" w:cs="宋体"/>
          <w:sz w:val="24"/>
        </w:rPr>
        <w:t>履约担保</w:t>
      </w:r>
    </w:p>
    <w:p>
      <w:pPr>
        <w:spacing w:line="500" w:lineRule="atLeast"/>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（采购人名称）：</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（采购人名称，以下简称“采购人”）与</w:t>
      </w:r>
    </w:p>
    <w:p>
      <w:pPr>
        <w:spacing w:line="500" w:lineRule="atLeas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（承包人名称）（以下称“承包人”）于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w:t>
      </w:r>
      <w:r>
        <w:rPr>
          <w:rFonts w:hint="eastAsia" w:ascii="宋体" w:hAnsi="宋体" w:cs="宋体"/>
          <w:sz w:val="24"/>
          <w:u w:val="single"/>
        </w:rPr>
        <w:t xml:space="preserve">                         </w:t>
      </w:r>
      <w:r>
        <w:rPr>
          <w:rFonts w:hint="eastAsia" w:ascii="宋体" w:hAnsi="宋体" w:cs="宋体"/>
          <w:sz w:val="24"/>
        </w:rPr>
        <w:t xml:space="preserve">（工程名称）施工及有关事项协商一致共同签订《建设工程施工合同》。我方愿意无条件地、不可撤销地就承包人履行与你方签订的合同，向你方提供连带责任担保。 </w:t>
      </w:r>
    </w:p>
    <w:p>
      <w:pPr>
        <w:spacing w:line="500" w:lineRule="atLeast"/>
        <w:ind w:firstLine="480" w:firstLineChars="200"/>
        <w:rPr>
          <w:rFonts w:ascii="宋体" w:hAnsi="宋体" w:cs="宋体"/>
          <w:sz w:val="24"/>
        </w:rPr>
      </w:pPr>
      <w:r>
        <w:rPr>
          <w:rFonts w:hint="eastAsia" w:ascii="宋体" w:hAnsi="宋体" w:cs="宋体"/>
          <w:sz w:val="24"/>
        </w:rPr>
        <w:t>1. 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spacing w:line="500" w:lineRule="atLeast"/>
        <w:ind w:firstLine="480" w:firstLineChars="200"/>
        <w:rPr>
          <w:rFonts w:ascii="宋体" w:hAnsi="宋体" w:cs="宋体"/>
          <w:sz w:val="24"/>
        </w:rPr>
      </w:pPr>
      <w:r>
        <w:rPr>
          <w:rFonts w:hint="eastAsia" w:ascii="宋体" w:hAnsi="宋体" w:cs="宋体"/>
          <w:sz w:val="24"/>
        </w:rPr>
        <w:t>2. 担保有效期自你方与承包人签订的合同生效之日起至你方签发或应签发工程接收证书之日止。</w:t>
      </w:r>
    </w:p>
    <w:p>
      <w:pPr>
        <w:spacing w:line="500" w:lineRule="atLeast"/>
        <w:ind w:firstLine="480" w:firstLineChars="200"/>
        <w:rPr>
          <w:rFonts w:ascii="宋体" w:hAnsi="宋体" w:cs="宋体"/>
          <w:sz w:val="24"/>
        </w:rPr>
      </w:pPr>
      <w:r>
        <w:rPr>
          <w:rFonts w:hint="eastAsia" w:ascii="宋体" w:hAnsi="宋体" w:cs="宋体"/>
          <w:sz w:val="24"/>
        </w:rPr>
        <w:t>3. 在本担保有效期内，因承包人违反合同约定的义务给你方造成经济损失时，我方在收到你方以书面形式提出的在担保金额内的赔偿要求后，在7天内无条件支付。</w:t>
      </w:r>
    </w:p>
    <w:p>
      <w:pPr>
        <w:spacing w:line="500" w:lineRule="atLeast"/>
        <w:ind w:firstLine="480" w:firstLineChars="200"/>
        <w:rPr>
          <w:rFonts w:ascii="宋体" w:hAnsi="宋体" w:cs="宋体"/>
          <w:sz w:val="24"/>
        </w:rPr>
      </w:pPr>
      <w:r>
        <w:rPr>
          <w:rFonts w:hint="eastAsia" w:ascii="宋体" w:hAnsi="宋体" w:cs="宋体"/>
          <w:sz w:val="24"/>
        </w:rPr>
        <w:t>4. 你方和承包人按合同约定变更合同时，我方承担本担保规定的义务不变。</w:t>
      </w:r>
    </w:p>
    <w:p>
      <w:pPr>
        <w:spacing w:line="500" w:lineRule="atLeast"/>
        <w:ind w:firstLine="480" w:firstLineChars="200"/>
        <w:rPr>
          <w:rFonts w:ascii="宋体" w:hAnsi="宋体" w:cs="宋体"/>
          <w:sz w:val="24"/>
        </w:rPr>
      </w:pPr>
      <w:r>
        <w:rPr>
          <w:rFonts w:hint="eastAsia" w:ascii="宋体" w:hAnsi="宋体" w:cs="宋体"/>
          <w:sz w:val="24"/>
        </w:rPr>
        <w:t>5. 因本保函发生的纠纷，可由双方协商解决，协商不成的，任何一方均可提请</w:t>
      </w:r>
      <w:r>
        <w:rPr>
          <w:rFonts w:hint="eastAsia" w:ascii="宋体" w:hAnsi="宋体" w:cs="宋体"/>
          <w:sz w:val="24"/>
          <w:u w:val="single"/>
        </w:rPr>
        <w:t xml:space="preserve">         </w:t>
      </w:r>
      <w:r>
        <w:rPr>
          <w:rFonts w:hint="eastAsia" w:ascii="宋体" w:hAnsi="宋体" w:cs="宋体"/>
          <w:sz w:val="24"/>
        </w:rPr>
        <w:t>仲裁委员会仲裁。</w:t>
      </w:r>
    </w:p>
    <w:p>
      <w:pPr>
        <w:spacing w:line="500" w:lineRule="atLeast"/>
        <w:ind w:firstLine="480" w:firstLineChars="200"/>
        <w:rPr>
          <w:rFonts w:ascii="宋体" w:hAnsi="宋体" w:cs="宋体"/>
          <w:sz w:val="24"/>
        </w:rPr>
      </w:pPr>
      <w:r>
        <w:rPr>
          <w:rFonts w:hint="eastAsia" w:ascii="宋体" w:hAnsi="宋体" w:cs="宋体"/>
          <w:sz w:val="24"/>
        </w:rPr>
        <w:t>6. 本保函自我方法定代表人（或其授权代理人）签字并加盖公章之日起生效。</w:t>
      </w:r>
    </w:p>
    <w:p>
      <w:pPr>
        <w:spacing w:line="500" w:lineRule="atLeast"/>
        <w:rPr>
          <w:rFonts w:ascii="宋体" w:hAnsi="宋体" w:cs="宋体"/>
          <w:sz w:val="24"/>
        </w:rPr>
      </w:pPr>
    </w:p>
    <w:p>
      <w:pPr>
        <w:spacing w:line="500" w:lineRule="atLeast"/>
        <w:rPr>
          <w:rFonts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rPr>
        <w:t>（盖单位章）</w:t>
      </w:r>
    </w:p>
    <w:p>
      <w:pPr>
        <w:spacing w:line="500" w:lineRule="atLeas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spacing w:line="500" w:lineRule="atLeas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atLeast"/>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pPr>
        <w:spacing w:line="500" w:lineRule="atLeast"/>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500" w:lineRule="atLeast"/>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pPr>
        <w:spacing w:line="500" w:lineRule="atLeast"/>
        <w:jc w:val="left"/>
        <w:rPr>
          <w:rFonts w:ascii="宋体" w:hAnsi="宋体" w:cs="宋体"/>
          <w:sz w:val="24"/>
          <w:u w:val="single"/>
        </w:rPr>
      </w:pPr>
    </w:p>
    <w:p>
      <w:pPr>
        <w:spacing w:line="500" w:lineRule="atLeast"/>
        <w:ind w:left="1519" w:hanging="1519" w:hangingChars="633"/>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left="1519" w:hanging="1519" w:hangingChars="633"/>
        <w:rPr>
          <w:rFonts w:ascii="宋体" w:hAnsi="宋体" w:cs="宋体"/>
          <w:sz w:val="24"/>
        </w:rPr>
      </w:pPr>
    </w:p>
    <w:p>
      <w:pPr>
        <w:spacing w:line="440" w:lineRule="exact"/>
        <w:rPr>
          <w:rFonts w:ascii="宋体" w:hAnsi="宋体" w:cs="宋体"/>
          <w:sz w:val="24"/>
        </w:rPr>
      </w:pPr>
      <w:r>
        <w:rPr>
          <w:rFonts w:hint="eastAsia" w:ascii="宋体" w:hAnsi="宋体" w:cs="宋体"/>
          <w:sz w:val="24"/>
        </w:rPr>
        <w:br w:type="page"/>
      </w:r>
      <w:r>
        <w:rPr>
          <w:rFonts w:hint="eastAsia" w:ascii="宋体" w:hAnsi="宋体" w:cs="宋体"/>
          <w:sz w:val="24"/>
        </w:rPr>
        <w:t>附件3：</w:t>
      </w:r>
    </w:p>
    <w:p>
      <w:pPr>
        <w:jc w:val="center"/>
        <w:rPr>
          <w:rFonts w:ascii="宋体" w:hAnsi="宋体" w:cs="宋体"/>
          <w:b/>
          <w:bCs/>
          <w:sz w:val="24"/>
        </w:rPr>
      </w:pPr>
      <w:r>
        <w:rPr>
          <w:rFonts w:hint="eastAsia" w:ascii="宋体" w:hAnsi="宋体" w:cs="宋体"/>
          <w:b/>
          <w:bCs/>
          <w:sz w:val="24"/>
        </w:rPr>
        <w:t>工程安全施工管理协议</w:t>
      </w:r>
    </w:p>
    <w:p>
      <w:pPr>
        <w:jc w:val="center"/>
        <w:rPr>
          <w:rFonts w:ascii="宋体" w:hAnsi="宋体" w:cs="宋体"/>
          <w:b/>
          <w:bCs/>
          <w:sz w:val="24"/>
        </w:rPr>
      </w:pPr>
    </w:p>
    <w:p>
      <w:pPr>
        <w:spacing w:line="440" w:lineRule="exact"/>
        <w:ind w:left="359" w:leftChars="171"/>
        <w:rPr>
          <w:rFonts w:ascii="宋体" w:hAnsi="宋体" w:cs="宋体"/>
          <w:b/>
          <w:sz w:val="24"/>
        </w:rPr>
      </w:pPr>
      <w:r>
        <w:rPr>
          <w:rFonts w:hint="eastAsia" w:ascii="宋体" w:hAnsi="宋体" w:cs="宋体"/>
          <w:b/>
          <w:sz w:val="24"/>
        </w:rPr>
        <w:t xml:space="preserve">甲方: </w:t>
      </w:r>
      <w:r>
        <w:rPr>
          <w:rFonts w:hint="eastAsia" w:ascii="宋体" w:hAnsi="宋体" w:cs="宋体"/>
          <w:b/>
          <w:sz w:val="24"/>
          <w:u w:val="single"/>
        </w:rPr>
        <w:t xml:space="preserve"> </w:t>
      </w:r>
      <w:r>
        <w:rPr>
          <w:rFonts w:hint="eastAsia" w:ascii="宋体" w:hAnsi="宋体" w:cs="宋体"/>
          <w:b/>
          <w:sz w:val="24"/>
        </w:rPr>
        <w:t xml:space="preserve"> </w:t>
      </w:r>
    </w:p>
    <w:p>
      <w:pPr>
        <w:spacing w:line="440" w:lineRule="exact"/>
        <w:ind w:left="359" w:leftChars="171"/>
        <w:rPr>
          <w:rFonts w:ascii="宋体" w:hAnsi="宋体" w:cs="宋体"/>
          <w:sz w:val="24"/>
        </w:rPr>
      </w:pPr>
      <w:r>
        <w:rPr>
          <w:rFonts w:hint="eastAsia" w:ascii="宋体" w:hAnsi="宋体" w:cs="宋体"/>
          <w:b/>
          <w:sz w:val="24"/>
        </w:rPr>
        <w:t xml:space="preserve">乙方: </w:t>
      </w:r>
      <w:r>
        <w:rPr>
          <w:rFonts w:hint="eastAsia" w:ascii="宋体" w:hAnsi="宋体" w:cs="宋体"/>
          <w:b/>
          <w:sz w:val="24"/>
          <w:u w:val="single"/>
        </w:rPr>
        <w:t xml:space="preserve"> </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为贯彻“安全第一，预防为主，综合治理”的方针，根据《安全生产法》、《建设工程安全生产管理条例》等国家有关安全管理法律法规,明确各方的安全责任，确保施工安全，签订本协议。</w:t>
      </w:r>
    </w:p>
    <w:p>
      <w:pPr>
        <w:spacing w:before="48" w:beforeLines="20" w:after="48" w:afterLines="20" w:line="440" w:lineRule="exact"/>
        <w:ind w:left="-178" w:leftChars="-85" w:right="250" w:rightChars="119" w:firstLine="482" w:firstLineChars="200"/>
        <w:rPr>
          <w:rFonts w:ascii="宋体" w:hAnsi="宋体" w:cs="宋体"/>
          <w:b/>
          <w:sz w:val="24"/>
        </w:rPr>
      </w:pPr>
      <w:r>
        <w:rPr>
          <w:rFonts w:hint="eastAsia" w:ascii="宋体" w:hAnsi="宋体" w:cs="宋体"/>
          <w:b/>
          <w:sz w:val="24"/>
        </w:rPr>
        <w:t>本项目安全总目标</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不发生人身死亡事故。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不发生主要设备、重大施工机械损坏事故。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不发生重大火灾事故。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不发生负主要责任的重大交通事故。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不发生重大环境污染事故。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重伤事故频率控制在【 0 】次/年.千人。</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不发生重复相同性质的事故。</w:t>
      </w:r>
    </w:p>
    <w:p>
      <w:pPr>
        <w:spacing w:before="48" w:beforeLines="20" w:after="48" w:afterLines="20" w:line="440" w:lineRule="exact"/>
        <w:ind w:left="-178" w:leftChars="-85" w:right="250" w:rightChars="119" w:firstLine="482" w:firstLineChars="200"/>
        <w:rPr>
          <w:rFonts w:ascii="宋体" w:hAnsi="宋体" w:cs="宋体"/>
          <w:b/>
          <w:sz w:val="24"/>
        </w:rPr>
      </w:pPr>
      <w:r>
        <w:rPr>
          <w:rFonts w:hint="eastAsia" w:ascii="宋体" w:hAnsi="宋体" w:cs="宋体"/>
          <w:b/>
          <w:sz w:val="24"/>
        </w:rPr>
        <w:t>1.工程项目</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工程项目名称：</w:t>
      </w:r>
      <w:r>
        <w:rPr>
          <w:rFonts w:hint="eastAsia" w:ascii="宋体" w:hAnsi="宋体" w:cs="宋体"/>
          <w:sz w:val="24"/>
          <w:u w:val="single"/>
        </w:rPr>
        <w:t xml:space="preserve"> </w:t>
      </w:r>
    </w:p>
    <w:p>
      <w:pPr>
        <w:spacing w:before="48" w:beforeLines="20" w:after="48" w:afterLines="20" w:line="440" w:lineRule="exact"/>
        <w:ind w:left="-178" w:leftChars="-85" w:right="250" w:rightChars="119" w:firstLine="480" w:firstLineChars="200"/>
        <w:rPr>
          <w:rFonts w:ascii="宋体" w:hAnsi="宋体" w:cs="宋体"/>
          <w:sz w:val="24"/>
          <w:u w:val="single"/>
        </w:rPr>
      </w:pPr>
      <w:r>
        <w:rPr>
          <w:rFonts w:hint="eastAsia" w:ascii="宋体" w:hAnsi="宋体" w:cs="宋体"/>
          <w:sz w:val="24"/>
        </w:rPr>
        <w:t>工程地址：</w:t>
      </w:r>
      <w:r>
        <w:rPr>
          <w:rFonts w:hint="eastAsia" w:ascii="宋体" w:hAnsi="宋体" w:cs="宋体"/>
          <w:sz w:val="24"/>
          <w:u w:val="single"/>
        </w:rPr>
        <w:t xml:space="preserve">    </w:t>
      </w:r>
    </w:p>
    <w:p>
      <w:pPr>
        <w:spacing w:line="440" w:lineRule="exact"/>
        <w:ind w:firstLine="360" w:firstLineChars="150"/>
        <w:rPr>
          <w:rFonts w:ascii="宋体" w:hAnsi="宋体" w:cs="宋体"/>
          <w:bCs/>
          <w:sz w:val="24"/>
        </w:rPr>
      </w:pPr>
      <w:r>
        <w:rPr>
          <w:rFonts w:hint="eastAsia" w:ascii="宋体" w:hAnsi="宋体" w:cs="宋体"/>
          <w:sz w:val="24"/>
        </w:rPr>
        <w:t>承包范围：</w:t>
      </w:r>
      <w:r>
        <w:rPr>
          <w:rFonts w:hint="eastAsia" w:ascii="宋体" w:hAnsi="宋体" w:cs="宋体"/>
          <w:bCs/>
          <w:sz w:val="24"/>
        </w:rPr>
        <w:t>采购文件、答疑纪要、答疑纪要补充说明，图纸（提供图纸目录范围）及工程量清单范围内的所有建筑安装工程</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承包方式：包工包料</w:t>
      </w:r>
    </w:p>
    <w:p>
      <w:pPr>
        <w:spacing w:before="48" w:beforeLines="20" w:after="48" w:afterLines="20" w:line="440" w:lineRule="exact"/>
        <w:ind w:left="-178" w:leftChars="-85" w:right="250" w:rightChars="119" w:firstLine="482" w:firstLineChars="200"/>
        <w:rPr>
          <w:rFonts w:ascii="宋体" w:hAnsi="宋体" w:cs="宋体"/>
          <w:b/>
          <w:sz w:val="24"/>
        </w:rPr>
      </w:pPr>
      <w:r>
        <w:rPr>
          <w:rFonts w:hint="eastAsia" w:ascii="宋体" w:hAnsi="宋体" w:cs="宋体"/>
          <w:b/>
          <w:sz w:val="24"/>
        </w:rPr>
        <w:t>2.甲方的权利和义务：</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2.1甲方应认真贯彻并严格执行国家和地方有关安全生产的法律、法规和规章。</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2.2甲方按有关规定对乙方的资质进行审查，以确认乙方承包的工程与其资质相符合。</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2.3工程（项目）施工前，甲方有权对乙方施工人员进行安全生产进场教育，介绍施工中有关安全、防火等要求，以提高乙方员工的安全思想意识和自我保护能力，增强法制观念。</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2.4 甲方有权对乙方工作人员的安全教育和安全考试的情况进行抽查或抽考，禁止不合格者进入现场施工。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2.5甲方在工程（项目）施工前应认真审核乙方开工报告、施工组织设计、作业指导书、检修施工方案等相关文件，根据工程（项目）内容、特点进行全面的安全技术交底，详细向乙方说明本工程项目施工日期、特点要求、危险因素及安全风险。</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2.6施工期间，甲方指派【     】同志负责联系、检查、督促乙方执行有关安全、防火规定。甲方应经常联系乙方，相互协助检查和处理工程施工中有关的安全、防火工作，预防事故发生。</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2.7当乙方出现安全、文明施工严重失控或严重失控的危险时，甲方认为确实有必要暂停施工的，应当以口头或书面形式要求乙方暂停施工，并提出书面整改意见。当乙方完成整改处理意见并以书面形式提出开工要求后，甲方应当在48个小时内组织验收，并于验收合格后签字给予答复。</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乙方发生以下情况时，甲方有权对乙方进行停工整顿直至解除施工合同：</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（1）发生人身伤亡事故或严重隐患；</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（2）发生施工机械、生产主设备严重损坏事故或严重隐患；</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（3）发生院内建筑物火灾、火险事故或严重隐患；</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（4）重复发生相同性质的安全事故；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（5）二次以上不听从劝告，施工现场脏、乱、差、不能满足安全和文明施工要求。</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2.8由甲方提供的机械设备、安全设施，在安装完毕提交使用前，甲方应配合乙方共同按规定验收，并做好验收及交付使用的书面手续。</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2.9对乙方人员违反甲方安全规章制度的行为，甲方有权进行处罚。</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2.10 甲方未履行本条规定的各项义务和责任，属甲方违约，但并不因此免除乙方在本协议项下有关安全的任何责任与义务。</w:t>
      </w:r>
    </w:p>
    <w:p>
      <w:pPr>
        <w:spacing w:before="48" w:beforeLines="20" w:after="48" w:afterLines="20" w:line="440" w:lineRule="exact"/>
        <w:ind w:left="-178" w:leftChars="-85" w:right="250" w:rightChars="119" w:firstLine="482" w:firstLineChars="200"/>
        <w:rPr>
          <w:rFonts w:ascii="宋体" w:hAnsi="宋体" w:cs="宋体"/>
          <w:b/>
          <w:sz w:val="24"/>
        </w:rPr>
      </w:pPr>
      <w:r>
        <w:rPr>
          <w:rFonts w:hint="eastAsia" w:ascii="宋体" w:hAnsi="宋体" w:cs="宋体"/>
          <w:b/>
          <w:sz w:val="24"/>
        </w:rPr>
        <w:t>3、乙方的权利和义务：</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3.1乙方应认真贯彻并严格执行国家和地方有关安全生产的法律、法规和规章以及甲方的有关指令。</w:t>
      </w:r>
    </w:p>
    <w:p>
      <w:pPr>
        <w:spacing w:before="48" w:beforeLines="20" w:after="48" w:afterLines="20" w:line="440" w:lineRule="exact"/>
        <w:ind w:left="-178" w:leftChars="-85" w:firstLine="360" w:firstLineChars="150"/>
        <w:rPr>
          <w:rFonts w:ascii="宋体" w:hAnsi="宋体" w:cs="宋体"/>
          <w:sz w:val="24"/>
        </w:rPr>
      </w:pPr>
      <w:r>
        <w:rPr>
          <w:rFonts w:hint="eastAsia" w:ascii="宋体" w:hAnsi="宋体" w:cs="宋体"/>
          <w:sz w:val="24"/>
        </w:rPr>
        <w:t>3.2乙方法定代表人或</w:t>
      </w:r>
      <w:r>
        <w:rPr>
          <w:rFonts w:hint="eastAsia" w:ascii="宋体" w:hAnsi="宋体" w:cs="宋体"/>
          <w:sz w:val="24"/>
          <w:lang w:eastAsia="zh-CN"/>
        </w:rPr>
        <w:t>项目经理</w:t>
      </w:r>
      <w:r>
        <w:rPr>
          <w:rFonts w:hint="eastAsia" w:ascii="宋体" w:hAnsi="宋体" w:cs="宋体"/>
          <w:sz w:val="24"/>
        </w:rPr>
        <w:t>是本工程的安全工作的第一责任人，对本协议所有施工项目的实施过程中涉及的安全负责，对派遣的工作人员，编制的《施工方案》、《作业指导书》，以及提供的工程车辆、施工机械的安全负责，并保证所派遣的工作人员具有完成所指派工作的安全知识和能力。乙方应对施工现场的安全生产负总责。乙方依法将建设工程分包给其他单位的，应征得甲方的同意。分包合同中应当明确各自的安全生产方面的权利、义务。乙方和分包单位对分包工程的安全生产承担连带责任。</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3.3乙方应有健全的安全管理组织体系，包括具体负责安全生产的领导。乙方必须配有专职安全员，安全员应持有相应上岗证书或资格证书。</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3.4乙方指定【  等】同志为本工程（项目）专职安全员，负责施工现场及施工过程的安全管理，检查和处理工程施工中有关的安全、防火工作，预防事故发生。安全员须经考核，有相应上岗证书或资质证书。乙方应经常联系甲方，相互协助工作。</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3.5乙方应有完善的安全管理制度，包括各工种的安全操作规程、特种作业人员资格证书管理制度、各岗位安全责任制和定期安全检查、安全教育制度等。</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3.6乙方进场施工，必须提前【 20 】天向甲方提交参与本工程的人员名单及安全质量管理组织体系、企业安全资质等级等资料，经甲方安监部门审核合格后，方可进入现场施工。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3.7特种作业必须执行国家《特种作业人员安全技术培训考核管理规定》，乙方特种作业人员须经省、市、地区的特种作业安全技术考核站培训考核后持证上岗，并按规定定期审证，中、小型机械的作业人员必须按规定做到“定机定人”和有证操作；起重吊装作业人员严禁违章、无证操作；严禁不懂电器、机械设备的人擅自操作使用电器、机械设备。</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3.8乙方应提供能证明其及其工作人员资质的合法有效证明供甲方审查。若乙方提供虚假证明，一切责任由乙方承担。</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3.9乙方必须认真对所承包工程的所有施工人员进行安全生产制度及安全技术知识教育，提高员工安全思想意识和自我保护能力，增强员工法制观念，督促员工自觉遵守甲方安全管理的规章制度。</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3.10开工前，乙方必须对本单位人员进行安全教育和安全考试，受教育人员的名单和考试成绩必须报甲方安监部门备案，凡增补或调换人员、更换工种，必须及时进行安全教育和考试，考试成绩报甲方安监部门备案。未接受安全教育和安全考试不合格者不得进入现场施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3.11乙方必须检查、督促施工人员严格遵守、认真执行规章制度。乙方若在施工中要新进、增添施工人员必须向甲方提出申报，经考试合格并经甲方书面同意后才可上岗，未经甲方同意不得变更工作人员。乙方应对新进、增添施工人员进行全面的现场安全技术交底。</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3.12乙方在施工前应认真勘察施工现场，拟订开工报告，进行施工组织设计，编制作业指导书，根据工程项目内容、特点对作业人员进行全面详细的安全技术交底。对于特殊环境、地下设施等，乙方应事先向甲方详细了解情况，并制订相应的施工安全技术措施，经甲方审查合格后实施。乙方必须严格按经甲方审查合格后的施工安全技术措施、施工组织设计及作业指导书组织施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3.13乙方在施工期间必须严格遵守和执行甲方在安全生产、治安保卫方面的有关规定，接受甲方的监督、检查和指导。对于甲方查出的隐患，乙方必须限期整改。如果甲方要求乙方违反安全管理规定进行施工，乙方有权拒绝。</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3.14 当甲方认为确实有必要暂停施工并提出要求乙方暂停施工的书面意见后，乙方应当按甲方要求停止施工。乙方实施处理意见后，以书面形式向甲方提出复工要求。在甲方组织验收并签字同意后，乙方重新施工。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3.15乙方应对所在的施工区域、作业环境、操作设施设备、工器具等进行认真检查，发现隐患立即停止施工，并经落实整改后方准继续施工。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3.16乙方应于每天开工前对施工现场设施（如脚手架等）进行检查，发现隐患应及时整改。</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3.17一经开工，就表示乙方确认施工场所、作业环境、设施设备、工器具等符合安全要求和处于安全状态，乙方对施工过程中由于上述因素而导致的事故后果负责。</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3.18乙方在施工期间所使用的各种设备及工器具等（除双方另有协议外）均应由乙方自备，乙方应保证提供的设备和工器具确实完好并符合安全要求。甲方提供的各种设备及工器具等，乙方一经接收，应负责保管、维修，并严格执行安全操作规程。在使用过程中，由于设备、工器具因素或使用操作不当而造成伤亡事故，由乙方负责。严禁使用未经检验、检验已过期或验收不合格的各种设备及工器具，否则由此发生的后果概由擅自使用方负责。</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3.19 各类安全防护设施、遮栏、安全标志牌、警告牌和接地线等不得擅自拆除、更动。如确实需要拆除、更动的，必须经施工负责人和甲乙方指派的安全管理人员的同意，办理手续，并采取必要、可靠的安全措施后方能拆除、更动现场安全防护设施。任何一方人员，擅自拆除、更动所造成的后果，均由该方负责。</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3.20乙方应禁止其施工人员在合同规定的施工区以外区域施工或从事与施工无关的其他活动。</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3.21乙方涉及动火工作，必须遵守国家有关规定，落实相应措施。易燃、易爆场所严禁吸烟及动用明火，消防器材不准挪作他用，电焊、气割作业应按规定办理动火审批手续。工地严禁使用电炉，冬季施工如必须采用明火加热的防冻措施时，应取得防火主管人员同意，落实防火、防爆、防中毒措施，并指派专人值班。</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3.22对有可能发生安全隐患的区域，乙方必须在施工之前制订相应预控方案，落实相应安全保护措施。经甲方有关部门审查合格后方可施工。同时，对在有可能发生安全隐患的区域施工的，乙方必须设一名专职安全员，始终在施工现场，负责该区域的现场安全监督及管理工作。专职安全员不得私自离开施工现场，若需离开现场的，必须指定具有安全资格的人员临时负责该区域的现场安全工作。</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3.23乙方在施工中，应注意地下管线、光缆及高压架空线的保护。乙方应向甲方了解地下管线和障碍物详细情况，会同甲方明确施工方法。乙方应贯彻甲方交底要求，如遇有情况，应及时向甲方和有关部门联系，采取保护措施后施工。严禁冒险作业、野蛮作业。</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3.24乙方必须为作业人员配备应有的劳动保护用品、用具。乙方所属人员的身体健康状况必须能满足所从事工作的要求。</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3.25乙方应根据国家法律规定自行承担费用为其相关施工人员购买人身意外伤害保险。</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3.26乙方必须坚持文明施工，对所承担工程区域的文明施工负责，做到工完料尽场地清，现场工业垃圾按甲方指定堆栈堆放并及时清理。乙方不定期清理，甲方组织清理，相应费用在乙方工程款中双倍扣除。</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3.28乙方不得将承包的工程进行转包和非法分包。如有分包项目，应保证分包单位有相应的资质和施工力量，以保证工程质量与安全。并事前征得甲方书面同意。施工前，乙方应与分包工程承包方签订分包安全协议，并按有关规定进行管理。对分包工程承包方的过错负连带责任。</w:t>
      </w:r>
    </w:p>
    <w:p>
      <w:pPr>
        <w:spacing w:before="48" w:beforeLines="20" w:after="48" w:afterLines="20" w:line="440" w:lineRule="exact"/>
        <w:ind w:left="-178" w:leftChars="-85" w:firstLine="480" w:firstLineChars="200"/>
        <w:rPr>
          <w:rFonts w:ascii="宋体" w:hAnsi="宋体" w:cs="宋体"/>
          <w:sz w:val="24"/>
        </w:rPr>
      </w:pPr>
      <w:r>
        <w:rPr>
          <w:rFonts w:hint="eastAsia" w:ascii="宋体" w:hAnsi="宋体" w:cs="宋体"/>
          <w:sz w:val="24"/>
        </w:rPr>
        <w:t>3.29乙方违反国家和地方有关安全生产的法律、法规和规章，或违反甲方的厂纪厂规、安全文明生产相关规定，须接受甲方和相关职能部门的安全、文明生产处罚。</w:t>
      </w:r>
    </w:p>
    <w:p>
      <w:pPr>
        <w:spacing w:before="48" w:beforeLines="20" w:after="48" w:afterLines="20" w:line="440" w:lineRule="exact"/>
        <w:ind w:left="-178" w:leftChars="-85" w:firstLine="464" w:firstLineChars="200"/>
        <w:rPr>
          <w:rFonts w:ascii="宋体" w:hAnsi="宋体" w:cs="宋体"/>
          <w:spacing w:val="-4"/>
          <w:sz w:val="24"/>
        </w:rPr>
      </w:pPr>
      <w:r>
        <w:rPr>
          <w:rFonts w:hint="eastAsia" w:ascii="宋体" w:hAnsi="宋体" w:cs="宋体"/>
          <w:spacing w:val="-4"/>
          <w:sz w:val="24"/>
        </w:rPr>
        <w:t>3.30乙方应当在施工组织设计中编制安全技术措施和施工现场临时用电方案，对下列达到一定规模的危险性较大的分部分项工程编制专项施工方案，并附具安全验算结果，经施工单位技术负责人签字后实施，由专职安全生产管理人员进行现场监督：</w:t>
      </w:r>
    </w:p>
    <w:p>
      <w:pPr>
        <w:spacing w:before="48" w:beforeLines="20" w:after="48" w:afterLines="20" w:line="440" w:lineRule="exact"/>
        <w:ind w:firstLine="200"/>
        <w:rPr>
          <w:rFonts w:ascii="宋体" w:hAnsi="宋体" w:cs="宋体"/>
          <w:sz w:val="24"/>
        </w:rPr>
      </w:pPr>
      <w:r>
        <w:rPr>
          <w:rFonts w:hint="eastAsia" w:ascii="宋体" w:hAnsi="宋体" w:cs="宋体"/>
          <w:sz w:val="24"/>
        </w:rPr>
        <w:t>（一）基坑支护与降水工程；</w:t>
      </w:r>
    </w:p>
    <w:p>
      <w:pPr>
        <w:spacing w:before="48" w:beforeLines="20" w:after="48" w:afterLines="20" w:line="440" w:lineRule="exact"/>
        <w:ind w:firstLine="200"/>
        <w:rPr>
          <w:rFonts w:ascii="宋体" w:hAnsi="宋体" w:cs="宋体"/>
          <w:sz w:val="24"/>
        </w:rPr>
      </w:pPr>
      <w:r>
        <w:rPr>
          <w:rFonts w:hint="eastAsia" w:ascii="宋体" w:hAnsi="宋体" w:cs="宋体"/>
          <w:sz w:val="24"/>
        </w:rPr>
        <w:t>（二）土方开挖工程；</w:t>
      </w:r>
    </w:p>
    <w:p>
      <w:pPr>
        <w:spacing w:before="48" w:beforeLines="20" w:after="48" w:afterLines="20" w:line="440" w:lineRule="exact"/>
        <w:ind w:firstLine="200"/>
        <w:rPr>
          <w:rFonts w:ascii="宋体" w:hAnsi="宋体" w:cs="宋体"/>
          <w:sz w:val="24"/>
        </w:rPr>
      </w:pPr>
      <w:r>
        <w:rPr>
          <w:rFonts w:hint="eastAsia" w:ascii="宋体" w:hAnsi="宋体" w:cs="宋体"/>
          <w:sz w:val="24"/>
        </w:rPr>
        <w:t>（三）模板工程；</w:t>
      </w:r>
    </w:p>
    <w:p>
      <w:pPr>
        <w:spacing w:before="48" w:beforeLines="20" w:after="48" w:afterLines="20" w:line="440" w:lineRule="exact"/>
        <w:ind w:firstLine="200"/>
        <w:rPr>
          <w:rFonts w:ascii="宋体" w:hAnsi="宋体" w:cs="宋体"/>
          <w:sz w:val="24"/>
        </w:rPr>
      </w:pPr>
      <w:r>
        <w:rPr>
          <w:rFonts w:hint="eastAsia" w:ascii="宋体" w:hAnsi="宋体" w:cs="宋体"/>
          <w:sz w:val="24"/>
        </w:rPr>
        <w:t>（四）起重吊装工程；</w:t>
      </w:r>
    </w:p>
    <w:p>
      <w:pPr>
        <w:spacing w:before="48" w:beforeLines="20" w:after="48" w:afterLines="20" w:line="440" w:lineRule="exact"/>
        <w:ind w:firstLine="200"/>
        <w:rPr>
          <w:rFonts w:ascii="宋体" w:hAnsi="宋体" w:cs="宋体"/>
          <w:sz w:val="24"/>
        </w:rPr>
      </w:pPr>
      <w:r>
        <w:rPr>
          <w:rFonts w:hint="eastAsia" w:ascii="宋体" w:hAnsi="宋体" w:cs="宋体"/>
          <w:sz w:val="24"/>
        </w:rPr>
        <w:t>（五）脚手架工程；</w:t>
      </w:r>
    </w:p>
    <w:p>
      <w:pPr>
        <w:spacing w:before="48" w:beforeLines="20" w:after="48" w:afterLines="20" w:line="440" w:lineRule="exact"/>
        <w:ind w:firstLine="200"/>
        <w:rPr>
          <w:rFonts w:ascii="宋体" w:hAnsi="宋体" w:cs="宋体"/>
          <w:sz w:val="24"/>
        </w:rPr>
      </w:pPr>
      <w:r>
        <w:rPr>
          <w:rFonts w:hint="eastAsia" w:ascii="宋体" w:hAnsi="宋体" w:cs="宋体"/>
          <w:sz w:val="24"/>
        </w:rPr>
        <w:t>（六）拆除、爆破工程；</w:t>
      </w:r>
    </w:p>
    <w:p>
      <w:pPr>
        <w:spacing w:before="48" w:beforeLines="20" w:after="48" w:afterLines="20" w:line="440" w:lineRule="exact"/>
        <w:ind w:firstLine="200"/>
        <w:rPr>
          <w:rFonts w:ascii="宋体" w:hAnsi="宋体" w:cs="宋体"/>
          <w:sz w:val="24"/>
        </w:rPr>
      </w:pPr>
      <w:r>
        <w:rPr>
          <w:rFonts w:hint="eastAsia" w:ascii="宋体" w:hAnsi="宋体" w:cs="宋体"/>
          <w:sz w:val="24"/>
        </w:rPr>
        <w:t>（七）国务院建设行政主管部门或者其他有关部门规定的其他危险性较大的工程。</w:t>
      </w:r>
    </w:p>
    <w:p>
      <w:pPr>
        <w:spacing w:before="48" w:beforeLines="20" w:after="48" w:afterLines="20" w:line="440" w:lineRule="exact"/>
        <w:ind w:firstLine="200"/>
        <w:rPr>
          <w:rFonts w:ascii="宋体" w:hAnsi="宋体" w:cs="宋体"/>
          <w:sz w:val="24"/>
        </w:rPr>
      </w:pPr>
      <w:r>
        <w:rPr>
          <w:rFonts w:hint="eastAsia" w:ascii="宋体" w:hAnsi="宋体" w:cs="宋体"/>
          <w:sz w:val="24"/>
        </w:rPr>
        <w:t>对前款所列工程中涉及深基坑、地下暗挖工程、高大模板工程的专项施工方案，施工单位还应当组织专家进行论证、审查。</w:t>
      </w:r>
    </w:p>
    <w:p>
      <w:pPr>
        <w:spacing w:before="48" w:beforeLines="20" w:after="48" w:afterLines="20" w:line="440" w:lineRule="exact"/>
        <w:ind w:left="-178" w:leftChars="-85" w:firstLine="480" w:firstLineChars="200"/>
        <w:rPr>
          <w:rFonts w:ascii="宋体" w:hAnsi="宋体" w:cs="宋体"/>
          <w:sz w:val="24"/>
        </w:rPr>
      </w:pPr>
      <w:r>
        <w:rPr>
          <w:rFonts w:hint="eastAsia" w:ascii="宋体" w:hAnsi="宋体" w:cs="宋体"/>
          <w:sz w:val="24"/>
        </w:rPr>
        <w:t>3.31乙方应当根据建设工程施工的特点、范围，对施工现场易发生重大事故的部位、环节进行监控，制定施工现场生产安全事故应急救援预案。统一组织编制建设工程生产安全事故应急救援预案，工程总承包单位和分包单位按照应急救援预案，各自建立应急救援组织或者配备应急救援人员，配备救援器材、设备，并定期组织演练。</w:t>
      </w:r>
    </w:p>
    <w:p>
      <w:pPr>
        <w:spacing w:before="48" w:beforeLines="20" w:after="48" w:afterLines="20" w:line="440" w:lineRule="exact"/>
        <w:ind w:left="-178" w:leftChars="-85" w:right="250" w:rightChars="119" w:firstLine="482" w:firstLineChars="200"/>
        <w:rPr>
          <w:rFonts w:ascii="宋体" w:hAnsi="宋体" w:cs="宋体"/>
          <w:b/>
          <w:sz w:val="24"/>
        </w:rPr>
      </w:pPr>
      <w:r>
        <w:rPr>
          <w:rFonts w:hint="eastAsia" w:ascii="宋体" w:hAnsi="宋体" w:cs="宋体"/>
          <w:b/>
          <w:sz w:val="24"/>
        </w:rPr>
        <w:t>4、事故责任与处理</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4.1 划分双方责任的原则是“谁施工谁负责安全”。</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4.2甲、乙双方在施工期间造成人员伤亡、火警、火灾、电气、机械等重大事故，乙方应进行紧急抢险、施救和保护现场，甲方协助。双方按国家及地方有关事故报告规定，在事故发生后及时报告各自上级主管部门及省（市）、区（县）等有关部门。乙方人员施工中发生的不安全情况应及时向甲方通报。</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4.3由于乙方安全措施不力造成的事故的责任和因此发生的费用，由乙方承担。除甲方原因导致的事故外，如果受害人因安全生产事故遭受人身或财产损害向甲方提出索赔要求，则乙方应负责处理该索赔事件，并保证甲方免受此类索赔的损害。</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4.4有关事故的责任认定遵照国家相关规定。</w:t>
      </w:r>
    </w:p>
    <w:p>
      <w:pPr>
        <w:spacing w:before="48" w:beforeLines="20" w:after="48" w:afterLines="20" w:line="440" w:lineRule="exact"/>
        <w:ind w:left="-178" w:leftChars="-85" w:right="250" w:rightChars="119" w:firstLine="482" w:firstLineChars="200"/>
        <w:rPr>
          <w:rFonts w:ascii="宋体" w:hAnsi="宋体" w:cs="宋体"/>
          <w:b/>
          <w:sz w:val="24"/>
        </w:rPr>
      </w:pPr>
      <w:r>
        <w:rPr>
          <w:rFonts w:hint="eastAsia" w:ascii="宋体" w:hAnsi="宋体" w:cs="宋体"/>
          <w:b/>
          <w:sz w:val="24"/>
        </w:rPr>
        <w:t>5、其它</w:t>
      </w:r>
    </w:p>
    <w:p>
      <w:pPr>
        <w:spacing w:before="48" w:beforeLines="20" w:after="48" w:afterLines="20" w:line="440" w:lineRule="exact"/>
        <w:ind w:left="-178" w:leftChars="-85" w:right="250" w:rightChars="119" w:firstLine="480" w:firstLineChars="200"/>
        <w:rPr>
          <w:rFonts w:ascii="宋体" w:hAnsi="宋体" w:cs="宋体"/>
          <w:sz w:val="24"/>
        </w:rPr>
      </w:pPr>
      <w:r>
        <w:rPr>
          <w:rFonts w:hint="eastAsia" w:ascii="宋体" w:hAnsi="宋体" w:cs="宋体"/>
          <w:sz w:val="24"/>
        </w:rPr>
        <w:t>5.1 本协议经双方法定代表人（或委托代理人）签字并加盖公章后生效，在工程项目承包合同签署后作为其组成部分，与合同具有同等法律效力。</w:t>
      </w:r>
    </w:p>
    <w:p>
      <w:pPr>
        <w:spacing w:before="48" w:beforeLines="20" w:after="48" w:afterLines="20" w:line="440" w:lineRule="exact"/>
        <w:ind w:left="-178" w:leftChars="-85" w:right="250" w:rightChars="119" w:firstLine="480" w:firstLineChars="200"/>
        <w:rPr>
          <w:rFonts w:ascii="宋体" w:hAnsi="宋体" w:cs="宋体"/>
          <w:sz w:val="24"/>
          <w:u w:val="single"/>
        </w:rPr>
      </w:pPr>
      <w:r>
        <w:rPr>
          <w:rFonts w:hint="eastAsia" w:ascii="宋体" w:hAnsi="宋体" w:cs="宋体"/>
          <w:sz w:val="24"/>
        </w:rPr>
        <w:t>5.2</w:t>
      </w:r>
      <w:r>
        <w:rPr>
          <w:rFonts w:hint="eastAsia" w:ascii="宋体" w:hAnsi="宋体" w:cs="宋体"/>
          <w:sz w:val="24"/>
          <w:u w:val="single"/>
        </w:rPr>
        <w:t xml:space="preserve"> 本协议正本一式二份，双方各执一份，副本肆份，双方各执贰份。</w:t>
      </w:r>
    </w:p>
    <w:p>
      <w:pPr>
        <w:spacing w:before="48" w:beforeLines="20" w:after="48" w:afterLines="20" w:line="440" w:lineRule="exact"/>
        <w:ind w:left="-178" w:leftChars="-85" w:right="250" w:rightChars="119" w:firstLine="480" w:firstLineChars="200"/>
        <w:rPr>
          <w:rFonts w:ascii="宋体" w:hAnsi="宋体" w:cs="宋体"/>
          <w:sz w:val="24"/>
        </w:rPr>
      </w:pPr>
    </w:p>
    <w:p>
      <w:pPr>
        <w:spacing w:before="48" w:beforeLines="20" w:after="48" w:afterLines="20" w:line="440" w:lineRule="exact"/>
        <w:rPr>
          <w:rFonts w:ascii="宋体" w:hAnsi="宋体" w:cs="宋体"/>
          <w:sz w:val="24"/>
        </w:rPr>
      </w:pPr>
      <w:r>
        <w:rPr>
          <w:rFonts w:hint="eastAsia" w:ascii="宋体" w:hAnsi="宋体" w:cs="宋体"/>
          <w:sz w:val="24"/>
        </w:rPr>
        <w:t>甲方：             （盖章）              乙方：              （盖章）</w:t>
      </w:r>
    </w:p>
    <w:p>
      <w:pPr>
        <w:spacing w:before="48" w:beforeLines="20" w:after="48" w:afterLines="20" w:line="440" w:lineRule="exact"/>
        <w:rPr>
          <w:rFonts w:ascii="宋体" w:hAnsi="宋体" w:cs="宋体"/>
          <w:sz w:val="24"/>
        </w:rPr>
      </w:pPr>
      <w:r>
        <w:rPr>
          <w:rFonts w:hint="eastAsia" w:ascii="宋体" w:hAnsi="宋体" w:cs="宋体"/>
          <w:sz w:val="24"/>
        </w:rPr>
        <w:t>法定代表人或委托代理人（签字或盖章）      法定代表人或委托代理人（签字或盖章）</w:t>
      </w:r>
    </w:p>
    <w:p>
      <w:pPr>
        <w:spacing w:line="440" w:lineRule="exact"/>
        <w:rPr>
          <w:rFonts w:ascii="宋体" w:hAnsi="宋体" w:cs="宋体"/>
          <w:sz w:val="24"/>
        </w:rPr>
      </w:pPr>
      <w:r>
        <w:rPr>
          <w:rFonts w:hint="eastAsia" w:ascii="宋体" w:hAnsi="宋体" w:cs="宋体"/>
          <w:sz w:val="24"/>
        </w:rPr>
        <w:t>联系人（签字）                            联系人（签字）</w:t>
      </w:r>
    </w:p>
    <w:p>
      <w:pPr>
        <w:spacing w:line="440" w:lineRule="exact"/>
        <w:rPr>
          <w:rFonts w:ascii="宋体" w:hAnsi="宋体" w:cs="宋体"/>
          <w:sz w:val="24"/>
        </w:rPr>
      </w:pPr>
      <w:r>
        <w:rPr>
          <w:rFonts w:hint="eastAsia" w:ascii="宋体" w:hAnsi="宋体" w:cs="宋体"/>
          <w:sz w:val="24"/>
        </w:rPr>
        <w:br w:type="page"/>
      </w:r>
      <w:r>
        <w:rPr>
          <w:rFonts w:hint="eastAsia" w:ascii="宋体" w:hAnsi="宋体" w:cs="宋体"/>
          <w:sz w:val="24"/>
        </w:rPr>
        <w:t>附件4：</w:t>
      </w:r>
    </w:p>
    <w:p>
      <w:pPr>
        <w:snapToGrid w:val="0"/>
        <w:spacing w:line="360" w:lineRule="auto"/>
        <w:jc w:val="center"/>
        <w:rPr>
          <w:rFonts w:ascii="宋体" w:hAnsi="宋体" w:cs="宋体"/>
          <w:b/>
          <w:sz w:val="24"/>
        </w:rPr>
      </w:pPr>
      <w:r>
        <w:rPr>
          <w:rFonts w:hint="eastAsia" w:ascii="宋体" w:hAnsi="宋体" w:cs="宋体"/>
          <w:b/>
          <w:sz w:val="24"/>
        </w:rPr>
        <w:t>建设工程及采购项目廉洁合同</w:t>
      </w:r>
    </w:p>
    <w:p>
      <w:pPr>
        <w:snapToGrid w:val="0"/>
        <w:spacing w:line="360" w:lineRule="auto"/>
        <w:rPr>
          <w:rFonts w:ascii="宋体" w:hAnsi="宋体" w:cs="宋体"/>
          <w:bCs/>
          <w:sz w:val="24"/>
        </w:rPr>
      </w:pPr>
      <w:r>
        <w:rPr>
          <w:rFonts w:hint="eastAsia" w:ascii="宋体" w:hAnsi="宋体" w:cs="宋体"/>
          <w:bCs/>
          <w:sz w:val="24"/>
        </w:rPr>
        <w:t xml:space="preserve">甲方 ： </w:t>
      </w:r>
    </w:p>
    <w:p>
      <w:pPr>
        <w:snapToGrid w:val="0"/>
        <w:spacing w:line="360" w:lineRule="auto"/>
        <w:rPr>
          <w:rFonts w:ascii="宋体" w:hAnsi="宋体" w:cs="宋体"/>
          <w:bCs/>
          <w:sz w:val="24"/>
        </w:rPr>
      </w:pPr>
      <w:r>
        <w:rPr>
          <w:rFonts w:hint="eastAsia" w:ascii="宋体" w:hAnsi="宋体" w:cs="宋体"/>
          <w:bCs/>
          <w:sz w:val="24"/>
        </w:rPr>
        <w:t>乙方 ：</w:t>
      </w:r>
    </w:p>
    <w:p>
      <w:pPr>
        <w:snapToGrid w:val="0"/>
        <w:spacing w:line="360" w:lineRule="auto"/>
        <w:ind w:firstLine="480" w:firstLineChars="200"/>
        <w:rPr>
          <w:rFonts w:ascii="宋体" w:hAnsi="宋体" w:cs="宋体"/>
          <w:bCs/>
          <w:sz w:val="24"/>
        </w:rPr>
      </w:pPr>
      <w:r>
        <w:rPr>
          <w:rFonts w:hint="eastAsia" w:ascii="宋体" w:hAnsi="宋体" w:cs="宋体"/>
          <w:bCs/>
          <w:sz w:val="24"/>
        </w:rPr>
        <w:t>为进一步加强医疗卫生行风建设，加强廉政建设，有效防范商业贿赂行为，营造公平交易、诚实守信的环境，根据国家有关法律法规和廉政建设责任制规定，经甲、乙双方协商，同意签订本合同，并共同遵守：</w:t>
      </w:r>
    </w:p>
    <w:p>
      <w:pPr>
        <w:snapToGrid w:val="0"/>
        <w:spacing w:line="360" w:lineRule="auto"/>
        <w:rPr>
          <w:rFonts w:ascii="宋体" w:hAnsi="宋体" w:cs="宋体"/>
          <w:bCs/>
          <w:sz w:val="24"/>
        </w:rPr>
      </w:pPr>
      <w:r>
        <w:rPr>
          <w:rFonts w:hint="eastAsia" w:ascii="宋体" w:hAnsi="宋体" w:cs="宋体"/>
          <w:bCs/>
          <w:sz w:val="24"/>
        </w:rPr>
        <w:t xml:space="preserve">    第一条 甲、乙双方的责任</w:t>
      </w:r>
    </w:p>
    <w:p>
      <w:pPr>
        <w:snapToGrid w:val="0"/>
        <w:spacing w:line="360" w:lineRule="auto"/>
        <w:rPr>
          <w:rFonts w:ascii="宋体" w:hAnsi="宋体" w:cs="宋体"/>
          <w:bCs/>
          <w:sz w:val="24"/>
        </w:rPr>
      </w:pPr>
      <w:r>
        <w:rPr>
          <w:rFonts w:hint="eastAsia" w:ascii="宋体" w:hAnsi="宋体" w:cs="宋体"/>
          <w:bCs/>
          <w:sz w:val="24"/>
        </w:rPr>
        <w:t xml:space="preserve">    （一）严格遵守国家关于市场准入、项目招标投标、项目实施和市场活动等有关法律、法规，相关政策，以及廉政建设的各项规定。</w:t>
      </w:r>
    </w:p>
    <w:p>
      <w:pPr>
        <w:snapToGrid w:val="0"/>
        <w:spacing w:line="360" w:lineRule="auto"/>
        <w:rPr>
          <w:rFonts w:ascii="宋体" w:hAnsi="宋体" w:cs="宋体"/>
          <w:bCs/>
          <w:sz w:val="24"/>
        </w:rPr>
      </w:pPr>
      <w:r>
        <w:rPr>
          <w:rFonts w:hint="eastAsia" w:ascii="宋体" w:hAnsi="宋体" w:cs="宋体"/>
          <w:bCs/>
          <w:sz w:val="24"/>
        </w:rPr>
        <w:t xml:space="preserve">    （二）严格按照项目承发包合同条款履行合同约定。</w:t>
      </w:r>
    </w:p>
    <w:p>
      <w:pPr>
        <w:snapToGrid w:val="0"/>
        <w:spacing w:line="360" w:lineRule="auto"/>
        <w:ind w:firstLine="480" w:firstLineChars="200"/>
        <w:rPr>
          <w:rFonts w:ascii="宋体" w:hAnsi="宋体" w:cs="宋体"/>
          <w:bCs/>
          <w:sz w:val="24"/>
        </w:rPr>
      </w:pPr>
      <w:r>
        <w:rPr>
          <w:rFonts w:hint="eastAsia" w:ascii="宋体" w:hAnsi="宋体" w:cs="宋体"/>
          <w:bCs/>
          <w:sz w:val="24"/>
        </w:rPr>
        <w:t>（三）业务活动必须坚持公开、公平、公正、诚信、透明的原则（除法律法规另有规定者外），不得为获取不正当的利益，损害国家、集体和对方利益。</w:t>
      </w:r>
    </w:p>
    <w:p>
      <w:pPr>
        <w:snapToGrid w:val="0"/>
        <w:spacing w:line="360" w:lineRule="auto"/>
        <w:ind w:firstLine="480" w:firstLineChars="200"/>
        <w:rPr>
          <w:rFonts w:ascii="宋体" w:hAnsi="宋体" w:cs="宋体"/>
          <w:bCs/>
          <w:sz w:val="24"/>
        </w:rPr>
      </w:pPr>
      <w:r>
        <w:rPr>
          <w:rFonts w:hint="eastAsia" w:ascii="宋体" w:hAnsi="宋体" w:cs="宋体"/>
          <w:bCs/>
          <w:sz w:val="24"/>
        </w:rPr>
        <w:t>（四）发现对方在业务活动中有违规、违纪、违法行为的，应及时提醒对方，情节严重的，应向其上级主管部门或纪检监察、司法等有关机关举报。</w:t>
      </w:r>
    </w:p>
    <w:p>
      <w:pPr>
        <w:snapToGrid w:val="0"/>
        <w:spacing w:line="360" w:lineRule="auto"/>
        <w:ind w:firstLine="480" w:firstLineChars="200"/>
        <w:rPr>
          <w:rFonts w:ascii="宋体" w:hAnsi="宋体" w:cs="宋体"/>
          <w:bCs/>
          <w:sz w:val="24"/>
        </w:rPr>
      </w:pPr>
      <w:r>
        <w:rPr>
          <w:rFonts w:hint="eastAsia" w:ascii="宋体" w:hAnsi="宋体" w:cs="宋体"/>
          <w:bCs/>
          <w:sz w:val="24"/>
        </w:rPr>
        <w:t>第二条 甲方的责任</w:t>
      </w:r>
    </w:p>
    <w:p>
      <w:pPr>
        <w:snapToGrid w:val="0"/>
        <w:spacing w:line="360" w:lineRule="auto"/>
        <w:ind w:firstLine="480" w:firstLineChars="200"/>
        <w:rPr>
          <w:rFonts w:ascii="宋体" w:hAnsi="宋体" w:cs="宋体"/>
          <w:bCs/>
          <w:sz w:val="24"/>
        </w:rPr>
      </w:pPr>
      <w:r>
        <w:rPr>
          <w:rFonts w:hint="eastAsia" w:ascii="宋体" w:hAnsi="宋体" w:cs="宋体"/>
          <w:bCs/>
          <w:sz w:val="24"/>
        </w:rPr>
        <w:t>甲方从事本项目的人员，在项目的事前、事中、事后应遵守以下规定：</w:t>
      </w:r>
    </w:p>
    <w:p>
      <w:pPr>
        <w:snapToGrid w:val="0"/>
        <w:spacing w:line="360" w:lineRule="auto"/>
        <w:ind w:firstLine="480" w:firstLineChars="200"/>
        <w:rPr>
          <w:rFonts w:ascii="宋体" w:hAnsi="宋体" w:cs="宋体"/>
          <w:bCs/>
          <w:sz w:val="24"/>
        </w:rPr>
      </w:pPr>
      <w:r>
        <w:rPr>
          <w:rFonts w:hint="eastAsia" w:ascii="宋体" w:hAnsi="宋体" w:cs="宋体"/>
          <w:bCs/>
          <w:sz w:val="24"/>
        </w:rPr>
        <w:t>（一）不准向乙方和相关单位索要或接受回扣、礼金、有价证券、贵重物品和好处费、感谢费等。</w:t>
      </w:r>
    </w:p>
    <w:p>
      <w:pPr>
        <w:snapToGrid w:val="0"/>
        <w:spacing w:line="360" w:lineRule="auto"/>
        <w:ind w:firstLine="480" w:firstLineChars="200"/>
        <w:rPr>
          <w:rFonts w:ascii="宋体" w:hAnsi="宋体" w:cs="宋体"/>
          <w:bCs/>
          <w:sz w:val="24"/>
        </w:rPr>
      </w:pPr>
      <w:r>
        <w:rPr>
          <w:rFonts w:hint="eastAsia" w:ascii="宋体" w:hAnsi="宋体" w:cs="宋体"/>
          <w:bCs/>
          <w:sz w:val="24"/>
        </w:rPr>
        <w:t>（二）不准在乙方和相关单位报销任何应由甲方或个人支付的费用。</w:t>
      </w:r>
    </w:p>
    <w:p>
      <w:pPr>
        <w:snapToGrid w:val="0"/>
        <w:spacing w:line="360" w:lineRule="auto"/>
        <w:ind w:firstLine="480" w:firstLineChars="200"/>
        <w:rPr>
          <w:rFonts w:ascii="宋体" w:hAnsi="宋体" w:cs="宋体"/>
          <w:bCs/>
          <w:sz w:val="24"/>
        </w:rPr>
      </w:pPr>
      <w:r>
        <w:rPr>
          <w:rFonts w:hint="eastAsia" w:ascii="宋体" w:hAnsi="宋体" w:cs="宋体"/>
          <w:bCs/>
          <w:sz w:val="24"/>
        </w:rPr>
        <w:t>（三）不准要求、暗示或接受乙方和相关单位为个人装修住房、婚丧嫁娶、配偶子女的工作安排以及出国（境）、旅游等提供方便。</w:t>
      </w:r>
    </w:p>
    <w:p>
      <w:pPr>
        <w:snapToGrid w:val="0"/>
        <w:spacing w:line="360" w:lineRule="auto"/>
        <w:ind w:firstLine="480" w:firstLineChars="200"/>
        <w:rPr>
          <w:rFonts w:ascii="宋体" w:hAnsi="宋体" w:cs="宋体"/>
          <w:bCs/>
          <w:sz w:val="24"/>
        </w:rPr>
      </w:pPr>
      <w:r>
        <w:rPr>
          <w:rFonts w:hint="eastAsia" w:ascii="宋体" w:hAnsi="宋体" w:cs="宋体"/>
          <w:bCs/>
          <w:sz w:val="24"/>
        </w:rPr>
        <w:t>（四）不准参加有可能影响公正执行公务的乙方和相关单位的宴请和健身、娱乐等活动。</w:t>
      </w:r>
    </w:p>
    <w:p>
      <w:pPr>
        <w:snapToGrid w:val="0"/>
        <w:spacing w:line="360" w:lineRule="auto"/>
        <w:ind w:firstLine="480" w:firstLineChars="200"/>
        <w:rPr>
          <w:rFonts w:ascii="宋体" w:hAnsi="宋体" w:cs="宋体"/>
          <w:bCs/>
          <w:sz w:val="24"/>
        </w:rPr>
      </w:pPr>
      <w:r>
        <w:rPr>
          <w:rFonts w:hint="eastAsia" w:ascii="宋体" w:hAnsi="宋体" w:cs="宋体"/>
          <w:bCs/>
          <w:sz w:val="24"/>
        </w:rPr>
        <w:t>（五）不准向乙方介绍或为配偶、子女、亲属参与同甲方项目合同有关的设备、材料、劳务、服务等经济活动。不得以任何理由向乙方和相关单位推荐业务单位和要求乙方购买项目合同规定以外的设备、材料、劳务、服务等。</w:t>
      </w:r>
    </w:p>
    <w:p>
      <w:pPr>
        <w:snapToGrid w:val="0"/>
        <w:spacing w:line="360" w:lineRule="auto"/>
        <w:ind w:firstLine="480" w:firstLineChars="200"/>
        <w:rPr>
          <w:rFonts w:ascii="宋体" w:hAnsi="宋体" w:cs="宋体"/>
          <w:bCs/>
          <w:sz w:val="24"/>
        </w:rPr>
      </w:pPr>
      <w:r>
        <w:rPr>
          <w:rFonts w:hint="eastAsia" w:ascii="宋体" w:hAnsi="宋体" w:cs="宋体"/>
          <w:bCs/>
          <w:sz w:val="24"/>
        </w:rPr>
        <w:t>第三条 乙方的责任</w:t>
      </w:r>
    </w:p>
    <w:p>
      <w:pPr>
        <w:snapToGrid w:val="0"/>
        <w:spacing w:line="360" w:lineRule="auto"/>
        <w:ind w:firstLine="480" w:firstLineChars="200"/>
        <w:rPr>
          <w:rFonts w:ascii="宋体" w:hAnsi="宋体" w:cs="宋体"/>
          <w:bCs/>
          <w:sz w:val="24"/>
        </w:rPr>
      </w:pPr>
      <w:r>
        <w:rPr>
          <w:rFonts w:hint="eastAsia" w:ascii="宋体" w:hAnsi="宋体" w:cs="宋体"/>
          <w:bCs/>
          <w:sz w:val="24"/>
        </w:rPr>
        <w:t>应与甲方保持正常的业务交往，按照有关法律法规和程序开展业务工作，严格执行国家强制性标准和规范的要求，并遵守以下规定：</w:t>
      </w:r>
    </w:p>
    <w:p>
      <w:pPr>
        <w:snapToGrid w:val="0"/>
        <w:spacing w:line="360" w:lineRule="auto"/>
        <w:ind w:firstLine="480" w:firstLineChars="200"/>
        <w:rPr>
          <w:rFonts w:ascii="宋体" w:hAnsi="宋体" w:cs="宋体"/>
          <w:bCs/>
          <w:sz w:val="24"/>
        </w:rPr>
      </w:pPr>
      <w:r>
        <w:rPr>
          <w:rFonts w:hint="eastAsia" w:ascii="宋体" w:hAnsi="宋体" w:cs="宋体"/>
          <w:bCs/>
          <w:sz w:val="24"/>
        </w:rPr>
        <w:t>（一）不准以任何理由向甲方及其工作人员索要、接受或赠送礼金、有价证券、贵重物品和回扣、好处费、感谢费等。</w:t>
      </w:r>
    </w:p>
    <w:p>
      <w:pPr>
        <w:snapToGrid w:val="0"/>
        <w:spacing w:line="360" w:lineRule="auto"/>
        <w:ind w:firstLine="480" w:firstLineChars="200"/>
        <w:rPr>
          <w:rFonts w:ascii="宋体" w:hAnsi="宋体" w:cs="宋体"/>
          <w:bCs/>
          <w:sz w:val="24"/>
        </w:rPr>
      </w:pPr>
      <w:r>
        <w:rPr>
          <w:rFonts w:hint="eastAsia" w:ascii="宋体" w:hAnsi="宋体" w:cs="宋体"/>
          <w:bCs/>
          <w:sz w:val="24"/>
        </w:rPr>
        <w:t>（二）不准以任何理由为甲方和相关单位报销应由对方或个人支付的费用。</w:t>
      </w:r>
    </w:p>
    <w:p>
      <w:pPr>
        <w:snapToGrid w:val="0"/>
        <w:spacing w:line="360" w:lineRule="auto"/>
        <w:ind w:firstLine="480" w:firstLineChars="200"/>
        <w:rPr>
          <w:rFonts w:ascii="宋体" w:hAnsi="宋体" w:cs="宋体"/>
          <w:bCs/>
          <w:sz w:val="24"/>
        </w:rPr>
      </w:pPr>
      <w:r>
        <w:rPr>
          <w:rFonts w:hint="eastAsia" w:ascii="宋体" w:hAnsi="宋体" w:cs="宋体"/>
          <w:bCs/>
          <w:sz w:val="24"/>
        </w:rPr>
        <w:t>（三）不准接受或暗示为甲方、相关单位或个人装修住房、婚丧嫁娶、配偶子女的工作安排以及出国（境）、旅游等提供方便。</w:t>
      </w:r>
    </w:p>
    <w:p>
      <w:pPr>
        <w:snapToGrid w:val="0"/>
        <w:spacing w:line="360" w:lineRule="auto"/>
        <w:ind w:firstLine="480" w:firstLineChars="200"/>
        <w:rPr>
          <w:rFonts w:ascii="宋体" w:hAnsi="宋体" w:cs="宋体"/>
          <w:bCs/>
          <w:sz w:val="24"/>
        </w:rPr>
      </w:pPr>
      <w:r>
        <w:rPr>
          <w:rFonts w:hint="eastAsia" w:ascii="宋体" w:hAnsi="宋体" w:cs="宋体"/>
          <w:bCs/>
          <w:sz w:val="24"/>
        </w:rPr>
        <w:t>（四）不准以任何理由为甲方、相关单位或个人组织有可能影响公正执行公务的宴请、健身、娱乐等活动。</w:t>
      </w:r>
    </w:p>
    <w:p>
      <w:pPr>
        <w:snapToGrid w:val="0"/>
        <w:spacing w:line="360" w:lineRule="auto"/>
        <w:ind w:firstLine="480" w:firstLineChars="200"/>
        <w:rPr>
          <w:rFonts w:ascii="宋体" w:hAnsi="宋体" w:cs="宋体"/>
          <w:bCs/>
          <w:sz w:val="24"/>
        </w:rPr>
      </w:pPr>
      <w:r>
        <w:rPr>
          <w:rFonts w:hint="eastAsia" w:ascii="宋体" w:hAnsi="宋体" w:cs="宋体"/>
          <w:bCs/>
          <w:sz w:val="24"/>
        </w:rPr>
        <w:t>第四条 违约责任</w:t>
      </w:r>
    </w:p>
    <w:p>
      <w:pPr>
        <w:snapToGrid w:val="0"/>
        <w:spacing w:line="360" w:lineRule="auto"/>
        <w:ind w:firstLine="480" w:firstLineChars="200"/>
        <w:rPr>
          <w:rFonts w:ascii="宋体" w:hAnsi="宋体" w:cs="宋体"/>
          <w:bCs/>
          <w:sz w:val="24"/>
        </w:rPr>
      </w:pPr>
      <w:r>
        <w:rPr>
          <w:rFonts w:hint="eastAsia" w:ascii="宋体" w:hAnsi="宋体" w:cs="宋体"/>
          <w:bCs/>
          <w:sz w:val="24"/>
        </w:rPr>
        <w:t>（一）甲方工作人员有违反本合同第一、二条责任行为的，按照管理权限，依据有关法律法规和规定给予党纪、政纪处分或组织处理；涉嫌犯罪的，移交司法机关追究刑事责任。</w:t>
      </w:r>
    </w:p>
    <w:p>
      <w:pPr>
        <w:snapToGrid w:val="0"/>
        <w:spacing w:line="360" w:lineRule="auto"/>
        <w:ind w:firstLine="480" w:firstLineChars="200"/>
        <w:rPr>
          <w:rFonts w:ascii="宋体" w:hAnsi="宋体" w:cs="宋体"/>
          <w:bCs/>
          <w:sz w:val="24"/>
        </w:rPr>
      </w:pPr>
      <w:r>
        <w:rPr>
          <w:rFonts w:hint="eastAsia" w:ascii="宋体" w:hAnsi="宋体" w:cs="宋体"/>
          <w:bCs/>
          <w:sz w:val="24"/>
        </w:rPr>
        <w:t>（二）乙方工作人员有违反本合同第一、三条责任行为的，按照管理权限，依据有关法律法规和规定给予党纪、政纪处分或组织处理；涉嫌犯罪的，移交司法机关追究刑事责任。</w:t>
      </w:r>
    </w:p>
    <w:p>
      <w:pPr>
        <w:snapToGrid w:val="0"/>
        <w:spacing w:line="360" w:lineRule="auto"/>
        <w:ind w:firstLine="480" w:firstLineChars="200"/>
        <w:rPr>
          <w:rFonts w:ascii="宋体" w:hAnsi="宋体" w:cs="宋体"/>
          <w:bCs/>
          <w:sz w:val="24"/>
        </w:rPr>
      </w:pPr>
      <w:r>
        <w:rPr>
          <w:rFonts w:hint="eastAsia" w:ascii="宋体" w:hAnsi="宋体" w:cs="宋体"/>
          <w:bCs/>
          <w:sz w:val="24"/>
        </w:rPr>
        <w:t>第五条 本合同作为项目合同的附件，与项目合同具有同等法律效力。经双方签署后立即生效。</w:t>
      </w:r>
    </w:p>
    <w:p>
      <w:pPr>
        <w:snapToGrid w:val="0"/>
        <w:spacing w:line="360" w:lineRule="auto"/>
        <w:ind w:firstLine="480" w:firstLineChars="200"/>
        <w:rPr>
          <w:rFonts w:ascii="宋体" w:hAnsi="宋体" w:cs="宋体"/>
          <w:bCs/>
          <w:sz w:val="24"/>
        </w:rPr>
      </w:pPr>
      <w:r>
        <w:rPr>
          <w:rFonts w:hint="eastAsia" w:ascii="宋体" w:hAnsi="宋体" w:cs="宋体"/>
          <w:bCs/>
          <w:sz w:val="24"/>
        </w:rPr>
        <w:t>第六条 本合同的有效期为双方签署之日起至项目合同履行结束止。</w:t>
      </w:r>
    </w:p>
    <w:p>
      <w:pPr>
        <w:snapToGrid w:val="0"/>
        <w:spacing w:line="360" w:lineRule="auto"/>
        <w:ind w:firstLine="480" w:firstLineChars="200"/>
        <w:rPr>
          <w:rFonts w:ascii="宋体" w:hAnsi="宋体" w:cs="宋体"/>
          <w:bCs/>
          <w:sz w:val="24"/>
        </w:rPr>
      </w:pPr>
      <w:r>
        <w:rPr>
          <w:rFonts w:hint="eastAsia" w:ascii="宋体" w:hAnsi="宋体" w:cs="宋体"/>
          <w:bCs/>
          <w:sz w:val="24"/>
        </w:rPr>
        <w:t>九、本合同一式叁份，甲、乙双方各执壹份，甲方纪检监察部门执壹份，并从签订之日起生效。</w:t>
      </w:r>
    </w:p>
    <w:p>
      <w:pPr>
        <w:snapToGrid w:val="0"/>
        <w:spacing w:line="360" w:lineRule="auto"/>
        <w:ind w:firstLine="480" w:firstLineChars="200"/>
        <w:rPr>
          <w:rFonts w:ascii="宋体" w:hAnsi="宋体" w:cs="宋体"/>
          <w:bCs/>
          <w:sz w:val="24"/>
        </w:rPr>
      </w:pPr>
    </w:p>
    <w:p>
      <w:pPr>
        <w:snapToGrid w:val="0"/>
        <w:spacing w:line="360" w:lineRule="auto"/>
        <w:rPr>
          <w:rFonts w:ascii="宋体" w:hAnsi="宋体" w:cs="宋体"/>
          <w:bCs/>
          <w:sz w:val="24"/>
        </w:rPr>
      </w:pPr>
      <w:r>
        <w:rPr>
          <w:rFonts w:hint="eastAsia" w:ascii="宋体" w:hAnsi="宋体" w:cs="宋体"/>
          <w:bCs/>
          <w:sz w:val="24"/>
        </w:rPr>
        <w:t>甲方（盖章）：                            乙方（盖章）：</w:t>
      </w:r>
    </w:p>
    <w:p>
      <w:pPr>
        <w:snapToGrid w:val="0"/>
        <w:spacing w:line="360" w:lineRule="auto"/>
        <w:rPr>
          <w:rFonts w:ascii="宋体" w:hAnsi="宋体" w:cs="宋体"/>
          <w:bCs/>
          <w:sz w:val="24"/>
        </w:rPr>
      </w:pPr>
      <w:r>
        <w:rPr>
          <w:rFonts w:hint="eastAsia" w:ascii="宋体" w:hAnsi="宋体" w:cs="宋体"/>
          <w:bCs/>
          <w:sz w:val="24"/>
        </w:rPr>
        <w:t>法定代表人（负责人）或                    法定代表人（负责人）或</w:t>
      </w:r>
    </w:p>
    <w:p>
      <w:pPr>
        <w:snapToGrid w:val="0"/>
        <w:spacing w:line="360" w:lineRule="auto"/>
        <w:rPr>
          <w:rFonts w:ascii="宋体" w:hAnsi="宋体" w:cs="宋体"/>
          <w:bCs/>
          <w:sz w:val="24"/>
        </w:rPr>
      </w:pPr>
      <w:r>
        <w:rPr>
          <w:rFonts w:hint="eastAsia" w:ascii="宋体" w:hAnsi="宋体" w:cs="宋体"/>
          <w:bCs/>
          <w:sz w:val="24"/>
        </w:rPr>
        <w:t>委托代理人：                              委托代理人：</w:t>
      </w:r>
    </w:p>
    <w:p>
      <w:pPr>
        <w:snapToGrid w:val="0"/>
        <w:spacing w:line="360" w:lineRule="auto"/>
        <w:rPr>
          <w:rFonts w:ascii="宋体" w:hAnsi="宋体" w:cs="宋体"/>
          <w:bCs/>
          <w:sz w:val="24"/>
        </w:rPr>
      </w:pPr>
      <w:r>
        <w:rPr>
          <w:rFonts w:hint="eastAsia" w:ascii="宋体" w:hAnsi="宋体" w:cs="宋体"/>
          <w:bCs/>
          <w:sz w:val="24"/>
        </w:rPr>
        <w:t>经办人签名：                              经办人签名：</w:t>
      </w:r>
    </w:p>
    <w:p>
      <w:pPr>
        <w:spacing w:line="480" w:lineRule="auto"/>
        <w:rPr>
          <w:rFonts w:ascii="宋体" w:hAnsi="宋体" w:cs="宋体"/>
          <w:bCs/>
          <w:sz w:val="24"/>
        </w:rPr>
      </w:pPr>
      <w:r>
        <w:rPr>
          <w:rFonts w:hint="eastAsia" w:ascii="宋体" w:hAnsi="宋体" w:cs="宋体"/>
          <w:bCs/>
          <w:sz w:val="24"/>
        </w:rPr>
        <w:t>年   月   日                                   年   月  日</w:t>
      </w:r>
    </w:p>
    <w:p>
      <w:pPr>
        <w:spacing w:line="480" w:lineRule="auto"/>
        <w:jc w:val="left"/>
        <w:rPr>
          <w:rFonts w:ascii="宋体" w:hAnsi="宋体" w:cs="宋体"/>
          <w:sz w:val="24"/>
        </w:rPr>
      </w:pPr>
    </w:p>
    <w:p>
      <w:pPr>
        <w:spacing w:line="360" w:lineRule="auto"/>
        <w:jc w:val="center"/>
        <w:rPr>
          <w:rFonts w:ascii="宋体" w:hAnsi="宋体"/>
          <w:b/>
          <w:sz w:val="24"/>
        </w:rPr>
      </w:pPr>
      <w:r>
        <w:rPr>
          <w:rFonts w:hint="eastAsia" w:ascii="宋体" w:hAnsi="宋体"/>
          <w:b/>
          <w:kern w:val="0"/>
          <w:sz w:val="24"/>
        </w:rPr>
        <w:t>（本合同为合同样稿，最终由双方协商后确定）</w:t>
      </w:r>
    </w:p>
    <w:p>
      <w:pPr>
        <w:spacing w:line="360" w:lineRule="auto"/>
        <w:ind w:firstLine="630" w:firstLineChars="300"/>
        <w:rPr>
          <w:rFonts w:ascii="宋体" w:hAnsi="宋体"/>
          <w:szCs w:val="21"/>
        </w:rPr>
      </w:pPr>
    </w:p>
    <w:p>
      <w:pPr>
        <w:pStyle w:val="61"/>
      </w:pPr>
    </w:p>
    <w:p>
      <w:pPr>
        <w:pStyle w:val="50"/>
      </w:pPr>
    </w:p>
    <w:p/>
    <w:p>
      <w:pPr>
        <w:rPr>
          <w:rFonts w:ascii="宋体" w:hAnsi="宋体" w:cs="宋体"/>
          <w:b/>
          <w:sz w:val="36"/>
          <w:szCs w:val="20"/>
        </w:rPr>
      </w:pPr>
      <w:r>
        <w:rPr>
          <w:rFonts w:hint="eastAsia" w:ascii="宋体" w:hAnsi="宋体" w:cs="宋体"/>
          <w:b/>
          <w:sz w:val="36"/>
          <w:szCs w:val="20"/>
        </w:rPr>
        <w:br w:type="page"/>
      </w: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6"/>
      <w:r>
        <w:rPr>
          <w:rFonts w:hint="eastAsia" w:ascii="宋体" w:hAnsi="宋体" w:cs="宋体"/>
          <w:b/>
          <w:sz w:val="36"/>
          <w:szCs w:val="20"/>
        </w:rPr>
        <w:t xml:space="preserve"> </w:t>
      </w:r>
      <w:bookmarkEnd w:id="40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       】政府采购活动，郑重承诺：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pStyle w:val="3"/>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rPr>
          <w:rFonts w:ascii="宋体" w:hAnsi="宋体" w:cs="宋体"/>
          <w:b/>
          <w:bCs/>
          <w:sz w:val="32"/>
          <w:szCs w:val="32"/>
          <w:lang w:val="zh-CN"/>
        </w:rPr>
      </w:pPr>
      <w:r>
        <w:rPr>
          <w:rFonts w:hint="eastAsia" w:ascii="宋体" w:hAnsi="宋体" w:cs="宋体"/>
          <w:b/>
          <w:bCs/>
          <w:sz w:val="32"/>
          <w:szCs w:val="32"/>
          <w:lang w:val="zh-CN"/>
        </w:rPr>
        <w:br w:type="page"/>
      </w: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23"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23"/>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节能产品认证证书（政府强制采购节能产品清单详见附表1）</w:t>
            </w:r>
          </w:p>
        </w:tc>
        <w:tc>
          <w:tcPr>
            <w:tcW w:w="1418" w:type="dxa"/>
            <w:vAlign w:val="center"/>
          </w:tcPr>
          <w:p>
            <w:pPr>
              <w:rPr>
                <w:rFonts w:ascii="宋体" w:hAnsi="宋体" w:cs="宋体"/>
                <w:sz w:val="24"/>
              </w:rPr>
            </w:pPr>
            <w:r>
              <w:rPr>
                <w:rFonts w:hint="eastAsia" w:ascii="宋体" w:hAnsi="宋体" w:cs="宋体"/>
                <w:sz w:val="24"/>
              </w:rPr>
              <w:t>见响应文件</w:t>
            </w:r>
          </w:p>
          <w:p>
            <w:pPr>
              <w:pStyle w:val="3"/>
              <w:spacing w:line="240" w:lineRule="auto"/>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1"/>
        <w:rPr>
          <w:lang w:val="en-US"/>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合同履约期限</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w:t>
            </w:r>
          </w:p>
        </w:tc>
        <w:tc>
          <w:tcPr>
            <w:tcW w:w="7655" w:type="dxa"/>
            <w:gridSpan w:val="3"/>
            <w:vAlign w:val="center"/>
          </w:tcPr>
          <w:p>
            <w:pPr>
              <w:snapToGrid w:val="0"/>
              <w:spacing w:line="360" w:lineRule="auto"/>
              <w:jc w:val="center"/>
              <w:rPr>
                <w:sz w:val="24"/>
                <w:u w:val="single"/>
              </w:rPr>
            </w:pPr>
            <w:r>
              <w:rPr>
                <w:rFonts w:hint="eastAsia"/>
                <w:sz w:val="24"/>
              </w:rPr>
              <w:t>大写：</w:t>
            </w:r>
            <w:r>
              <w:rPr>
                <w:rFonts w:hint="eastAsia"/>
                <w:sz w:val="24"/>
                <w:u w:val="single"/>
              </w:rPr>
              <w:t xml:space="preserve">         元   </w:t>
            </w:r>
          </w:p>
          <w:p>
            <w:pPr>
              <w:spacing w:line="360" w:lineRule="auto"/>
              <w:jc w:val="center"/>
              <w:rPr>
                <w:rFonts w:ascii="宋体" w:hAnsi="宋体" w:cs="宋体"/>
                <w:sz w:val="24"/>
              </w:rPr>
            </w:pPr>
            <w:r>
              <w:rPr>
                <w:rFonts w:hint="eastAsia"/>
                <w:sz w:val="24"/>
              </w:rPr>
              <w:t>小写：</w:t>
            </w:r>
            <w:r>
              <w:rPr>
                <w:rFonts w:hint="eastAsia"/>
                <w:sz w:val="24"/>
                <w:u w:val="single"/>
              </w:rPr>
              <w:t xml:space="preserve">         元 </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24" w:name="_Hlk101259491"/>
      <w:r>
        <w:rPr>
          <w:rFonts w:hint="eastAsia" w:ascii="宋体" w:hAnsi="宋体" w:eastAsia="宋体" w:cs="宋体"/>
          <w:sz w:val="32"/>
          <w:szCs w:val="32"/>
        </w:rPr>
        <w:t>（如果有）</w:t>
      </w:r>
      <w:bookmarkEnd w:id="424"/>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25" w:name="_Toc465665161"/>
      <w:r>
        <w:rPr>
          <w:rFonts w:hint="eastAsia" w:ascii="宋体" w:hAnsi="宋体" w:cs="宋体"/>
        </w:rPr>
        <w:t>附件</w:t>
      </w:r>
      <w:bookmarkEnd w:id="42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26" w:name="OLE_LINK13"/>
      <w:bookmarkStart w:id="427" w:name="OLE_LINK14"/>
      <w:r>
        <w:rPr>
          <w:rFonts w:hint="eastAsia" w:ascii="宋体" w:hAnsi="宋体" w:cs="宋体"/>
          <w:b/>
          <w:spacing w:val="6"/>
          <w:sz w:val="32"/>
          <w:szCs w:val="32"/>
        </w:rPr>
        <w:t>残疾人福利性单位声明函</w:t>
      </w:r>
    </w:p>
    <w:bookmarkEnd w:id="426"/>
    <w:bookmarkEnd w:id="42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2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2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pStyle w:val="25"/>
        <w:ind w:firstLine="0" w:firstLineChars="0"/>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30" w:name="_Toc36110187"/>
    <w:bookmarkStart w:id="431" w:name="_Toc91899912"/>
    <w:bookmarkStart w:id="432" w:name="_Toc164085800"/>
    <w:bookmarkStart w:id="433" w:name="_Toc131845147"/>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6EEA4"/>
    <w:multiLevelType w:val="singleLevel"/>
    <w:tmpl w:val="BC46EEA4"/>
    <w:lvl w:ilvl="0" w:tentative="0">
      <w:start w:val="1"/>
      <w:numFmt w:val="decimal"/>
      <w:suff w:val="nothing"/>
      <w:lvlText w:val="（%1）"/>
      <w:lvlJc w:val="left"/>
    </w:lvl>
  </w:abstractNum>
  <w:abstractNum w:abstractNumId="1">
    <w:nsid w:val="EB1F938A"/>
    <w:multiLevelType w:val="singleLevel"/>
    <w:tmpl w:val="EB1F938A"/>
    <w:lvl w:ilvl="0" w:tentative="0">
      <w:start w:val="4"/>
      <w:numFmt w:val="decimal"/>
      <w:lvlText w:val="%1."/>
      <w:lvlJc w:val="left"/>
      <w:pPr>
        <w:tabs>
          <w:tab w:val="left" w:pos="312"/>
        </w:tabs>
      </w:pPr>
    </w:lvl>
  </w:abstractNum>
  <w:abstractNum w:abstractNumId="2">
    <w:nsid w:val="F75602E7"/>
    <w:multiLevelType w:val="singleLevel"/>
    <w:tmpl w:val="F75602E7"/>
    <w:lvl w:ilvl="0" w:tentative="0">
      <w:start w:val="4"/>
      <w:numFmt w:val="decimal"/>
      <w:suff w:val="nothing"/>
      <w:lvlText w:val="%1）"/>
      <w:lvlJc w:val="left"/>
    </w:lvl>
  </w:abstractNum>
  <w:abstractNum w:abstractNumId="3">
    <w:nsid w:val="033A3415"/>
    <w:multiLevelType w:val="singleLevel"/>
    <w:tmpl w:val="033A3415"/>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trackRevisions w:val="1"/>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2E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4BEA"/>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85B"/>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F47"/>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03"/>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32A"/>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4AC"/>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30"/>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271"/>
    <w:rsid w:val="007B28C3"/>
    <w:rsid w:val="007B3A8E"/>
    <w:rsid w:val="007B3C9B"/>
    <w:rsid w:val="007B4271"/>
    <w:rsid w:val="007B483B"/>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B2C"/>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47D6"/>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EF1"/>
    <w:rsid w:val="00C5310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D7"/>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0A2568"/>
    <w:rsid w:val="025F0711"/>
    <w:rsid w:val="026B2E25"/>
    <w:rsid w:val="02824D4D"/>
    <w:rsid w:val="02DC4B10"/>
    <w:rsid w:val="02DD76CE"/>
    <w:rsid w:val="02F36323"/>
    <w:rsid w:val="02F5619C"/>
    <w:rsid w:val="02FD42F5"/>
    <w:rsid w:val="0326446A"/>
    <w:rsid w:val="032D5555"/>
    <w:rsid w:val="036634D2"/>
    <w:rsid w:val="03783540"/>
    <w:rsid w:val="03DD35E4"/>
    <w:rsid w:val="03F040A4"/>
    <w:rsid w:val="04052AE6"/>
    <w:rsid w:val="04076900"/>
    <w:rsid w:val="041A5A3B"/>
    <w:rsid w:val="042311BA"/>
    <w:rsid w:val="042B157A"/>
    <w:rsid w:val="04411080"/>
    <w:rsid w:val="04700DA8"/>
    <w:rsid w:val="047563BF"/>
    <w:rsid w:val="048F763B"/>
    <w:rsid w:val="049F330E"/>
    <w:rsid w:val="04AA775C"/>
    <w:rsid w:val="04AF1889"/>
    <w:rsid w:val="04C64E6C"/>
    <w:rsid w:val="04F66F48"/>
    <w:rsid w:val="04FA4B16"/>
    <w:rsid w:val="05251E14"/>
    <w:rsid w:val="05300538"/>
    <w:rsid w:val="054B2F99"/>
    <w:rsid w:val="05A16594"/>
    <w:rsid w:val="05A7762D"/>
    <w:rsid w:val="05BC0BF8"/>
    <w:rsid w:val="0608497D"/>
    <w:rsid w:val="060E5941"/>
    <w:rsid w:val="06110FAF"/>
    <w:rsid w:val="061E21DC"/>
    <w:rsid w:val="064747B7"/>
    <w:rsid w:val="06493CA7"/>
    <w:rsid w:val="065A6178"/>
    <w:rsid w:val="066E1982"/>
    <w:rsid w:val="066F1CF3"/>
    <w:rsid w:val="068F1393"/>
    <w:rsid w:val="06930BB8"/>
    <w:rsid w:val="071B4722"/>
    <w:rsid w:val="07245D42"/>
    <w:rsid w:val="07264C62"/>
    <w:rsid w:val="0779354C"/>
    <w:rsid w:val="07A46B95"/>
    <w:rsid w:val="08061376"/>
    <w:rsid w:val="082823CE"/>
    <w:rsid w:val="08452D77"/>
    <w:rsid w:val="086401F8"/>
    <w:rsid w:val="08661343"/>
    <w:rsid w:val="08751CAA"/>
    <w:rsid w:val="087E4C40"/>
    <w:rsid w:val="08923AEE"/>
    <w:rsid w:val="089953E4"/>
    <w:rsid w:val="08A871D0"/>
    <w:rsid w:val="08D66AD6"/>
    <w:rsid w:val="08DA33A3"/>
    <w:rsid w:val="08E80F13"/>
    <w:rsid w:val="09335624"/>
    <w:rsid w:val="0944690F"/>
    <w:rsid w:val="09535675"/>
    <w:rsid w:val="095F057D"/>
    <w:rsid w:val="09642282"/>
    <w:rsid w:val="09733572"/>
    <w:rsid w:val="09772C16"/>
    <w:rsid w:val="098353B5"/>
    <w:rsid w:val="098F5503"/>
    <w:rsid w:val="09A92330"/>
    <w:rsid w:val="09B06B87"/>
    <w:rsid w:val="09C13146"/>
    <w:rsid w:val="09E04166"/>
    <w:rsid w:val="09FB7366"/>
    <w:rsid w:val="0A1C0718"/>
    <w:rsid w:val="0A3E7710"/>
    <w:rsid w:val="0A5B7E63"/>
    <w:rsid w:val="0A703465"/>
    <w:rsid w:val="0AA374A5"/>
    <w:rsid w:val="0AAB5ECF"/>
    <w:rsid w:val="0AAB7649"/>
    <w:rsid w:val="0AB8217D"/>
    <w:rsid w:val="0ABC5606"/>
    <w:rsid w:val="0B30404E"/>
    <w:rsid w:val="0B380146"/>
    <w:rsid w:val="0B4C6C14"/>
    <w:rsid w:val="0B542645"/>
    <w:rsid w:val="0B547599"/>
    <w:rsid w:val="0B631A88"/>
    <w:rsid w:val="0B683D45"/>
    <w:rsid w:val="0B7F3F11"/>
    <w:rsid w:val="0B884417"/>
    <w:rsid w:val="0BF6188C"/>
    <w:rsid w:val="0BF73C91"/>
    <w:rsid w:val="0C170175"/>
    <w:rsid w:val="0C571A41"/>
    <w:rsid w:val="0C5C1171"/>
    <w:rsid w:val="0C5E1CBC"/>
    <w:rsid w:val="0C615B50"/>
    <w:rsid w:val="0C8445DA"/>
    <w:rsid w:val="0C865442"/>
    <w:rsid w:val="0C87121B"/>
    <w:rsid w:val="0C8A48D5"/>
    <w:rsid w:val="0CC007F7"/>
    <w:rsid w:val="0CC617AC"/>
    <w:rsid w:val="0CE618DF"/>
    <w:rsid w:val="0CEC743A"/>
    <w:rsid w:val="0CF12CA2"/>
    <w:rsid w:val="0CFE707A"/>
    <w:rsid w:val="0D063BDA"/>
    <w:rsid w:val="0D08375F"/>
    <w:rsid w:val="0D0C43E1"/>
    <w:rsid w:val="0D184CFB"/>
    <w:rsid w:val="0D4A7419"/>
    <w:rsid w:val="0D7A4F1A"/>
    <w:rsid w:val="0D827401"/>
    <w:rsid w:val="0D84094E"/>
    <w:rsid w:val="0D8A00E9"/>
    <w:rsid w:val="0D8D589E"/>
    <w:rsid w:val="0DA01C73"/>
    <w:rsid w:val="0DD63300"/>
    <w:rsid w:val="0DDF4B00"/>
    <w:rsid w:val="0DF50604"/>
    <w:rsid w:val="0DF702FE"/>
    <w:rsid w:val="0E060E51"/>
    <w:rsid w:val="0E1371C0"/>
    <w:rsid w:val="0E182179"/>
    <w:rsid w:val="0E5604B2"/>
    <w:rsid w:val="0E6D5D79"/>
    <w:rsid w:val="0E9D0089"/>
    <w:rsid w:val="0EB803EE"/>
    <w:rsid w:val="0EF80E8F"/>
    <w:rsid w:val="0EF94D4B"/>
    <w:rsid w:val="0F111CB9"/>
    <w:rsid w:val="0F130CAE"/>
    <w:rsid w:val="0F4958DC"/>
    <w:rsid w:val="0F515DF7"/>
    <w:rsid w:val="0F596BA8"/>
    <w:rsid w:val="0F621C35"/>
    <w:rsid w:val="0F6248D2"/>
    <w:rsid w:val="0F693536"/>
    <w:rsid w:val="0F7B0511"/>
    <w:rsid w:val="0F7B76D9"/>
    <w:rsid w:val="0F816ACD"/>
    <w:rsid w:val="0F9832DB"/>
    <w:rsid w:val="0F9B0CA3"/>
    <w:rsid w:val="0FBF3FD2"/>
    <w:rsid w:val="0FBF7FF3"/>
    <w:rsid w:val="0FCD3553"/>
    <w:rsid w:val="10646583"/>
    <w:rsid w:val="107D4B15"/>
    <w:rsid w:val="108A3C80"/>
    <w:rsid w:val="10C26171"/>
    <w:rsid w:val="10F33360"/>
    <w:rsid w:val="10FC16EA"/>
    <w:rsid w:val="110F1D40"/>
    <w:rsid w:val="11266F33"/>
    <w:rsid w:val="11544259"/>
    <w:rsid w:val="118963A1"/>
    <w:rsid w:val="119F4A7B"/>
    <w:rsid w:val="11C6522A"/>
    <w:rsid w:val="11E104CC"/>
    <w:rsid w:val="11E20309"/>
    <w:rsid w:val="120342BC"/>
    <w:rsid w:val="120538FB"/>
    <w:rsid w:val="12255233"/>
    <w:rsid w:val="12530213"/>
    <w:rsid w:val="127723A9"/>
    <w:rsid w:val="12862074"/>
    <w:rsid w:val="12883966"/>
    <w:rsid w:val="129E45B4"/>
    <w:rsid w:val="12D81596"/>
    <w:rsid w:val="12F11306"/>
    <w:rsid w:val="13072A44"/>
    <w:rsid w:val="135F4BE2"/>
    <w:rsid w:val="1379769F"/>
    <w:rsid w:val="139B1A0A"/>
    <w:rsid w:val="139D25C7"/>
    <w:rsid w:val="13BF3CE4"/>
    <w:rsid w:val="141008D8"/>
    <w:rsid w:val="1411517A"/>
    <w:rsid w:val="14125FE6"/>
    <w:rsid w:val="142474B9"/>
    <w:rsid w:val="1426342D"/>
    <w:rsid w:val="14321BD6"/>
    <w:rsid w:val="146D271E"/>
    <w:rsid w:val="14832432"/>
    <w:rsid w:val="14982588"/>
    <w:rsid w:val="149A5AD9"/>
    <w:rsid w:val="14A7619D"/>
    <w:rsid w:val="14BC5944"/>
    <w:rsid w:val="150536C3"/>
    <w:rsid w:val="150C1963"/>
    <w:rsid w:val="151447A0"/>
    <w:rsid w:val="152B4878"/>
    <w:rsid w:val="154A6454"/>
    <w:rsid w:val="155E2E9F"/>
    <w:rsid w:val="15762120"/>
    <w:rsid w:val="159E6626"/>
    <w:rsid w:val="162C6AF9"/>
    <w:rsid w:val="163836F0"/>
    <w:rsid w:val="16A8729C"/>
    <w:rsid w:val="16AF4508"/>
    <w:rsid w:val="16B33777"/>
    <w:rsid w:val="16BC70A7"/>
    <w:rsid w:val="16C6339E"/>
    <w:rsid w:val="172F2D79"/>
    <w:rsid w:val="17557BEF"/>
    <w:rsid w:val="1787696E"/>
    <w:rsid w:val="179B69E8"/>
    <w:rsid w:val="17C52D61"/>
    <w:rsid w:val="17D349C1"/>
    <w:rsid w:val="17DF4426"/>
    <w:rsid w:val="17F35B20"/>
    <w:rsid w:val="1830729E"/>
    <w:rsid w:val="1870062C"/>
    <w:rsid w:val="187622AE"/>
    <w:rsid w:val="18817102"/>
    <w:rsid w:val="18830A15"/>
    <w:rsid w:val="18852B28"/>
    <w:rsid w:val="188B5321"/>
    <w:rsid w:val="18943DB8"/>
    <w:rsid w:val="18AB6614"/>
    <w:rsid w:val="18EA4F1C"/>
    <w:rsid w:val="19855773"/>
    <w:rsid w:val="19932372"/>
    <w:rsid w:val="19A20DD5"/>
    <w:rsid w:val="19AE03F1"/>
    <w:rsid w:val="19C07C84"/>
    <w:rsid w:val="19C53636"/>
    <w:rsid w:val="1A071A03"/>
    <w:rsid w:val="1A1E6B9A"/>
    <w:rsid w:val="1A1F16AE"/>
    <w:rsid w:val="1A246465"/>
    <w:rsid w:val="1A3B5C77"/>
    <w:rsid w:val="1A3D7527"/>
    <w:rsid w:val="1A807414"/>
    <w:rsid w:val="1A8329BA"/>
    <w:rsid w:val="1A984BAD"/>
    <w:rsid w:val="1AB8220E"/>
    <w:rsid w:val="1ABE0A19"/>
    <w:rsid w:val="1AE4166C"/>
    <w:rsid w:val="1AF06CFB"/>
    <w:rsid w:val="1AF11B8D"/>
    <w:rsid w:val="1B003AD9"/>
    <w:rsid w:val="1B090053"/>
    <w:rsid w:val="1B11359C"/>
    <w:rsid w:val="1B2A271F"/>
    <w:rsid w:val="1B530544"/>
    <w:rsid w:val="1B713184"/>
    <w:rsid w:val="1BA209CF"/>
    <w:rsid w:val="1BB4777D"/>
    <w:rsid w:val="1BD75AB8"/>
    <w:rsid w:val="1BF06D97"/>
    <w:rsid w:val="1BF74147"/>
    <w:rsid w:val="1BFC5AAE"/>
    <w:rsid w:val="1C0459C2"/>
    <w:rsid w:val="1C1B3B4A"/>
    <w:rsid w:val="1C7725CD"/>
    <w:rsid w:val="1C844F99"/>
    <w:rsid w:val="1C88086E"/>
    <w:rsid w:val="1CC2447C"/>
    <w:rsid w:val="1D266CE1"/>
    <w:rsid w:val="1D3963AF"/>
    <w:rsid w:val="1D3D0FE5"/>
    <w:rsid w:val="1D6A673C"/>
    <w:rsid w:val="1D9247AE"/>
    <w:rsid w:val="1DA67191"/>
    <w:rsid w:val="1DB567EC"/>
    <w:rsid w:val="1DF51A98"/>
    <w:rsid w:val="1E114F52"/>
    <w:rsid w:val="1E1578D9"/>
    <w:rsid w:val="1E3D060F"/>
    <w:rsid w:val="1E3F7D2E"/>
    <w:rsid w:val="1E4134E4"/>
    <w:rsid w:val="1E5062B3"/>
    <w:rsid w:val="1E523514"/>
    <w:rsid w:val="1E714A66"/>
    <w:rsid w:val="1E802593"/>
    <w:rsid w:val="1E8B6156"/>
    <w:rsid w:val="1EA703CC"/>
    <w:rsid w:val="1EB7330C"/>
    <w:rsid w:val="1ED116B2"/>
    <w:rsid w:val="1F0A0FF3"/>
    <w:rsid w:val="1F3901EA"/>
    <w:rsid w:val="1F5771FF"/>
    <w:rsid w:val="1F6F7357"/>
    <w:rsid w:val="1F904124"/>
    <w:rsid w:val="1FCB1131"/>
    <w:rsid w:val="1FCD4EA9"/>
    <w:rsid w:val="1FE868A9"/>
    <w:rsid w:val="20034907"/>
    <w:rsid w:val="20173E4B"/>
    <w:rsid w:val="204E48BC"/>
    <w:rsid w:val="208921B3"/>
    <w:rsid w:val="20973DEB"/>
    <w:rsid w:val="20B26522"/>
    <w:rsid w:val="20B44310"/>
    <w:rsid w:val="21036295"/>
    <w:rsid w:val="211116EB"/>
    <w:rsid w:val="2120725A"/>
    <w:rsid w:val="213041B3"/>
    <w:rsid w:val="216133FC"/>
    <w:rsid w:val="21621621"/>
    <w:rsid w:val="217A696B"/>
    <w:rsid w:val="21CA5B44"/>
    <w:rsid w:val="21D4251F"/>
    <w:rsid w:val="21D544E9"/>
    <w:rsid w:val="21D56769"/>
    <w:rsid w:val="21E52EF3"/>
    <w:rsid w:val="21FB5D7B"/>
    <w:rsid w:val="220018BF"/>
    <w:rsid w:val="22015E94"/>
    <w:rsid w:val="220B1C3D"/>
    <w:rsid w:val="221D1D20"/>
    <w:rsid w:val="22334A87"/>
    <w:rsid w:val="228757E3"/>
    <w:rsid w:val="22BE6801"/>
    <w:rsid w:val="22DD3655"/>
    <w:rsid w:val="233500BF"/>
    <w:rsid w:val="23377FF7"/>
    <w:rsid w:val="2350205C"/>
    <w:rsid w:val="236B425F"/>
    <w:rsid w:val="23765646"/>
    <w:rsid w:val="23836192"/>
    <w:rsid w:val="23901F29"/>
    <w:rsid w:val="2398039C"/>
    <w:rsid w:val="239C0061"/>
    <w:rsid w:val="23B908A4"/>
    <w:rsid w:val="23E95BEF"/>
    <w:rsid w:val="23FD0064"/>
    <w:rsid w:val="245375B0"/>
    <w:rsid w:val="24642C0A"/>
    <w:rsid w:val="249917FE"/>
    <w:rsid w:val="24B22173"/>
    <w:rsid w:val="24B95AD9"/>
    <w:rsid w:val="24BE24DA"/>
    <w:rsid w:val="24CF5825"/>
    <w:rsid w:val="24D663E6"/>
    <w:rsid w:val="24D77F2B"/>
    <w:rsid w:val="25891200"/>
    <w:rsid w:val="258B00E2"/>
    <w:rsid w:val="25A02C3C"/>
    <w:rsid w:val="25A917A6"/>
    <w:rsid w:val="25BE27CC"/>
    <w:rsid w:val="25F74A5C"/>
    <w:rsid w:val="26192BF6"/>
    <w:rsid w:val="2628662C"/>
    <w:rsid w:val="262D45DE"/>
    <w:rsid w:val="26871DC8"/>
    <w:rsid w:val="26A2410D"/>
    <w:rsid w:val="26A53EF9"/>
    <w:rsid w:val="26A94201"/>
    <w:rsid w:val="26AC274F"/>
    <w:rsid w:val="26BB7778"/>
    <w:rsid w:val="26BC7594"/>
    <w:rsid w:val="26DE0443"/>
    <w:rsid w:val="27044A29"/>
    <w:rsid w:val="271D34C8"/>
    <w:rsid w:val="274C2B57"/>
    <w:rsid w:val="276142BF"/>
    <w:rsid w:val="27783712"/>
    <w:rsid w:val="277F117F"/>
    <w:rsid w:val="278E3170"/>
    <w:rsid w:val="27907362"/>
    <w:rsid w:val="28333E1D"/>
    <w:rsid w:val="28454BD6"/>
    <w:rsid w:val="28455253"/>
    <w:rsid w:val="28551971"/>
    <w:rsid w:val="285B1C53"/>
    <w:rsid w:val="289F7086"/>
    <w:rsid w:val="28A013AD"/>
    <w:rsid w:val="28BD7EC1"/>
    <w:rsid w:val="28C32028"/>
    <w:rsid w:val="28CC490F"/>
    <w:rsid w:val="28D074CD"/>
    <w:rsid w:val="28DB50F9"/>
    <w:rsid w:val="28DE40AA"/>
    <w:rsid w:val="29345E77"/>
    <w:rsid w:val="294C65AD"/>
    <w:rsid w:val="296F6FD1"/>
    <w:rsid w:val="29806583"/>
    <w:rsid w:val="29874244"/>
    <w:rsid w:val="298B3C4C"/>
    <w:rsid w:val="29DF4157"/>
    <w:rsid w:val="29F26D24"/>
    <w:rsid w:val="2A15033F"/>
    <w:rsid w:val="2A1662C1"/>
    <w:rsid w:val="2A1C7367"/>
    <w:rsid w:val="2A1E7E87"/>
    <w:rsid w:val="2A241B69"/>
    <w:rsid w:val="2A2815FA"/>
    <w:rsid w:val="2A6D6092"/>
    <w:rsid w:val="2A7D76B4"/>
    <w:rsid w:val="2AB363E9"/>
    <w:rsid w:val="2AB56C65"/>
    <w:rsid w:val="2AE61515"/>
    <w:rsid w:val="2B437463"/>
    <w:rsid w:val="2B7807EE"/>
    <w:rsid w:val="2B851361"/>
    <w:rsid w:val="2BA50BF7"/>
    <w:rsid w:val="2BBF00EC"/>
    <w:rsid w:val="2BC37CFD"/>
    <w:rsid w:val="2BD5237F"/>
    <w:rsid w:val="2BE536CE"/>
    <w:rsid w:val="2BE758D9"/>
    <w:rsid w:val="2C09049E"/>
    <w:rsid w:val="2C0A653C"/>
    <w:rsid w:val="2C191F85"/>
    <w:rsid w:val="2C1D2D14"/>
    <w:rsid w:val="2C5068E6"/>
    <w:rsid w:val="2C5301D8"/>
    <w:rsid w:val="2CE82D6F"/>
    <w:rsid w:val="2CFE2B46"/>
    <w:rsid w:val="2D1C2FCC"/>
    <w:rsid w:val="2D343236"/>
    <w:rsid w:val="2DCC67A0"/>
    <w:rsid w:val="2DD15014"/>
    <w:rsid w:val="2DD36F36"/>
    <w:rsid w:val="2DEB6E1C"/>
    <w:rsid w:val="2DF72DE4"/>
    <w:rsid w:val="2E0220AF"/>
    <w:rsid w:val="2E1638CF"/>
    <w:rsid w:val="2E4B082A"/>
    <w:rsid w:val="2E5D4E86"/>
    <w:rsid w:val="2E5D790B"/>
    <w:rsid w:val="2E9A3C18"/>
    <w:rsid w:val="2EBB0FEE"/>
    <w:rsid w:val="2EC63002"/>
    <w:rsid w:val="2F0A6B38"/>
    <w:rsid w:val="2F1E302B"/>
    <w:rsid w:val="2F860BD0"/>
    <w:rsid w:val="2F946CCB"/>
    <w:rsid w:val="2FD25781"/>
    <w:rsid w:val="2FDC745C"/>
    <w:rsid w:val="2FEF6853"/>
    <w:rsid w:val="2FFD7934"/>
    <w:rsid w:val="30733ACD"/>
    <w:rsid w:val="308C3862"/>
    <w:rsid w:val="309379D8"/>
    <w:rsid w:val="309926A4"/>
    <w:rsid w:val="30A270F7"/>
    <w:rsid w:val="30DF1478"/>
    <w:rsid w:val="30DF4A3C"/>
    <w:rsid w:val="30EC586F"/>
    <w:rsid w:val="30F027A5"/>
    <w:rsid w:val="311341C5"/>
    <w:rsid w:val="318503EF"/>
    <w:rsid w:val="319C6071"/>
    <w:rsid w:val="31A11ECE"/>
    <w:rsid w:val="31AC537E"/>
    <w:rsid w:val="31BC4D7D"/>
    <w:rsid w:val="31E3679B"/>
    <w:rsid w:val="31E732FD"/>
    <w:rsid w:val="31EC7411"/>
    <w:rsid w:val="32517576"/>
    <w:rsid w:val="3260395B"/>
    <w:rsid w:val="32BE5C2C"/>
    <w:rsid w:val="32D63C1D"/>
    <w:rsid w:val="32FB6478"/>
    <w:rsid w:val="332410BB"/>
    <w:rsid w:val="33263B3F"/>
    <w:rsid w:val="33550FE6"/>
    <w:rsid w:val="336963EB"/>
    <w:rsid w:val="33816EEB"/>
    <w:rsid w:val="33EB55CD"/>
    <w:rsid w:val="33EC4C02"/>
    <w:rsid w:val="340D2360"/>
    <w:rsid w:val="3410665D"/>
    <w:rsid w:val="34211214"/>
    <w:rsid w:val="342E63AB"/>
    <w:rsid w:val="343174FE"/>
    <w:rsid w:val="34950E68"/>
    <w:rsid w:val="34986E94"/>
    <w:rsid w:val="34AF62C9"/>
    <w:rsid w:val="34CB4388"/>
    <w:rsid w:val="34FA6E12"/>
    <w:rsid w:val="354D7158"/>
    <w:rsid w:val="358D5588"/>
    <w:rsid w:val="359C114E"/>
    <w:rsid w:val="359C2EFC"/>
    <w:rsid w:val="35D55AC9"/>
    <w:rsid w:val="363A3B40"/>
    <w:rsid w:val="3651018A"/>
    <w:rsid w:val="365302AE"/>
    <w:rsid w:val="36607A0A"/>
    <w:rsid w:val="366E227C"/>
    <w:rsid w:val="366F2E0D"/>
    <w:rsid w:val="367B6A5C"/>
    <w:rsid w:val="36A74ADA"/>
    <w:rsid w:val="36AD60D5"/>
    <w:rsid w:val="36B224F9"/>
    <w:rsid w:val="36EC0CC9"/>
    <w:rsid w:val="370F10D1"/>
    <w:rsid w:val="37253B18"/>
    <w:rsid w:val="373F410B"/>
    <w:rsid w:val="375F6AB4"/>
    <w:rsid w:val="37AD258B"/>
    <w:rsid w:val="37EE7094"/>
    <w:rsid w:val="38296C89"/>
    <w:rsid w:val="383002EB"/>
    <w:rsid w:val="38586797"/>
    <w:rsid w:val="38A21B2B"/>
    <w:rsid w:val="38BC0149"/>
    <w:rsid w:val="38D87D1C"/>
    <w:rsid w:val="392E5D45"/>
    <w:rsid w:val="39636459"/>
    <w:rsid w:val="396B7F6C"/>
    <w:rsid w:val="3985526C"/>
    <w:rsid w:val="39A305F6"/>
    <w:rsid w:val="39B417A9"/>
    <w:rsid w:val="39B67DDA"/>
    <w:rsid w:val="39FC5695"/>
    <w:rsid w:val="3A006D8E"/>
    <w:rsid w:val="3A204F94"/>
    <w:rsid w:val="3A211C22"/>
    <w:rsid w:val="3A2C7423"/>
    <w:rsid w:val="3A3651E5"/>
    <w:rsid w:val="3A744481"/>
    <w:rsid w:val="3A8C7BEF"/>
    <w:rsid w:val="3A906246"/>
    <w:rsid w:val="3B2349B7"/>
    <w:rsid w:val="3B4D184C"/>
    <w:rsid w:val="3B616CFF"/>
    <w:rsid w:val="3B6259F6"/>
    <w:rsid w:val="3B8C3A12"/>
    <w:rsid w:val="3B976654"/>
    <w:rsid w:val="3BC01EFC"/>
    <w:rsid w:val="3BCA786A"/>
    <w:rsid w:val="3BD31E2F"/>
    <w:rsid w:val="3BF03FA1"/>
    <w:rsid w:val="3BF15831"/>
    <w:rsid w:val="3C011D0B"/>
    <w:rsid w:val="3C105946"/>
    <w:rsid w:val="3C471448"/>
    <w:rsid w:val="3C5F759A"/>
    <w:rsid w:val="3C6C525A"/>
    <w:rsid w:val="3C703F8A"/>
    <w:rsid w:val="3CCE23CB"/>
    <w:rsid w:val="3CD020B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82BDD"/>
    <w:rsid w:val="3EF71B00"/>
    <w:rsid w:val="3F060E16"/>
    <w:rsid w:val="3F1D1096"/>
    <w:rsid w:val="3F2F0234"/>
    <w:rsid w:val="3F6363FE"/>
    <w:rsid w:val="3F756B8F"/>
    <w:rsid w:val="3F95482B"/>
    <w:rsid w:val="3FA4757D"/>
    <w:rsid w:val="4019356B"/>
    <w:rsid w:val="40254DA3"/>
    <w:rsid w:val="40592157"/>
    <w:rsid w:val="406E1CAE"/>
    <w:rsid w:val="40A0133A"/>
    <w:rsid w:val="40C31A53"/>
    <w:rsid w:val="40FB059C"/>
    <w:rsid w:val="40FF545D"/>
    <w:rsid w:val="410067C8"/>
    <w:rsid w:val="41173D7E"/>
    <w:rsid w:val="415E375B"/>
    <w:rsid w:val="416176D3"/>
    <w:rsid w:val="41717932"/>
    <w:rsid w:val="418F0D2A"/>
    <w:rsid w:val="41D01505"/>
    <w:rsid w:val="423821FE"/>
    <w:rsid w:val="42424E2B"/>
    <w:rsid w:val="42474939"/>
    <w:rsid w:val="424C3C57"/>
    <w:rsid w:val="42613FF3"/>
    <w:rsid w:val="42660D96"/>
    <w:rsid w:val="428667D2"/>
    <w:rsid w:val="42CD1CE0"/>
    <w:rsid w:val="42CF1957"/>
    <w:rsid w:val="42E1381E"/>
    <w:rsid w:val="42ED6459"/>
    <w:rsid w:val="42FE58DD"/>
    <w:rsid w:val="43081B8A"/>
    <w:rsid w:val="43174B3D"/>
    <w:rsid w:val="434B790E"/>
    <w:rsid w:val="4360274F"/>
    <w:rsid w:val="43923479"/>
    <w:rsid w:val="43977AB6"/>
    <w:rsid w:val="43A3342B"/>
    <w:rsid w:val="43C77C27"/>
    <w:rsid w:val="43DE09EE"/>
    <w:rsid w:val="44002FAD"/>
    <w:rsid w:val="441C37AA"/>
    <w:rsid w:val="44370A64"/>
    <w:rsid w:val="445939BF"/>
    <w:rsid w:val="447119F7"/>
    <w:rsid w:val="447514E8"/>
    <w:rsid w:val="449101DD"/>
    <w:rsid w:val="44DE1391"/>
    <w:rsid w:val="45065477"/>
    <w:rsid w:val="451B225C"/>
    <w:rsid w:val="452410C9"/>
    <w:rsid w:val="453122F8"/>
    <w:rsid w:val="45317DFB"/>
    <w:rsid w:val="4550785F"/>
    <w:rsid w:val="45561319"/>
    <w:rsid w:val="456D3CE4"/>
    <w:rsid w:val="4579042C"/>
    <w:rsid w:val="457F0571"/>
    <w:rsid w:val="45851176"/>
    <w:rsid w:val="459B7F17"/>
    <w:rsid w:val="459E01F4"/>
    <w:rsid w:val="45C55BC2"/>
    <w:rsid w:val="45C63B94"/>
    <w:rsid w:val="460E7DA5"/>
    <w:rsid w:val="46422483"/>
    <w:rsid w:val="4659254A"/>
    <w:rsid w:val="465B0637"/>
    <w:rsid w:val="465E3F0D"/>
    <w:rsid w:val="466A16E6"/>
    <w:rsid w:val="46893F2B"/>
    <w:rsid w:val="46A240EA"/>
    <w:rsid w:val="46C444E6"/>
    <w:rsid w:val="46C4686E"/>
    <w:rsid w:val="46E82445"/>
    <w:rsid w:val="474423AA"/>
    <w:rsid w:val="474B6530"/>
    <w:rsid w:val="474C5196"/>
    <w:rsid w:val="477B778F"/>
    <w:rsid w:val="478203EC"/>
    <w:rsid w:val="47B025FA"/>
    <w:rsid w:val="47C74106"/>
    <w:rsid w:val="4809698F"/>
    <w:rsid w:val="4811697D"/>
    <w:rsid w:val="481F0F23"/>
    <w:rsid w:val="48645AFB"/>
    <w:rsid w:val="486C49B0"/>
    <w:rsid w:val="487A3E25"/>
    <w:rsid w:val="488B5503"/>
    <w:rsid w:val="48937E21"/>
    <w:rsid w:val="489A0361"/>
    <w:rsid w:val="48A8102D"/>
    <w:rsid w:val="48B94FF3"/>
    <w:rsid w:val="48E37AAB"/>
    <w:rsid w:val="48FD4B4C"/>
    <w:rsid w:val="490A68E0"/>
    <w:rsid w:val="491055FE"/>
    <w:rsid w:val="495F5B3E"/>
    <w:rsid w:val="496F77D7"/>
    <w:rsid w:val="497654FD"/>
    <w:rsid w:val="49B64211"/>
    <w:rsid w:val="49BC3715"/>
    <w:rsid w:val="49D41AAC"/>
    <w:rsid w:val="49F6167F"/>
    <w:rsid w:val="4A064FA0"/>
    <w:rsid w:val="4A16615C"/>
    <w:rsid w:val="4A4424D7"/>
    <w:rsid w:val="4A6C51E0"/>
    <w:rsid w:val="4AB82D0F"/>
    <w:rsid w:val="4AEB7664"/>
    <w:rsid w:val="4AFD7C19"/>
    <w:rsid w:val="4B0567D1"/>
    <w:rsid w:val="4B180E1F"/>
    <w:rsid w:val="4B236AAE"/>
    <w:rsid w:val="4B2F799D"/>
    <w:rsid w:val="4B6F21DA"/>
    <w:rsid w:val="4B707271"/>
    <w:rsid w:val="4B9739F7"/>
    <w:rsid w:val="4BEE2503"/>
    <w:rsid w:val="4BF727EA"/>
    <w:rsid w:val="4BF74865"/>
    <w:rsid w:val="4C107D48"/>
    <w:rsid w:val="4C245A30"/>
    <w:rsid w:val="4C72455F"/>
    <w:rsid w:val="4C787A2D"/>
    <w:rsid w:val="4CB46925"/>
    <w:rsid w:val="4CB6685F"/>
    <w:rsid w:val="4CC367FE"/>
    <w:rsid w:val="4D077F3C"/>
    <w:rsid w:val="4D123355"/>
    <w:rsid w:val="4D2A3B31"/>
    <w:rsid w:val="4D312C52"/>
    <w:rsid w:val="4D4001B9"/>
    <w:rsid w:val="4D720C16"/>
    <w:rsid w:val="4D905305"/>
    <w:rsid w:val="4D964A72"/>
    <w:rsid w:val="4D9C1254"/>
    <w:rsid w:val="4D9E5B15"/>
    <w:rsid w:val="4DDC6134"/>
    <w:rsid w:val="4E793892"/>
    <w:rsid w:val="4E800872"/>
    <w:rsid w:val="4EC569ED"/>
    <w:rsid w:val="4ED50EA1"/>
    <w:rsid w:val="4EEC050C"/>
    <w:rsid w:val="4F104EC3"/>
    <w:rsid w:val="4F47354A"/>
    <w:rsid w:val="4F911C54"/>
    <w:rsid w:val="4FD03A76"/>
    <w:rsid w:val="4FE625E0"/>
    <w:rsid w:val="5021480F"/>
    <w:rsid w:val="505C301C"/>
    <w:rsid w:val="505D1AE8"/>
    <w:rsid w:val="50962ECB"/>
    <w:rsid w:val="50A42E38"/>
    <w:rsid w:val="50A4577F"/>
    <w:rsid w:val="50B73D1F"/>
    <w:rsid w:val="50BD5BC9"/>
    <w:rsid w:val="50C11EEE"/>
    <w:rsid w:val="50E97CFC"/>
    <w:rsid w:val="50FA4028"/>
    <w:rsid w:val="510D65B7"/>
    <w:rsid w:val="511157AB"/>
    <w:rsid w:val="51402E7D"/>
    <w:rsid w:val="5142540C"/>
    <w:rsid w:val="5147420C"/>
    <w:rsid w:val="5160707C"/>
    <w:rsid w:val="518832C8"/>
    <w:rsid w:val="518A6DD5"/>
    <w:rsid w:val="519D3C50"/>
    <w:rsid w:val="51A0432A"/>
    <w:rsid w:val="51A86090"/>
    <w:rsid w:val="51B7396D"/>
    <w:rsid w:val="51C53C3A"/>
    <w:rsid w:val="522E4CC3"/>
    <w:rsid w:val="5244713B"/>
    <w:rsid w:val="52475378"/>
    <w:rsid w:val="52615633"/>
    <w:rsid w:val="526F4DE4"/>
    <w:rsid w:val="52885D7B"/>
    <w:rsid w:val="52910A41"/>
    <w:rsid w:val="52977FD4"/>
    <w:rsid w:val="529C40E3"/>
    <w:rsid w:val="52A1794C"/>
    <w:rsid w:val="52A25790"/>
    <w:rsid w:val="52A96B6F"/>
    <w:rsid w:val="52B45975"/>
    <w:rsid w:val="52D94AA4"/>
    <w:rsid w:val="52EA3A62"/>
    <w:rsid w:val="52F50BB8"/>
    <w:rsid w:val="53097272"/>
    <w:rsid w:val="533F163E"/>
    <w:rsid w:val="53404465"/>
    <w:rsid w:val="534C1537"/>
    <w:rsid w:val="53544462"/>
    <w:rsid w:val="53715570"/>
    <w:rsid w:val="5397158E"/>
    <w:rsid w:val="539D6365"/>
    <w:rsid w:val="53E325D5"/>
    <w:rsid w:val="53EE5C42"/>
    <w:rsid w:val="54013861"/>
    <w:rsid w:val="541F4FC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80EAC"/>
    <w:rsid w:val="566B6D1E"/>
    <w:rsid w:val="569018B9"/>
    <w:rsid w:val="57032A2C"/>
    <w:rsid w:val="570F5219"/>
    <w:rsid w:val="572E78E5"/>
    <w:rsid w:val="57541DCF"/>
    <w:rsid w:val="575D12B5"/>
    <w:rsid w:val="57610A87"/>
    <w:rsid w:val="577B1140"/>
    <w:rsid w:val="577B69BD"/>
    <w:rsid w:val="577B7F21"/>
    <w:rsid w:val="577F181B"/>
    <w:rsid w:val="57921984"/>
    <w:rsid w:val="579737F0"/>
    <w:rsid w:val="57AB7B30"/>
    <w:rsid w:val="57AF5251"/>
    <w:rsid w:val="57B260AA"/>
    <w:rsid w:val="57B26373"/>
    <w:rsid w:val="57B63F04"/>
    <w:rsid w:val="57C87729"/>
    <w:rsid w:val="57CD20C2"/>
    <w:rsid w:val="57D675AB"/>
    <w:rsid w:val="57D95FDD"/>
    <w:rsid w:val="58871392"/>
    <w:rsid w:val="58917D2F"/>
    <w:rsid w:val="5894085C"/>
    <w:rsid w:val="58AE4F0C"/>
    <w:rsid w:val="58B85899"/>
    <w:rsid w:val="58D2085F"/>
    <w:rsid w:val="58E363A9"/>
    <w:rsid w:val="58E455F9"/>
    <w:rsid w:val="591E264C"/>
    <w:rsid w:val="59254E33"/>
    <w:rsid w:val="594D6EF1"/>
    <w:rsid w:val="595E1678"/>
    <w:rsid w:val="596D5BD4"/>
    <w:rsid w:val="597E3DD8"/>
    <w:rsid w:val="59F80043"/>
    <w:rsid w:val="5A09252F"/>
    <w:rsid w:val="5A0B2778"/>
    <w:rsid w:val="5A2A7C7B"/>
    <w:rsid w:val="5A3E2560"/>
    <w:rsid w:val="5A3F1F24"/>
    <w:rsid w:val="5A427C66"/>
    <w:rsid w:val="5A461504"/>
    <w:rsid w:val="5A5D3B6E"/>
    <w:rsid w:val="5A637A76"/>
    <w:rsid w:val="5A6D33BA"/>
    <w:rsid w:val="5A792B1F"/>
    <w:rsid w:val="5A874767"/>
    <w:rsid w:val="5A8E1D43"/>
    <w:rsid w:val="5AA85BE2"/>
    <w:rsid w:val="5AAB580B"/>
    <w:rsid w:val="5AAD6F28"/>
    <w:rsid w:val="5ABE2749"/>
    <w:rsid w:val="5AD63A24"/>
    <w:rsid w:val="5AE51A4D"/>
    <w:rsid w:val="5B2E1A1D"/>
    <w:rsid w:val="5B6D2AC1"/>
    <w:rsid w:val="5B843A1C"/>
    <w:rsid w:val="5B873E3F"/>
    <w:rsid w:val="5BB26C08"/>
    <w:rsid w:val="5BD3713C"/>
    <w:rsid w:val="5BF72C73"/>
    <w:rsid w:val="5C02690E"/>
    <w:rsid w:val="5C196DA7"/>
    <w:rsid w:val="5C2A048C"/>
    <w:rsid w:val="5C2E7662"/>
    <w:rsid w:val="5C4D2220"/>
    <w:rsid w:val="5C80234E"/>
    <w:rsid w:val="5C8A680C"/>
    <w:rsid w:val="5CCF2D36"/>
    <w:rsid w:val="5D0C4701"/>
    <w:rsid w:val="5D0F0395"/>
    <w:rsid w:val="5D221076"/>
    <w:rsid w:val="5D397964"/>
    <w:rsid w:val="5D5A391C"/>
    <w:rsid w:val="5D5F10C0"/>
    <w:rsid w:val="5D790E2F"/>
    <w:rsid w:val="5D891B7B"/>
    <w:rsid w:val="5D905762"/>
    <w:rsid w:val="5D924A61"/>
    <w:rsid w:val="5DAD38EE"/>
    <w:rsid w:val="5DB669A1"/>
    <w:rsid w:val="5DD67C41"/>
    <w:rsid w:val="5DE0757A"/>
    <w:rsid w:val="5E006862"/>
    <w:rsid w:val="5E0207B9"/>
    <w:rsid w:val="5E1834A1"/>
    <w:rsid w:val="5E261785"/>
    <w:rsid w:val="5E4A7017"/>
    <w:rsid w:val="5E510E61"/>
    <w:rsid w:val="5E552BBA"/>
    <w:rsid w:val="5E611C10"/>
    <w:rsid w:val="5E7A0F3F"/>
    <w:rsid w:val="5EAB402C"/>
    <w:rsid w:val="5EB772AC"/>
    <w:rsid w:val="5EFC7377"/>
    <w:rsid w:val="5F06174D"/>
    <w:rsid w:val="5F3A3602"/>
    <w:rsid w:val="5F45733B"/>
    <w:rsid w:val="5F6277C6"/>
    <w:rsid w:val="5F6D0B1D"/>
    <w:rsid w:val="5F8B0B21"/>
    <w:rsid w:val="5F8D0B82"/>
    <w:rsid w:val="5FC922E6"/>
    <w:rsid w:val="5FCB6008"/>
    <w:rsid w:val="5FCC5339"/>
    <w:rsid w:val="5FE34A5B"/>
    <w:rsid w:val="5FFE1E36"/>
    <w:rsid w:val="60232584"/>
    <w:rsid w:val="602D3592"/>
    <w:rsid w:val="602F47E9"/>
    <w:rsid w:val="60632D27"/>
    <w:rsid w:val="607330CE"/>
    <w:rsid w:val="60825176"/>
    <w:rsid w:val="609F2AC4"/>
    <w:rsid w:val="60FA2EE8"/>
    <w:rsid w:val="61054A27"/>
    <w:rsid w:val="610A52BC"/>
    <w:rsid w:val="610D059B"/>
    <w:rsid w:val="611D2366"/>
    <w:rsid w:val="61406582"/>
    <w:rsid w:val="61421856"/>
    <w:rsid w:val="614C3178"/>
    <w:rsid w:val="615227C4"/>
    <w:rsid w:val="61654E3F"/>
    <w:rsid w:val="6182292A"/>
    <w:rsid w:val="619F7F92"/>
    <w:rsid w:val="61F4086F"/>
    <w:rsid w:val="61F94C26"/>
    <w:rsid w:val="61FE0917"/>
    <w:rsid w:val="62000E56"/>
    <w:rsid w:val="621C0D9D"/>
    <w:rsid w:val="624F3E49"/>
    <w:rsid w:val="62632286"/>
    <w:rsid w:val="62885958"/>
    <w:rsid w:val="62B17737"/>
    <w:rsid w:val="62ED239D"/>
    <w:rsid w:val="62F40B65"/>
    <w:rsid w:val="62FC2CFE"/>
    <w:rsid w:val="63024505"/>
    <w:rsid w:val="630D3AF7"/>
    <w:rsid w:val="635600A5"/>
    <w:rsid w:val="635A1E6C"/>
    <w:rsid w:val="635B1DB5"/>
    <w:rsid w:val="63711FED"/>
    <w:rsid w:val="63737C62"/>
    <w:rsid w:val="63770981"/>
    <w:rsid w:val="63880DDC"/>
    <w:rsid w:val="63893FE0"/>
    <w:rsid w:val="638D750D"/>
    <w:rsid w:val="63A177AC"/>
    <w:rsid w:val="63AC6CC0"/>
    <w:rsid w:val="63F23480"/>
    <w:rsid w:val="64055776"/>
    <w:rsid w:val="641F5B67"/>
    <w:rsid w:val="64240056"/>
    <w:rsid w:val="643E143A"/>
    <w:rsid w:val="64491666"/>
    <w:rsid w:val="648B6EEF"/>
    <w:rsid w:val="64C158BF"/>
    <w:rsid w:val="64CE2EAA"/>
    <w:rsid w:val="65242D71"/>
    <w:rsid w:val="653A16BD"/>
    <w:rsid w:val="653C3090"/>
    <w:rsid w:val="65766A16"/>
    <w:rsid w:val="65854376"/>
    <w:rsid w:val="658767BE"/>
    <w:rsid w:val="65892531"/>
    <w:rsid w:val="659F5F6D"/>
    <w:rsid w:val="65E51DCD"/>
    <w:rsid w:val="66195831"/>
    <w:rsid w:val="662E75B1"/>
    <w:rsid w:val="66342C2E"/>
    <w:rsid w:val="663655B2"/>
    <w:rsid w:val="663E784C"/>
    <w:rsid w:val="667B2536"/>
    <w:rsid w:val="668B6A45"/>
    <w:rsid w:val="66AA4BC9"/>
    <w:rsid w:val="67112C4A"/>
    <w:rsid w:val="672F3F24"/>
    <w:rsid w:val="673E055F"/>
    <w:rsid w:val="67535261"/>
    <w:rsid w:val="67551CE3"/>
    <w:rsid w:val="67A22552"/>
    <w:rsid w:val="67A64365"/>
    <w:rsid w:val="67B22DCC"/>
    <w:rsid w:val="67BE71AA"/>
    <w:rsid w:val="67CF7323"/>
    <w:rsid w:val="67D90273"/>
    <w:rsid w:val="67DE5875"/>
    <w:rsid w:val="67E55852"/>
    <w:rsid w:val="67EB1AB4"/>
    <w:rsid w:val="67FA1285"/>
    <w:rsid w:val="68060525"/>
    <w:rsid w:val="68551F4F"/>
    <w:rsid w:val="687C10C9"/>
    <w:rsid w:val="68840C16"/>
    <w:rsid w:val="688431F8"/>
    <w:rsid w:val="68876EFB"/>
    <w:rsid w:val="68884654"/>
    <w:rsid w:val="689F444F"/>
    <w:rsid w:val="68B96DBB"/>
    <w:rsid w:val="68BA09C6"/>
    <w:rsid w:val="68CA2805"/>
    <w:rsid w:val="68E937A3"/>
    <w:rsid w:val="68ED3493"/>
    <w:rsid w:val="68FB149A"/>
    <w:rsid w:val="693571DC"/>
    <w:rsid w:val="693E15D3"/>
    <w:rsid w:val="69627681"/>
    <w:rsid w:val="69767A04"/>
    <w:rsid w:val="6977531D"/>
    <w:rsid w:val="69A17E26"/>
    <w:rsid w:val="69C67F6C"/>
    <w:rsid w:val="69CC2BFF"/>
    <w:rsid w:val="69FD55B8"/>
    <w:rsid w:val="6A0B1C62"/>
    <w:rsid w:val="6A220F1A"/>
    <w:rsid w:val="6A2406C8"/>
    <w:rsid w:val="6A485D7C"/>
    <w:rsid w:val="6A9A1ADF"/>
    <w:rsid w:val="6ADE0BD1"/>
    <w:rsid w:val="6AE62B16"/>
    <w:rsid w:val="6AE81378"/>
    <w:rsid w:val="6AE96859"/>
    <w:rsid w:val="6AED1EAA"/>
    <w:rsid w:val="6AF428B7"/>
    <w:rsid w:val="6B147746"/>
    <w:rsid w:val="6B24787C"/>
    <w:rsid w:val="6B3C600C"/>
    <w:rsid w:val="6B573233"/>
    <w:rsid w:val="6B5B6274"/>
    <w:rsid w:val="6B8C0D41"/>
    <w:rsid w:val="6B935D53"/>
    <w:rsid w:val="6B9F63F9"/>
    <w:rsid w:val="6C1316F7"/>
    <w:rsid w:val="6C196F71"/>
    <w:rsid w:val="6C226FCB"/>
    <w:rsid w:val="6C2B2308"/>
    <w:rsid w:val="6C31226F"/>
    <w:rsid w:val="6C501D6F"/>
    <w:rsid w:val="6C517EC7"/>
    <w:rsid w:val="6C552F0B"/>
    <w:rsid w:val="6C731F01"/>
    <w:rsid w:val="6C8C67B7"/>
    <w:rsid w:val="6C9D744C"/>
    <w:rsid w:val="6D0B213A"/>
    <w:rsid w:val="6D167928"/>
    <w:rsid w:val="6D26299B"/>
    <w:rsid w:val="6D4772EC"/>
    <w:rsid w:val="6D9078AF"/>
    <w:rsid w:val="6DAA3FEF"/>
    <w:rsid w:val="6DC0172B"/>
    <w:rsid w:val="6DCB690C"/>
    <w:rsid w:val="6DD41A5B"/>
    <w:rsid w:val="6DF43C2E"/>
    <w:rsid w:val="6DF51CA3"/>
    <w:rsid w:val="6E645FA5"/>
    <w:rsid w:val="6E7C51CC"/>
    <w:rsid w:val="6E7E007E"/>
    <w:rsid w:val="6E8335BD"/>
    <w:rsid w:val="6E8E12EF"/>
    <w:rsid w:val="6E972936"/>
    <w:rsid w:val="6EC95E08"/>
    <w:rsid w:val="6ED446C5"/>
    <w:rsid w:val="6EF03395"/>
    <w:rsid w:val="6F2A7D94"/>
    <w:rsid w:val="6F4D07E7"/>
    <w:rsid w:val="6F757985"/>
    <w:rsid w:val="6F8331F1"/>
    <w:rsid w:val="6F8B1310"/>
    <w:rsid w:val="6F8C4ACB"/>
    <w:rsid w:val="6F8F0E00"/>
    <w:rsid w:val="6FAE1A09"/>
    <w:rsid w:val="6FD75BF8"/>
    <w:rsid w:val="6FE80510"/>
    <w:rsid w:val="6FEF5D43"/>
    <w:rsid w:val="702F7EED"/>
    <w:rsid w:val="707723D0"/>
    <w:rsid w:val="709F5073"/>
    <w:rsid w:val="70E1568B"/>
    <w:rsid w:val="70F5661B"/>
    <w:rsid w:val="71360107"/>
    <w:rsid w:val="713B688E"/>
    <w:rsid w:val="7148279F"/>
    <w:rsid w:val="714A7ADC"/>
    <w:rsid w:val="71551BD5"/>
    <w:rsid w:val="71D43752"/>
    <w:rsid w:val="71F1796A"/>
    <w:rsid w:val="71FB63D5"/>
    <w:rsid w:val="72154626"/>
    <w:rsid w:val="72262B5D"/>
    <w:rsid w:val="72283FF7"/>
    <w:rsid w:val="722E7212"/>
    <w:rsid w:val="723A0474"/>
    <w:rsid w:val="725923E4"/>
    <w:rsid w:val="72864BF7"/>
    <w:rsid w:val="729023FC"/>
    <w:rsid w:val="73260144"/>
    <w:rsid w:val="73B3123C"/>
    <w:rsid w:val="73B34DAA"/>
    <w:rsid w:val="73C0646E"/>
    <w:rsid w:val="73CD639B"/>
    <w:rsid w:val="73E159A2"/>
    <w:rsid w:val="74145D78"/>
    <w:rsid w:val="74156440"/>
    <w:rsid w:val="742222F5"/>
    <w:rsid w:val="743B50B2"/>
    <w:rsid w:val="74476126"/>
    <w:rsid w:val="74706664"/>
    <w:rsid w:val="747F3682"/>
    <w:rsid w:val="749C4185"/>
    <w:rsid w:val="75067759"/>
    <w:rsid w:val="752E6DCD"/>
    <w:rsid w:val="754E5EC1"/>
    <w:rsid w:val="7551380D"/>
    <w:rsid w:val="755D394A"/>
    <w:rsid w:val="75600BE5"/>
    <w:rsid w:val="7564475C"/>
    <w:rsid w:val="7583797F"/>
    <w:rsid w:val="759B65A0"/>
    <w:rsid w:val="75D20F1D"/>
    <w:rsid w:val="75DA2C18"/>
    <w:rsid w:val="75F54412"/>
    <w:rsid w:val="761D08E0"/>
    <w:rsid w:val="76593F16"/>
    <w:rsid w:val="765D347C"/>
    <w:rsid w:val="766052A4"/>
    <w:rsid w:val="76826699"/>
    <w:rsid w:val="76C87133"/>
    <w:rsid w:val="76CD08D5"/>
    <w:rsid w:val="76DB4B92"/>
    <w:rsid w:val="77052AA4"/>
    <w:rsid w:val="77136511"/>
    <w:rsid w:val="77250DC9"/>
    <w:rsid w:val="77340A39"/>
    <w:rsid w:val="77351FD0"/>
    <w:rsid w:val="77472422"/>
    <w:rsid w:val="774937B5"/>
    <w:rsid w:val="777F31F2"/>
    <w:rsid w:val="77D1700D"/>
    <w:rsid w:val="77EC04CC"/>
    <w:rsid w:val="77FF289B"/>
    <w:rsid w:val="785043F5"/>
    <w:rsid w:val="78775729"/>
    <w:rsid w:val="78A42DB0"/>
    <w:rsid w:val="78A656AB"/>
    <w:rsid w:val="78B07471"/>
    <w:rsid w:val="78B2245C"/>
    <w:rsid w:val="78E172CC"/>
    <w:rsid w:val="78EA1D1F"/>
    <w:rsid w:val="79036DC3"/>
    <w:rsid w:val="7904172F"/>
    <w:rsid w:val="790F7E27"/>
    <w:rsid w:val="791D747D"/>
    <w:rsid w:val="792A231A"/>
    <w:rsid w:val="79316829"/>
    <w:rsid w:val="797E66A9"/>
    <w:rsid w:val="798518A4"/>
    <w:rsid w:val="79A97383"/>
    <w:rsid w:val="79C618C2"/>
    <w:rsid w:val="79E27E8B"/>
    <w:rsid w:val="79EA1711"/>
    <w:rsid w:val="79F850CE"/>
    <w:rsid w:val="79FD443C"/>
    <w:rsid w:val="7A1A39BC"/>
    <w:rsid w:val="7A1D1975"/>
    <w:rsid w:val="7A3E5150"/>
    <w:rsid w:val="7A4670D6"/>
    <w:rsid w:val="7A534B63"/>
    <w:rsid w:val="7A615382"/>
    <w:rsid w:val="7A67303B"/>
    <w:rsid w:val="7A744739"/>
    <w:rsid w:val="7AAB1D04"/>
    <w:rsid w:val="7ABA4368"/>
    <w:rsid w:val="7ABC1FC2"/>
    <w:rsid w:val="7AD05746"/>
    <w:rsid w:val="7B257FFD"/>
    <w:rsid w:val="7B343476"/>
    <w:rsid w:val="7B5A2978"/>
    <w:rsid w:val="7B5A7E4C"/>
    <w:rsid w:val="7B667AF9"/>
    <w:rsid w:val="7B7468F8"/>
    <w:rsid w:val="7B9D6653"/>
    <w:rsid w:val="7BA32518"/>
    <w:rsid w:val="7BEE0103"/>
    <w:rsid w:val="7C0A0FE4"/>
    <w:rsid w:val="7C195F6E"/>
    <w:rsid w:val="7C254906"/>
    <w:rsid w:val="7C590818"/>
    <w:rsid w:val="7C7C10F6"/>
    <w:rsid w:val="7C853BEA"/>
    <w:rsid w:val="7C881368"/>
    <w:rsid w:val="7CD564F7"/>
    <w:rsid w:val="7CE27788"/>
    <w:rsid w:val="7D0C32F1"/>
    <w:rsid w:val="7D0F408D"/>
    <w:rsid w:val="7D491C6C"/>
    <w:rsid w:val="7D5429C0"/>
    <w:rsid w:val="7D6E6D43"/>
    <w:rsid w:val="7D8075F3"/>
    <w:rsid w:val="7DB57A34"/>
    <w:rsid w:val="7DB879AC"/>
    <w:rsid w:val="7DBF6D54"/>
    <w:rsid w:val="7DE60973"/>
    <w:rsid w:val="7DEF0916"/>
    <w:rsid w:val="7E1E5218"/>
    <w:rsid w:val="7E6C679B"/>
    <w:rsid w:val="7E791535"/>
    <w:rsid w:val="7E9A4E1F"/>
    <w:rsid w:val="7EA7723A"/>
    <w:rsid w:val="7ED405DD"/>
    <w:rsid w:val="7EF56FBB"/>
    <w:rsid w:val="7F0768EB"/>
    <w:rsid w:val="7F143BEC"/>
    <w:rsid w:val="7F362021"/>
    <w:rsid w:val="7F715AF2"/>
    <w:rsid w:val="7F7B47F9"/>
    <w:rsid w:val="7F886E69"/>
    <w:rsid w:val="7FD74E94"/>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next w:val="1"/>
    <w:link w:val="123"/>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index 7"/>
    <w:basedOn w:val="1"/>
    <w:next w:val="1"/>
    <w:autoRedefine/>
    <w:qFormat/>
    <w:uiPriority w:val="0"/>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next w:val="50"/>
    <w:link w:val="320"/>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autoRedefine/>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autoRedefine/>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967">
    <w:name w:val="样式 样式1 + 首行缩进:  2 字符"/>
    <w:basedOn w:val="723"/>
    <w:autoRedefine/>
    <w:qFormat/>
    <w:uiPriority w:val="0"/>
    <w:pPr>
      <w:spacing w:line="360" w:lineRule="exact"/>
      <w:ind w:firstLine="420" w:firstLineChars="200"/>
    </w:pPr>
    <w:rPr>
      <w:rFonts w:ascii="Arial" w:hAnsi="Arial" w:cs="宋体"/>
      <w:sz w:val="21"/>
    </w:rPr>
  </w:style>
  <w:style w:type="paragraph" w:styleId="968">
    <w:name w:val="No Spacing"/>
    <w:autoRedefine/>
    <w:qFormat/>
    <w:uiPriority w:val="0"/>
    <w:rPr>
      <w:rFonts w:ascii="Times New Roman" w:hAnsi="Times New Roman" w:eastAsia="Times New Roman" w:cs="Times New Roman"/>
      <w:sz w:val="22"/>
      <w:szCs w:val="22"/>
      <w:lang w:val="en-US" w:eastAsia="zh-CN" w:bidi="ar-SA"/>
    </w:rPr>
  </w:style>
  <w:style w:type="paragraph" w:styleId="969">
    <w:name w:val="List Paragraph"/>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47692</Words>
  <Characters>49849</Characters>
  <Lines>401</Lines>
  <Paragraphs>113</Paragraphs>
  <TotalTime>571</TotalTime>
  <ScaleCrop>false</ScaleCrop>
  <LinksUpToDate>false</LinksUpToDate>
  <CharactersWithSpaces>55493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sdyfcgvj</cp:lastModifiedBy>
  <cp:lastPrinted>2021-12-27T11:06:00Z</cp:lastPrinted>
  <dcterms:modified xsi:type="dcterms:W3CDTF">2024-09-12T02:01:27Z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A68D336AE395423A84CD81B9E8BCE7D9_13</vt:lpwstr>
  </property>
  <property fmtid="{D5CDD505-2E9C-101B-9397-08002B2CF9AE}" pid="5" name="commondata">
    <vt:lpwstr>eyJoZGlkIjoiNGNlMmFkMDQ1NDY0ZmRiM2Q0NjY4NTFjN2IwMTllYjMifQ==</vt:lpwstr>
  </property>
</Properties>
</file>