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AA678">
      <w:pPr>
        <w:spacing w:line="360" w:lineRule="auto"/>
        <w:jc w:val="center"/>
        <w:rPr>
          <w:rFonts w:hint="eastAsia" w:cs="宋体" w:asciiTheme="minorEastAsia" w:hAnsiTheme="minorEastAsia" w:eastAsiaTheme="minorEastAsia"/>
          <w:b/>
          <w:sz w:val="24"/>
          <w:highlight w:val="none"/>
        </w:rPr>
      </w:pPr>
    </w:p>
    <w:p w14:paraId="58CE5420">
      <w:pPr>
        <w:spacing w:line="360" w:lineRule="auto"/>
        <w:jc w:val="center"/>
        <w:rPr>
          <w:rFonts w:cs="宋体" w:asciiTheme="minorEastAsia" w:hAnsiTheme="minorEastAsia" w:eastAsiaTheme="minorEastAsia"/>
          <w:b/>
          <w:sz w:val="44"/>
          <w:szCs w:val="44"/>
          <w:highlight w:val="none"/>
        </w:rPr>
      </w:pPr>
    </w:p>
    <w:p w14:paraId="51057BA1">
      <w:pPr>
        <w:adjustRightInd/>
        <w:spacing w:line="360" w:lineRule="auto"/>
        <w:jc w:val="center"/>
        <w:rPr>
          <w:rFonts w:cs="宋体" w:asciiTheme="minorEastAsia" w:hAnsiTheme="minorEastAsia" w:eastAsiaTheme="minorEastAsia"/>
          <w:b/>
          <w:sz w:val="48"/>
          <w:szCs w:val="48"/>
          <w:highlight w:val="none"/>
        </w:rPr>
      </w:pPr>
    </w:p>
    <w:p w14:paraId="77344B34">
      <w:pPr>
        <w:adjustRightInd/>
        <w:spacing w:line="360" w:lineRule="auto"/>
        <w:jc w:val="center"/>
        <w:rPr>
          <w:rFonts w:hint="eastAsia" w:cs="宋体" w:asciiTheme="minorEastAsia" w:hAnsiTheme="minorEastAsia" w:eastAsiaTheme="minorEastAsia"/>
          <w:b/>
          <w:bCs/>
          <w:sz w:val="48"/>
          <w:szCs w:val="48"/>
          <w:highlight w:val="none"/>
          <w:lang w:eastAsia="zh-CN"/>
        </w:rPr>
      </w:pPr>
      <w:bookmarkStart w:id="0" w:name="OLE_LINK1"/>
      <w:r>
        <w:rPr>
          <w:rFonts w:hint="eastAsia" w:cs="宋体" w:asciiTheme="minorEastAsia" w:hAnsiTheme="minorEastAsia" w:eastAsiaTheme="minorEastAsia"/>
          <w:b/>
          <w:bCs/>
          <w:sz w:val="48"/>
          <w:szCs w:val="48"/>
          <w:highlight w:val="none"/>
          <w:lang w:eastAsia="zh-CN"/>
        </w:rPr>
        <w:t>2025年杭州市公安局西湖区分局警网融合智治平台二期采购项目</w:t>
      </w:r>
    </w:p>
    <w:bookmarkEnd w:id="0"/>
    <w:p w14:paraId="4EA9BA3A">
      <w:pPr>
        <w:pStyle w:val="3"/>
        <w:rPr>
          <w:rFonts w:hint="eastAsia"/>
          <w:highlight w:val="none"/>
          <w:lang w:eastAsia="zh-CN"/>
        </w:rPr>
      </w:pPr>
    </w:p>
    <w:p w14:paraId="6F1631A8">
      <w:pPr>
        <w:adjustRightInd/>
        <w:spacing w:line="360" w:lineRule="auto"/>
        <w:jc w:val="center"/>
        <w:rPr>
          <w:rFonts w:cs="宋体" w:asciiTheme="minorEastAsia" w:hAnsiTheme="minorEastAsia" w:eastAsiaTheme="minorEastAsia"/>
          <w:sz w:val="48"/>
          <w:szCs w:val="48"/>
          <w:highlight w:val="none"/>
        </w:rPr>
      </w:pPr>
      <w:r>
        <w:rPr>
          <w:rFonts w:hint="eastAsia" w:cs="宋体" w:asciiTheme="minorEastAsia" w:hAnsiTheme="minorEastAsia" w:eastAsiaTheme="minorEastAsia"/>
          <w:sz w:val="48"/>
          <w:szCs w:val="48"/>
          <w:highlight w:val="none"/>
        </w:rPr>
        <w:t xml:space="preserve">招标文件 </w:t>
      </w:r>
    </w:p>
    <w:p w14:paraId="64DB6C29">
      <w:pPr>
        <w:adjustRightInd/>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（电子招投标）</w:t>
      </w:r>
    </w:p>
    <w:p w14:paraId="6D8D4C5C">
      <w:pPr>
        <w:snapToGrid w:val="0"/>
        <w:spacing w:line="360" w:lineRule="auto"/>
        <w:jc w:val="center"/>
        <w:rPr>
          <w:rFonts w:hint="eastAsia"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sz w:val="30"/>
          <w:szCs w:val="30"/>
          <w:highlight w:val="none"/>
        </w:rPr>
        <w:t>编号:</w:t>
      </w:r>
      <w:r>
        <w:rPr>
          <w:rFonts w:hint="eastAsia" w:cs="宋体" w:asciiTheme="minorEastAsia" w:hAnsiTheme="minorEastAsia" w:eastAsiaTheme="minorEastAsia"/>
          <w:sz w:val="30"/>
          <w:szCs w:val="30"/>
          <w:highlight w:val="none"/>
          <w:lang w:eastAsia="zh-CN"/>
        </w:rPr>
        <w:t>XHZFCG-2025-G-06</w:t>
      </w:r>
    </w:p>
    <w:p w14:paraId="3A731762">
      <w:pPr>
        <w:adjustRightInd/>
        <w:spacing w:line="360" w:lineRule="auto"/>
        <w:rPr>
          <w:rFonts w:cs="宋体" w:asciiTheme="minorEastAsia" w:hAnsiTheme="minorEastAsia" w:eastAsiaTheme="minorEastAsia"/>
          <w:sz w:val="28"/>
          <w:szCs w:val="20"/>
          <w:highlight w:val="none"/>
        </w:rPr>
      </w:pPr>
    </w:p>
    <w:p w14:paraId="3E3D8F4F">
      <w:pPr>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w:t>
      </w:r>
    </w:p>
    <w:p w14:paraId="18DD23E9">
      <w:pPr>
        <w:spacing w:line="360" w:lineRule="auto"/>
        <w:jc w:val="center"/>
        <w:rPr>
          <w:rFonts w:cs="宋体" w:asciiTheme="minorEastAsia" w:hAnsiTheme="minorEastAsia" w:eastAsiaTheme="minorEastAsia"/>
          <w:b/>
          <w:sz w:val="44"/>
          <w:szCs w:val="44"/>
          <w:highlight w:val="none"/>
        </w:rPr>
      </w:pPr>
    </w:p>
    <w:p w14:paraId="5794F53B">
      <w:pPr>
        <w:spacing w:line="360" w:lineRule="auto"/>
        <w:jc w:val="center"/>
        <w:rPr>
          <w:rFonts w:cs="宋体" w:asciiTheme="minorEastAsia" w:hAnsiTheme="minorEastAsia" w:eastAsiaTheme="minorEastAsia"/>
          <w:sz w:val="24"/>
          <w:highlight w:val="none"/>
        </w:rPr>
      </w:pPr>
    </w:p>
    <w:p w14:paraId="5D769E85">
      <w:pPr>
        <w:spacing w:line="360" w:lineRule="auto"/>
        <w:jc w:val="center"/>
        <w:rPr>
          <w:rFonts w:cs="宋体" w:asciiTheme="minorEastAsia" w:hAnsiTheme="minorEastAsia" w:eastAsiaTheme="minorEastAsia"/>
          <w:sz w:val="24"/>
          <w:highlight w:val="none"/>
        </w:rPr>
      </w:pPr>
    </w:p>
    <w:p w14:paraId="3B730E51">
      <w:pPr>
        <w:spacing w:line="360" w:lineRule="auto"/>
        <w:rPr>
          <w:rFonts w:cs="宋体" w:asciiTheme="minorEastAsia" w:hAnsiTheme="minorEastAsia" w:eastAsiaTheme="minorEastAsia"/>
          <w:sz w:val="32"/>
          <w:szCs w:val="32"/>
          <w:highlight w:val="none"/>
        </w:rPr>
      </w:pPr>
    </w:p>
    <w:p w14:paraId="2CA05673">
      <w:pPr>
        <w:snapToGrid w:val="0"/>
        <w:spacing w:line="360" w:lineRule="auto"/>
        <w:jc w:val="center"/>
        <w:rPr>
          <w:rFonts w:hint="eastAsia" w:cs="宋体" w:asciiTheme="minorEastAsia" w:hAnsiTheme="minorEastAsia" w:eastAsiaTheme="minorEastAsia"/>
          <w:sz w:val="32"/>
          <w:szCs w:val="32"/>
          <w:highlight w:val="none"/>
          <w:lang w:eastAsia="zh-CN"/>
        </w:rPr>
      </w:pPr>
      <w:bookmarkStart w:id="1" w:name="OLE_LINK2"/>
      <w:r>
        <w:rPr>
          <w:rFonts w:hint="eastAsia" w:cs="宋体" w:asciiTheme="minorEastAsia" w:hAnsiTheme="minorEastAsia" w:eastAsiaTheme="minorEastAsia"/>
          <w:sz w:val="32"/>
          <w:szCs w:val="32"/>
          <w:highlight w:val="none"/>
          <w:lang w:eastAsia="zh-CN"/>
        </w:rPr>
        <w:t>杭州市公安局西湖区分局</w:t>
      </w:r>
    </w:p>
    <w:bookmarkEnd w:id="1"/>
    <w:p w14:paraId="3FAE5927">
      <w:pPr>
        <w:spacing w:line="360" w:lineRule="auto"/>
        <w:jc w:val="center"/>
        <w:rPr>
          <w:rFonts w:hint="eastAsia" w:cs="宋体" w:asciiTheme="minorEastAsia" w:hAnsiTheme="minorEastAsia" w:eastAsiaTheme="minorEastAsia"/>
          <w:bCs/>
          <w:sz w:val="32"/>
          <w:szCs w:val="32"/>
          <w:highlight w:val="none"/>
          <w:lang w:eastAsia="zh-CN"/>
        </w:rPr>
      </w:pPr>
      <w:r>
        <w:rPr>
          <w:rFonts w:hint="eastAsia" w:cs="宋体" w:asciiTheme="minorEastAsia" w:hAnsiTheme="minorEastAsia" w:eastAsiaTheme="minorEastAsia"/>
          <w:bCs/>
          <w:sz w:val="32"/>
          <w:szCs w:val="32"/>
          <w:highlight w:val="none"/>
          <w:lang w:eastAsia="zh-CN"/>
        </w:rPr>
        <w:t>杭州市西湖区政府采购中心</w:t>
      </w:r>
    </w:p>
    <w:p w14:paraId="0BDDE916">
      <w:pPr>
        <w:snapToGrid w:val="0"/>
        <w:spacing w:line="360" w:lineRule="auto"/>
        <w:jc w:val="center"/>
        <w:rPr>
          <w:rFonts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w:t>
      </w:r>
      <w:r>
        <w:rPr>
          <w:rFonts w:hint="eastAsia" w:cs="宋体" w:asciiTheme="minorEastAsia" w:hAnsiTheme="minorEastAsia" w:eastAsiaTheme="minorEastAsia"/>
          <w:bCs/>
          <w:sz w:val="32"/>
          <w:szCs w:val="32"/>
          <w:highlight w:val="none"/>
          <w:lang w:val="en-US" w:eastAsia="zh-CN"/>
        </w:rPr>
        <w:t>五年一</w:t>
      </w:r>
      <w:r>
        <w:rPr>
          <w:rFonts w:hint="eastAsia" w:cs="宋体" w:asciiTheme="minorEastAsia" w:hAnsiTheme="minorEastAsia" w:eastAsiaTheme="minorEastAsia"/>
          <w:bCs/>
          <w:sz w:val="32"/>
          <w:szCs w:val="32"/>
          <w:highlight w:val="none"/>
        </w:rPr>
        <w:t>月</w:t>
      </w:r>
      <w:r>
        <w:rPr>
          <w:rFonts w:hint="eastAsia" w:cs="宋体" w:asciiTheme="minorEastAsia" w:hAnsiTheme="minorEastAsia" w:eastAsiaTheme="minorEastAsia"/>
          <w:bCs/>
          <w:sz w:val="32"/>
          <w:szCs w:val="32"/>
          <w:highlight w:val="none"/>
          <w:lang w:eastAsia="zh-CN"/>
        </w:rPr>
        <w:t>二十六</w:t>
      </w:r>
      <w:r>
        <w:rPr>
          <w:rFonts w:hint="eastAsia" w:cs="宋体" w:asciiTheme="minorEastAsia" w:hAnsiTheme="minorEastAsia" w:eastAsiaTheme="minorEastAsia"/>
          <w:bCs/>
          <w:color w:val="auto"/>
          <w:sz w:val="32"/>
          <w:szCs w:val="32"/>
          <w:highlight w:val="none"/>
        </w:rPr>
        <w:t>日</w:t>
      </w:r>
    </w:p>
    <w:p w14:paraId="4B22F59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bookmarkStart w:id="2" w:name="_Hlt67893495"/>
      <w:bookmarkEnd w:id="2"/>
    </w:p>
    <w:p w14:paraId="763038A1">
      <w:pPr>
        <w:pStyle w:val="635"/>
        <w:rPr>
          <w:rFonts w:asciiTheme="minorEastAsia" w:hAnsiTheme="minorEastAsia" w:eastAsiaTheme="minorEastAsia"/>
          <w:highlight w:val="none"/>
        </w:rPr>
      </w:pPr>
    </w:p>
    <w:p w14:paraId="2C8E0669">
      <w:pPr>
        <w:spacing w:line="360" w:lineRule="auto"/>
        <w:jc w:val="center"/>
        <w:rPr>
          <w:rFonts w:cs="宋体" w:asciiTheme="minorEastAsia" w:hAnsiTheme="minorEastAsia" w:eastAsiaTheme="minorEastAsia"/>
          <w:b/>
          <w:sz w:val="48"/>
          <w:szCs w:val="48"/>
          <w:highlight w:val="none"/>
        </w:rPr>
      </w:pPr>
      <w:r>
        <w:rPr>
          <w:rFonts w:hint="eastAsia" w:cs="宋体" w:asciiTheme="minorEastAsia" w:hAnsiTheme="minorEastAsia" w:eastAsiaTheme="minorEastAsia"/>
          <w:b/>
          <w:sz w:val="48"/>
          <w:szCs w:val="48"/>
          <w:highlight w:val="none"/>
        </w:rPr>
        <w:t>目  录</w:t>
      </w:r>
    </w:p>
    <w:p w14:paraId="31526CD8">
      <w:pPr>
        <w:spacing w:line="360" w:lineRule="auto"/>
        <w:rPr>
          <w:rFonts w:cs="宋体" w:asciiTheme="minorEastAsia" w:hAnsiTheme="minorEastAsia" w:eastAsiaTheme="minorEastAsia"/>
          <w:sz w:val="32"/>
          <w:szCs w:val="32"/>
          <w:highlight w:val="none"/>
        </w:rPr>
      </w:pPr>
    </w:p>
    <w:p w14:paraId="20A95A6A">
      <w:pPr>
        <w:spacing w:line="360" w:lineRule="auto"/>
        <w:rPr>
          <w:rFonts w:cs="宋体" w:asciiTheme="minorEastAsia" w:hAnsiTheme="minorEastAsia" w:eastAsiaTheme="minorEastAsia"/>
          <w:sz w:val="32"/>
          <w:szCs w:val="32"/>
          <w:highlight w:val="none"/>
        </w:rPr>
      </w:pPr>
    </w:p>
    <w:p w14:paraId="2DE956AA">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第一部分      招标公告</w:t>
      </w:r>
    </w:p>
    <w:p w14:paraId="33188032">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第二部分      投标人须知</w:t>
      </w:r>
    </w:p>
    <w:p w14:paraId="2B55233F">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第三部分      采购需求</w:t>
      </w:r>
    </w:p>
    <w:p w14:paraId="3A9FD0B2">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第四部分      评标办法</w:t>
      </w:r>
    </w:p>
    <w:p w14:paraId="4464CD6F">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第五部分      拟签订的合同文本</w:t>
      </w:r>
    </w:p>
    <w:p w14:paraId="5CE229E1">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第六部分      应提交的有关格式范例</w:t>
      </w:r>
    </w:p>
    <w:p w14:paraId="2F5FF3A6">
      <w:pPr>
        <w:spacing w:line="360" w:lineRule="auto"/>
        <w:ind w:firstLine="549" w:firstLineChars="229"/>
        <w:rPr>
          <w:rFonts w:cs="宋体" w:asciiTheme="minorEastAsia" w:hAnsiTheme="minorEastAsia" w:eastAsiaTheme="minorEastAsia"/>
          <w:sz w:val="24"/>
          <w:highlight w:val="none"/>
        </w:rPr>
      </w:pPr>
      <w:bookmarkStart w:id="3" w:name="_Hlt91233176"/>
      <w:bookmarkEnd w:id="3"/>
      <w:bookmarkStart w:id="4" w:name="_Toc91899869"/>
    </w:p>
    <w:p w14:paraId="066C7957">
      <w:pPr>
        <w:spacing w:line="360" w:lineRule="auto"/>
        <w:ind w:firstLine="549" w:firstLineChars="229"/>
        <w:rPr>
          <w:rFonts w:cs="宋体" w:asciiTheme="minorEastAsia" w:hAnsiTheme="minorEastAsia" w:eastAsiaTheme="minorEastAsia"/>
          <w:sz w:val="24"/>
          <w:highlight w:val="none"/>
        </w:rPr>
      </w:pPr>
    </w:p>
    <w:p w14:paraId="5A65BD7B">
      <w:pPr>
        <w:spacing w:line="360" w:lineRule="auto"/>
        <w:ind w:firstLine="549" w:firstLineChars="229"/>
        <w:rPr>
          <w:rFonts w:cs="宋体" w:asciiTheme="minorEastAsia" w:hAnsiTheme="minorEastAsia" w:eastAsiaTheme="minorEastAsia"/>
          <w:sz w:val="24"/>
          <w:highlight w:val="none"/>
        </w:rPr>
      </w:pPr>
    </w:p>
    <w:p w14:paraId="0EE9737E">
      <w:pPr>
        <w:spacing w:line="360" w:lineRule="auto"/>
        <w:ind w:firstLine="549" w:firstLineChars="229"/>
        <w:rPr>
          <w:rFonts w:cs="宋体" w:asciiTheme="minorEastAsia" w:hAnsiTheme="minorEastAsia" w:eastAsiaTheme="minorEastAsia"/>
          <w:sz w:val="24"/>
          <w:highlight w:val="none"/>
        </w:rPr>
      </w:pPr>
    </w:p>
    <w:p w14:paraId="3C6E14C4">
      <w:pPr>
        <w:spacing w:line="360" w:lineRule="auto"/>
        <w:ind w:firstLine="549" w:firstLineChars="229"/>
        <w:rPr>
          <w:rFonts w:cs="宋体" w:asciiTheme="minorEastAsia" w:hAnsiTheme="minorEastAsia" w:eastAsiaTheme="minorEastAsia"/>
          <w:sz w:val="24"/>
          <w:highlight w:val="none"/>
        </w:rPr>
      </w:pPr>
    </w:p>
    <w:p w14:paraId="55A69F4E">
      <w:pPr>
        <w:spacing w:line="360" w:lineRule="auto"/>
        <w:ind w:firstLine="549" w:firstLineChars="229"/>
        <w:rPr>
          <w:rFonts w:cs="宋体" w:asciiTheme="minorEastAsia" w:hAnsiTheme="minorEastAsia" w:eastAsiaTheme="minorEastAsia"/>
          <w:sz w:val="24"/>
          <w:highlight w:val="none"/>
        </w:rPr>
      </w:pPr>
    </w:p>
    <w:p w14:paraId="60A6EB6B">
      <w:pPr>
        <w:spacing w:line="360" w:lineRule="auto"/>
        <w:ind w:firstLine="549" w:firstLineChars="229"/>
        <w:rPr>
          <w:rFonts w:cs="宋体" w:asciiTheme="minorEastAsia" w:hAnsiTheme="minorEastAsia" w:eastAsiaTheme="minorEastAsia"/>
          <w:sz w:val="24"/>
          <w:highlight w:val="none"/>
        </w:rPr>
      </w:pPr>
    </w:p>
    <w:p w14:paraId="477ADF16">
      <w:pPr>
        <w:spacing w:line="360" w:lineRule="auto"/>
        <w:ind w:firstLine="549" w:firstLineChars="229"/>
        <w:rPr>
          <w:rFonts w:cs="宋体" w:asciiTheme="minorEastAsia" w:hAnsiTheme="minorEastAsia" w:eastAsiaTheme="minorEastAsia"/>
          <w:sz w:val="24"/>
          <w:highlight w:val="none"/>
        </w:rPr>
      </w:pPr>
    </w:p>
    <w:p w14:paraId="40399024">
      <w:pPr>
        <w:spacing w:line="360" w:lineRule="auto"/>
        <w:ind w:firstLine="549" w:firstLineChars="229"/>
        <w:rPr>
          <w:rFonts w:cs="宋体" w:asciiTheme="minorEastAsia" w:hAnsiTheme="minorEastAsia" w:eastAsiaTheme="minorEastAsia"/>
          <w:sz w:val="24"/>
          <w:highlight w:val="none"/>
        </w:rPr>
      </w:pPr>
    </w:p>
    <w:p w14:paraId="6B8A98B8">
      <w:pPr>
        <w:spacing w:line="360" w:lineRule="auto"/>
        <w:ind w:firstLine="549" w:firstLineChars="229"/>
        <w:rPr>
          <w:rFonts w:cs="宋体" w:asciiTheme="minorEastAsia" w:hAnsiTheme="minorEastAsia" w:eastAsiaTheme="minorEastAsia"/>
          <w:sz w:val="24"/>
          <w:highlight w:val="none"/>
        </w:rPr>
      </w:pPr>
    </w:p>
    <w:p w14:paraId="1E818235">
      <w:pPr>
        <w:spacing w:line="360" w:lineRule="auto"/>
        <w:ind w:firstLine="549" w:firstLineChars="229"/>
        <w:rPr>
          <w:rFonts w:cs="宋体" w:asciiTheme="minorEastAsia" w:hAnsiTheme="minorEastAsia" w:eastAsiaTheme="minorEastAsia"/>
          <w:sz w:val="24"/>
          <w:highlight w:val="none"/>
        </w:rPr>
      </w:pPr>
    </w:p>
    <w:p w14:paraId="43939753">
      <w:pPr>
        <w:spacing w:line="360" w:lineRule="auto"/>
        <w:ind w:firstLine="549" w:firstLineChars="229"/>
        <w:rPr>
          <w:rFonts w:cs="宋体" w:asciiTheme="minorEastAsia" w:hAnsiTheme="minorEastAsia" w:eastAsiaTheme="minorEastAsia"/>
          <w:sz w:val="24"/>
          <w:highlight w:val="none"/>
        </w:rPr>
      </w:pPr>
    </w:p>
    <w:p w14:paraId="15CAE539">
      <w:pPr>
        <w:spacing w:line="360" w:lineRule="auto"/>
        <w:ind w:firstLine="549" w:firstLineChars="229"/>
        <w:rPr>
          <w:rFonts w:cs="宋体" w:asciiTheme="minorEastAsia" w:hAnsiTheme="minorEastAsia" w:eastAsiaTheme="minorEastAsia"/>
          <w:sz w:val="24"/>
          <w:highlight w:val="none"/>
        </w:rPr>
      </w:pPr>
    </w:p>
    <w:p w14:paraId="4106D917">
      <w:pPr>
        <w:spacing w:line="360" w:lineRule="auto"/>
        <w:rPr>
          <w:rFonts w:cs="宋体" w:asciiTheme="minorEastAsia" w:hAnsiTheme="minorEastAsia" w:eastAsiaTheme="minorEastAsia"/>
          <w:sz w:val="24"/>
          <w:highlight w:val="none"/>
        </w:rPr>
      </w:pPr>
    </w:p>
    <w:p w14:paraId="2B2CE132">
      <w:pPr>
        <w:adjustRightInd/>
        <w:spacing w:line="360" w:lineRule="auto"/>
        <w:jc w:val="center"/>
        <w:outlineLvl w:val="0"/>
        <w:rPr>
          <w:rFonts w:ascii="宋体" w:hAnsi="宋体" w:cs="宋体"/>
          <w:b/>
          <w:sz w:val="36"/>
          <w:szCs w:val="20"/>
          <w:highlight w:val="none"/>
        </w:rPr>
      </w:pPr>
      <w:bookmarkStart w:id="5" w:name="第一部分"/>
      <w:r>
        <w:rPr>
          <w:rFonts w:hint="eastAsia" w:cs="宋体" w:asciiTheme="minorEastAsia" w:hAnsiTheme="minorEastAsia" w:eastAsiaTheme="minorEastAsia"/>
          <w:b/>
          <w:sz w:val="36"/>
          <w:szCs w:val="36"/>
          <w:highlight w:val="none"/>
        </w:rPr>
        <w:br w:type="page"/>
      </w:r>
      <w:bookmarkEnd w:id="4"/>
      <w:bookmarkEnd w:id="5"/>
      <w:bookmarkStart w:id="6" w:name="_Hlt74649545"/>
      <w:bookmarkEnd w:id="6"/>
      <w:bookmarkStart w:id="7" w:name="_Hlt74728647"/>
      <w:bookmarkEnd w:id="7"/>
      <w:bookmarkStart w:id="8" w:name="_Hlt74729822"/>
      <w:bookmarkEnd w:id="8"/>
      <w:bookmarkStart w:id="9" w:name="_Hlt74707423"/>
      <w:bookmarkEnd w:id="9"/>
      <w:bookmarkStart w:id="10" w:name="第二部分"/>
      <w:bookmarkStart w:id="11" w:name="_Toc91899870"/>
      <w:bookmarkStart w:id="12" w:name="_Toc91899871"/>
      <w:r>
        <w:rPr>
          <w:rFonts w:hint="eastAsia" w:ascii="宋体" w:hAnsi="宋体" w:cs="宋体"/>
          <w:b/>
          <w:sz w:val="36"/>
          <w:szCs w:val="20"/>
          <w:highlight w:val="none"/>
        </w:rPr>
        <w:t>第一部分 招标公告</w:t>
      </w:r>
    </w:p>
    <w:p w14:paraId="530AB7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D6EB8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2025年杭州市公安局西湖区分局警网融合智治平台二期采购项目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w:t>
      </w:r>
      <w:r>
        <w:rPr>
          <w:rFonts w:hint="default" w:ascii="宋体" w:hAnsi="宋体" w:cs="宋体"/>
          <w:sz w:val="24"/>
          <w:highlight w:val="none"/>
          <w:u w:val="single"/>
          <w:lang w:val="en-US"/>
        </w:rPr>
        <w:t>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7F06970E">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7F0700B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XHZFCG-2025-G-06</w:t>
      </w:r>
    </w:p>
    <w:p w14:paraId="1793CCBC">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2025年杭州市公安局西湖区分局警网融合智治平台二期采购项目</w:t>
      </w:r>
    </w:p>
    <w:p w14:paraId="132BA7A6">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b/>
          <w:sz w:val="24"/>
          <w:highlight w:val="none"/>
          <w:lang w:val="en-US" w:eastAsia="zh-CN"/>
        </w:rPr>
        <w:t>391000.00</w:t>
      </w:r>
      <w:r>
        <w:rPr>
          <w:rFonts w:hint="eastAsia" w:ascii="宋体" w:hAnsi="宋体" w:cs="宋体"/>
          <w:sz w:val="24"/>
          <w:highlight w:val="none"/>
          <w:lang w:val="en-US" w:eastAsia="zh-CN"/>
        </w:rPr>
        <w:t xml:space="preserve"> </w:t>
      </w:r>
    </w:p>
    <w:p w14:paraId="3639FA5E">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最高限价</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b/>
          <w:sz w:val="24"/>
          <w:highlight w:val="none"/>
          <w:lang w:val="en-US" w:eastAsia="zh-CN"/>
        </w:rPr>
        <w:t>391</w:t>
      </w:r>
      <w:r>
        <w:rPr>
          <w:rFonts w:hint="eastAsia" w:ascii="宋体" w:hAnsi="宋体" w:eastAsia="宋体" w:cs="宋体"/>
          <w:b/>
          <w:sz w:val="24"/>
          <w:highlight w:val="none"/>
          <w:lang w:val="en-US" w:eastAsia="zh-CN"/>
        </w:rPr>
        <w:t>000.00</w:t>
      </w:r>
    </w:p>
    <w:p w14:paraId="40898D0C">
      <w:pPr>
        <w:pStyle w:val="1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杭州市公安局西湖区分局警网融合智治平台二期采购项目，主要内容：全量归集警网智治事件及处置全流程信息，构建待化解矛盾、靶向治理场景，实现待化解矛盾跟踪闭环、专项难题精准发力。同时基于“八个率”质效评价指标，实现工作成效的科学评价及晾晒详见招标文件第三部分采购需求。</w:t>
      </w:r>
      <w:r>
        <w:rPr>
          <w:rFonts w:hint="eastAsia" w:hAnsi="宋体" w:cs="宋体"/>
          <w:bCs/>
          <w:snapToGrid/>
          <w:color w:val="auto"/>
          <w:kern w:val="2"/>
          <w:sz w:val="24"/>
          <w:szCs w:val="24"/>
          <w:highlight w:val="none"/>
        </w:rPr>
        <w:t>供应商可点击本公告下方“浏览采购文件”查看采购需求。</w:t>
      </w:r>
    </w:p>
    <w:p w14:paraId="04926C33">
      <w:pPr>
        <w:spacing w:line="360" w:lineRule="auto"/>
        <w:ind w:firstLine="422"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highlight w:val="none"/>
        </w:rPr>
        <w:t>合同履约期限：</w:t>
      </w:r>
      <w:r>
        <w:rPr>
          <w:rFonts w:hint="eastAsia" w:ascii="宋体" w:hAnsi="宋体" w:eastAsia="宋体" w:cs="宋体"/>
          <w:sz w:val="24"/>
          <w:highlight w:val="none"/>
        </w:rPr>
        <w:t>合同签订后5个月内完成所有项目的研发、建设、调试并移交采购人试运行，试运行1个月。</w:t>
      </w:r>
    </w:p>
    <w:p w14:paraId="233C9A19">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2184928">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6CCCFF39">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07EC9C">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2E7EC19B">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E1927F6">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6FACF5E6">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734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75DD2C6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4745744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w:t>
      </w:r>
      <w:r>
        <w:rPr>
          <w:rFonts w:hint="eastAsia" w:ascii="宋体" w:hAnsi="宋体" w:cs="宋体"/>
          <w:sz w:val="24"/>
          <w:highlight w:val="none"/>
          <w:lang w:eastAsia="zh-CN"/>
        </w:rPr>
        <w:t>微</w:t>
      </w:r>
      <w:r>
        <w:rPr>
          <w:rFonts w:hint="eastAsia" w:ascii="宋体" w:hAnsi="宋体" w:cs="宋体"/>
          <w:sz w:val="24"/>
          <w:highlight w:val="none"/>
        </w:rPr>
        <w:t>企业承接，提供中小企业声明函；</w:t>
      </w:r>
    </w:p>
    <w:p w14:paraId="4FB3C361">
      <w:pPr>
        <w:spacing w:line="360" w:lineRule="auto"/>
        <w:ind w:firstLine="897" w:firstLineChars="374"/>
        <w:rPr>
          <w:rFonts w:ascii="宋体" w:hAnsi="宋体" w:cs="宋体"/>
          <w:highlight w:val="none"/>
        </w:rPr>
      </w:pPr>
      <w:sdt>
        <w:sdtPr>
          <w:rPr>
            <w:rFonts w:hint="eastAsia" w:ascii="宋体" w:hAnsi="宋体" w:cs="宋体"/>
            <w:kern w:val="0"/>
            <w:sz w:val="24"/>
            <w:highlight w:val="none"/>
          </w:rPr>
          <w:id w:val="14745475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服务全部由符合政策要求的小微企业承接，提供中小企业声明函；</w:t>
      </w:r>
    </w:p>
    <w:p w14:paraId="3048D2A4">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5406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14:paraId="34F099F4">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14:paraId="6565096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14:paraId="06F2BE2A">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85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4B3D5165">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50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3C3E1E">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0F167B">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D5E1576">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19</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3F55AF1">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262CBA21">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3503BACD">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B5613F1">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0CA94456">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09F77EB8">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565B445">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bookmarkStart w:id="13" w:name="OLE_LINK7"/>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p>
    <w:p w14:paraId="7AD16716">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bookmarkEnd w:id="13"/>
      <w:r>
        <w:rPr>
          <w:rFonts w:hint="eastAsia" w:ascii="宋体" w:hAnsi="宋体" w:cs="宋体"/>
          <w:sz w:val="24"/>
          <w:highlight w:val="none"/>
        </w:rPr>
        <w:t>政采云平台（https://www</w:t>
      </w:r>
      <w:bookmarkStart w:id="540" w:name="_GoBack"/>
      <w:bookmarkEnd w:id="540"/>
      <w:r>
        <w:rPr>
          <w:rFonts w:hint="eastAsia" w:ascii="宋体" w:hAnsi="宋体" w:cs="宋体"/>
          <w:sz w:val="24"/>
          <w:highlight w:val="none"/>
        </w:rPr>
        <w:t>.zcygov.cn/）</w:t>
      </w:r>
    </w:p>
    <w:p w14:paraId="6F013C19">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0803A8C2">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3BF9D7D6">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68899EB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A10CB6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7D5A96">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954A20">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E20AA0">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7E7F53C9">
      <w:pPr>
        <w:spacing w:line="360" w:lineRule="auto"/>
        <w:ind w:firstLine="480" w:firstLineChars="200"/>
        <w:rPr>
          <w:rFonts w:hint="eastAsia" w:ascii="宋体" w:hAnsi="宋体" w:eastAsia="宋体" w:cs="宋体"/>
          <w:sz w:val="24"/>
          <w:highlight w:val="none"/>
          <w:lang w:eastAsia="zh-CN"/>
        </w:rPr>
      </w:pPr>
      <w:bookmarkStart w:id="14" w:name="OLE_LINK52"/>
      <w:r>
        <w:rPr>
          <w:rFonts w:hint="eastAsia" w:ascii="宋体" w:hAnsi="宋体" w:eastAsia="宋体" w:cs="宋体"/>
          <w:sz w:val="24"/>
          <w:highlight w:val="none"/>
          <w:lang w:val="en-US" w:eastAsia="zh-CN"/>
        </w:rPr>
        <w:t>1</w:t>
      </w:r>
      <w:r>
        <w:rPr>
          <w:rFonts w:hint="eastAsia" w:ascii="宋体" w:hAnsi="宋体" w:cs="宋体"/>
          <w:sz w:val="24"/>
          <w:highlight w:val="none"/>
        </w:rPr>
        <w:t>.</w:t>
      </w:r>
      <w:r>
        <w:rPr>
          <w:rFonts w:hint="eastAsia" w:ascii="宋体" w:hAnsi="宋体" w:eastAsia="宋体" w:cs="宋体"/>
          <w:sz w:val="24"/>
          <w:highlight w:val="none"/>
        </w:rPr>
        <w:t>名称：</w:t>
      </w:r>
      <w:r>
        <w:rPr>
          <w:rFonts w:hint="eastAsia" w:ascii="宋体" w:hAnsi="宋体" w:cs="宋体"/>
          <w:sz w:val="24"/>
          <w:highlight w:val="none"/>
          <w:lang w:val="en-US" w:eastAsia="zh-CN"/>
        </w:rPr>
        <w:t>杭州市公安局西湖区分局</w:t>
      </w:r>
    </w:p>
    <w:p w14:paraId="12167DA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cs="宋体"/>
          <w:sz w:val="24"/>
          <w:highlight w:val="none"/>
        </w:rPr>
        <w:t>杭州市西湖区晴川街123号</w:t>
      </w:r>
    </w:p>
    <w:p w14:paraId="0FC690F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w:t>
      </w:r>
    </w:p>
    <w:p w14:paraId="54F696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项目联系人（询问）：刘警官</w:t>
      </w:r>
    </w:p>
    <w:p w14:paraId="11564B3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项目联系方式（询问）：13906533815</w:t>
      </w:r>
    </w:p>
    <w:p w14:paraId="46BA2C7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质疑联系人：胡警官</w:t>
      </w:r>
    </w:p>
    <w:p w14:paraId="621912CF">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质疑联系方式：17367084118</w:t>
      </w:r>
    </w:p>
    <w:bookmarkEnd w:id="14"/>
    <w:p w14:paraId="7C173371">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5CB142A3">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杭州市西湖区政府采购中心</w:t>
      </w:r>
    </w:p>
    <w:p w14:paraId="3FD79043">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杭州市文一西路858号</w:t>
      </w:r>
    </w:p>
    <w:p w14:paraId="51392325">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0571-89511006</w:t>
      </w:r>
      <w:r>
        <w:rPr>
          <w:rFonts w:hint="eastAsia" w:ascii="宋体" w:hAnsi="宋体" w:cs="宋体"/>
          <w:sz w:val="24"/>
          <w:highlight w:val="none"/>
        </w:rPr>
        <w:t xml:space="preserve">             </w:t>
      </w:r>
    </w:p>
    <w:p w14:paraId="444D9A15">
      <w:pPr>
        <w:spacing w:line="360" w:lineRule="auto"/>
        <w:rPr>
          <w:rFonts w:ascii="宋体" w:hAnsi="宋体" w:cs="宋体"/>
          <w:sz w:val="24"/>
          <w:highlight w:val="none"/>
        </w:rPr>
      </w:pPr>
      <w:r>
        <w:rPr>
          <w:rFonts w:hint="eastAsia" w:ascii="宋体" w:hAnsi="宋体" w:cs="宋体"/>
          <w:sz w:val="24"/>
          <w:highlight w:val="none"/>
        </w:rPr>
        <w:t xml:space="preserve">    项目联系人（询问）：</w:t>
      </w:r>
      <w:bookmarkStart w:id="15" w:name="OLE_LINK8"/>
      <w:r>
        <w:rPr>
          <w:rFonts w:hint="eastAsia" w:ascii="宋体" w:hAnsi="宋体" w:cs="宋体"/>
          <w:sz w:val="24"/>
          <w:highlight w:val="none"/>
          <w:lang w:eastAsia="zh-CN"/>
        </w:rPr>
        <w:t>邵一成</w:t>
      </w:r>
      <w:r>
        <w:rPr>
          <w:rFonts w:hint="eastAsia" w:ascii="宋体" w:hAnsi="宋体" w:cs="宋体"/>
          <w:sz w:val="24"/>
          <w:highlight w:val="none"/>
        </w:rPr>
        <w:t xml:space="preserve"> </w:t>
      </w:r>
      <w:bookmarkEnd w:id="15"/>
      <w:r>
        <w:rPr>
          <w:rFonts w:hint="eastAsia" w:ascii="宋体" w:hAnsi="宋体" w:cs="宋体"/>
          <w:sz w:val="24"/>
          <w:highlight w:val="none"/>
        </w:rPr>
        <w:t xml:space="preserve">         </w:t>
      </w:r>
    </w:p>
    <w:p w14:paraId="35F7C355">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i w:val="0"/>
          <w:iCs w:val="0"/>
          <w:sz w:val="24"/>
          <w:highlight w:val="none"/>
          <w:lang w:val="en-US" w:eastAsia="zh-CN"/>
        </w:rPr>
        <w:t>0571-89511007</w:t>
      </w:r>
    </w:p>
    <w:p w14:paraId="51E29E45">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eastAsia="zh-CN"/>
        </w:rPr>
        <w:t>缪新新</w:t>
      </w:r>
      <w:r>
        <w:rPr>
          <w:rFonts w:hint="eastAsia" w:ascii="宋体" w:hAnsi="宋体" w:cs="宋体"/>
          <w:sz w:val="24"/>
          <w:highlight w:val="none"/>
        </w:rPr>
        <w:t xml:space="preserve">              </w:t>
      </w:r>
    </w:p>
    <w:p w14:paraId="2FCCC452">
      <w:pPr>
        <w:spacing w:line="360" w:lineRule="auto"/>
        <w:rPr>
          <w:rFonts w:hint="default" w:ascii="宋体" w:hAnsi="宋体" w:cs="宋体"/>
          <w:sz w:val="24"/>
          <w:highlight w:val="none"/>
          <w:lang w:val="en-US"/>
        </w:rPr>
      </w:pPr>
      <w:r>
        <w:rPr>
          <w:rFonts w:hint="eastAsia" w:ascii="宋体" w:hAnsi="宋体" w:cs="宋体"/>
          <w:sz w:val="24"/>
          <w:highlight w:val="none"/>
        </w:rPr>
        <w:t xml:space="preserve">    质疑联系方式：</w:t>
      </w:r>
      <w:r>
        <w:rPr>
          <w:rFonts w:hint="default" w:ascii="宋体" w:hAnsi="宋体" w:cs="宋体"/>
          <w:sz w:val="24"/>
          <w:highlight w:val="none"/>
          <w:lang w:val="en-US"/>
        </w:rPr>
        <w:t>0571-89511561</w:t>
      </w:r>
    </w:p>
    <w:p w14:paraId="2C041E72">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4523B7D6">
      <w:pPr>
        <w:spacing w:line="360" w:lineRule="auto"/>
        <w:rPr>
          <w:rFonts w:asciiTheme="minorEastAsia" w:hAnsiTheme="minorEastAsia" w:eastAsiaTheme="minorEastAsia" w:cstheme="minorEastAsia"/>
          <w:sz w:val="24"/>
        </w:rPr>
      </w:pPr>
      <w:r>
        <w:rPr>
          <w:rFonts w:hint="eastAsia" w:ascii="宋体" w:hAnsi="宋体" w:cs="宋体"/>
          <w:sz w:val="24"/>
          <w:highlight w:val="none"/>
        </w:rPr>
        <w:t xml:space="preserve">    名    称：</w:t>
      </w:r>
      <w:r>
        <w:rPr>
          <w:rFonts w:hint="eastAsia" w:asciiTheme="minorEastAsia" w:hAnsiTheme="minorEastAsia" w:eastAsiaTheme="minorEastAsia" w:cstheme="minorEastAsia"/>
          <w:sz w:val="24"/>
        </w:rPr>
        <w:t>杭州市西湖区财政局、浙江省政府采购行政裁决服务中心（杭州）</w:t>
      </w:r>
    </w:p>
    <w:p w14:paraId="16864B2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lang w:eastAsia="zh-CN"/>
        </w:rPr>
        <w:t>杭州市上城区清泰街549号城建综合大楼11楼</w:t>
      </w:r>
      <w:r>
        <w:rPr>
          <w:rFonts w:hint="eastAsia" w:asciiTheme="minorEastAsia" w:hAnsiTheme="minorEastAsia" w:eastAsiaTheme="minorEastAsia" w:cstheme="minorEastAsia"/>
          <w:sz w:val="24"/>
        </w:rPr>
        <w:t>（快递仅限ems或顺丰）</w:t>
      </w:r>
    </w:p>
    <w:p w14:paraId="6686F5F9">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传    真： /</w:t>
      </w:r>
    </w:p>
    <w:p w14:paraId="6C437E1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联系人 ：朱女士、王女士</w:t>
      </w:r>
    </w:p>
    <w:p w14:paraId="50A47826">
      <w:pPr>
        <w:spacing w:line="360" w:lineRule="auto"/>
        <w:ind w:firstLine="480" w:firstLineChars="200"/>
        <w:rPr>
          <w:rFonts w:ascii="宋体" w:hAnsi="宋体" w:cs="宋体"/>
          <w:sz w:val="24"/>
          <w:highlight w:val="none"/>
        </w:rPr>
      </w:pPr>
      <w:r>
        <w:rPr>
          <w:rFonts w:hint="eastAsia" w:asciiTheme="minorEastAsia" w:hAnsiTheme="minorEastAsia" w:eastAsiaTheme="minorEastAsia" w:cstheme="minorEastAsia"/>
          <w:sz w:val="24"/>
        </w:rPr>
        <w:t>监督投诉电</w:t>
      </w:r>
      <w:r>
        <w:rPr>
          <w:rFonts w:hint="eastAsia" w:asciiTheme="minorEastAsia" w:hAnsiTheme="minorEastAsia" w:eastAsiaTheme="minorEastAsia" w:cstheme="minorEastAsia"/>
          <w:sz w:val="24"/>
          <w:lang w:eastAsia="zh-CN"/>
        </w:rPr>
        <w:t>话：0571-8</w:t>
      </w:r>
      <w:r>
        <w:rPr>
          <w:rFonts w:hint="eastAsia" w:asciiTheme="minorEastAsia" w:hAnsiTheme="minorEastAsia" w:eastAsiaTheme="minorEastAsia" w:cstheme="minorEastAsia"/>
          <w:sz w:val="24"/>
          <w:lang w:val="en-US" w:eastAsia="zh-CN"/>
        </w:rPr>
        <w:t>7227671,0571-87800218</w:t>
      </w:r>
      <w:r>
        <w:rPr>
          <w:rFonts w:hint="eastAsia" w:asciiTheme="minorEastAsia" w:hAnsiTheme="minorEastAsia" w:eastAsiaTheme="minorEastAsia" w:cstheme="minorEastAsia"/>
          <w:sz w:val="24"/>
          <w:lang w:eastAsia="zh-CN"/>
        </w:rPr>
        <w:t xml:space="preserve">   </w:t>
      </w:r>
    </w:p>
    <w:p w14:paraId="29E95F46">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30190D2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54D4408D">
      <w:pPr>
        <w:spacing w:line="360" w:lineRule="auto"/>
        <w:ind w:firstLine="480" w:firstLineChars="200"/>
        <w:rPr>
          <w:rFonts w:cs="宋体" w:asciiTheme="minorEastAsia" w:hAnsiTheme="minorEastAsia" w:eastAsiaTheme="minorEastAsia"/>
          <w:sz w:val="24"/>
          <w:highlight w:val="none"/>
        </w:rPr>
      </w:pPr>
    </w:p>
    <w:p w14:paraId="40BD998B">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14:paraId="685EC015">
      <w:pPr>
        <w:adjustRightInd/>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第二部分</w:t>
      </w:r>
      <w:bookmarkEnd w:id="10"/>
      <w:r>
        <w:rPr>
          <w:rFonts w:hint="eastAsia" w:cs="宋体" w:asciiTheme="minorEastAsia" w:hAnsiTheme="minorEastAsia" w:eastAsiaTheme="minorEastAsia"/>
          <w:b/>
          <w:sz w:val="36"/>
          <w:szCs w:val="20"/>
          <w:highlight w:val="none"/>
        </w:rPr>
        <w:t xml:space="preserve"> 投标人须知</w:t>
      </w:r>
      <w:bookmarkEnd w:id="11"/>
    </w:p>
    <w:p w14:paraId="20F7BC38">
      <w:pPr>
        <w:adjustRightInd/>
        <w:spacing w:line="360" w:lineRule="auto"/>
        <w:ind w:firstLine="3845" w:firstLineChars="1197"/>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892E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4980F3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C808E5">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266FF">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379B2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D7964D6">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47A6D6">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DE0294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59E0F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458BFF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E653F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0FB9792">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bookmarkStart w:id="16" w:name="OLE_LINK12"/>
            <w:r>
              <w:rPr>
                <w:rFonts w:hint="eastAsia" w:ascii="宋体" w:hAnsi="宋体" w:cs="宋体"/>
                <w:kern w:val="0"/>
                <w:sz w:val="24"/>
                <w:highlight w:val="none"/>
                <w:u w:val="single"/>
              </w:rPr>
              <w:t xml:space="preserve"> </w:t>
            </w:r>
            <w:r>
              <w:rPr>
                <w:rFonts w:hint="eastAsia" w:ascii="宋体" w:hAnsi="宋体" w:cs="宋体"/>
                <w:sz w:val="24"/>
                <w:highlight w:val="none"/>
                <w:u w:val="single"/>
                <w:lang w:eastAsia="zh-CN"/>
              </w:rPr>
              <w:t>2025年杭州市公安局西湖区分局警网融合智治平台二期采购项目</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bookmarkEnd w:id="16"/>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软件和信息技术服务业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3A480098">
            <w:pPr>
              <w:snapToGrid w:val="0"/>
              <w:spacing w:line="360" w:lineRule="auto"/>
              <w:rPr>
                <w:rFonts w:cs="宋体" w:asciiTheme="minorEastAsia" w:hAnsiTheme="minorEastAsia" w:eastAsiaTheme="minorEastAsia"/>
                <w:highlight w:val="none"/>
              </w:rPr>
            </w:pPr>
          </w:p>
        </w:tc>
      </w:tr>
      <w:tr w14:paraId="7222D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866A256">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DCFBC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33D4DE">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4745808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本项目不允许采购进口产品。</w:t>
            </w:r>
          </w:p>
          <w:p w14:paraId="7DDE207B">
            <w:pPr>
              <w:spacing w:line="360" w:lineRule="auto"/>
              <w:rPr>
                <w:rFonts w:hint="eastAsia"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47463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p w14:paraId="4A463AE9">
            <w:pPr>
              <w:spacing w:line="360" w:lineRule="auto"/>
              <w:rPr>
                <w:rFonts w:cs="宋体" w:asciiTheme="minorEastAsia" w:hAnsiTheme="minorEastAsia" w:eastAsiaTheme="minorEastAsia"/>
                <w:highlight w:val="none"/>
              </w:rPr>
            </w:pPr>
            <w:r>
              <w:rPr>
                <w:rFonts w:hint="eastAsia" w:ascii="宋体" w:hAnsi="宋体" w:cs="宋体"/>
                <w:kern w:val="0"/>
                <w:sz w:val="24"/>
              </w:rPr>
              <w:t>优先采购向我国企业转让技术、与我国企业签订消化吸收再创新方案的供应商的进口产品，详见评分标准。</w:t>
            </w:r>
          </w:p>
        </w:tc>
      </w:tr>
      <w:tr w14:paraId="1A326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329F6F0">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7FEA36">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0B1431">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6863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信创符合性评估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p>
          <w:p w14:paraId="33B55CFE">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7043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14:paraId="36114BE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14:paraId="6B0D4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E47B5B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E7D2F65">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B832F">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80682"/>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041840D0">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14745978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128FC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B6E452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DDA68BC">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FB57AA">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7003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3D265C9C">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w:t>
            </w:r>
            <w:r>
              <w:rPr>
                <w:rFonts w:hint="eastAsia" w:ascii="宋体" w:hAnsi="宋体" w:cs="宋体"/>
                <w:kern w:val="0"/>
                <w:sz w:val="24"/>
              </w:rPr>
              <w:t>要求提供（未提供样品或提供样品不满足采购需求实质性条件的供应商，投标无效）：</w:t>
            </w:r>
          </w:p>
          <w:p w14:paraId="6EB4556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7E599A1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C620A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p>
          <w:p w14:paraId="2F967952">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5231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2C99BE89">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569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178B0B8">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7EDA33B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BF5A17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8B17B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C208E73">
            <w:pPr>
              <w:spacing w:line="360" w:lineRule="auto"/>
              <w:rPr>
                <w:rFonts w:hint="eastAsia" w:eastAsia="宋体" w:cs="宋体" w:asciiTheme="minorEastAsia" w:hAnsiTheme="minorEastAsia"/>
                <w:b/>
                <w:sz w:val="24"/>
                <w:highlight w:val="none"/>
                <w:lang w:eastAsia="zh-CN"/>
              </w:rPr>
            </w:pPr>
            <w:r>
              <w:rPr>
                <w:rFonts w:hint="eastAsia" w:ascii="宋体" w:hAnsi="宋体" w:cs="宋体"/>
                <w:color w:val="auto"/>
                <w:sz w:val="24"/>
                <w:highlight w:val="none"/>
              </w:rPr>
              <w:t>（7）制作、运输、安装和保管样品所发生的一切费用由投标人自理</w:t>
            </w:r>
            <w:r>
              <w:rPr>
                <w:rFonts w:hint="eastAsia" w:ascii="宋体" w:hAnsi="宋体" w:cs="宋体"/>
                <w:color w:val="auto"/>
                <w:sz w:val="24"/>
                <w:highlight w:val="none"/>
                <w:lang w:eastAsia="zh-CN"/>
              </w:rPr>
              <w:t>。</w:t>
            </w:r>
          </w:p>
        </w:tc>
      </w:tr>
      <w:tr w14:paraId="7BC41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9071A4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C8D6BE">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lang w:eastAsia="zh-CN"/>
              </w:rPr>
              <w:t>功能</w:t>
            </w:r>
            <w:r>
              <w:rPr>
                <w:rFonts w:hint="eastAsia" w:cs="宋体" w:asciiTheme="minorEastAsia" w:hAnsiTheme="minorEastAsia" w:eastAsiaTheme="minorEastAsia"/>
                <w:b/>
                <w:sz w:val="24"/>
                <w:highlight w:val="none"/>
              </w:rPr>
              <w:t>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BC08B6">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6952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cs="宋体" w:eastAsiaTheme="minorEastAsia"/>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0C5CA87F">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B组织。</w:t>
            </w:r>
          </w:p>
          <w:p w14:paraId="18FC54DF">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w:t>
            </w:r>
            <w:r>
              <w:rPr>
                <w:rFonts w:hint="eastAsia" w:ascii="宋体" w:hAnsi="宋体" w:cs="宋体"/>
                <w:b/>
                <w:bCs/>
                <w:kern w:val="0"/>
                <w:sz w:val="24"/>
                <w:highlight w:val="none"/>
              </w:rPr>
              <w:t>讲解次序以投标文件解密时间先后次序为准</w:t>
            </w:r>
            <w:r>
              <w:rPr>
                <w:rFonts w:hint="eastAsia" w:ascii="宋体" w:hAnsi="宋体" w:cs="宋体"/>
                <w:kern w:val="0"/>
                <w:sz w:val="24"/>
                <w:highlight w:val="none"/>
              </w:rPr>
              <w:t>，讲解演示人员不超过3人。讲解演示结束后按要求解答评标委员会提问。</w:t>
            </w:r>
          </w:p>
          <w:p w14:paraId="7B4A1B00">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14:paraId="18AC6667">
            <w:pPr>
              <w:snapToGrid w:val="0"/>
              <w:spacing w:line="360" w:lineRule="auto"/>
              <w:rPr>
                <w:rFonts w:ascii="宋体" w:hAnsi="宋体" w:cs="宋体"/>
                <w:kern w:val="0"/>
                <w:sz w:val="24"/>
              </w:rPr>
            </w:pPr>
            <w:r>
              <w:rPr>
                <w:rFonts w:hint="eastAsia" w:ascii="宋体" w:hAnsi="宋体" w:cs="宋体"/>
                <w:kern w:val="0"/>
                <w:sz w:val="24"/>
              </w:rPr>
              <w:t>通过政采云平台进行在线讲解演示</w:t>
            </w:r>
            <w:r>
              <w:rPr>
                <w:rFonts w:hint="eastAsia" w:ascii="宋体" w:hAnsi="宋体" w:cs="宋体"/>
                <w:b/>
                <w:bCs/>
                <w:kern w:val="0"/>
                <w:sz w:val="24"/>
              </w:rPr>
              <w:t>或</w:t>
            </w:r>
            <w:r>
              <w:rPr>
                <w:rFonts w:hint="eastAsia" w:ascii="宋体" w:hAnsi="宋体" w:cs="宋体"/>
                <w:kern w:val="0"/>
                <w:sz w:val="24"/>
              </w:rPr>
              <w:t>播放已录制好的演示视频。政采云平台在线讲解需投标人根据政采云平台操作要求做好准备工作</w:t>
            </w:r>
            <w:r>
              <w:rPr>
                <w:rFonts w:hint="eastAsia" w:ascii="宋体" w:hAnsi="宋体" w:cs="宋体"/>
                <w:b/>
                <w:bCs/>
                <w:kern w:val="0"/>
                <w:sz w:val="24"/>
              </w:rPr>
              <w:t>（①提供在线讲解演示，建议使用笔记本和有线/无线蓝牙耳机</w:t>
            </w:r>
            <w:r>
              <w:rPr>
                <w:rFonts w:hint="eastAsia" w:ascii="宋体" w:hAnsi="宋体" w:cs="宋体"/>
                <w:b/>
                <w:bCs/>
                <w:kern w:val="0"/>
                <w:sz w:val="24"/>
                <w:lang w:eastAsia="zh-CN"/>
              </w:rPr>
              <w:t>；</w:t>
            </w:r>
            <w:r>
              <w:rPr>
                <w:rFonts w:hint="eastAsia" w:ascii="宋体" w:hAnsi="宋体" w:cs="宋体"/>
                <w:b/>
                <w:bCs/>
                <w:kern w:val="0"/>
                <w:sz w:val="24"/>
              </w:rPr>
              <w:t>②播放视频，为避免视频卡顿等情况发生，视频分辨率要求为1280*720）</w:t>
            </w:r>
            <w:r>
              <w:rPr>
                <w:rFonts w:hint="eastAsia" w:ascii="宋体" w:hAnsi="宋体" w:cs="宋体"/>
                <w:kern w:val="0"/>
                <w:sz w:val="24"/>
              </w:rPr>
              <w:t>，请提前完善软硬件配置环境。</w:t>
            </w:r>
          </w:p>
          <w:p w14:paraId="1CA37F4A">
            <w:pPr>
              <w:snapToGrid w:val="0"/>
              <w:spacing w:line="360" w:lineRule="auto"/>
              <w:rPr>
                <w:rFonts w:hint="eastAsia" w:eastAsia="宋体" w:cs="宋体" w:asciiTheme="minorEastAsia" w:hAnsiTheme="minorEastAsia"/>
                <w:b/>
                <w:kern w:val="0"/>
                <w:sz w:val="24"/>
                <w:highlight w:val="none"/>
                <w:lang w:val="en-US" w:eastAsia="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0CA4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5C04C6A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EF155C">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2FA62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6CF53027">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投标人未提供有效的资格证明文件的，视为投标人不具备招标文件中规定的资格要求，投标无效。</w:t>
            </w:r>
          </w:p>
        </w:tc>
      </w:tr>
      <w:tr w14:paraId="14F86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jc w:val="center"/>
        </w:trPr>
        <w:tc>
          <w:tcPr>
            <w:tcW w:w="629" w:type="dxa"/>
            <w:vMerge w:val="continue"/>
            <w:tcBorders>
              <w:left w:val="single" w:color="auto" w:sz="4" w:space="0"/>
              <w:bottom w:val="single" w:color="auto" w:sz="4" w:space="0"/>
              <w:right w:val="single" w:color="auto" w:sz="4" w:space="0"/>
            </w:tcBorders>
            <w:vAlign w:val="center"/>
          </w:tcPr>
          <w:p w14:paraId="7C8BA276">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C3535E6">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283F342">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（2）资信证明文件：根据招标文件第四部分评标标准提供。</w:t>
            </w:r>
          </w:p>
        </w:tc>
      </w:tr>
      <w:tr w14:paraId="1EA2E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91B9C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FDD0D2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424F3D">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rPr>
              <w:t xml:space="preserve">      </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14:paraId="336C3876">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☐依据国家确定的认证机构出具的、处于有效期之内的环境标志产品认证证书，对获得证书的产品名称</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624E45B3">
            <w:pPr>
              <w:snapToGrid w:val="0"/>
              <w:spacing w:line="360" w:lineRule="auto"/>
              <w:rPr>
                <w:rFonts w:hint="eastAsia" w:cs="宋体" w:asciiTheme="minorEastAsia" w:hAnsiTheme="minorEastAsia" w:eastAsiaTheme="minorEastAsia"/>
                <w:highlight w:val="none"/>
                <w:lang w:eastAsia="zh-CN"/>
              </w:rPr>
            </w:pPr>
            <w:r>
              <w:rPr>
                <w:rFonts w:ascii="Wingdings" w:hAnsi="Wingdings" w:cs="宋体"/>
                <w:kern w:val="0"/>
                <w:sz w:val="24"/>
              </w:rPr>
              <w:t></w:t>
            </w:r>
            <w:r>
              <w:rPr>
                <w:rFonts w:hint="eastAsia" w:ascii="宋体" w:hAnsi="宋体" w:cs="宋体"/>
                <w:kern w:val="0"/>
                <w:sz w:val="24"/>
              </w:rPr>
              <w:t>无。</w:t>
            </w:r>
          </w:p>
        </w:tc>
      </w:tr>
      <w:tr w14:paraId="4DB35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D39507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B702D8">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0FCC3C">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有关本项目实施所需的所有费用（含税费）均计入报价。</w:t>
            </w:r>
            <w:r>
              <w:rPr>
                <w:rFonts w:hint="eastAsia" w:cs="宋体" w:asciiTheme="minorEastAsia" w:hAnsiTheme="minorEastAsia" w:eastAsiaTheme="minorEastAsia"/>
                <w:b/>
                <w:bCs/>
                <w:kern w:val="0"/>
                <w:sz w:val="24"/>
                <w:highlight w:val="none"/>
                <w:lang w:val="zh-CN"/>
              </w:rPr>
              <w:t>投标文件</w:t>
            </w:r>
            <w:r>
              <w:rPr>
                <w:rFonts w:hint="eastAsia" w:cs="宋体" w:asciiTheme="minorEastAsia" w:hAnsiTheme="minorEastAsia" w:eastAsiaTheme="minorEastAsia"/>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highlight w:val="none"/>
                <w:lang w:val="zh-CN"/>
              </w:rPr>
              <w:t>提醒：验收时检测费用由采购人承担，不包含在投标总价中。</w:t>
            </w:r>
          </w:p>
          <w:p w14:paraId="69E38A3B">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投标报价出现下列情形的，投标无效：</w:t>
            </w:r>
          </w:p>
          <w:p w14:paraId="1359C545">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投标文件出现不是唯一的、有选择性投标报价的；</w:t>
            </w:r>
          </w:p>
          <w:p w14:paraId="294781C4">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投标报价超过招标文件中规定的预算金额或者最高限价的;</w:t>
            </w:r>
          </w:p>
          <w:p w14:paraId="3867BF68">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报价明显低于其他通过符合性审查投标人的报价，有可能影响产品</w:t>
            </w:r>
            <w:r>
              <w:rPr>
                <w:rFonts w:hint="eastAsia" w:cs="宋体" w:asciiTheme="minorEastAsia" w:hAnsiTheme="minorEastAsia" w:eastAsiaTheme="minorEastAsia"/>
                <w:b/>
                <w:kern w:val="0"/>
                <w:sz w:val="24"/>
                <w:highlight w:val="none"/>
                <w:lang w:eastAsia="zh-CN"/>
              </w:rPr>
              <w:t>（服务）</w:t>
            </w:r>
            <w:r>
              <w:rPr>
                <w:rFonts w:hint="eastAsia" w:cs="宋体" w:asciiTheme="minorEastAsia" w:hAnsiTheme="minorEastAsia" w:eastAsiaTheme="minorEastAsia"/>
                <w:b/>
                <w:kern w:val="0"/>
                <w:sz w:val="24"/>
                <w:highlight w:val="none"/>
              </w:rPr>
              <w:t>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75BFE4A1">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投标人对根据修正原则修正后的报价不确认的</w:t>
            </w:r>
            <w:r>
              <w:rPr>
                <w:rFonts w:hint="eastAsia" w:cs="宋体" w:asciiTheme="minorEastAsia" w:hAnsiTheme="minorEastAsia" w:eastAsiaTheme="minorEastAsia"/>
                <w:b/>
                <w:sz w:val="24"/>
                <w:highlight w:val="none"/>
              </w:rPr>
              <w:t>。</w:t>
            </w:r>
          </w:p>
        </w:tc>
      </w:tr>
      <w:tr w14:paraId="7D0D6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9" w:hRule="atLeast"/>
          <w:jc w:val="center"/>
        </w:trPr>
        <w:tc>
          <w:tcPr>
            <w:tcW w:w="629" w:type="dxa"/>
            <w:tcBorders>
              <w:top w:val="single" w:color="auto" w:sz="4" w:space="0"/>
              <w:left w:val="single" w:color="000000" w:sz="8" w:space="0"/>
              <w:right w:val="single" w:color="000000" w:sz="2" w:space="0"/>
            </w:tcBorders>
            <w:vAlign w:val="center"/>
          </w:tcPr>
          <w:p w14:paraId="11384125">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14:paraId="0618E3B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E811F0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BE2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A515D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D6854F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1812F3A">
            <w:pPr>
              <w:pStyle w:val="34"/>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备份投标文件送达地点：</w:t>
            </w:r>
            <w:r>
              <w:rPr>
                <w:rFonts w:hint="eastAsia" w:cs="宋体" w:asciiTheme="minorEastAsia" w:hAnsiTheme="minorEastAsia" w:eastAsiaTheme="minorEastAsia"/>
                <w:sz w:val="24"/>
                <w:highlight w:val="none"/>
                <w:u w:val="single"/>
              </w:rPr>
              <w:t>杭州市文一西路858号东3楼329办公室</w:t>
            </w:r>
            <w:r>
              <w:rPr>
                <w:rFonts w:hint="eastAsia" w:cs="宋体" w:asciiTheme="minorEastAsia" w:hAnsiTheme="minorEastAsia" w:eastAsiaTheme="minorEastAsia"/>
                <w:kern w:val="28"/>
                <w:sz w:val="24"/>
                <w:szCs w:val="24"/>
                <w:highlight w:val="none"/>
              </w:rPr>
              <w:t>；备份投标文件签收人员联系电话：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0571-89511448</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采购人、采购机构不强制或变相强制投标人提交备份投标文件。</w:t>
            </w:r>
          </w:p>
        </w:tc>
      </w:tr>
      <w:tr w14:paraId="6AAA5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13B2092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230DA5C">
            <w:pPr>
              <w:snapToGrid w:val="0"/>
              <w:spacing w:line="360" w:lineRule="auto"/>
              <w:jc w:val="center"/>
              <w:rPr>
                <w:rFonts w:cs="宋体"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9562D29">
            <w:pPr>
              <w:spacing w:line="360" w:lineRule="auto"/>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联合体投标的，联合体各方分别提供与联合体协议中规定的分工内容相应的业绩证明材料，业绩数量以提供材料较少的一方为准。</w:t>
            </w:r>
          </w:p>
        </w:tc>
      </w:tr>
      <w:tr w14:paraId="4491B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7CE6F1B3">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50A97D39">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05FEE68">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14746392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napToGrid w:val="0"/>
                <w:kern w:val="28"/>
                <w:sz w:val="24"/>
                <w:highlight w:val="none"/>
              </w:rPr>
              <w:t>联合体投标的，联合体各方均需按招标文件第四部分评标标准要求提供资信证明文件，否则视为不符合相关要求。招标文件第四部分评标标准有其他要求的，从其要求。</w:t>
            </w:r>
          </w:p>
          <w:p w14:paraId="2113CBF8">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14745938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napToGrid w:val="0"/>
                <w:kern w:val="28"/>
                <w:sz w:val="24"/>
                <w:highlight w:val="none"/>
              </w:rPr>
              <w:t>联合体投标的，联合体中有一方或者联合体成员根据分工按招标文件第四部分评标标准要求提供资信证明文件的，视为符合了相关要求。招标文件第四部分评标标准有其他要求的，从其要求。</w:t>
            </w:r>
          </w:p>
        </w:tc>
      </w:tr>
      <w:tr w14:paraId="0586F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1F5B5F16">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0368AF3C">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E0A734F">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rPr>
              <w:t>评审因素对应的要求视为采购需求的一部分。</w:t>
            </w:r>
          </w:p>
        </w:tc>
      </w:tr>
      <w:tr w14:paraId="36669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vAlign w:val="center"/>
          </w:tcPr>
          <w:p w14:paraId="1CC866CF">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DFCCBC5">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FE401C">
            <w:pPr>
              <w:spacing w:line="360" w:lineRule="auto"/>
              <w:rPr>
                <w:rFonts w:hint="eastAsia" w:cs="Arial" w:asciiTheme="minorEastAsia" w:hAnsiTheme="minorEastAsia" w:eastAsiaTheme="minorEastAsia"/>
                <w:kern w:val="0"/>
                <w:sz w:val="24"/>
                <w:highlight w:val="none"/>
              </w:rPr>
            </w:pPr>
            <w:r>
              <w:rPr>
                <w:rFonts w:hint="eastAsia" w:ascii="宋体" w:hAnsi="宋体" w:cs="宋体"/>
                <w:kern w:val="0"/>
                <w:sz w:val="24"/>
                <w:lang w:val="en"/>
              </w:rPr>
              <w:t>本项目评审报告推荐的中标候选人数量：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bl>
    <w:p w14:paraId="1C04AC23">
      <w:pPr>
        <w:snapToGrid w:val="0"/>
        <w:spacing w:line="360" w:lineRule="auto"/>
        <w:jc w:val="center"/>
        <w:rPr>
          <w:rFonts w:cs="宋体" w:asciiTheme="minorEastAsia" w:hAnsiTheme="minorEastAsia" w:eastAsiaTheme="minorEastAsia"/>
          <w:b/>
          <w:sz w:val="32"/>
          <w:szCs w:val="20"/>
          <w:highlight w:val="none"/>
        </w:rPr>
      </w:pPr>
    </w:p>
    <w:bookmarkEnd w:id="12"/>
    <w:p w14:paraId="0C980EA2">
      <w:pPr>
        <w:adjustRightInd/>
        <w:spacing w:line="360" w:lineRule="auto"/>
        <w:ind w:firstLine="3845" w:firstLineChars="1197"/>
        <w:outlineLvl w:val="0"/>
        <w:rPr>
          <w:rFonts w:cs="宋体" w:asciiTheme="minorEastAsia" w:hAnsiTheme="minorEastAsia" w:eastAsiaTheme="minorEastAsia"/>
          <w:b/>
          <w:sz w:val="32"/>
          <w:szCs w:val="20"/>
          <w:highlight w:val="none"/>
        </w:rPr>
      </w:pPr>
      <w:bookmarkStart w:id="17" w:name="第三部分"/>
      <w:bookmarkStart w:id="18" w:name="_Toc164416483"/>
      <w:r>
        <w:rPr>
          <w:rFonts w:hint="eastAsia" w:cs="宋体" w:asciiTheme="minorEastAsia" w:hAnsiTheme="minorEastAsia" w:eastAsiaTheme="minorEastAsia"/>
          <w:b/>
          <w:sz w:val="32"/>
          <w:szCs w:val="20"/>
          <w:highlight w:val="none"/>
        </w:rPr>
        <w:t>一、总则</w:t>
      </w:r>
    </w:p>
    <w:p w14:paraId="626D751B">
      <w:pPr>
        <w:snapToGrid w:val="0"/>
        <w:spacing w:line="360" w:lineRule="auto"/>
        <w:ind w:firstLine="361" w:firstLineChars="150"/>
        <w:jc w:val="left"/>
        <w:outlineLvl w:val="1"/>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 适用范围</w:t>
      </w:r>
    </w:p>
    <w:p w14:paraId="7D68DF8E">
      <w:pPr>
        <w:snapToGrid w:val="0"/>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本招标文件适用于该项目的招标、投标、开标、资格审查及信用信息查询、评标、定标、合同、验收等行为（法律、法规另有规定的，从其规定）。</w:t>
      </w:r>
    </w:p>
    <w:p w14:paraId="440D2DB7">
      <w:pPr>
        <w:adjustRightInd/>
        <w:spacing w:line="360" w:lineRule="auto"/>
        <w:outlineLvl w:val="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2.定义</w:t>
      </w:r>
    </w:p>
    <w:p w14:paraId="0C5442E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 “采购人”系指招标公告中载明的本项目的采购人。</w:t>
      </w:r>
    </w:p>
    <w:p w14:paraId="31D9ACB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 “采购机构”系指招标公告中载明的本项目的采购机构。</w:t>
      </w:r>
    </w:p>
    <w:p w14:paraId="77AC1AC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 “投标人”系指是指响应招标、参加投标竞争的法人、其他组织或者自然人。</w:t>
      </w:r>
    </w:p>
    <w:p w14:paraId="10FC410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4541AC7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9104F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2.6“电子交易平台”是指本项目政府采购活动所依托的政府采购云平台（https://www.zcygov.cn/）。</w:t>
      </w:r>
    </w:p>
    <w:p w14:paraId="0873313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2.7 “▲” 系指实质性要求条款，“</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13B93689">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3.</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采购项目需要落实的政府采购政策</w:t>
      </w:r>
    </w:p>
    <w:p w14:paraId="2CD57919">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cs="宋体" w:asciiTheme="minorEastAsia" w:hAnsiTheme="minorEastAsia" w:eastAsiaTheme="minorEastAsia"/>
          <w:sz w:val="24"/>
          <w:highlight w:val="none"/>
        </w:rPr>
        <w:t>。</w:t>
      </w:r>
    </w:p>
    <w:p w14:paraId="4268A7CC">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 支持绿色发展</w:t>
      </w:r>
    </w:p>
    <w:p w14:paraId="527DD6BD">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highlight w:val="none"/>
        </w:rPr>
        <w:t>▲采购人拟采购的产品属于政府强制采购的节能产品品目清单范围的，投标人相应的投标产品未获得国家确定的认证机构出具的、处于有效期之内的节能产品认证证书的，投标无效</w:t>
      </w:r>
      <w:r>
        <w:rPr>
          <w:rFonts w:hint="eastAsia" w:cs="宋体" w:asciiTheme="minorEastAsia" w:hAnsiTheme="minorEastAsia" w:eastAsiaTheme="minorEastAsia"/>
          <w:b/>
          <w:sz w:val="24"/>
          <w:highlight w:val="none"/>
          <w:lang w:eastAsia="zh-CN"/>
        </w:rPr>
        <w:t>（本项目不适用）</w:t>
      </w:r>
      <w:r>
        <w:rPr>
          <w:rFonts w:hint="eastAsia" w:cs="宋体" w:asciiTheme="minorEastAsia" w:hAnsiTheme="minorEastAsia" w:eastAsiaTheme="minorEastAsia"/>
          <w:b/>
          <w:sz w:val="24"/>
          <w:highlight w:val="none"/>
        </w:rPr>
        <w:t>。</w:t>
      </w:r>
    </w:p>
    <w:p w14:paraId="57BE0DAC">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B512E35">
      <w:pPr>
        <w:spacing w:line="360" w:lineRule="auto"/>
        <w:ind w:firstLine="240" w:firstLineChars="1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446C1AA">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3.3支持中小企业发展</w:t>
      </w:r>
    </w:p>
    <w:p w14:paraId="54F8430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7EED8E">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4CD5FC9C">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Cs/>
          <w:sz w:val="24"/>
          <w:highlight w:val="none"/>
        </w:rPr>
        <w:t>3.3.2</w:t>
      </w:r>
      <w:r>
        <w:rPr>
          <w:rFonts w:hint="eastAsia" w:cs="宋体" w:asciiTheme="minorEastAsia" w:hAnsiTheme="minorEastAsia" w:eastAsiaTheme="minorEastAsia"/>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E1EB59F">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1FD86E7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3.3.3</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55345F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3.3.4符合《关于促进残疾人就业政府采购政策的通知》（财库〔2017〕141号）规定的条件并提供《残疾人福利性单位声明函》（附件1）的残疾人福利性单位视同小型、微型企业；</w:t>
      </w:r>
    </w:p>
    <w:p w14:paraId="7663671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8D16E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149E9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3.3.7中小企业享受扶持政策获得政府采购合同的，小微企业不得将合同分包给大中型企业，中型企业不得将合同分包给大型企业。</w:t>
      </w:r>
    </w:p>
    <w:p w14:paraId="7F11B95F">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w:t>
      </w:r>
      <w:r>
        <w:rPr>
          <w:rFonts w:hint="eastAsia" w:cs="宋体" w:asciiTheme="minorEastAsia" w:hAnsiTheme="minorEastAsia" w:eastAsiaTheme="minorEastAsia"/>
          <w:bCs/>
          <w:sz w:val="24"/>
          <w:highlight w:val="none"/>
        </w:rPr>
        <w:t>支持创新发展</w:t>
      </w:r>
    </w:p>
    <w:p w14:paraId="596A481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3.4.1 采购人优先采购被认定为首台套产品和“制造精品”的自主创新产品。</w:t>
      </w:r>
    </w:p>
    <w:p w14:paraId="5DAD1AD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3.4.2首台套产品被纳入《首台套产品推广应用指导目录》之日起</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年内，以及产品核心技术高于国内领先水平，并具有明晰自主知识产权的“制造精品”产品，自认定之日起</w:t>
      </w:r>
      <w:r>
        <w:rPr>
          <w:rFonts w:hint="default" w:cs="宋体" w:asciiTheme="minorEastAsia" w:hAnsiTheme="minorEastAsia" w:eastAsiaTheme="minorEastAsia"/>
          <w:sz w:val="24"/>
          <w:highlight w:val="none"/>
          <w:lang w:val="en-US"/>
        </w:rPr>
        <w:t>3</w:t>
      </w:r>
      <w:r>
        <w:rPr>
          <w:rFonts w:hint="eastAsia" w:cs="宋体" w:asciiTheme="minorEastAsia" w:hAnsiTheme="minorEastAsia" w:eastAsiaTheme="minorEastAsia"/>
          <w:sz w:val="24"/>
          <w:highlight w:val="none"/>
        </w:rPr>
        <w:t>年内视同已具备相应销售业绩，参加政府采购活动时业绩分值为满分。</w:t>
      </w:r>
    </w:p>
    <w:p w14:paraId="5FF8D79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3.5平等对待内外资企业和符合条件的破产重整企业</w:t>
      </w:r>
    </w:p>
    <w:p w14:paraId="69A8A1EE">
      <w:pPr>
        <w:spacing w:line="360" w:lineRule="auto"/>
        <w:ind w:firstLine="240"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r>
        <w:rPr>
          <w:rFonts w:hint="eastAsia" w:cs="宋体" w:asciiTheme="minorEastAsia" w:hAnsiTheme="minorEastAsia" w:eastAsiaTheme="minorEastAsia"/>
          <w:sz w:val="24"/>
          <w:highlight w:val="none"/>
        </w:rPr>
        <w:cr/>
      </w:r>
      <w:r>
        <w:rPr>
          <w:rFonts w:hint="eastAsia" w:cs="宋体" w:asciiTheme="minorEastAsia" w:hAnsiTheme="minorEastAsia" w:eastAsiaTheme="minorEastAsia"/>
          <w:b/>
          <w:sz w:val="24"/>
          <w:highlight w:val="none"/>
        </w:rPr>
        <w:t>4. 询问、质疑、投诉</w:t>
      </w:r>
    </w:p>
    <w:p w14:paraId="00E9ED56">
      <w:pPr>
        <w:autoSpaceDE w:val="0"/>
        <w:autoSpaceDN w:val="0"/>
        <w:spacing w:line="360" w:lineRule="auto"/>
        <w:ind w:firstLine="480" w:firstLineChars="200"/>
        <w:jc w:val="left"/>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4.1</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在线询问、质疑、投诉。</w:t>
      </w:r>
    </w:p>
    <w:p w14:paraId="6D4738BB">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F57908">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4.2</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供应商询问</w:t>
      </w:r>
    </w:p>
    <w:p w14:paraId="3DA72CAA">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91BD14">
      <w:pPr>
        <w:autoSpaceDE w:val="0"/>
        <w:autoSpaceDN w:val="0"/>
        <w:spacing w:line="360" w:lineRule="auto"/>
        <w:ind w:firstLine="240"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供应商质疑</w:t>
      </w:r>
    </w:p>
    <w:p w14:paraId="04B18A25">
      <w:pPr>
        <w:pStyle w:val="34"/>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.1提出质疑的供应商应当是参与所质疑项目采购活动的供应商。潜在供应商已依法获取其可质疑的招标文件的，可以对该文件提出质疑。</w:t>
      </w:r>
    </w:p>
    <w:p w14:paraId="27C85B41">
      <w:pPr>
        <w:pStyle w:val="34"/>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756226">
      <w:pPr>
        <w:pStyle w:val="16"/>
        <w:spacing w:line="360" w:lineRule="auto"/>
        <w:ind w:firstLine="480" w:firstLineChars="200"/>
        <w:rPr>
          <w:rFonts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4.3.2.1对招标文件提出质疑的，质疑期限为供应商获得招标文件之日或者招标文件公告期限届满之日起计算。</w:t>
      </w:r>
    </w:p>
    <w:p w14:paraId="4852B654">
      <w:pPr>
        <w:pStyle w:val="34"/>
        <w:spacing w:line="360" w:lineRule="auto"/>
        <w:ind w:left="479" w:leftChars="228"/>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4.3.2.2对采购过程提出质疑的，质疑期限为各采购程序环节结束之日起计算。4.3.2.3对采购结果提出质疑的，质疑期限自采购结果公告期限届满之日起计算。</w:t>
      </w:r>
    </w:p>
    <w:p w14:paraId="2026B148">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w:t>
      </w:r>
      <w:r>
        <w:rPr>
          <w:rFonts w:hint="eastAsia" w:cs="宋体" w:asciiTheme="minorEastAsia" w:hAnsiTheme="minorEastAsia" w:eastAsiaTheme="minorEastAsia"/>
          <w:sz w:val="24"/>
          <w:highlight w:val="none"/>
        </w:rPr>
        <w:t>供应商提出质疑应当提交质疑函和必要的证明材料。质疑函应当包括下列内容：</w:t>
      </w:r>
    </w:p>
    <w:p w14:paraId="0F99620C">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4.3.3.1供应商的姓名或者名称、地址、邮编、联系人及联系电话；</w:t>
      </w:r>
    </w:p>
    <w:p w14:paraId="65510E49">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4.3.3.2质疑项目的名称、编号；</w:t>
      </w:r>
    </w:p>
    <w:p w14:paraId="2BE81049">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4.3.3.3具体、明确的质疑事项和与质疑事项相关的请求；</w:t>
      </w:r>
    </w:p>
    <w:p w14:paraId="7096EE58">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4.3.3.4事实依据；</w:t>
      </w:r>
    </w:p>
    <w:p w14:paraId="20BBF667">
      <w:pPr>
        <w:pStyle w:val="34"/>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4.3.3.5必要的法律依据；</w:t>
      </w:r>
    </w:p>
    <w:p w14:paraId="3A57856D">
      <w:pPr>
        <w:pStyle w:val="34"/>
        <w:spacing w:line="360" w:lineRule="auto"/>
        <w:ind w:firstLine="960" w:firstLineChars="4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4.3.3.6提出质疑的日期。</w:t>
      </w:r>
    </w:p>
    <w:p w14:paraId="6192C75C">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供应商提交的质疑函需一式三份。供应商为自然人的，应当由本人签字；供应商为法人或者其他组织的，应当由法定代表人、主要负责人，或者其授权代表签字或者盖章，并加盖公章。</w:t>
      </w:r>
    </w:p>
    <w:p w14:paraId="67C751D9">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质疑函范本及制作说明详见附件2。</w:t>
      </w:r>
    </w:p>
    <w:p w14:paraId="6EA64CF4">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4.3.4对同一采购程序环节的质疑，供应商须在法定质疑期内一次性提出。</w:t>
      </w:r>
    </w:p>
    <w:p w14:paraId="5948B33F">
      <w:pPr>
        <w:pStyle w:val="887"/>
        <w:shd w:val="clear" w:color="auto" w:fill="FFFFFF"/>
        <w:snapToGrid w:val="0"/>
        <w:spacing w:after="240" w:line="360" w:lineRule="auto"/>
        <w:ind w:firstLine="400"/>
        <w:contextualSpacing/>
        <w:rPr>
          <w:rFonts w:hint="eastAsia"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8B09147">
      <w:pPr>
        <w:pStyle w:val="887"/>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72E17731">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7FF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5FED08E2">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14:paraId="5D4F713A">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66E8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5846D78F">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14:paraId="7FFF8FE2">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14:paraId="07F7B120">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6297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0E8D241C">
            <w:pPr>
              <w:pStyle w:val="34"/>
              <w:spacing w:line="360" w:lineRule="auto"/>
              <w:jc w:val="center"/>
              <w:rPr>
                <w:rFonts w:ascii="宋体" w:hAnsi="宋体" w:eastAsia="宋体"/>
                <w:color w:val="auto"/>
                <w:sz w:val="24"/>
                <w:highlight w:val="none"/>
              </w:rPr>
            </w:pPr>
          </w:p>
        </w:tc>
        <w:tc>
          <w:tcPr>
            <w:tcW w:w="4536" w:type="dxa"/>
            <w:noWrap w:val="0"/>
            <w:vAlign w:val="center"/>
          </w:tcPr>
          <w:p w14:paraId="2A20808E">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14:paraId="2E1B4E66">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7CC1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6981627D">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14:paraId="703379D0">
            <w:pPr>
              <w:pStyle w:val="34"/>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14:paraId="37266941">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26EB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noWrap w:val="0"/>
            <w:vAlign w:val="center"/>
          </w:tcPr>
          <w:p w14:paraId="112DEF2A">
            <w:pPr>
              <w:pStyle w:val="34"/>
              <w:spacing w:line="360" w:lineRule="auto"/>
              <w:jc w:val="center"/>
              <w:rPr>
                <w:rFonts w:ascii="宋体" w:hAnsi="宋体" w:eastAsia="宋体"/>
                <w:color w:val="auto"/>
                <w:sz w:val="24"/>
                <w:highlight w:val="none"/>
              </w:rPr>
            </w:pPr>
          </w:p>
        </w:tc>
        <w:tc>
          <w:tcPr>
            <w:tcW w:w="4536" w:type="dxa"/>
            <w:noWrap w:val="0"/>
            <w:vAlign w:val="center"/>
          </w:tcPr>
          <w:p w14:paraId="2A36D9D9">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14:paraId="04B9DC03">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754E5CC8">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.6询问或者质疑事项可能影响采购结果的，采购人应当暂停签订合同，已经签订合同的，应当中止履行合同。</w:t>
      </w:r>
    </w:p>
    <w:p w14:paraId="311E8A8B">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lang w:val="zh-CN"/>
        </w:rPr>
      </w:pPr>
      <w:r>
        <w:rPr>
          <w:rFonts w:hint="eastAsia" w:asciiTheme="minorEastAsia" w:hAnsiTheme="minorEastAsia" w:eastAsiaTheme="minorEastAsia"/>
          <w:highlight w:val="none"/>
          <w:lang w:val="zh-CN"/>
        </w:rPr>
        <w:t>4.4</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lang w:val="zh-CN"/>
        </w:rPr>
        <w:t>供应商投诉</w:t>
      </w:r>
    </w:p>
    <w:p w14:paraId="02629CE9">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4.4.1质疑供应商对采购人、采购机构的答复不满意或者采购人、采购机构未在规定的时间内作出答复的，可以在答复期满后十五个工作日内向同级政府采购监督管理部门提出投诉。</w:t>
      </w:r>
    </w:p>
    <w:p w14:paraId="08D9F093">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w:t>
      </w:r>
      <w:r>
        <w:rPr>
          <w:rFonts w:hint="eastAsia" w:asciiTheme="minorEastAsia" w:hAnsiTheme="minorEastAsia" w:eastAsiaTheme="minorEastAsia"/>
          <w:highlight w:val="none"/>
          <w:lang w:val="zh-CN"/>
        </w:rPr>
        <w:t>2</w:t>
      </w:r>
      <w:r>
        <w:rPr>
          <w:rFonts w:hint="eastAsia" w:asciiTheme="minorEastAsia" w:hAnsiTheme="minorEastAsia" w:eastAsiaTheme="minorEastAsia"/>
          <w:highlight w:val="none"/>
        </w:rPr>
        <w:t>供应商投诉的事项不得超出已质疑事项的范围，基于质疑答复内容提出的投诉事项除外。</w:t>
      </w:r>
    </w:p>
    <w:p w14:paraId="74AD32BB">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4.4.3供应商投诉应当有明确的请求和必要的证明材料。</w:t>
      </w:r>
    </w:p>
    <w:p w14:paraId="3BD9C056">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4.4.4以联合体形式参加政府采购活动的，其投诉应当由组成联合体的所有供应商共同提出。</w:t>
      </w:r>
    </w:p>
    <w:p w14:paraId="4C9F3119">
      <w:pPr>
        <w:pStyle w:val="887"/>
        <w:shd w:val="clear" w:color="auto" w:fill="FFFFFF"/>
        <w:snapToGrid w:val="0"/>
        <w:spacing w:after="240" w:afterAutospacing="0" w:line="360" w:lineRule="auto"/>
        <w:ind w:firstLine="400"/>
        <w:contextualSpacing/>
        <w:rPr>
          <w:highlight w:val="none"/>
        </w:rPr>
      </w:pPr>
      <w:r>
        <w:rPr>
          <w:rFonts w:hint="eastAsia" w:asciiTheme="minorEastAsia" w:hAnsiTheme="minorEastAsia" w:eastAsiaTheme="minorEastAsia"/>
          <w:highlight w:val="none"/>
        </w:rPr>
        <w:t>4.4.5</w:t>
      </w:r>
      <w:r>
        <w:rPr>
          <w:rFonts w:hint="eastAsia"/>
          <w:highlight w:val="none"/>
        </w:rPr>
        <w:t>浙江省本级、杭州市本级、拱墅区、西湖区、富阳区政府采购项目投诉材料可寄送浙江省政府采购行政裁决服务中心（杭州），地址：</w:t>
      </w:r>
      <w:r>
        <w:rPr>
          <w:rFonts w:hint="eastAsia" w:asciiTheme="minorEastAsia" w:hAnsiTheme="minorEastAsia" w:eastAsiaTheme="minorEastAsia" w:cstheme="minorEastAsia"/>
          <w:sz w:val="24"/>
          <w:highlight w:val="none"/>
          <w:lang w:eastAsia="zh-CN"/>
        </w:rPr>
        <w:t>杭州市上城区清泰街549号城建综合大楼11楼</w:t>
      </w:r>
      <w:r>
        <w:rPr>
          <w:rFonts w:hint="eastAsia" w:asciiTheme="minorEastAsia" w:hAnsiTheme="minorEastAsia" w:eastAsiaTheme="minorEastAsia" w:cstheme="minorEastAsia"/>
          <w:sz w:val="24"/>
          <w:highlight w:val="none"/>
        </w:rPr>
        <w:t>（快递仅限ems或顺丰）</w:t>
      </w:r>
      <w:r>
        <w:rPr>
          <w:rFonts w:hint="eastAsia"/>
          <w:highlight w:val="none"/>
        </w:rPr>
        <w:t>，收件人：朱女士</w:t>
      </w:r>
      <w:r>
        <w:rPr>
          <w:rFonts w:hint="eastAsia"/>
          <w:highlight w:val="none"/>
          <w:lang w:eastAsia="zh-CN"/>
        </w:rPr>
        <w:t>，</w:t>
      </w:r>
      <w:r>
        <w:rPr>
          <w:rFonts w:hint="eastAsia"/>
          <w:highlight w:val="none"/>
          <w:lang w:val="en-US" w:eastAsia="zh-CN"/>
        </w:rPr>
        <w:t>王女士</w:t>
      </w:r>
      <w:r>
        <w:rPr>
          <w:rFonts w:hint="eastAsia"/>
          <w:highlight w:val="none"/>
        </w:rPr>
        <w:t>，电话：</w:t>
      </w:r>
      <w:r>
        <w:rPr>
          <w:rFonts w:hint="eastAsia" w:asciiTheme="minorEastAsia" w:hAnsiTheme="minorEastAsia" w:eastAsiaTheme="minorEastAsia" w:cstheme="minorEastAsia"/>
          <w:sz w:val="24"/>
          <w:lang w:eastAsia="zh-CN"/>
        </w:rPr>
        <w:t>0571-8</w:t>
      </w:r>
      <w:r>
        <w:rPr>
          <w:rFonts w:hint="eastAsia" w:asciiTheme="minorEastAsia" w:hAnsiTheme="minorEastAsia" w:eastAsiaTheme="minorEastAsia" w:cstheme="minorEastAsia"/>
          <w:sz w:val="24"/>
          <w:lang w:val="en-US" w:eastAsia="zh-CN"/>
        </w:rPr>
        <w:t>7227671,0571-87800218</w:t>
      </w:r>
      <w:r>
        <w:rPr>
          <w:rFonts w:hint="eastAsia"/>
          <w:highlight w:val="none"/>
        </w:rPr>
        <w:t>。</w:t>
      </w:r>
    </w:p>
    <w:p w14:paraId="1DD3BAD6">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70CB16C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D0C67FC">
      <w:pPr>
        <w:pStyle w:val="887"/>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338A3936">
      <w:pPr>
        <w:pStyle w:val="887"/>
        <w:shd w:val="clear" w:color="auto" w:fill="FFFFFF"/>
        <w:snapToGrid w:val="0"/>
        <w:spacing w:after="240" w:afterAutospacing="0" w:line="360" w:lineRule="auto"/>
        <w:ind w:firstLine="400"/>
        <w:contextualSpacing/>
        <w:rPr>
          <w:rFonts w:asciiTheme="minorEastAsia" w:hAnsiTheme="minorEastAsia" w:eastAsiaTheme="minorEastAsia"/>
          <w:sz w:val="18"/>
          <w:szCs w:val="18"/>
          <w:highlight w:val="none"/>
        </w:rPr>
      </w:pPr>
    </w:p>
    <w:p w14:paraId="38C8578D">
      <w:pPr>
        <w:adjustRightInd/>
        <w:spacing w:line="360" w:lineRule="auto"/>
        <w:jc w:val="center"/>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 xml:space="preserve">      二、招标文件的构成、澄清、修改</w:t>
      </w:r>
    </w:p>
    <w:p w14:paraId="763548A9">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5．招标文件的构成</w:t>
      </w:r>
    </w:p>
    <w:p w14:paraId="0B20845E">
      <w:pPr>
        <w:pStyle w:val="34"/>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 招标文件包括下列文件及附件：</w:t>
      </w:r>
    </w:p>
    <w:p w14:paraId="56B2E982">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5.1.1招标公告；</w:t>
      </w:r>
    </w:p>
    <w:p w14:paraId="6C95E88A">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5.1.2投标人须知；</w:t>
      </w:r>
    </w:p>
    <w:p w14:paraId="357CBAB3">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5.1.3采购需求；</w:t>
      </w:r>
    </w:p>
    <w:p w14:paraId="6E8085D9">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5.1.4评标办法；</w:t>
      </w:r>
    </w:p>
    <w:p w14:paraId="0F08FF5D">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5.1.5拟签订的合同文本；</w:t>
      </w:r>
    </w:p>
    <w:p w14:paraId="1937C81E">
      <w:pPr>
        <w:pStyle w:val="34"/>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5.1.6</w:t>
      </w:r>
      <w:r>
        <w:rPr>
          <w:rFonts w:hint="eastAsia" w:cs="宋体" w:asciiTheme="minorEastAsia" w:hAnsiTheme="minorEastAsia" w:eastAsiaTheme="minorEastAsia"/>
          <w:sz w:val="24"/>
          <w:szCs w:val="24"/>
          <w:highlight w:val="none"/>
        </w:rPr>
        <w:t>应提交的有关格式范例。</w:t>
      </w:r>
    </w:p>
    <w:p w14:paraId="76B46B7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5.2与本项目有关的</w:t>
      </w:r>
      <w:r>
        <w:rPr>
          <w:rFonts w:hint="eastAsia" w:cs="宋体" w:asciiTheme="minorEastAsia" w:hAnsiTheme="minorEastAsia" w:eastAsiaTheme="minorEastAsia"/>
          <w:bCs/>
          <w:sz w:val="24"/>
          <w:highlight w:val="none"/>
        </w:rPr>
        <w:t>澄清或者修改的内容为招标文件的组成部分</w:t>
      </w:r>
      <w:r>
        <w:rPr>
          <w:rFonts w:hint="eastAsia" w:cs="宋体" w:asciiTheme="minorEastAsia" w:hAnsiTheme="minorEastAsia" w:eastAsiaTheme="minorEastAsia"/>
          <w:sz w:val="24"/>
          <w:highlight w:val="none"/>
        </w:rPr>
        <w:t>。</w:t>
      </w:r>
    </w:p>
    <w:p w14:paraId="78DC95A3">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6. 招标文件的澄清、修改</w:t>
      </w:r>
    </w:p>
    <w:p w14:paraId="49CA1097">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6.1已获取招标文件的潜在投标人，若有问题需要澄清，应于投标截止时间前，以书面形式向采购机构提出。</w:t>
      </w:r>
    </w:p>
    <w:p w14:paraId="0095A0C1">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E72A0D">
      <w:pPr>
        <w:pStyle w:val="25"/>
        <w:rPr>
          <w:rFonts w:cs="宋体" w:asciiTheme="minorEastAsia" w:hAnsiTheme="minorEastAsia" w:eastAsiaTheme="minorEastAsia"/>
          <w:sz w:val="18"/>
          <w:szCs w:val="18"/>
          <w:highlight w:val="none"/>
          <w:lang w:val="en-US"/>
        </w:rPr>
      </w:pPr>
      <w:r>
        <w:rPr>
          <w:rFonts w:hint="eastAsia" w:cs="宋体" w:asciiTheme="minorEastAsia" w:hAnsiTheme="minorEastAsia" w:eastAsiaTheme="minorEastAsia"/>
          <w:szCs w:val="24"/>
          <w:highlight w:val="none"/>
          <w:lang w:val="en-US"/>
        </w:rPr>
        <w:t xml:space="preserve">    </w:t>
      </w:r>
    </w:p>
    <w:p w14:paraId="3D667345">
      <w:pPr>
        <w:adjustRightInd/>
        <w:spacing w:line="360" w:lineRule="auto"/>
        <w:jc w:val="center"/>
        <w:outlineLvl w:val="0"/>
        <w:rPr>
          <w:rFonts w:cs="宋体" w:asciiTheme="minorEastAsia" w:hAnsiTheme="minorEastAsia" w:eastAsiaTheme="minorEastAsia"/>
          <w:b/>
          <w:sz w:val="30"/>
          <w:szCs w:val="20"/>
          <w:highlight w:val="none"/>
        </w:rPr>
      </w:pPr>
      <w:r>
        <w:rPr>
          <w:rFonts w:hint="eastAsia" w:cs="宋体" w:asciiTheme="minorEastAsia" w:hAnsiTheme="minorEastAsia" w:eastAsiaTheme="minorEastAsia"/>
          <w:b/>
          <w:sz w:val="30"/>
          <w:szCs w:val="20"/>
          <w:highlight w:val="none"/>
        </w:rPr>
        <w:t>三、投标</w:t>
      </w:r>
    </w:p>
    <w:p w14:paraId="5DB16885">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7. 招标文件的获取</w:t>
      </w:r>
    </w:p>
    <w:p w14:paraId="2FB4A9DB">
      <w:pPr>
        <w:spacing w:line="360" w:lineRule="auto"/>
        <w:ind w:firstLine="480" w:firstLineChars="20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详见招标公告中获取招标文件的时间期限、地点、方式及招标文件售价。</w:t>
      </w:r>
    </w:p>
    <w:p w14:paraId="45038892">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8.开标前答疑会或现场考察</w:t>
      </w:r>
    </w:p>
    <w:p w14:paraId="558D8727">
      <w:pPr>
        <w:pStyle w:val="34"/>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采购人组织潜在投标人现场考察或者召开开标前答疑会的，潜在投标人按第二部分投标人须知前附表的规定参加现场考察或者开标前答疑会。</w:t>
      </w:r>
    </w:p>
    <w:p w14:paraId="3B96F987">
      <w:pPr>
        <w:pStyle w:val="34"/>
        <w:spacing w:line="360" w:lineRule="auto"/>
        <w:rPr>
          <w:rFonts w:cs="宋体" w:asciiTheme="minorEastAsia" w:hAnsiTheme="minorEastAsia" w:eastAsiaTheme="minorEastAsia"/>
          <w:b/>
          <w:szCs w:val="24"/>
          <w:highlight w:val="none"/>
        </w:rPr>
      </w:pPr>
      <w:r>
        <w:rPr>
          <w:rFonts w:hint="eastAsia" w:cs="宋体" w:asciiTheme="minorEastAsia" w:hAnsiTheme="minorEastAsia" w:eastAsiaTheme="minorEastAsia"/>
          <w:b/>
          <w:kern w:val="28"/>
          <w:sz w:val="24"/>
          <w:szCs w:val="24"/>
          <w:highlight w:val="none"/>
        </w:rPr>
        <w:t>9.投标保证金</w:t>
      </w:r>
    </w:p>
    <w:p w14:paraId="54AC8F0E">
      <w:pPr>
        <w:pStyle w:val="16"/>
        <w:spacing w:line="360" w:lineRule="auto"/>
        <w:ind w:firstLine="470" w:firstLineChars="1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3391671E">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10. 投标文件的语言</w:t>
      </w:r>
    </w:p>
    <w:p w14:paraId="2B3A0B2E">
      <w:pPr>
        <w:autoSpaceDE w:val="0"/>
        <w:autoSpaceDN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投标文件及投标人与采购有关的来往通知、函件和文件均应使用中文。</w:t>
      </w:r>
    </w:p>
    <w:p w14:paraId="34908E04">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11. 投标文件的组成</w:t>
      </w:r>
    </w:p>
    <w:p w14:paraId="6E1EEB1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hint="eastAsia" w:cs="宋体" w:asciiTheme="minorEastAsia" w:hAnsiTheme="minorEastAsia" w:eastAsiaTheme="minorEastAsia"/>
          <w:b/>
          <w:sz w:val="24"/>
          <w:highlight w:val="none"/>
        </w:rPr>
        <w:t>资格文件</w:t>
      </w:r>
      <w:r>
        <w:rPr>
          <w:rFonts w:hint="eastAsia" w:cs="宋体" w:asciiTheme="minorEastAsia" w:hAnsiTheme="minorEastAsia" w:eastAsiaTheme="minorEastAsia"/>
          <w:sz w:val="24"/>
          <w:highlight w:val="none"/>
        </w:rPr>
        <w:t>：</w:t>
      </w:r>
    </w:p>
    <w:p w14:paraId="587EE8A7">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11.1.1符合参加政府采购活动应当具备的一般条件的承诺函；</w:t>
      </w:r>
    </w:p>
    <w:p w14:paraId="117450A6">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1.1.2</w:t>
      </w:r>
      <w:r>
        <w:rPr>
          <w:rFonts w:hint="eastAsia" w:cs="宋体" w:asciiTheme="minorEastAsia" w:hAnsiTheme="minorEastAsia" w:eastAsiaTheme="minorEastAsia"/>
          <w:snapToGrid w:val="0"/>
          <w:kern w:val="28"/>
          <w:sz w:val="24"/>
          <w:szCs w:val="20"/>
          <w:highlight w:val="none"/>
        </w:rPr>
        <w:t>联合协议（如果有)；</w:t>
      </w:r>
    </w:p>
    <w:p w14:paraId="6D347934">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w:t>
      </w:r>
    </w:p>
    <w:p w14:paraId="3CD0D41B">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14:paraId="4F33D8EC">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14:paraId="47C6F8F2">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11.2.1投标函；</w:t>
      </w:r>
      <w:r>
        <w:rPr>
          <w:rFonts w:hint="eastAsia" w:cs="宋体" w:asciiTheme="minorEastAsia" w:hAnsiTheme="minorEastAsia" w:eastAsiaTheme="minorEastAsia"/>
          <w:sz w:val="24"/>
          <w:highlight w:val="none"/>
          <w:lang w:val="zh-CN"/>
        </w:rPr>
        <w:t xml:space="preserve"> </w:t>
      </w:r>
    </w:p>
    <w:p w14:paraId="117BF825">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11.2.2授权委托书或法定代表人（单位负责人、自然人本人）身份证明；</w:t>
      </w:r>
    </w:p>
    <w:p w14:paraId="3A3F65F7">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14:paraId="7585E6CF">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7AA0A652">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5807F588">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14:paraId="34C75E83">
      <w:pPr>
        <w:snapToGrid w:val="0"/>
        <w:spacing w:line="360" w:lineRule="auto"/>
        <w:ind w:firstLine="960" w:firstLineChars="4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14:paraId="4DDAA6DB">
      <w:pPr>
        <w:snapToGrid w:val="0"/>
        <w:spacing w:line="360" w:lineRule="auto"/>
        <w:ind w:firstLine="960" w:firstLineChars="4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lang w:val="zh-CN"/>
        </w:rPr>
        <w:t>政府采购供应商廉洁自律承诺书。</w:t>
      </w:r>
    </w:p>
    <w:p w14:paraId="656A0097">
      <w:pPr>
        <w:snapToGrid w:val="0"/>
        <w:spacing w:line="360" w:lineRule="auto"/>
        <w:ind w:firstLine="480" w:firstLineChars="200"/>
        <w:rPr>
          <w:rFonts w:cs="宋体" w:asciiTheme="minorEastAsia" w:hAnsiTheme="minorEastAsia" w:eastAsiaTheme="minorEastAsia"/>
          <w:sz w:val="24"/>
          <w:highlight w:val="none"/>
          <w:u w:val="single"/>
          <w:lang w:val="zh-CN"/>
        </w:rPr>
      </w:pPr>
      <w:r>
        <w:rPr>
          <w:rFonts w:hint="eastAsia" w:cs="宋体" w:asciiTheme="minorEastAsia" w:hAnsiTheme="minorEastAsia" w:eastAsiaTheme="minorEastAsia"/>
          <w:kern w:val="0"/>
          <w:sz w:val="24"/>
          <w:highlight w:val="none"/>
          <w:lang w:val="zh-CN"/>
        </w:rPr>
        <w:t>11.</w:t>
      </w:r>
      <w:r>
        <w:rPr>
          <w:rFonts w:hint="eastAsia" w:cs="宋体" w:asciiTheme="minorEastAsia" w:hAnsiTheme="minorEastAsia" w:eastAsiaTheme="minorEastAsia"/>
          <w:kern w:val="0"/>
          <w:sz w:val="24"/>
          <w:highlight w:val="none"/>
        </w:rPr>
        <w:t>3</w:t>
      </w:r>
      <w:r>
        <w:rPr>
          <w:rFonts w:hint="eastAsia" w:cs="宋体" w:asciiTheme="minorEastAsia" w:hAnsiTheme="minorEastAsia" w:eastAsiaTheme="minorEastAsia"/>
          <w:b/>
          <w:sz w:val="24"/>
          <w:highlight w:val="none"/>
        </w:rPr>
        <w:t>报价文件：</w:t>
      </w:r>
      <w:r>
        <w:rPr>
          <w:rFonts w:hint="eastAsia" w:cs="宋体" w:asciiTheme="minorEastAsia" w:hAnsiTheme="minorEastAsia" w:eastAsiaTheme="minorEastAsia"/>
          <w:sz w:val="24"/>
          <w:highlight w:val="none"/>
        </w:rPr>
        <w:t xml:space="preserve"> </w:t>
      </w:r>
    </w:p>
    <w:p w14:paraId="32032E16">
      <w:pPr>
        <w:snapToGrid w:val="0"/>
        <w:spacing w:line="360" w:lineRule="auto"/>
        <w:ind w:firstLine="960" w:firstLineChars="4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11.3.1开标一览表（报价表）</w:t>
      </w:r>
      <w:r>
        <w:rPr>
          <w:rFonts w:hint="eastAsia" w:cs="宋体" w:asciiTheme="minorEastAsia" w:hAnsiTheme="minorEastAsia" w:eastAsiaTheme="minorEastAsia"/>
          <w:sz w:val="24"/>
          <w:highlight w:val="none"/>
          <w:lang w:eastAsia="zh-CN"/>
        </w:rPr>
        <w:t>。</w:t>
      </w:r>
    </w:p>
    <w:p w14:paraId="5DC484E1">
      <w:pPr>
        <w:spacing w:line="360" w:lineRule="auto"/>
        <w:ind w:firstLine="723" w:firstLineChars="3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投标文件含有采购人不能接受的附加条件的，投标无效；</w:t>
      </w:r>
    </w:p>
    <w:p w14:paraId="59D09377">
      <w:pPr>
        <w:spacing w:line="360" w:lineRule="auto"/>
        <w:ind w:firstLine="723" w:firstLineChars="300"/>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投标人提供虚假材料投标的，投标无效</w:t>
      </w:r>
      <w:r>
        <w:rPr>
          <w:rFonts w:hint="eastAsia" w:cs="宋体" w:asciiTheme="minorEastAsia" w:hAnsiTheme="minorEastAsia" w:eastAsiaTheme="minorEastAsia"/>
          <w:b/>
          <w:sz w:val="24"/>
          <w:highlight w:val="none"/>
          <w:lang w:eastAsia="zh-CN"/>
        </w:rPr>
        <w:t>；</w:t>
      </w:r>
    </w:p>
    <w:p w14:paraId="4349A619">
      <w:pPr>
        <w:spacing w:line="360" w:lineRule="auto"/>
        <w:ind w:firstLine="723" w:firstLineChars="300"/>
      </w:pPr>
      <w:r>
        <w:rPr>
          <w:rFonts w:hint="eastAsia"/>
          <w:b/>
          <w:bCs/>
          <w:color w:val="auto"/>
          <w:sz w:val="24"/>
          <w:szCs w:val="24"/>
          <w:highlight w:val="none"/>
          <w:shd w:val="clear" w:color="auto" w:fill="FFFFFF"/>
          <w:lang w:val="en-US" w:eastAsia="zh-CN"/>
        </w:rPr>
        <w:t>投标人应对投标文件中材料的真实性、合法性负责。</w:t>
      </w:r>
    </w:p>
    <w:p w14:paraId="6DB3735B">
      <w:pPr>
        <w:pStyle w:val="129"/>
        <w:snapToGrid w:val="0"/>
        <w:spacing w:before="0"/>
        <w:ind w:firstLine="0" w:firstLineChars="0"/>
        <w:outlineLvl w:val="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12</w:t>
      </w:r>
      <w:r>
        <w:rPr>
          <w:rFonts w:hint="eastAsia" w:cs="宋体" w:asciiTheme="minorEastAsia" w:hAnsiTheme="minorEastAsia" w:eastAsiaTheme="minorEastAsia"/>
          <w:b/>
          <w:kern w:val="0"/>
          <w:szCs w:val="24"/>
          <w:highlight w:val="none"/>
          <w:lang w:val="zh-CN"/>
        </w:rPr>
        <w:t xml:space="preserve">. </w:t>
      </w:r>
      <w:r>
        <w:rPr>
          <w:rFonts w:hint="eastAsia" w:cs="宋体" w:asciiTheme="minorEastAsia" w:hAnsiTheme="minorEastAsia" w:eastAsiaTheme="minorEastAsia"/>
          <w:b/>
          <w:szCs w:val="24"/>
          <w:highlight w:val="none"/>
        </w:rPr>
        <w:t>投标文件的编制</w:t>
      </w:r>
    </w:p>
    <w:p w14:paraId="1868A491">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4A9215">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0CD452">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12.3使用“政采云电子交易客户端”需要提前申领CA数字证书，申领流程请自行前往“浙江政府采购网-下载专区-电子交易客户端-CA驱动和申领流程”进行查阅。</w:t>
      </w:r>
    </w:p>
    <w:p w14:paraId="3D2F72A1">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13.投标文件的签署、盖章</w:t>
      </w:r>
    </w:p>
    <w:p w14:paraId="30F5679A">
      <w:pPr>
        <w:pStyle w:val="129"/>
        <w:snapToGrid w:val="0"/>
        <w:spacing w:before="0"/>
        <w:ind w:firstLine="480"/>
        <w:rPr>
          <w:rFonts w:cs="宋体" w:asciiTheme="minorEastAsia" w:hAnsiTheme="minorEastAsia" w:eastAsiaTheme="minorEastAsia"/>
          <w:b/>
          <w:highlight w:val="none"/>
        </w:rPr>
      </w:pPr>
      <w:r>
        <w:rPr>
          <w:rFonts w:hint="eastAsia" w:cs="宋体" w:asciiTheme="minorEastAsia" w:hAnsiTheme="minorEastAsia" w:eastAsiaTheme="minorEastAsia"/>
          <w:szCs w:val="24"/>
          <w:highlight w:val="none"/>
        </w:rPr>
        <w:t>13.1投标文件按照招标文件第六部分格式要</w:t>
      </w:r>
      <w:r>
        <w:rPr>
          <w:rFonts w:hint="eastAsia" w:cs="宋体" w:asciiTheme="minorEastAsia" w:hAnsiTheme="minorEastAsia" w:eastAsiaTheme="minorEastAsia"/>
          <w:highlight w:val="none"/>
        </w:rPr>
        <w:t>求进行签署、盖章。</w:t>
      </w:r>
      <w:r>
        <w:rPr>
          <w:rFonts w:hint="eastAsia" w:cs="宋体" w:asciiTheme="minorEastAsia" w:hAnsiTheme="minorEastAsia" w:eastAsiaTheme="minorEastAsia"/>
          <w:b/>
          <w:highlight w:val="none"/>
        </w:rPr>
        <w:t>▲投标人的投标文件未按照招标文件要求签署、盖章的，其投标无效</w:t>
      </w:r>
      <w:r>
        <w:rPr>
          <w:rFonts w:hint="eastAsia" w:cs="宋体" w:asciiTheme="minorEastAsia" w:hAnsiTheme="minorEastAsia" w:eastAsiaTheme="minorEastAsia"/>
          <w:szCs w:val="24"/>
          <w:highlight w:val="none"/>
        </w:rPr>
        <w:t>。</w:t>
      </w:r>
    </w:p>
    <w:p w14:paraId="2D897FCB">
      <w:pPr>
        <w:pStyle w:val="129"/>
        <w:snapToGrid w:val="0"/>
        <w:spacing w:before="0" w:line="360" w:lineRule="auto"/>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13.2为确保网上操作合法、有效和安全，投标人应当在投标截止时间前完成在“政府采购云平台”的身份认证，确保在电子投标过程中能够对相关数据电文进行加密和使用电子签名。</w:t>
      </w:r>
    </w:p>
    <w:p w14:paraId="1EF3D0C7">
      <w:pPr>
        <w:pStyle w:val="129"/>
        <w:snapToGrid w:val="0"/>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13.3招标文件对投标文件签署、盖章的要求适用于电子签名。</w:t>
      </w:r>
    </w:p>
    <w:p w14:paraId="1BC17D72">
      <w:pPr>
        <w:pStyle w:val="129"/>
        <w:spacing w:before="0" w:line="360" w:lineRule="auto"/>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14. 投标文件的提交、补充、修改、撤回</w:t>
      </w:r>
    </w:p>
    <w:p w14:paraId="47DCACE7">
      <w:pPr>
        <w:pStyle w:val="129"/>
        <w:spacing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08B7519">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E13AEF9">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28614C">
      <w:pPr>
        <w:pStyle w:val="34"/>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15.备份投标文件</w:t>
      </w:r>
    </w:p>
    <w:p w14:paraId="38967BD2">
      <w:pPr>
        <w:pStyle w:val="34"/>
        <w:spacing w:line="360" w:lineRule="auto"/>
        <w:ind w:firstLine="360" w:firstLineChars="15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highlight w:val="none"/>
        </w:rPr>
        <w:t>但采购人、采购机构不强制或变相强制投标人提交备份投标文件。</w:t>
      </w:r>
    </w:p>
    <w:p w14:paraId="18C1377A">
      <w:pPr>
        <w:pStyle w:val="34"/>
        <w:spacing w:line="360" w:lineRule="auto"/>
        <w:ind w:firstLine="480" w:firstLineChars="20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15.2备份投标文件须在“政采云投标客户端”制作生成，并储存在</w:t>
      </w:r>
      <w:r>
        <w:rPr>
          <w:rFonts w:hint="eastAsia" w:cs="宋体" w:asciiTheme="minorEastAsia" w:hAnsiTheme="minorEastAsia" w:eastAsiaTheme="minorEastAsia"/>
          <w:sz w:val="24"/>
          <w:highlight w:val="none"/>
        </w:rPr>
        <w:t>DVD光盘</w:t>
      </w:r>
      <w:r>
        <w:rPr>
          <w:rFonts w:hint="eastAsia" w:cs="宋体" w:asciiTheme="minorEastAsia" w:hAnsiTheme="minorEastAsia" w:eastAsiaTheme="minorEastAsia"/>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highlight w:val="none"/>
        </w:rPr>
        <w:t>不符合上述制作、</w:t>
      </w:r>
      <w:r>
        <w:rPr>
          <w:rFonts w:hint="eastAsia" w:cs="宋体" w:asciiTheme="minorEastAsia" w:hAnsiTheme="minorEastAsia" w:eastAsiaTheme="minorEastAsia"/>
          <w:b/>
          <w:sz w:val="24"/>
          <w:szCs w:val="24"/>
          <w:highlight w:val="none"/>
        </w:rPr>
        <w:t>存储、密封规定的备份投标文件将被视为无效或者被拒绝接收。</w:t>
      </w:r>
    </w:p>
    <w:p w14:paraId="38BFBBE1">
      <w:pPr>
        <w:pStyle w:val="34"/>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F4079D2">
      <w:pPr>
        <w:pStyle w:val="34"/>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highlight w:val="none"/>
        </w:rPr>
        <w:t>招标文件第二部分投标人须知前附表规定的备份投标文件送达地点；</w:t>
      </w:r>
      <w:r>
        <w:rPr>
          <w:rFonts w:hint="eastAsia" w:cs="宋体" w:asciiTheme="minorEastAsia" w:hAnsiTheme="minorEastAsia" w:eastAsiaTheme="minorEastAsia"/>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03283F5">
      <w:pPr>
        <w:pStyle w:val="34"/>
        <w:spacing w:line="360" w:lineRule="auto"/>
        <w:ind w:firstLine="479" w:firstLineChars="199"/>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15.5投标人仅提交备份投标文件，未在电子交易平台传输递交投标文件的，投标无效。</w:t>
      </w:r>
    </w:p>
    <w:p w14:paraId="0B7C0818">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16.投标文件的无效处理</w:t>
      </w:r>
    </w:p>
    <w:p w14:paraId="14E4E4EE">
      <w:pPr>
        <w:pStyle w:val="26"/>
        <w:spacing w:line="360" w:lineRule="auto"/>
        <w:ind w:firstLine="360" w:firstLineChars="1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有招标文件第四部分</w:t>
      </w:r>
      <w:r>
        <w:rPr>
          <w:rFonts w:cs="宋体" w:asciiTheme="minorEastAsia" w:hAnsiTheme="minorEastAsia" w:eastAsiaTheme="minorEastAsia"/>
          <w:szCs w:val="21"/>
          <w:highlight w:val="none"/>
        </w:rPr>
        <w:t>4.2规定</w:t>
      </w:r>
      <w:r>
        <w:rPr>
          <w:rFonts w:hint="eastAsia" w:cs="宋体" w:asciiTheme="minorEastAsia" w:hAnsiTheme="minorEastAsia" w:eastAsiaTheme="minorEastAsia"/>
          <w:szCs w:val="21"/>
          <w:highlight w:val="none"/>
        </w:rPr>
        <w:t>的情形之一的，投标无效：</w:t>
      </w:r>
    </w:p>
    <w:p w14:paraId="25939AD1">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17.投标有效期</w:t>
      </w:r>
    </w:p>
    <w:p w14:paraId="1859A668">
      <w:pPr>
        <w:spacing w:line="360" w:lineRule="auto"/>
        <w:ind w:firstLine="480" w:firstLineChars="200"/>
        <w:rPr>
          <w:rFonts w:cs="宋体" w:asciiTheme="minorEastAsia" w:hAnsiTheme="minorEastAsia" w:eastAsiaTheme="minorEastAsia"/>
          <w:b/>
          <w:sz w:val="24"/>
          <w:szCs w:val="21"/>
          <w:highlight w:val="none"/>
        </w:rPr>
      </w:pPr>
      <w:r>
        <w:rPr>
          <w:rFonts w:hint="eastAsia" w:cs="宋体" w:asciiTheme="minorEastAsia" w:hAnsiTheme="minorEastAsia" w:eastAsiaTheme="minorEastAsia"/>
          <w:sz w:val="24"/>
          <w:szCs w:val="20"/>
          <w:highlight w:val="none"/>
        </w:rPr>
        <w:t>17.1投标有效期为从提交投标文件的截止之日起90天。▲</w:t>
      </w:r>
      <w:r>
        <w:rPr>
          <w:rFonts w:hint="eastAsia" w:cs="宋体" w:asciiTheme="minorEastAsia" w:hAnsiTheme="minorEastAsia" w:eastAsiaTheme="minorEastAsia"/>
          <w:b/>
          <w:sz w:val="24"/>
          <w:szCs w:val="20"/>
          <w:highlight w:val="none"/>
        </w:rPr>
        <w:t>投标人的投标文件中承</w:t>
      </w:r>
      <w:r>
        <w:rPr>
          <w:rFonts w:hint="eastAsia" w:cs="宋体" w:asciiTheme="minorEastAsia" w:hAnsiTheme="minorEastAsia" w:eastAsiaTheme="minorEastAsia"/>
          <w:b/>
          <w:sz w:val="24"/>
          <w:szCs w:val="21"/>
          <w:highlight w:val="none"/>
        </w:rPr>
        <w:t>诺的投标有效期少于招标文件中载明的投标有效期的，投标无效。</w:t>
      </w:r>
    </w:p>
    <w:p w14:paraId="3DE4DCC0">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17.2投标文件合格投递后，自投标截止日期起，在投标有效期内有效。</w:t>
      </w:r>
    </w:p>
    <w:p w14:paraId="32A8FF7A">
      <w:pPr>
        <w:pStyle w:val="129"/>
        <w:spacing w:before="0"/>
        <w:ind w:firstLine="48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A27FDC3">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17.4在投标截止时间起至投标有效期届满，供应商投标文件不可撤销。</w:t>
      </w:r>
    </w:p>
    <w:p w14:paraId="14F64B7C">
      <w:pPr>
        <w:pStyle w:val="129"/>
        <w:spacing w:before="0"/>
        <w:ind w:firstLine="643"/>
        <w:rPr>
          <w:rFonts w:cs="宋体" w:asciiTheme="minorEastAsia" w:hAnsiTheme="minorEastAsia" w:eastAsiaTheme="minorEastAsia"/>
          <w:b/>
          <w:sz w:val="32"/>
          <w:highlight w:val="none"/>
        </w:rPr>
      </w:pPr>
    </w:p>
    <w:p w14:paraId="074D8CBB">
      <w:pPr>
        <w:pStyle w:val="129"/>
        <w:spacing w:before="0"/>
        <w:ind w:firstLine="1928" w:firstLineChars="600"/>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四、开标、资格审查与信用信息查询</w:t>
      </w:r>
    </w:p>
    <w:p w14:paraId="3AC7E68E">
      <w:pPr>
        <w:pStyle w:val="555"/>
        <w:spacing w:before="0" w:line="360" w:lineRule="auto"/>
        <w:ind w:left="0" w:leftChars="0" w:firstLine="0" w:firstLineChars="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b/>
          <w:sz w:val="24"/>
          <w:szCs w:val="24"/>
          <w:highlight w:val="none"/>
        </w:rPr>
        <w:t>18.开标</w:t>
      </w:r>
      <w:r>
        <w:rPr>
          <w:rFonts w:hint="eastAsia" w:cs="宋体" w:asciiTheme="minorEastAsia" w:hAnsiTheme="minorEastAsia" w:eastAsiaTheme="minorEastAsia"/>
          <w:sz w:val="24"/>
          <w:highlight w:val="none"/>
        </w:rPr>
        <w:t xml:space="preserve"> </w:t>
      </w:r>
    </w:p>
    <w:p w14:paraId="03C587D4">
      <w:pPr>
        <w:pStyle w:val="555"/>
        <w:spacing w:before="0" w:line="360" w:lineRule="auto"/>
        <w:ind w:left="0"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18.1采购机构按照招标文件规定的时间通过电子交易平台组织开标，所有投标人均应当准时在线参加。投标人不足3家的，不得开标。</w:t>
      </w:r>
    </w:p>
    <w:p w14:paraId="7D4A4746">
      <w:pPr>
        <w:pStyle w:val="555"/>
        <w:spacing w:before="0" w:line="360" w:lineRule="auto"/>
        <w:ind w:left="0" w:firstLine="240" w:firstLineChars="1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BFD53C5">
      <w:pPr>
        <w:pStyle w:val="555"/>
        <w:spacing w:before="0" w:line="360" w:lineRule="auto"/>
        <w:ind w:left="0" w:firstLine="240" w:firstLineChars="1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　18.3</w:t>
      </w:r>
      <w:r>
        <w:rPr>
          <w:rFonts w:hint="eastAsia" w:cs="宋体" w:asciiTheme="minorEastAsia" w:hAnsiTheme="minorEastAsia" w:eastAsiaTheme="minorEastAsia"/>
          <w:b/>
          <w:sz w:val="24"/>
          <w:highlight w:val="none"/>
        </w:rPr>
        <w:t>投标文件未按时解密，投标人提供了备份投标文件的，以备份投标文件作为依据，否则视为投标文件撤回。投标文件已按时解密的，备份投标文件自动失效。</w:t>
      </w:r>
    </w:p>
    <w:p w14:paraId="02543D53">
      <w:pPr>
        <w:pStyle w:val="555"/>
        <w:spacing w:before="0" w:line="360" w:lineRule="auto"/>
        <w:ind w:left="0" w:leftChars="0" w:firstLine="0" w:firstLineChars="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4B36454F">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552CAF84">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70EC2B1">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100752B6">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1981F80">
      <w:pPr>
        <w:pStyle w:val="129"/>
        <w:spacing w:before="0"/>
        <w:ind w:firstLine="480"/>
        <w:rPr>
          <w:rFonts w:hint="eastAsia" w:ascii="宋体" w:hAnsi="宋体" w:cs="宋体"/>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451D27F">
      <w:pPr>
        <w:pStyle w:val="129"/>
        <w:spacing w:before="0"/>
        <w:ind w:left="0" w:leftChars="0"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20、信用信息查询</w:t>
      </w:r>
    </w:p>
    <w:p w14:paraId="50EC49BC">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20.1信用信息查询渠道及截止时间：采购机构将在资格审查时通过“信用中国”网站(www.creditchina.gov.cn)、中国政府采购网(www.ccgp.gov.cn)渠道查询投标人接受资格时的信用记录。</w:t>
      </w:r>
    </w:p>
    <w:p w14:paraId="4A3E9B22">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20.2信用信息查询记录和证据留存的具体方式：现场查询的投标人的信用记录、查询结果经确认后将与采购文件一起存档。</w:t>
      </w:r>
    </w:p>
    <w:p w14:paraId="799B91C9">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20.3信用信息的使用规则：经查询列入失信被执行人名单、重大税收违法案件当事人名单、政府采购严重违法失信行为记录名单的投标人将被拒绝参与政府采购活动。</w:t>
      </w:r>
    </w:p>
    <w:p w14:paraId="0408D9A6">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highlight w:val="none"/>
        </w:rPr>
        <w:t>。</w:t>
      </w:r>
    </w:p>
    <w:p w14:paraId="6016DFDB">
      <w:pPr>
        <w:pStyle w:val="129"/>
        <w:spacing w:before="0"/>
        <w:ind w:firstLine="0" w:firstLineChars="0"/>
        <w:rPr>
          <w:rFonts w:cs="宋体" w:asciiTheme="minorEastAsia" w:hAnsiTheme="minorEastAsia" w:eastAsiaTheme="minorEastAsia"/>
          <w:kern w:val="0"/>
          <w:szCs w:val="24"/>
          <w:highlight w:val="none"/>
        </w:rPr>
      </w:pPr>
    </w:p>
    <w:p w14:paraId="53DBC0F7">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五、评标</w:t>
      </w:r>
    </w:p>
    <w:p w14:paraId="5A006B9A">
      <w:pPr>
        <w:spacing w:line="360" w:lineRule="auto"/>
        <w:rPr>
          <w:rFonts w:cs="宋体" w:asciiTheme="minorEastAsia" w:hAnsiTheme="minorEastAsia" w:eastAsiaTheme="minorEastAsia"/>
          <w:b/>
          <w:sz w:val="24"/>
          <w:highlight w:val="none"/>
        </w:rPr>
      </w:pPr>
      <w:bookmarkStart w:id="19" w:name="_Toc91899903"/>
      <w:r>
        <w:rPr>
          <w:rFonts w:hint="eastAsia" w:cs="宋体" w:asciiTheme="minorEastAsia" w:hAnsiTheme="minorEastAsia" w:eastAsiaTheme="minorEastAsia"/>
          <w:b/>
          <w:sz w:val="24"/>
          <w:highlight w:val="none"/>
        </w:rPr>
        <w:t>21.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highlight w:val="none"/>
        </w:rPr>
        <w:t>详见招标文件第四部分评标办法。</w:t>
      </w:r>
    </w:p>
    <w:p w14:paraId="538AB690">
      <w:pPr>
        <w:spacing w:line="360" w:lineRule="auto"/>
        <w:rPr>
          <w:rFonts w:cs="宋体" w:asciiTheme="minorEastAsia" w:hAnsiTheme="minorEastAsia" w:eastAsiaTheme="minorEastAsia"/>
          <w:b/>
          <w:sz w:val="24"/>
          <w:highlight w:val="none"/>
        </w:rPr>
      </w:pPr>
    </w:p>
    <w:p w14:paraId="28C5A6E5">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六、定 标</w:t>
      </w:r>
    </w:p>
    <w:p w14:paraId="49DFA289">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22. 确定中标供应商</w:t>
      </w:r>
    </w:p>
    <w:p w14:paraId="393EE8C6">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5355635A">
      <w:pPr>
        <w:pStyle w:val="129"/>
        <w:snapToGrid w:val="0"/>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23. 中标通知与中标结果公告</w:t>
      </w:r>
    </w:p>
    <w:p w14:paraId="5BDA8190">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23.1自中标人确定之日起2个工作日内，采购机构通过电子交易平台向中标人发出中标通知书，同时编制发布采购结果公告。采购机构也可以以纸质形式进行中标通知。</w:t>
      </w:r>
    </w:p>
    <w:p w14:paraId="5E3DA85C">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20" w:name="_Hlk101184471"/>
      <w:r>
        <w:rPr>
          <w:rFonts w:hint="eastAsia" w:cs="宋体" w:asciiTheme="minorEastAsia" w:hAnsiTheme="minorEastAsia" w:eastAsiaTheme="minorEastAsia"/>
          <w:sz w:val="24"/>
          <w:highlight w:val="none"/>
        </w:rPr>
        <w:t>资格审查情况、评审专家抽取规则、符合性审查情况、</w:t>
      </w:r>
      <w:bookmarkEnd w:id="20"/>
      <w:r>
        <w:rPr>
          <w:rFonts w:hint="eastAsia" w:cs="宋体" w:asciiTheme="minorEastAsia" w:hAnsiTheme="minorEastAsia" w:eastAsiaTheme="minorEastAsia"/>
          <w:sz w:val="24"/>
          <w:highlight w:val="none"/>
        </w:rPr>
        <w:t>未中标情况说明、中标公告期限以及评审专家名单、评分汇总及明细。</w:t>
      </w:r>
    </w:p>
    <w:p w14:paraId="60F91646">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23.3公告期限为1个工作日。</w:t>
      </w:r>
    </w:p>
    <w:p w14:paraId="4F8401AB">
      <w:pPr>
        <w:spacing w:line="360" w:lineRule="auto"/>
        <w:rPr>
          <w:rFonts w:cs="宋体" w:asciiTheme="minorEastAsia" w:hAnsiTheme="minorEastAsia" w:eastAsiaTheme="minorEastAsia"/>
          <w:b/>
          <w:sz w:val="24"/>
          <w:highlight w:val="none"/>
        </w:rPr>
      </w:pPr>
    </w:p>
    <w:p w14:paraId="0D64D731">
      <w:pPr>
        <w:snapToGrid w:val="0"/>
        <w:spacing w:line="360" w:lineRule="auto"/>
        <w:ind w:left="120" w:leftChars="57" w:firstLine="482" w:firstLineChars="150"/>
        <w:jc w:val="center"/>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七、合同授予</w:t>
      </w:r>
    </w:p>
    <w:p w14:paraId="6A1DC96F">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 xml:space="preserve">24. </w:t>
      </w:r>
      <w:r>
        <w:rPr>
          <w:rFonts w:hint="eastAsia" w:cs="宋体" w:asciiTheme="minorEastAsia" w:hAnsiTheme="minorEastAsia" w:eastAsiaTheme="minorEastAsia"/>
          <w:highlight w:val="none"/>
        </w:rPr>
        <w:t>合同主要条款详见第五部分拟签订的合同文本。</w:t>
      </w:r>
    </w:p>
    <w:p w14:paraId="04B56B05">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25. 合同的签订</w:t>
      </w:r>
    </w:p>
    <w:p w14:paraId="1CC153CB">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25.1</w:t>
      </w:r>
      <w:r>
        <w:rPr>
          <w:rFonts w:hint="eastAsia" w:cs="宋体" w:asciiTheme="minorEastAsia" w:hAnsiTheme="minorEastAsia" w:eastAsiaTheme="minorEastAsia"/>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BD397C">
      <w:pPr>
        <w:pStyle w:val="129"/>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28FA52A">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25.3如签订合同并生效后，供应商无故拒绝或延期，除按照合同条款处理外，列入不良行为记录一次，并给予通报。</w:t>
      </w:r>
    </w:p>
    <w:p w14:paraId="4047CF39">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25.4中标供应商拒绝与采购人签订合同的，采购人可以按照评审报告推荐的中标或者成交候选人名单排序，确定下一候选人为中标供应商，也可以重新开展政府采购活动。</w:t>
      </w:r>
    </w:p>
    <w:p w14:paraId="22020F7F">
      <w:pPr>
        <w:pStyle w:val="129"/>
        <w:snapToGrid w:val="0"/>
        <w:spacing w:before="0" w:after="12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25.5采购合同由采购人与中标供应商根据招标文件、投标文件等内容通过政府采购电子交易平台在线签订，自动备案。</w:t>
      </w:r>
    </w:p>
    <w:p w14:paraId="00649898">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26. 履约保证金</w:t>
      </w:r>
    </w:p>
    <w:p w14:paraId="6DBF96DF">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w:t>
      </w:r>
      <w:r>
        <w:rPr>
          <w:rFonts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0302A439">
      <w:pPr>
        <w:pStyle w:val="3"/>
        <w:ind w:left="0" w:firstLine="480" w:firstLineChars="200"/>
        <w:rPr>
          <w:rFonts w:hint="eastAsia" w:cs="宋体" w:asciiTheme="minorEastAsia" w:hAnsiTheme="minorEastAsia" w:eastAsiaTheme="minorEastAsia"/>
          <w:b w:val="0"/>
          <w:bCs w:val="0"/>
          <w:snapToGrid w:val="0"/>
          <w:kern w:val="28"/>
          <w:sz w:val="24"/>
          <w:highlight w:val="none"/>
        </w:rPr>
      </w:pPr>
      <w:r>
        <w:rPr>
          <w:rFonts w:hint="eastAsia" w:cs="宋体" w:asciiTheme="minorEastAsia" w:hAnsiTheme="minorEastAsia" w:eastAsiaTheme="minorEastAsia"/>
          <w:b w:val="0"/>
          <w:bCs w:val="0"/>
          <w:snapToGrid w:val="0"/>
          <w:kern w:val="28"/>
          <w:sz w:val="24"/>
          <w:highlight w:val="none"/>
        </w:rPr>
        <w:t>供应商</w:t>
      </w:r>
      <w:r>
        <w:rPr>
          <w:rFonts w:hint="eastAsia" w:cs="宋体" w:asciiTheme="minorEastAsia" w:hAnsiTheme="minorEastAsia" w:eastAsiaTheme="minorEastAsia"/>
          <w:b w:val="0"/>
          <w:bCs w:val="0"/>
          <w:snapToGrid w:val="0"/>
          <w:kern w:val="28"/>
          <w:sz w:val="24"/>
          <w:highlight w:val="none"/>
          <w:lang w:val="en-US"/>
        </w:rPr>
        <w:t>可</w:t>
      </w:r>
      <w:r>
        <w:rPr>
          <w:rFonts w:hint="eastAsia" w:cs="宋体" w:asciiTheme="minorEastAsia" w:hAnsiTheme="minorEastAsia" w:eastAsiaTheme="minor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6975AA9">
      <w:pPr>
        <w:pStyle w:val="3"/>
        <w:rPr>
          <w:highlight w:val="none"/>
        </w:rPr>
      </w:pPr>
      <w:r>
        <w:rPr>
          <w:rFonts w:ascii="宋体" w:hAnsi="宋体" w:eastAsia="宋体"/>
          <w:b/>
          <w:bCs/>
          <w:sz w:val="24"/>
          <w:szCs w:val="32"/>
          <w:highlight w:val="none"/>
          <w:lang w:val="en-US"/>
        </w:rPr>
        <w:t>27.预付款</w:t>
      </w:r>
    </w:p>
    <w:p w14:paraId="221DEB9E">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066189DB">
      <w:pPr>
        <w:rPr>
          <w:highlight w:val="none"/>
          <w:lang w:val="en-US"/>
        </w:rPr>
      </w:pPr>
    </w:p>
    <w:p w14:paraId="0F73208D">
      <w:pPr>
        <w:snapToGrid w:val="0"/>
        <w:spacing w:line="360" w:lineRule="auto"/>
        <w:ind w:firstLine="3357" w:firstLineChars="1045"/>
        <w:rPr>
          <w:rFonts w:cs="宋体" w:asciiTheme="minorEastAsia" w:hAnsiTheme="minorEastAsia" w:eastAsiaTheme="minorEastAsia"/>
          <w:b/>
          <w:sz w:val="32"/>
          <w:highlight w:val="none"/>
        </w:rPr>
      </w:pPr>
    </w:p>
    <w:p w14:paraId="2A50FF8D">
      <w:pPr>
        <w:snapToGrid w:val="0"/>
        <w:spacing w:line="360" w:lineRule="auto"/>
        <w:ind w:firstLine="3357" w:firstLineChars="1045"/>
        <w:rPr>
          <w:rFonts w:cs="宋体" w:asciiTheme="minorEastAsia" w:hAnsiTheme="minorEastAsia" w:eastAsiaTheme="minorEastAsia"/>
          <w:b/>
          <w:sz w:val="24"/>
          <w:highlight w:val="none"/>
        </w:rPr>
      </w:pPr>
      <w:r>
        <w:rPr>
          <w:rFonts w:hint="eastAsia" w:cs="宋体" w:asciiTheme="minorEastAsia" w:hAnsiTheme="minorEastAsia" w:eastAsiaTheme="minorEastAsia"/>
          <w:b/>
          <w:sz w:val="32"/>
          <w:highlight w:val="none"/>
        </w:rPr>
        <w:t>八、电子交易活动的中止</w:t>
      </w:r>
    </w:p>
    <w:p w14:paraId="36FA090F">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b/>
          <w:szCs w:val="24"/>
          <w:highlight w:val="none"/>
          <w:lang w:val="en-US" w:eastAsia="zh-CN"/>
        </w:rPr>
        <w:t>8</w:t>
      </w:r>
      <w:r>
        <w:rPr>
          <w:rFonts w:hint="eastAsia" w:cs="宋体" w:asciiTheme="minorEastAsia" w:hAnsiTheme="minorEastAsia" w:eastAsiaTheme="minorEastAsia"/>
          <w:b/>
          <w:szCs w:val="24"/>
          <w:highlight w:val="none"/>
        </w:rPr>
        <w:t>. 电子交易活动的中止。</w:t>
      </w:r>
      <w:r>
        <w:rPr>
          <w:rFonts w:hint="eastAsia" w:cs="宋体" w:asciiTheme="minorEastAsia" w:hAnsiTheme="minorEastAsia" w:eastAsiaTheme="minorEastAsia"/>
          <w:highlight w:val="none"/>
        </w:rPr>
        <w:t>采购过程中出现以下情形，导致电子交易平台无法正常运行，或者无法保证电子交易的公平、公正和安全时，采购机构可中止电子交易活动：</w:t>
      </w:r>
    </w:p>
    <w:p w14:paraId="40CCD326">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.1电子交易平台发生故障而无法登录访问的； </w:t>
      </w:r>
    </w:p>
    <w:p w14:paraId="26E15E9C">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.2电子交易平台应用或数据库出现错误，不能进行正常操作的；</w:t>
      </w:r>
    </w:p>
    <w:p w14:paraId="6D19A3A6">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.3电子交易平台发现严重安全漏洞，有潜在泄密危险的；</w:t>
      </w:r>
    </w:p>
    <w:p w14:paraId="20EB912C">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.4病毒发作导致不能进行正常操作的； </w:t>
      </w:r>
    </w:p>
    <w:p w14:paraId="20A3735C">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.5其他无法保证电子交易的公平、公正和安全的情况。</w:t>
      </w:r>
    </w:p>
    <w:p w14:paraId="3CBE51FC">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 2</w:t>
      </w:r>
      <w:r>
        <w:rPr>
          <w:rFonts w:hint="default" w:cs="宋体" w:asciiTheme="minorEastAsia" w:hAnsiTheme="minorEastAsia" w:eastAsiaTheme="minorEastAsia"/>
          <w:highlight w:val="none"/>
          <w:lang w:val="en-US"/>
        </w:rPr>
        <w:t>9</w:t>
      </w:r>
      <w:r>
        <w:rPr>
          <w:rFonts w:hint="eastAsia" w:cs="宋体" w:asciiTheme="minorEastAsia" w:hAnsiTheme="minorEastAsia" w:eastAsiaTheme="minorEastAsia"/>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C6749D3">
      <w:pPr>
        <w:tabs>
          <w:tab w:val="left" w:pos="0"/>
        </w:tabs>
        <w:spacing w:line="360" w:lineRule="auto"/>
        <w:ind w:firstLine="480"/>
        <w:rPr>
          <w:rFonts w:cs="宋体" w:asciiTheme="minorEastAsia" w:hAnsiTheme="minorEastAsia" w:eastAsiaTheme="minorEastAsia"/>
          <w:sz w:val="24"/>
          <w:highlight w:val="none"/>
        </w:rPr>
      </w:pPr>
    </w:p>
    <w:bookmarkEnd w:id="17"/>
    <w:bookmarkEnd w:id="18"/>
    <w:bookmarkEnd w:id="19"/>
    <w:p w14:paraId="24D0336C">
      <w:pPr>
        <w:snapToGrid w:val="0"/>
        <w:spacing w:line="360" w:lineRule="auto"/>
        <w:ind w:left="120" w:leftChars="57" w:firstLine="482" w:firstLineChars="150"/>
        <w:jc w:val="center"/>
        <w:rPr>
          <w:rFonts w:ascii="宋体" w:hAnsi="宋体" w:cs="宋体"/>
          <w:b/>
          <w:sz w:val="32"/>
          <w:highlight w:val="none"/>
        </w:rPr>
      </w:pPr>
      <w:bookmarkStart w:id="21" w:name="第四部分"/>
      <w:r>
        <w:rPr>
          <w:rFonts w:hint="eastAsia" w:ascii="宋体" w:hAnsi="宋体" w:cs="宋体"/>
          <w:b/>
          <w:sz w:val="32"/>
          <w:highlight w:val="none"/>
        </w:rPr>
        <w:t>九、验收</w:t>
      </w:r>
    </w:p>
    <w:p w14:paraId="2FA20E92">
      <w:pPr>
        <w:pStyle w:val="26"/>
        <w:spacing w:line="360" w:lineRule="auto"/>
        <w:ind w:firstLine="0" w:firstLineChars="0"/>
        <w:rPr>
          <w:rFonts w:cs="宋体"/>
          <w:b/>
          <w:highlight w:val="none"/>
        </w:rPr>
      </w:pPr>
      <w:r>
        <w:rPr>
          <w:rFonts w:hint="eastAsia" w:cs="宋体"/>
          <w:b/>
          <w:highlight w:val="none"/>
        </w:rPr>
        <w:t>30.验收</w:t>
      </w:r>
    </w:p>
    <w:p w14:paraId="367C7D12">
      <w:pPr>
        <w:tabs>
          <w:tab w:val="left" w:pos="0"/>
        </w:tabs>
        <w:spacing w:line="360" w:lineRule="auto"/>
        <w:ind w:firstLine="480"/>
        <w:rPr>
          <w:rFonts w:ascii="宋体" w:hAnsi="宋体" w:cs="宋体"/>
          <w:kern w:val="0"/>
          <w:sz w:val="24"/>
        </w:rPr>
      </w:pPr>
      <w:bookmarkStart w:id="22" w:name="_Hlt68057669"/>
      <w:bookmarkEnd w:id="22"/>
      <w:bookmarkStart w:id="23" w:name="_Hlt68073093"/>
      <w:bookmarkEnd w:id="23"/>
      <w:bookmarkStart w:id="24" w:name="_Hlt75236101"/>
      <w:bookmarkEnd w:id="24"/>
      <w:bookmarkStart w:id="25" w:name="_Hlt68072990"/>
      <w:bookmarkEnd w:id="25"/>
      <w:bookmarkStart w:id="26" w:name="_Hlt75236290"/>
      <w:bookmarkEnd w:id="26"/>
      <w:bookmarkStart w:id="27" w:name="_Hlt68403820"/>
      <w:bookmarkEnd w:id="27"/>
      <w:bookmarkStart w:id="28" w:name="_Hlt74730295"/>
      <w:bookmarkEnd w:id="28"/>
      <w:bookmarkStart w:id="29" w:name="_Hlt68072998"/>
      <w:bookmarkEnd w:id="29"/>
      <w:bookmarkStart w:id="30" w:name="_Hlt74707468"/>
      <w:bookmarkEnd w:id="30"/>
      <w:bookmarkStart w:id="31" w:name="_Hlt74714665"/>
      <w:bookmarkEnd w:id="31"/>
      <w:bookmarkStart w:id="32" w:name="_Hlt74729768"/>
      <w:bookmarkEnd w:id="32"/>
      <w:bookmarkStart w:id="33" w:name="_Hlt75236011"/>
      <w:bookmarkEnd w:id="33"/>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A38E2D">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50EF6D16">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032582">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w:t>
      </w:r>
      <w:bookmarkStart w:id="34" w:name="OLE_LINK16"/>
      <w:r>
        <w:rPr>
          <w:rFonts w:hint="eastAsia" w:ascii="宋体" w:hAnsi="宋体" w:cs="宋体"/>
          <w:kern w:val="0"/>
          <w:sz w:val="24"/>
        </w:rPr>
        <w:t>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4F113A">
      <w:pPr>
        <w:pStyle w:val="964"/>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w:t>
      </w:r>
      <w:bookmarkEnd w:id="34"/>
      <w:r>
        <w:rPr>
          <w:rFonts w:hint="eastAsia" w:ascii="宋体" w:hAnsi="宋体" w:eastAsia="宋体" w:cs="宋体"/>
          <w:b w:val="0"/>
          <w:bCs w:val="0"/>
          <w:color w:val="auto"/>
          <w:kern w:val="0"/>
          <w:sz w:val="24"/>
          <w:szCs w:val="24"/>
          <w:highlight w:val="none"/>
          <w:lang w:val="en-US"/>
        </w:rPr>
        <w:t>，供应商可通过政采云平台提起在线支付申请、查询支付结果，路径为政采云-我的工作台-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B5DA8F3">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p>
    <w:p w14:paraId="55137051">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第三部分   采购需求</w:t>
      </w:r>
    </w:p>
    <w:p w14:paraId="63F6BFF4">
      <w:pPr>
        <w:spacing w:line="360" w:lineRule="auto"/>
        <w:outlineLvl w:val="1"/>
        <w:rPr>
          <w:rFonts w:ascii="宋体" w:hAnsi="宋体" w:eastAsia="宋体" w:cs="宋体"/>
          <w:b/>
          <w:bCs/>
          <w:sz w:val="24"/>
        </w:rPr>
      </w:pPr>
      <w:bookmarkStart w:id="35" w:name="_Toc5172"/>
      <w:bookmarkStart w:id="36" w:name="_Toc31454"/>
      <w:bookmarkStart w:id="37" w:name="_Toc12718"/>
      <w:bookmarkStart w:id="38" w:name="_Toc19305"/>
      <w:r>
        <w:rPr>
          <w:rFonts w:hint="eastAsia" w:ascii="宋体" w:hAnsi="宋体" w:eastAsia="宋体" w:cs="宋体"/>
          <w:b/>
          <w:bCs/>
          <w:sz w:val="24"/>
        </w:rPr>
        <w:t>一、项目建设内容</w:t>
      </w:r>
      <w:bookmarkEnd w:id="35"/>
      <w:bookmarkEnd w:id="36"/>
      <w:bookmarkEnd w:id="37"/>
      <w:bookmarkEnd w:id="38"/>
    </w:p>
    <w:p w14:paraId="08722CD5">
      <w:pPr>
        <w:spacing w:line="360" w:lineRule="auto"/>
        <w:ind w:firstLine="480" w:firstLineChars="200"/>
        <w:rPr>
          <w:rFonts w:ascii="宋体" w:hAnsi="宋体" w:eastAsia="宋体" w:cs="宋体"/>
          <w:sz w:val="24"/>
        </w:rPr>
      </w:pPr>
      <w:r>
        <w:rPr>
          <w:rFonts w:hint="eastAsia" w:ascii="宋体" w:hAnsi="宋体" w:eastAsia="宋体" w:cs="宋体"/>
          <w:sz w:val="24"/>
        </w:rPr>
        <w:t>本次警网协同系统建设定位在于依托西湖区基层智治综合应用，通过与杭州市警网协同平台打通，全量归集警网智治事件及处置全流程信息，构建待化解矛盾、靶向治理场景，实现待化解矛盾跟踪闭环、专项难题精准发力。同时基于“八个率”质效评价指标，实现工作成效的科学评价及晾晒。</w:t>
      </w:r>
    </w:p>
    <w:p w14:paraId="0CBA7759">
      <w:pPr>
        <w:numPr>
          <w:ilvl w:val="0"/>
          <w:numId w:val="1"/>
        </w:numPr>
        <w:spacing w:line="360" w:lineRule="auto"/>
        <w:outlineLvl w:val="1"/>
        <w:rPr>
          <w:rFonts w:ascii="宋体" w:hAnsi="宋体" w:eastAsia="宋体" w:cs="宋体"/>
          <w:b/>
          <w:bCs/>
          <w:sz w:val="24"/>
        </w:rPr>
      </w:pPr>
      <w:bookmarkStart w:id="39" w:name="_Toc9387"/>
      <w:bookmarkStart w:id="40" w:name="_Toc5801"/>
      <w:bookmarkStart w:id="41" w:name="_Toc8134"/>
      <w:bookmarkStart w:id="42" w:name="_Toc9243"/>
      <w:bookmarkStart w:id="43" w:name="_Toc27490"/>
      <w:bookmarkStart w:id="44" w:name="_Toc2799"/>
      <w:bookmarkStart w:id="45" w:name="_Toc4541"/>
      <w:bookmarkStart w:id="46" w:name="_Toc25445"/>
      <w:r>
        <w:rPr>
          <w:rFonts w:hint="eastAsia" w:ascii="宋体" w:hAnsi="宋体" w:eastAsia="宋体" w:cs="宋体"/>
          <w:b/>
          <w:bCs/>
          <w:sz w:val="24"/>
        </w:rPr>
        <w:t>项目建设目标</w:t>
      </w:r>
    </w:p>
    <w:p w14:paraId="389E752E">
      <w:pPr>
        <w:spacing w:line="360" w:lineRule="auto"/>
        <w:ind w:firstLine="480" w:firstLineChars="200"/>
        <w:rPr>
          <w:rFonts w:ascii="宋体" w:hAnsi="宋体" w:eastAsia="宋体" w:cs="宋体"/>
          <w:sz w:val="24"/>
        </w:rPr>
      </w:pPr>
      <w:r>
        <w:rPr>
          <w:rFonts w:ascii="宋体" w:hAnsi="宋体" w:eastAsia="宋体" w:cs="宋体"/>
          <w:sz w:val="24"/>
        </w:rPr>
        <w:t>通过平台建设进一步健全完善“监测预警、处置化解、通报考核”警源闭环管控机制，实现矛盾纠纷“发现更早、处置更快、化解更实”，纠纷警情同比下降，群众安全感满意率稳中有升。</w:t>
      </w:r>
    </w:p>
    <w:p w14:paraId="709010D6">
      <w:pPr>
        <w:spacing w:line="360" w:lineRule="auto"/>
        <w:outlineLvl w:val="1"/>
        <w:rPr>
          <w:rFonts w:ascii="宋体" w:hAnsi="宋体" w:eastAsia="宋体" w:cs="宋体"/>
          <w:b/>
          <w:bCs/>
          <w:sz w:val="24"/>
        </w:rPr>
      </w:pPr>
      <w:r>
        <w:rPr>
          <w:rFonts w:hint="eastAsia" w:ascii="宋体" w:hAnsi="宋体" w:eastAsia="宋体" w:cs="宋体"/>
          <w:b/>
          <w:bCs/>
          <w:sz w:val="24"/>
        </w:rPr>
        <w:t>三、技术要求</w:t>
      </w:r>
      <w:bookmarkEnd w:id="39"/>
      <w:bookmarkEnd w:id="40"/>
      <w:bookmarkEnd w:id="41"/>
      <w:bookmarkEnd w:id="42"/>
      <w:r>
        <w:rPr>
          <w:rFonts w:hint="eastAsia" w:ascii="宋体" w:hAnsi="宋体" w:eastAsia="宋体" w:cs="宋体"/>
          <w:b/>
          <w:bCs/>
          <w:sz w:val="24"/>
        </w:rPr>
        <w:t>及具体建设内容</w:t>
      </w:r>
    </w:p>
    <w:p w14:paraId="6AA88B69">
      <w:pPr>
        <w:pStyle w:val="4"/>
        <w:numPr>
          <w:ilvl w:val="2"/>
          <w:numId w:val="0"/>
        </w:numPr>
        <w:rPr>
          <w:rFonts w:ascii="宋体" w:hAnsi="宋体"/>
        </w:rPr>
      </w:pPr>
      <w:bookmarkStart w:id="47" w:name="_Toc31237"/>
      <w:r>
        <w:rPr>
          <w:rFonts w:hint="eastAsia" w:ascii="宋体" w:hAnsi="宋体"/>
          <w:lang w:eastAsia="zh-CN"/>
        </w:rPr>
        <w:t>1.</w:t>
      </w:r>
      <w:r>
        <w:rPr>
          <w:rFonts w:hint="eastAsia" w:ascii="宋体" w:hAnsi="宋体"/>
        </w:rPr>
        <w:t>首页总览</w:t>
      </w:r>
      <w:bookmarkEnd w:id="47"/>
      <w:r>
        <w:rPr>
          <w:rFonts w:hint="eastAsia" w:ascii="宋体" w:hAnsi="宋体"/>
        </w:rPr>
        <w:tab/>
      </w:r>
    </w:p>
    <w:p w14:paraId="281E5F67">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设置事件总览、八率、靶向治理、待化解、挂牌整治、事件来源与类型、镇街处置情况、待办事件、重要通知等，展示警网智治系统整体运行情况。</w:t>
      </w:r>
    </w:p>
    <w:p w14:paraId="36FC7C3F">
      <w:pPr>
        <w:spacing w:line="360" w:lineRule="auto"/>
        <w:ind w:firstLine="480" w:firstLineChars="200"/>
        <w:rPr>
          <w:rFonts w:ascii="宋体" w:hAnsi="宋体" w:eastAsia="宋体" w:cs="Times New Roman"/>
          <w:sz w:val="24"/>
        </w:rPr>
      </w:pPr>
      <w:r>
        <w:rPr>
          <w:rFonts w:ascii="宋体" w:hAnsi="宋体" w:eastAsia="宋体" w:cs="Times New Roman"/>
          <w:sz w:val="24"/>
        </w:rPr>
        <w:t>事件总览：按年、月、日展示事件数量。</w:t>
      </w:r>
    </w:p>
    <w:p w14:paraId="4D3DBCD6">
      <w:pPr>
        <w:spacing w:line="360" w:lineRule="auto"/>
        <w:ind w:firstLine="480" w:firstLineChars="200"/>
        <w:rPr>
          <w:rFonts w:ascii="宋体" w:hAnsi="宋体" w:eastAsia="宋体" w:cs="Times New Roman"/>
          <w:sz w:val="24"/>
        </w:rPr>
      </w:pPr>
      <w:r>
        <w:rPr>
          <w:rFonts w:ascii="宋体" w:hAnsi="宋体" w:eastAsia="宋体" w:cs="Times New Roman"/>
          <w:sz w:val="24"/>
        </w:rPr>
        <w:t>八率：展示关键数据指标，如现场到达率、事后干预率等</w:t>
      </w:r>
      <w:r>
        <w:rPr>
          <w:rFonts w:hint="eastAsia" w:ascii="宋体" w:hAnsi="宋体" w:eastAsia="宋体" w:cs="Times New Roman"/>
          <w:sz w:val="24"/>
        </w:rPr>
        <w:t>，</w:t>
      </w:r>
      <w:r>
        <w:rPr>
          <w:rFonts w:ascii="宋体" w:hAnsi="宋体" w:eastAsia="宋体" w:cs="Times New Roman"/>
          <w:sz w:val="24"/>
        </w:rPr>
        <w:t>并可查看镇街（部门）详细情况。</w:t>
      </w:r>
    </w:p>
    <w:p w14:paraId="4429DDBF">
      <w:pPr>
        <w:spacing w:line="360" w:lineRule="auto"/>
        <w:ind w:firstLine="480" w:firstLineChars="200"/>
        <w:rPr>
          <w:rFonts w:ascii="宋体" w:hAnsi="宋体" w:eastAsia="宋体" w:cs="Times New Roman"/>
          <w:sz w:val="24"/>
        </w:rPr>
      </w:pPr>
      <w:r>
        <w:rPr>
          <w:rFonts w:ascii="宋体" w:hAnsi="宋体" w:eastAsia="宋体" w:cs="Times New Roman"/>
          <w:sz w:val="24"/>
        </w:rPr>
        <w:t>靶向治理：展示治理进展及记录。</w:t>
      </w:r>
    </w:p>
    <w:p w14:paraId="233785F2">
      <w:pPr>
        <w:spacing w:line="360" w:lineRule="auto"/>
        <w:ind w:firstLine="480" w:firstLineChars="200"/>
        <w:rPr>
          <w:rFonts w:ascii="宋体" w:hAnsi="宋体" w:eastAsia="宋体" w:cs="Times New Roman"/>
          <w:sz w:val="24"/>
        </w:rPr>
      </w:pPr>
      <w:r>
        <w:rPr>
          <w:rFonts w:ascii="宋体" w:hAnsi="宋体" w:eastAsia="宋体" w:cs="Times New Roman"/>
          <w:sz w:val="24"/>
        </w:rPr>
        <w:t>待化解：展示</w:t>
      </w:r>
      <w:r>
        <w:rPr>
          <w:rFonts w:hint="eastAsia" w:ascii="宋体" w:hAnsi="宋体" w:eastAsia="宋体" w:cs="Times New Roman"/>
          <w:sz w:val="24"/>
          <w:lang w:val="en-US" w:eastAsia="zh-CN"/>
        </w:rPr>
        <w:t>待</w:t>
      </w:r>
      <w:r>
        <w:rPr>
          <w:rFonts w:ascii="宋体" w:hAnsi="宋体" w:eastAsia="宋体" w:cs="Times New Roman"/>
          <w:sz w:val="24"/>
        </w:rPr>
        <w:t>化解进度及记录。</w:t>
      </w:r>
    </w:p>
    <w:p w14:paraId="495EE924">
      <w:pPr>
        <w:spacing w:line="360" w:lineRule="auto"/>
        <w:ind w:firstLine="480" w:firstLineChars="200"/>
        <w:rPr>
          <w:rFonts w:ascii="宋体" w:hAnsi="宋体" w:eastAsia="宋体" w:cs="Times New Roman"/>
          <w:sz w:val="24"/>
        </w:rPr>
      </w:pPr>
      <w:r>
        <w:rPr>
          <w:rFonts w:ascii="宋体" w:hAnsi="宋体" w:eastAsia="宋体" w:cs="Times New Roman"/>
          <w:sz w:val="24"/>
        </w:rPr>
        <w:t>挂牌整治：展示区内挂牌整治任务信息。</w:t>
      </w:r>
    </w:p>
    <w:p w14:paraId="103DA688">
      <w:pPr>
        <w:spacing w:line="360" w:lineRule="auto"/>
        <w:ind w:firstLine="480" w:firstLineChars="200"/>
        <w:rPr>
          <w:rFonts w:ascii="宋体" w:hAnsi="宋体" w:eastAsia="宋体" w:cs="Times New Roman"/>
          <w:sz w:val="24"/>
        </w:rPr>
      </w:pPr>
      <w:r>
        <w:rPr>
          <w:rFonts w:ascii="宋体" w:hAnsi="宋体" w:eastAsia="宋体" w:cs="Times New Roman"/>
          <w:sz w:val="24"/>
        </w:rPr>
        <w:t>事件来源与类型：按照来源和类型展示事件信息。</w:t>
      </w:r>
    </w:p>
    <w:p w14:paraId="1275314A">
      <w:pPr>
        <w:spacing w:line="360" w:lineRule="auto"/>
        <w:ind w:firstLine="480" w:firstLineChars="200"/>
        <w:rPr>
          <w:rFonts w:ascii="宋体" w:hAnsi="宋体" w:eastAsia="宋体" w:cs="Times New Roman"/>
          <w:sz w:val="24"/>
        </w:rPr>
      </w:pPr>
      <w:r>
        <w:rPr>
          <w:rFonts w:ascii="宋体" w:hAnsi="宋体" w:eastAsia="宋体" w:cs="Times New Roman"/>
          <w:sz w:val="24"/>
        </w:rPr>
        <w:t>镇街处置情况：展示各镇街的处置办结情况。</w:t>
      </w:r>
    </w:p>
    <w:p w14:paraId="2AF62D4B">
      <w:pPr>
        <w:spacing w:line="360" w:lineRule="auto"/>
        <w:ind w:firstLine="480" w:firstLineChars="200"/>
        <w:rPr>
          <w:rFonts w:ascii="宋体" w:hAnsi="宋体" w:eastAsia="宋体" w:cs="Times New Roman"/>
          <w:sz w:val="24"/>
        </w:rPr>
      </w:pPr>
      <w:r>
        <w:rPr>
          <w:rFonts w:ascii="宋体" w:hAnsi="宋体" w:eastAsia="宋体" w:cs="Times New Roman"/>
          <w:sz w:val="24"/>
        </w:rPr>
        <w:t>待办事件：按流程节点展示未完成的事件，支持查看详情及操作。</w:t>
      </w:r>
    </w:p>
    <w:p w14:paraId="7A8FE3FD">
      <w:pPr>
        <w:spacing w:line="360" w:lineRule="auto"/>
        <w:ind w:firstLine="480" w:firstLineChars="200"/>
        <w:rPr>
          <w:rFonts w:ascii="宋体" w:hAnsi="宋体" w:eastAsia="宋体" w:cs="Times New Roman"/>
          <w:sz w:val="24"/>
        </w:rPr>
      </w:pPr>
      <w:r>
        <w:rPr>
          <w:rFonts w:ascii="宋体" w:hAnsi="宋体" w:eastAsia="宋体" w:cs="Times New Roman"/>
          <w:sz w:val="24"/>
        </w:rPr>
        <w:t>重要通知：按时间顺序展示领导发布的工作通知及专项任务。</w:t>
      </w:r>
    </w:p>
    <w:p w14:paraId="6934DF60">
      <w:pPr>
        <w:pStyle w:val="4"/>
        <w:numPr>
          <w:ilvl w:val="2"/>
          <w:numId w:val="0"/>
        </w:numPr>
      </w:pPr>
      <w:bookmarkStart w:id="48" w:name="_Toc26469"/>
      <w:r>
        <w:rPr>
          <w:rFonts w:hint="eastAsia"/>
          <w:lang w:eastAsia="zh-CN"/>
        </w:rPr>
        <w:t>2.</w:t>
      </w:r>
      <w:r>
        <w:rPr>
          <w:rFonts w:hint="eastAsia"/>
        </w:rPr>
        <w:t>待化解矛盾</w:t>
      </w:r>
      <w:bookmarkEnd w:id="48"/>
    </w:p>
    <w:p w14:paraId="56FED772">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支持待化解列表、智能搜索、待化解详情、转待化解、待化解二次编辑、反馈记录、待化解归档、待化解业务等功能模块，展示待化解矛盾处置流程信息。</w:t>
      </w:r>
    </w:p>
    <w:p w14:paraId="1BDB7600">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待化解列表：展示全区所有待化解矛盾，支持分页查看</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6E84DDAD">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智能搜索：通过来源、发生时间、内容关键词等进行搜索。</w:t>
      </w:r>
    </w:p>
    <w:p w14:paraId="37FDBD3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待化解详情：展示</w:t>
      </w:r>
      <w:r>
        <w:rPr>
          <w:rFonts w:hint="eastAsia" w:ascii="宋体" w:hAnsi="宋体" w:eastAsia="宋体" w:cs="Times New Roman"/>
          <w:sz w:val="24"/>
          <w:highlight w:val="none"/>
          <w:lang w:val="en-US" w:eastAsia="zh-CN"/>
        </w:rPr>
        <w:t>待化解</w:t>
      </w:r>
      <w:r>
        <w:rPr>
          <w:rFonts w:hint="eastAsia" w:ascii="宋体" w:hAnsi="宋体" w:eastAsia="宋体" w:cs="Times New Roman"/>
          <w:sz w:val="24"/>
          <w:highlight w:val="none"/>
        </w:rPr>
        <w:t>矛盾详</w:t>
      </w:r>
      <w:r>
        <w:rPr>
          <w:rFonts w:hint="eastAsia" w:ascii="宋体" w:hAnsi="宋体" w:eastAsia="宋体" w:cs="Times New Roman"/>
          <w:sz w:val="24"/>
          <w:highlight w:val="none"/>
          <w:lang w:val="en-US" w:eastAsia="zh-CN"/>
        </w:rPr>
        <w:t>情</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显示警情相关内容及转入待化解模块的相关内容</w:t>
      </w:r>
      <w:r>
        <w:rPr>
          <w:rFonts w:hint="eastAsia" w:ascii="宋体" w:hAnsi="宋体" w:eastAsia="宋体" w:cs="Times New Roman"/>
          <w:b/>
          <w:bCs/>
          <w:sz w:val="24"/>
          <w:highlight w:val="none"/>
          <w:lang w:val="en-US" w:eastAsia="zh-CN"/>
        </w:rPr>
        <w:t>（提供演示）</w:t>
      </w:r>
      <w:r>
        <w:rPr>
          <w:rFonts w:hint="eastAsia" w:ascii="宋体" w:hAnsi="宋体" w:eastAsia="宋体" w:cs="Times New Roman"/>
          <w:sz w:val="24"/>
          <w:highlight w:val="none"/>
        </w:rPr>
        <w:t>。</w:t>
      </w:r>
    </w:p>
    <w:p w14:paraId="157224E6">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转待化解：支持将事件转入待化解模块，并选择指派组织、反馈方式等信息。</w:t>
      </w:r>
    </w:p>
    <w:p w14:paraId="29A3DAC4">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待化解二次编辑：</w:t>
      </w:r>
      <w:r>
        <w:rPr>
          <w:rFonts w:hint="eastAsia" w:ascii="宋体" w:hAnsi="宋体" w:eastAsia="宋体" w:cs="宋体"/>
          <w:color w:val="000000"/>
          <w:kern w:val="0"/>
          <w:sz w:val="24"/>
          <w:highlight w:val="none"/>
          <w:lang w:bidi="ar"/>
        </w:rPr>
        <w:t>支持对已转待化解矛盾进行重新编辑，重新选择指派组织，反馈方式、反馈截止时间、办理意见、转入原因等</w:t>
      </w:r>
      <w:r>
        <w:rPr>
          <w:rFonts w:hint="eastAsia" w:ascii="宋体" w:hAnsi="宋体" w:eastAsia="宋体" w:cs="宋体"/>
          <w:b/>
          <w:bCs/>
          <w:color w:val="000000"/>
          <w:kern w:val="0"/>
          <w:sz w:val="24"/>
          <w:highlight w:val="none"/>
          <w:lang w:eastAsia="zh-CN" w:bidi="ar"/>
        </w:rPr>
        <w:t>（提供演示）</w:t>
      </w:r>
      <w:r>
        <w:rPr>
          <w:rFonts w:hint="eastAsia" w:ascii="宋体" w:hAnsi="宋体" w:eastAsia="宋体" w:cs="宋体"/>
          <w:color w:val="000000"/>
          <w:kern w:val="0"/>
          <w:sz w:val="24"/>
          <w:highlight w:val="none"/>
          <w:lang w:bidi="ar"/>
        </w:rPr>
        <w:t>。</w:t>
      </w:r>
    </w:p>
    <w:p w14:paraId="5AC06B4B">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反馈记录：</w:t>
      </w:r>
      <w:r>
        <w:rPr>
          <w:rFonts w:hint="eastAsia" w:ascii="宋体" w:hAnsi="宋体" w:eastAsia="宋体" w:cs="Times New Roman"/>
          <w:sz w:val="24"/>
          <w:highlight w:val="none"/>
          <w:lang w:val="en-US" w:eastAsia="zh-CN"/>
        </w:rPr>
        <w:t>支持</w:t>
      </w:r>
      <w:r>
        <w:rPr>
          <w:rFonts w:hint="eastAsia" w:ascii="宋体" w:hAnsi="宋体" w:eastAsia="宋体" w:cs="Times New Roman"/>
          <w:sz w:val="24"/>
          <w:highlight w:val="none"/>
        </w:rPr>
        <w:t>展示</w:t>
      </w:r>
      <w:r>
        <w:rPr>
          <w:rFonts w:hint="eastAsia" w:ascii="宋体" w:hAnsi="宋体" w:eastAsia="宋体" w:cs="Times New Roman"/>
          <w:sz w:val="24"/>
          <w:highlight w:val="none"/>
          <w:lang w:val="en-US" w:eastAsia="zh-CN"/>
        </w:rPr>
        <w:t>待化解</w:t>
      </w:r>
      <w:r>
        <w:rPr>
          <w:rFonts w:hint="eastAsia" w:ascii="宋体" w:hAnsi="宋体" w:eastAsia="宋体" w:cs="Times New Roman"/>
          <w:sz w:val="24"/>
          <w:highlight w:val="none"/>
        </w:rPr>
        <w:t>矛盾</w:t>
      </w:r>
      <w:r>
        <w:rPr>
          <w:rFonts w:hint="eastAsia" w:ascii="宋体" w:hAnsi="宋体" w:eastAsia="宋体" w:cs="Times New Roman"/>
          <w:sz w:val="24"/>
          <w:highlight w:val="none"/>
          <w:lang w:val="en-US" w:eastAsia="zh-CN"/>
        </w:rPr>
        <w:t>全部</w:t>
      </w:r>
      <w:r>
        <w:rPr>
          <w:rFonts w:hint="eastAsia" w:ascii="宋体" w:hAnsi="宋体" w:eastAsia="宋体" w:cs="Times New Roman"/>
          <w:sz w:val="24"/>
          <w:highlight w:val="none"/>
        </w:rPr>
        <w:t>反馈记录，包括反馈内容、反馈组织和反馈时间</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6E407B9A">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待化解归档：支持对待化解矛盾进行归档，并选择归档单位。</w:t>
      </w:r>
    </w:p>
    <w:p w14:paraId="7DF89C12">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待化解业务流程：设计待化解矛盾的全过程业务流程，包括发起、指派、处置和关闭。</w:t>
      </w:r>
    </w:p>
    <w:p w14:paraId="7726A5E8">
      <w:pPr>
        <w:pStyle w:val="4"/>
        <w:numPr>
          <w:ilvl w:val="2"/>
          <w:numId w:val="0"/>
        </w:numPr>
        <w:rPr>
          <w:highlight w:val="none"/>
        </w:rPr>
      </w:pPr>
      <w:bookmarkStart w:id="49" w:name="_Toc9005"/>
      <w:r>
        <w:rPr>
          <w:rFonts w:hint="eastAsia"/>
          <w:highlight w:val="none"/>
          <w:lang w:eastAsia="zh-CN"/>
        </w:rPr>
        <w:t>3.</w:t>
      </w:r>
      <w:r>
        <w:rPr>
          <w:rFonts w:hint="eastAsia"/>
          <w:highlight w:val="none"/>
        </w:rPr>
        <w:t>靶向治理</w:t>
      </w:r>
      <w:bookmarkEnd w:id="49"/>
    </w:p>
    <w:p w14:paraId="736C7EE5">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支持针对靶向治理的创建、智能搜索、列表展示、撤销、详情查看、反馈、业务流程设计开发等功能。</w:t>
      </w:r>
    </w:p>
    <w:p w14:paraId="68C971AB">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创建治理：通过</w:t>
      </w:r>
      <w:r>
        <w:rPr>
          <w:rFonts w:hint="eastAsia" w:ascii="宋体" w:hAnsi="宋体" w:eastAsia="宋体" w:cs="Times New Roman"/>
          <w:sz w:val="24"/>
          <w:highlight w:val="none"/>
          <w:lang w:val="en-US" w:eastAsia="zh-CN"/>
        </w:rPr>
        <w:t>引用</w:t>
      </w:r>
      <w:r>
        <w:rPr>
          <w:rFonts w:hint="eastAsia" w:ascii="宋体" w:hAnsi="宋体" w:eastAsia="宋体" w:cs="Times New Roman"/>
          <w:sz w:val="24"/>
          <w:highlight w:val="none"/>
        </w:rPr>
        <w:t>已有的警网智治事件发起靶向治理任务</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0A3384E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智能搜索：支持通过关键词进行靶向治理搜索</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5DAED9D8">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治理列表：展示我发起</w:t>
      </w:r>
      <w:r>
        <w:rPr>
          <w:rFonts w:hint="eastAsia" w:ascii="宋体" w:hAnsi="宋体" w:eastAsia="宋体" w:cs="Times New Roman"/>
          <w:sz w:val="24"/>
          <w:highlight w:val="none"/>
          <w:lang w:val="en-US" w:eastAsia="zh-CN"/>
        </w:rPr>
        <w:t>和收到</w:t>
      </w:r>
      <w:r>
        <w:rPr>
          <w:rFonts w:hint="eastAsia" w:ascii="宋体" w:hAnsi="宋体" w:eastAsia="宋体" w:cs="Times New Roman"/>
          <w:sz w:val="24"/>
          <w:highlight w:val="none"/>
        </w:rPr>
        <w:t>的靶向治理，支持分页查看。</w:t>
      </w:r>
    </w:p>
    <w:p w14:paraId="11D28FAB">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撤销治理：支持撤销自己发起的靶向治理任务。</w:t>
      </w:r>
    </w:p>
    <w:p w14:paraId="1E27EDC6">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治理详情：展示靶向治理的详细信息，包括治理标题、类型、对象、截止时间、内容、反馈等，并可查看引用的警网智治事件的全流程数据</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79E7AB49">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反馈治理：对需要反馈的靶向治理进行反馈</w:t>
      </w:r>
      <w:r>
        <w:rPr>
          <w:rFonts w:hint="eastAsia" w:ascii="宋体" w:hAnsi="宋体" w:eastAsia="宋体" w:cs="Times New Roman"/>
          <w:b/>
          <w:bCs/>
          <w:sz w:val="24"/>
          <w:highlight w:val="none"/>
          <w:lang w:eastAsia="zh-CN"/>
        </w:rPr>
        <w:t>（提供演示）</w:t>
      </w:r>
      <w:r>
        <w:rPr>
          <w:rFonts w:hint="eastAsia" w:ascii="宋体" w:hAnsi="宋体" w:eastAsia="宋体" w:cs="Times New Roman"/>
          <w:sz w:val="24"/>
          <w:highlight w:val="none"/>
        </w:rPr>
        <w:t>。</w:t>
      </w:r>
    </w:p>
    <w:p w14:paraId="29908008">
      <w:pPr>
        <w:spacing w:line="360" w:lineRule="auto"/>
        <w:ind w:firstLine="480" w:firstLineChars="200"/>
        <w:rPr>
          <w:rFonts w:ascii="宋体" w:hAnsi="宋体" w:eastAsia="宋体" w:cs="Times New Roman"/>
          <w:sz w:val="24"/>
        </w:rPr>
      </w:pPr>
      <w:r>
        <w:rPr>
          <w:rFonts w:hint="eastAsia" w:ascii="宋体" w:hAnsi="宋体" w:eastAsia="宋体" w:cs="Times New Roman"/>
          <w:sz w:val="24"/>
          <w:highlight w:val="none"/>
        </w:rPr>
        <w:t>靶向治理业务流程：设计和开发靶向治理的全过程业务流程，包括发起、指派、处置和关闭等。</w:t>
      </w:r>
    </w:p>
    <w:p w14:paraId="068B31E5">
      <w:pPr>
        <w:pStyle w:val="4"/>
        <w:numPr>
          <w:ilvl w:val="2"/>
          <w:numId w:val="0"/>
        </w:numPr>
      </w:pPr>
      <w:bookmarkStart w:id="50" w:name="_Toc9097"/>
      <w:r>
        <w:rPr>
          <w:rFonts w:hint="eastAsia"/>
          <w:lang w:eastAsia="zh-CN"/>
        </w:rPr>
        <w:t>4.</w:t>
      </w:r>
      <w:r>
        <w:rPr>
          <w:rFonts w:hint="eastAsia"/>
        </w:rPr>
        <w:t>警网智治事件信息</w:t>
      </w:r>
      <w:bookmarkEnd w:id="50"/>
    </w:p>
    <w:p w14:paraId="65663BC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支持警网智治事件信息的全流程展示、智能搜索、转跟踪处理。</w:t>
      </w:r>
    </w:p>
    <w:p w14:paraId="49B3BA7D">
      <w:pPr>
        <w:spacing w:line="360" w:lineRule="auto"/>
        <w:ind w:firstLine="480" w:firstLineChars="200"/>
        <w:rPr>
          <w:rFonts w:ascii="宋体" w:hAnsi="宋体" w:eastAsia="宋体" w:cs="Times New Roman"/>
          <w:sz w:val="24"/>
        </w:rPr>
      </w:pPr>
      <w:r>
        <w:rPr>
          <w:rFonts w:ascii="宋体" w:hAnsi="宋体" w:eastAsia="宋体" w:cs="Times New Roman"/>
          <w:sz w:val="24"/>
        </w:rPr>
        <w:t>全流程展示：展示警网协同事件的全量信息及处置流程。</w:t>
      </w:r>
    </w:p>
    <w:p w14:paraId="6D2AD259">
      <w:pPr>
        <w:spacing w:line="360" w:lineRule="auto"/>
        <w:ind w:firstLine="480" w:firstLineChars="200"/>
        <w:rPr>
          <w:rFonts w:ascii="宋体" w:hAnsi="宋体" w:eastAsia="宋体" w:cs="Times New Roman"/>
          <w:sz w:val="24"/>
        </w:rPr>
      </w:pPr>
      <w:r>
        <w:rPr>
          <w:rFonts w:ascii="宋体" w:hAnsi="宋体" w:eastAsia="宋体" w:cs="Times New Roman"/>
          <w:sz w:val="24"/>
        </w:rPr>
        <w:t>智能搜索：提供按单号、流程节点、详情等关键字段进行检索的功能。</w:t>
      </w:r>
    </w:p>
    <w:p w14:paraId="2FDC6942">
      <w:pPr>
        <w:spacing w:line="360" w:lineRule="auto"/>
        <w:ind w:firstLine="480" w:firstLineChars="200"/>
        <w:rPr>
          <w:rFonts w:ascii="宋体" w:hAnsi="宋体" w:eastAsia="宋体" w:cs="Times New Roman"/>
          <w:sz w:val="24"/>
        </w:rPr>
      </w:pPr>
      <w:r>
        <w:rPr>
          <w:rFonts w:ascii="宋体" w:hAnsi="宋体" w:eastAsia="宋体" w:cs="Times New Roman"/>
          <w:sz w:val="24"/>
        </w:rPr>
        <w:t>转跟踪处理：支持将需要二次跟进的事件转入跟踪处理，处理完成后再进行关闭。</w:t>
      </w:r>
    </w:p>
    <w:p w14:paraId="20DF4E3C">
      <w:pPr>
        <w:pStyle w:val="4"/>
        <w:numPr>
          <w:ilvl w:val="2"/>
          <w:numId w:val="0"/>
        </w:numPr>
      </w:pPr>
      <w:bookmarkStart w:id="51" w:name="_Toc2311"/>
      <w:r>
        <w:rPr>
          <w:rFonts w:hint="eastAsia"/>
          <w:lang w:eastAsia="zh-CN"/>
        </w:rPr>
        <w:t>5.</w:t>
      </w:r>
      <w:r>
        <w:rPr>
          <w:rFonts w:hint="eastAsia"/>
        </w:rPr>
        <w:t>事件关联</w:t>
      </w:r>
      <w:bookmarkEnd w:id="51"/>
    </w:p>
    <w:p w14:paraId="728BCF96">
      <w:pPr>
        <w:spacing w:line="360" w:lineRule="auto"/>
        <w:ind w:firstLine="420"/>
        <w:rPr>
          <w:rFonts w:ascii="宋体" w:hAnsi="宋体" w:eastAsia="宋体" w:cs="Times New Roman"/>
          <w:sz w:val="24"/>
        </w:rPr>
      </w:pPr>
      <w:r>
        <w:rPr>
          <w:rFonts w:hint="eastAsia" w:ascii="宋体" w:hAnsi="宋体" w:eastAsia="宋体" w:cs="Times New Roman"/>
          <w:sz w:val="24"/>
        </w:rPr>
        <w:t>提供事件合并关联，智能定位，关联取消等功能。</w:t>
      </w:r>
    </w:p>
    <w:p w14:paraId="1C383AB2">
      <w:pPr>
        <w:spacing w:line="360" w:lineRule="auto"/>
        <w:ind w:firstLine="420"/>
        <w:rPr>
          <w:rFonts w:ascii="宋体" w:hAnsi="宋体" w:eastAsia="宋体" w:cs="Times New Roman"/>
          <w:sz w:val="24"/>
        </w:rPr>
      </w:pPr>
      <w:r>
        <w:rPr>
          <w:rFonts w:ascii="宋体" w:hAnsi="宋体" w:eastAsia="宋体" w:cs="Times New Roman"/>
          <w:sz w:val="24"/>
        </w:rPr>
        <w:t>事件合并关联：支持对重复报警等事件进行合并关联。</w:t>
      </w:r>
    </w:p>
    <w:p w14:paraId="7CA8951D">
      <w:pPr>
        <w:spacing w:line="360" w:lineRule="auto"/>
        <w:ind w:firstLine="420"/>
        <w:rPr>
          <w:rFonts w:ascii="宋体" w:hAnsi="宋体" w:eastAsia="宋体" w:cs="Times New Roman"/>
          <w:sz w:val="24"/>
        </w:rPr>
      </w:pPr>
      <w:r>
        <w:rPr>
          <w:rFonts w:ascii="宋体" w:hAnsi="宋体" w:eastAsia="宋体" w:cs="Times New Roman"/>
          <w:sz w:val="24"/>
        </w:rPr>
        <w:t>智能定位：通过一个事件展示相关联事件。</w:t>
      </w:r>
    </w:p>
    <w:p w14:paraId="51E6984B">
      <w:pPr>
        <w:spacing w:line="360" w:lineRule="auto"/>
        <w:ind w:firstLine="420"/>
        <w:rPr>
          <w:rFonts w:ascii="宋体" w:hAnsi="宋体" w:eastAsia="宋体" w:cs="Times New Roman"/>
          <w:sz w:val="24"/>
        </w:rPr>
      </w:pPr>
      <w:r>
        <w:rPr>
          <w:rFonts w:ascii="宋体" w:hAnsi="宋体" w:eastAsia="宋体" w:cs="Times New Roman"/>
          <w:sz w:val="24"/>
        </w:rPr>
        <w:t>关联取消：支持取消已关联的事件</w:t>
      </w:r>
      <w:r>
        <w:rPr>
          <w:rFonts w:hint="eastAsia" w:ascii="宋体" w:hAnsi="宋体" w:eastAsia="宋体" w:cs="Times New Roman"/>
          <w:sz w:val="24"/>
        </w:rPr>
        <w:t>。</w:t>
      </w:r>
    </w:p>
    <w:p w14:paraId="700B7093">
      <w:pPr>
        <w:pStyle w:val="4"/>
        <w:numPr>
          <w:ilvl w:val="2"/>
          <w:numId w:val="0"/>
        </w:numPr>
      </w:pPr>
      <w:bookmarkStart w:id="52" w:name="_Toc24520"/>
      <w:r>
        <w:rPr>
          <w:rFonts w:hint="eastAsia"/>
          <w:lang w:eastAsia="zh-CN"/>
        </w:rPr>
        <w:t>6.</w:t>
      </w:r>
      <w:r>
        <w:rPr>
          <w:rFonts w:hint="eastAsia"/>
        </w:rPr>
        <w:t>事件打标</w:t>
      </w:r>
      <w:bookmarkEnd w:id="52"/>
      <w:r>
        <w:rPr>
          <w:rFonts w:hint="eastAsia"/>
        </w:rPr>
        <w:tab/>
      </w:r>
    </w:p>
    <w:p w14:paraId="3005B122">
      <w:pPr>
        <w:spacing w:line="360" w:lineRule="auto"/>
        <w:ind w:firstLine="420"/>
        <w:rPr>
          <w:rFonts w:ascii="宋体" w:hAnsi="宋体" w:eastAsia="宋体" w:cs="Times New Roman"/>
          <w:sz w:val="24"/>
        </w:rPr>
      </w:pPr>
      <w:bookmarkStart w:id="53" w:name="_Toc21766"/>
      <w:r>
        <w:rPr>
          <w:rFonts w:hint="eastAsia" w:ascii="宋体" w:hAnsi="宋体" w:eastAsia="宋体" w:cs="Times New Roman"/>
          <w:sz w:val="24"/>
        </w:rPr>
        <w:t>提供针对全量警网事件打标功能，为研判分析提供支撑。</w:t>
      </w:r>
    </w:p>
    <w:p w14:paraId="30DA70CE">
      <w:pPr>
        <w:pStyle w:val="4"/>
        <w:numPr>
          <w:ilvl w:val="2"/>
          <w:numId w:val="0"/>
        </w:numPr>
      </w:pPr>
      <w:r>
        <w:rPr>
          <w:rFonts w:hint="eastAsia"/>
          <w:lang w:eastAsia="zh-CN"/>
        </w:rPr>
        <w:t>7.</w:t>
      </w:r>
      <w:r>
        <w:rPr>
          <w:rFonts w:hint="eastAsia"/>
        </w:rPr>
        <w:t>分析研判</w:t>
      </w:r>
      <w:bookmarkEnd w:id="53"/>
    </w:p>
    <w:p w14:paraId="70957733">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针对重复报警、区域高发、高发时段的分析研判。</w:t>
      </w:r>
    </w:p>
    <w:p w14:paraId="2FBAA271">
      <w:pPr>
        <w:spacing w:line="360" w:lineRule="auto"/>
        <w:ind w:firstLine="480" w:firstLineChars="200"/>
        <w:rPr>
          <w:rFonts w:ascii="宋体" w:hAnsi="宋体" w:eastAsia="宋体" w:cs="Times New Roman"/>
          <w:sz w:val="24"/>
        </w:rPr>
      </w:pPr>
      <w:r>
        <w:rPr>
          <w:rFonts w:ascii="宋体" w:hAnsi="宋体" w:eastAsia="宋体" w:cs="Times New Roman"/>
          <w:sz w:val="24"/>
        </w:rPr>
        <w:t>重复报警分析：通过对报警</w:t>
      </w:r>
      <w:r>
        <w:rPr>
          <w:rFonts w:hint="eastAsia" w:ascii="宋体" w:hAnsi="宋体" w:eastAsia="宋体" w:cs="Times New Roman"/>
          <w:sz w:val="24"/>
        </w:rPr>
        <w:t>的基本信息进</w:t>
      </w:r>
      <w:r>
        <w:rPr>
          <w:rFonts w:ascii="宋体" w:hAnsi="宋体" w:eastAsia="宋体" w:cs="Times New Roman"/>
          <w:sz w:val="24"/>
        </w:rPr>
        <w:t>行比对，识别重复报警情况，并设定阈值，对超过阈值的报警进行提醒。</w:t>
      </w:r>
    </w:p>
    <w:p w14:paraId="08728443">
      <w:pPr>
        <w:spacing w:line="360" w:lineRule="auto"/>
        <w:ind w:firstLine="480" w:firstLineChars="200"/>
        <w:rPr>
          <w:rFonts w:ascii="宋体" w:hAnsi="宋体" w:eastAsia="宋体" w:cs="Times New Roman"/>
          <w:sz w:val="24"/>
        </w:rPr>
      </w:pPr>
      <w:r>
        <w:rPr>
          <w:rFonts w:ascii="宋体" w:hAnsi="宋体" w:eastAsia="宋体" w:cs="Times New Roman"/>
          <w:sz w:val="24"/>
        </w:rPr>
        <w:t>区域高发分析：利用地理信息和统计方法，按社区或网格辖区统计报警频率，并通过可视化</w:t>
      </w:r>
      <w:r>
        <w:rPr>
          <w:rFonts w:hint="eastAsia" w:ascii="宋体" w:hAnsi="宋体" w:eastAsia="宋体" w:cs="Times New Roman"/>
          <w:sz w:val="24"/>
        </w:rPr>
        <w:t>工具</w:t>
      </w:r>
      <w:r>
        <w:rPr>
          <w:rFonts w:ascii="宋体" w:hAnsi="宋体" w:eastAsia="宋体" w:cs="Times New Roman"/>
          <w:sz w:val="24"/>
        </w:rPr>
        <w:t>，及时预警高报警频率的区域。</w:t>
      </w:r>
    </w:p>
    <w:p w14:paraId="0B7BA8DE">
      <w:pPr>
        <w:spacing w:line="360" w:lineRule="auto"/>
        <w:ind w:firstLine="480" w:firstLineChars="200"/>
        <w:rPr>
          <w:rFonts w:ascii="宋体" w:hAnsi="宋体" w:eastAsia="宋体" w:cs="Times New Roman"/>
          <w:sz w:val="24"/>
        </w:rPr>
      </w:pPr>
      <w:r>
        <w:rPr>
          <w:rFonts w:ascii="宋体" w:hAnsi="宋体" w:eastAsia="宋体" w:cs="Times New Roman"/>
          <w:sz w:val="24"/>
        </w:rPr>
        <w:t>高发时段分析：按细粒度划分一天的时间段，统计每个时间段的报警量，并通过可视化展示高发时段。</w:t>
      </w:r>
    </w:p>
    <w:p w14:paraId="6E185E8F">
      <w:pPr>
        <w:pStyle w:val="4"/>
        <w:numPr>
          <w:ilvl w:val="2"/>
          <w:numId w:val="0"/>
        </w:numPr>
      </w:pPr>
      <w:bookmarkStart w:id="54" w:name="_Toc6967"/>
      <w:r>
        <w:rPr>
          <w:rFonts w:hint="eastAsia"/>
          <w:lang w:eastAsia="zh-CN"/>
        </w:rPr>
        <w:t>8.</w:t>
      </w:r>
      <w:r>
        <w:rPr>
          <w:rFonts w:hint="eastAsia"/>
        </w:rPr>
        <w:t>成效晾晒</w:t>
      </w:r>
      <w:bookmarkEnd w:id="54"/>
    </w:p>
    <w:p w14:paraId="5FDCB8E9">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针对现场到达率，现场处结率，事后干预率，部门响应率，事后化解率，重复报警率，群众满意率，纠纷同比率进行成效晾晒。</w:t>
      </w:r>
    </w:p>
    <w:p w14:paraId="400BC76E">
      <w:pPr>
        <w:spacing w:line="360" w:lineRule="auto"/>
        <w:ind w:firstLine="480" w:firstLineChars="200"/>
        <w:rPr>
          <w:rFonts w:ascii="宋体" w:hAnsi="宋体" w:eastAsia="宋体" w:cs="Times New Roman"/>
          <w:sz w:val="24"/>
        </w:rPr>
      </w:pPr>
      <w:r>
        <w:rPr>
          <w:rFonts w:ascii="宋体" w:hAnsi="宋体" w:eastAsia="宋体" w:cs="Times New Roman"/>
          <w:sz w:val="24"/>
        </w:rPr>
        <w:t>现场到达率：统计各镇街辖区的现场到达情况，生成并分析</w:t>
      </w:r>
      <w:r>
        <w:rPr>
          <w:rFonts w:hint="eastAsia" w:ascii="宋体" w:hAnsi="宋体" w:eastAsia="宋体" w:cs="Times New Roman"/>
          <w:sz w:val="24"/>
          <w:lang w:val="en-US" w:eastAsia="zh-CN"/>
        </w:rPr>
        <w:t>现场</w:t>
      </w:r>
      <w:r>
        <w:rPr>
          <w:rFonts w:ascii="宋体" w:hAnsi="宋体" w:eastAsia="宋体" w:cs="Times New Roman"/>
          <w:sz w:val="24"/>
        </w:rPr>
        <w:t>到达率。</w:t>
      </w:r>
    </w:p>
    <w:p w14:paraId="09475C5C">
      <w:pPr>
        <w:spacing w:line="360" w:lineRule="auto"/>
        <w:ind w:firstLine="480" w:firstLineChars="200"/>
        <w:rPr>
          <w:rFonts w:ascii="宋体" w:hAnsi="宋体" w:eastAsia="宋体" w:cs="Times New Roman"/>
          <w:sz w:val="24"/>
        </w:rPr>
      </w:pPr>
      <w:r>
        <w:rPr>
          <w:rFonts w:ascii="宋体" w:hAnsi="宋体" w:eastAsia="宋体" w:cs="Times New Roman"/>
          <w:sz w:val="24"/>
        </w:rPr>
        <w:t>现场处结率：统计各镇街辖区的现场处结情况，生成并分析</w:t>
      </w:r>
      <w:r>
        <w:rPr>
          <w:rFonts w:hint="eastAsia" w:ascii="宋体" w:hAnsi="宋体" w:eastAsia="宋体" w:cs="Times New Roman"/>
          <w:sz w:val="24"/>
          <w:lang w:val="en-US" w:eastAsia="zh-CN"/>
        </w:rPr>
        <w:t>现场</w:t>
      </w:r>
      <w:r>
        <w:rPr>
          <w:rFonts w:ascii="宋体" w:hAnsi="宋体" w:eastAsia="宋体" w:cs="Times New Roman"/>
          <w:sz w:val="24"/>
        </w:rPr>
        <w:t>处结率。</w:t>
      </w:r>
    </w:p>
    <w:p w14:paraId="38EE5113">
      <w:pPr>
        <w:spacing w:line="360" w:lineRule="auto"/>
        <w:ind w:firstLine="480" w:firstLineChars="200"/>
        <w:rPr>
          <w:rFonts w:ascii="宋体" w:hAnsi="宋体" w:eastAsia="宋体" w:cs="Times New Roman"/>
          <w:sz w:val="24"/>
        </w:rPr>
      </w:pPr>
      <w:r>
        <w:rPr>
          <w:rFonts w:ascii="宋体" w:hAnsi="宋体" w:eastAsia="宋体" w:cs="Times New Roman"/>
          <w:sz w:val="24"/>
        </w:rPr>
        <w:t>事后干预率：统计各镇街辖区的事后干预情况，生成并分析</w:t>
      </w:r>
      <w:r>
        <w:rPr>
          <w:rFonts w:hint="eastAsia" w:ascii="宋体" w:hAnsi="宋体" w:eastAsia="宋体" w:cs="Times New Roman"/>
          <w:sz w:val="24"/>
          <w:lang w:val="en-US" w:eastAsia="zh-CN"/>
        </w:rPr>
        <w:t>事后</w:t>
      </w:r>
      <w:r>
        <w:rPr>
          <w:rFonts w:ascii="宋体" w:hAnsi="宋体" w:eastAsia="宋体" w:cs="Times New Roman"/>
          <w:sz w:val="24"/>
        </w:rPr>
        <w:t>干预率。</w:t>
      </w:r>
    </w:p>
    <w:p w14:paraId="2BD2E592">
      <w:pPr>
        <w:spacing w:line="360" w:lineRule="auto"/>
        <w:ind w:firstLine="480" w:firstLineChars="200"/>
        <w:rPr>
          <w:rFonts w:ascii="宋体" w:hAnsi="宋体" w:eastAsia="宋体" w:cs="Times New Roman"/>
          <w:sz w:val="24"/>
        </w:rPr>
      </w:pPr>
      <w:r>
        <w:rPr>
          <w:rFonts w:ascii="宋体" w:hAnsi="宋体" w:eastAsia="宋体" w:cs="Times New Roman"/>
          <w:sz w:val="24"/>
        </w:rPr>
        <w:t>部门响应率：统计各镇街辖区的部门响应情况，生成并分析</w:t>
      </w:r>
      <w:r>
        <w:rPr>
          <w:rFonts w:hint="eastAsia" w:ascii="宋体" w:hAnsi="宋体" w:eastAsia="宋体" w:cs="Times New Roman"/>
          <w:sz w:val="24"/>
          <w:lang w:val="en-US" w:eastAsia="zh-CN"/>
        </w:rPr>
        <w:t>部门</w:t>
      </w:r>
      <w:r>
        <w:rPr>
          <w:rFonts w:ascii="宋体" w:hAnsi="宋体" w:eastAsia="宋体" w:cs="Times New Roman"/>
          <w:sz w:val="24"/>
        </w:rPr>
        <w:t>响应率。</w:t>
      </w:r>
    </w:p>
    <w:p w14:paraId="676DE6CE">
      <w:pPr>
        <w:spacing w:line="360" w:lineRule="auto"/>
        <w:ind w:firstLine="480" w:firstLineChars="200"/>
        <w:rPr>
          <w:rFonts w:ascii="宋体" w:hAnsi="宋体" w:eastAsia="宋体" w:cs="Times New Roman"/>
          <w:sz w:val="24"/>
        </w:rPr>
      </w:pPr>
      <w:r>
        <w:rPr>
          <w:rFonts w:ascii="宋体" w:hAnsi="宋体" w:eastAsia="宋体" w:cs="Times New Roman"/>
          <w:sz w:val="24"/>
        </w:rPr>
        <w:t>事后化解率：统计各镇街辖区的事后化解情况，生成并分析</w:t>
      </w:r>
      <w:r>
        <w:rPr>
          <w:rFonts w:hint="eastAsia" w:ascii="宋体" w:hAnsi="宋体" w:eastAsia="宋体" w:cs="Times New Roman"/>
          <w:sz w:val="24"/>
          <w:lang w:val="en-US" w:eastAsia="zh-CN"/>
        </w:rPr>
        <w:t>事后</w:t>
      </w:r>
      <w:r>
        <w:rPr>
          <w:rFonts w:ascii="宋体" w:hAnsi="宋体" w:eastAsia="宋体" w:cs="Times New Roman"/>
          <w:sz w:val="24"/>
        </w:rPr>
        <w:t>化解率。</w:t>
      </w:r>
    </w:p>
    <w:p w14:paraId="415CD0C3">
      <w:pPr>
        <w:spacing w:line="360" w:lineRule="auto"/>
        <w:ind w:firstLine="480" w:firstLineChars="200"/>
        <w:rPr>
          <w:rFonts w:ascii="宋体" w:hAnsi="宋体" w:eastAsia="宋体" w:cs="Times New Roman"/>
          <w:sz w:val="24"/>
        </w:rPr>
      </w:pPr>
      <w:r>
        <w:rPr>
          <w:rFonts w:ascii="宋体" w:hAnsi="宋体" w:eastAsia="宋体" w:cs="Times New Roman"/>
          <w:sz w:val="24"/>
        </w:rPr>
        <w:t>重复报警率：统计各镇街辖区的重复报警情况，生成并分析</w:t>
      </w:r>
      <w:r>
        <w:rPr>
          <w:rFonts w:hint="eastAsia" w:ascii="宋体" w:hAnsi="宋体" w:eastAsia="宋体" w:cs="Times New Roman"/>
          <w:sz w:val="24"/>
          <w:lang w:val="en-US" w:eastAsia="zh-CN"/>
        </w:rPr>
        <w:t>重复</w:t>
      </w:r>
      <w:r>
        <w:rPr>
          <w:rFonts w:ascii="宋体" w:hAnsi="宋体" w:eastAsia="宋体" w:cs="Times New Roman"/>
          <w:sz w:val="24"/>
        </w:rPr>
        <w:t>报警率。</w:t>
      </w:r>
    </w:p>
    <w:p w14:paraId="7F22F735">
      <w:pPr>
        <w:spacing w:line="360" w:lineRule="auto"/>
        <w:ind w:firstLine="480" w:firstLineChars="200"/>
        <w:rPr>
          <w:rFonts w:ascii="宋体" w:hAnsi="宋体" w:eastAsia="宋体" w:cs="Times New Roman"/>
          <w:sz w:val="24"/>
        </w:rPr>
      </w:pPr>
      <w:r>
        <w:rPr>
          <w:rFonts w:ascii="宋体" w:hAnsi="宋体" w:eastAsia="宋体" w:cs="Times New Roman"/>
          <w:sz w:val="24"/>
        </w:rPr>
        <w:t>群众满意率：统计各镇街辖区的群众满意度，生成并分析</w:t>
      </w:r>
      <w:r>
        <w:rPr>
          <w:rFonts w:hint="eastAsia" w:ascii="宋体" w:hAnsi="宋体" w:eastAsia="宋体" w:cs="Times New Roman"/>
          <w:sz w:val="24"/>
          <w:lang w:val="en-US" w:eastAsia="zh-CN"/>
        </w:rPr>
        <w:t>群众</w:t>
      </w:r>
      <w:r>
        <w:rPr>
          <w:rFonts w:ascii="宋体" w:hAnsi="宋体" w:eastAsia="宋体" w:cs="Times New Roman"/>
          <w:sz w:val="24"/>
        </w:rPr>
        <w:t>满意率。</w:t>
      </w:r>
    </w:p>
    <w:p w14:paraId="2BB788CF">
      <w:pPr>
        <w:spacing w:line="360" w:lineRule="auto"/>
        <w:ind w:firstLine="480" w:firstLineChars="200"/>
        <w:rPr>
          <w:rFonts w:ascii="宋体" w:hAnsi="宋体" w:eastAsia="宋体" w:cs="Times New Roman"/>
          <w:sz w:val="24"/>
        </w:rPr>
      </w:pPr>
      <w:r>
        <w:rPr>
          <w:rFonts w:ascii="宋体" w:hAnsi="宋体" w:eastAsia="宋体" w:cs="Times New Roman"/>
          <w:sz w:val="24"/>
        </w:rPr>
        <w:t>纠纷同比率：统计各镇街辖区的纠纷下降情况，生成并分析</w:t>
      </w:r>
      <w:r>
        <w:rPr>
          <w:rFonts w:hint="eastAsia" w:ascii="宋体" w:hAnsi="宋体" w:eastAsia="宋体" w:cs="Times New Roman"/>
          <w:sz w:val="24"/>
          <w:lang w:val="en-US" w:eastAsia="zh-CN"/>
        </w:rPr>
        <w:t>纠纷</w:t>
      </w:r>
      <w:r>
        <w:rPr>
          <w:rFonts w:ascii="宋体" w:hAnsi="宋体" w:eastAsia="宋体" w:cs="Times New Roman"/>
          <w:sz w:val="24"/>
        </w:rPr>
        <w:t>同比率。</w:t>
      </w:r>
    </w:p>
    <w:p w14:paraId="51812077">
      <w:pPr>
        <w:pStyle w:val="4"/>
        <w:numPr>
          <w:ilvl w:val="2"/>
          <w:numId w:val="0"/>
        </w:numPr>
      </w:pPr>
      <w:bookmarkStart w:id="55" w:name="_Toc24468"/>
      <w:r>
        <w:rPr>
          <w:rFonts w:hint="eastAsia"/>
          <w:lang w:eastAsia="zh-CN"/>
        </w:rPr>
        <w:t>9.</w:t>
      </w:r>
      <w:r>
        <w:rPr>
          <w:rFonts w:hint="eastAsia"/>
        </w:rPr>
        <w:t>涉事档案管理</w:t>
      </w:r>
      <w:bookmarkEnd w:id="55"/>
      <w:r>
        <w:rPr>
          <w:rFonts w:hint="eastAsia"/>
        </w:rPr>
        <w:tab/>
      </w:r>
    </w:p>
    <w:p w14:paraId="6F080E4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提供人员、组织信息管理、评分、历史事件回溯、搜索等功能。</w:t>
      </w:r>
    </w:p>
    <w:p w14:paraId="30195BB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人员、组织</w:t>
      </w:r>
      <w:r>
        <w:rPr>
          <w:rFonts w:ascii="宋体" w:hAnsi="宋体" w:eastAsia="宋体" w:cs="Times New Roman"/>
          <w:sz w:val="24"/>
        </w:rPr>
        <w:t>信息管理：支持导入西湖区居民和各商户等组织的信息。</w:t>
      </w:r>
    </w:p>
    <w:p w14:paraId="2BF2533A">
      <w:pPr>
        <w:spacing w:line="360" w:lineRule="auto"/>
        <w:ind w:firstLine="480" w:firstLineChars="200"/>
        <w:rPr>
          <w:rFonts w:ascii="宋体" w:hAnsi="宋体" w:eastAsia="宋体" w:cs="Times New Roman"/>
          <w:sz w:val="24"/>
        </w:rPr>
      </w:pPr>
      <w:r>
        <w:rPr>
          <w:rFonts w:ascii="宋体" w:hAnsi="宋体" w:eastAsia="宋体" w:cs="Times New Roman"/>
          <w:sz w:val="24"/>
        </w:rPr>
        <w:t>评分功能：处置员完成事件处理，可对相关人员和组织进行评分与评价，包括配合度和危险性等指标。</w:t>
      </w:r>
    </w:p>
    <w:p w14:paraId="28046C20">
      <w:pPr>
        <w:spacing w:line="360" w:lineRule="auto"/>
        <w:ind w:firstLine="480" w:firstLineChars="200"/>
        <w:rPr>
          <w:rFonts w:ascii="宋体" w:hAnsi="宋体" w:eastAsia="宋体" w:cs="Times New Roman"/>
          <w:sz w:val="24"/>
        </w:rPr>
      </w:pPr>
      <w:r>
        <w:rPr>
          <w:rFonts w:ascii="宋体" w:hAnsi="宋体" w:eastAsia="宋体" w:cs="Times New Roman"/>
          <w:sz w:val="24"/>
        </w:rPr>
        <w:t>历史</w:t>
      </w:r>
      <w:r>
        <w:rPr>
          <w:rFonts w:hint="eastAsia" w:ascii="宋体" w:hAnsi="宋体" w:eastAsia="宋体" w:cs="Times New Roman"/>
          <w:sz w:val="24"/>
        </w:rPr>
        <w:t>事件</w:t>
      </w:r>
      <w:r>
        <w:rPr>
          <w:rFonts w:ascii="宋体" w:hAnsi="宋体" w:eastAsia="宋体" w:cs="Times New Roman"/>
          <w:sz w:val="24"/>
        </w:rPr>
        <w:t>回溯：允许处置员在接受事件查看关联人员和组织的历史评分和评价。</w:t>
      </w:r>
    </w:p>
    <w:p w14:paraId="7A4E6A58">
      <w:pPr>
        <w:spacing w:line="360" w:lineRule="auto"/>
        <w:ind w:firstLine="480" w:firstLineChars="200"/>
        <w:rPr>
          <w:rFonts w:ascii="宋体" w:hAnsi="宋体" w:eastAsia="宋体" w:cs="Times New Roman"/>
          <w:sz w:val="24"/>
        </w:rPr>
      </w:pPr>
      <w:r>
        <w:rPr>
          <w:rFonts w:ascii="宋体" w:hAnsi="宋体" w:eastAsia="宋体" w:cs="Times New Roman"/>
          <w:sz w:val="24"/>
        </w:rPr>
        <w:t>搜索功能：支持按人员或组织条件查询，查找相关的事件和评分数据。</w:t>
      </w:r>
    </w:p>
    <w:p w14:paraId="6D024F42">
      <w:pPr>
        <w:pStyle w:val="4"/>
        <w:numPr>
          <w:ilvl w:val="2"/>
          <w:numId w:val="0"/>
        </w:numPr>
      </w:pPr>
      <w:bookmarkStart w:id="56" w:name="_Toc29595"/>
      <w:r>
        <w:rPr>
          <w:rFonts w:hint="eastAsia"/>
          <w:lang w:eastAsia="zh-CN"/>
        </w:rPr>
        <w:t>10.</w:t>
      </w:r>
      <w:r>
        <w:rPr>
          <w:rFonts w:hint="eastAsia"/>
        </w:rPr>
        <w:t>信创适配改造</w:t>
      </w:r>
      <w:bookmarkEnd w:id="56"/>
    </w:p>
    <w:p w14:paraId="76D2BDDF">
      <w:pPr>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需对本系统进行国产化信创适配改造</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具体工作内容如下：</w:t>
      </w:r>
    </w:p>
    <w:p w14:paraId="31D22ACB">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中间件改造适配：按照信创改造要求，对应用部署的中间件进行适配改造。</w:t>
      </w:r>
    </w:p>
    <w:p w14:paraId="7EF4E27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数据库适配改造：针对国产数据库进行适配调整改造。</w:t>
      </w:r>
    </w:p>
    <w:p w14:paraId="0E0BF07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终端浏览器访问改造适配：依托国产系统浏览器进行兼容性适配调整。</w:t>
      </w:r>
    </w:p>
    <w:p w14:paraId="3BF28F29">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操作系统改造适配：迁移原有平台至信创环境，对相关操作系统进行兼容性适配部署。</w:t>
      </w:r>
    </w:p>
    <w:p w14:paraId="5CFF4470">
      <w:pPr>
        <w:pStyle w:val="4"/>
        <w:numPr>
          <w:ilvl w:val="2"/>
          <w:numId w:val="0"/>
        </w:numPr>
      </w:pPr>
      <w:bookmarkStart w:id="57" w:name="_Toc25183"/>
      <w:r>
        <w:rPr>
          <w:rFonts w:hint="eastAsia"/>
          <w:lang w:eastAsia="zh-CN"/>
        </w:rPr>
        <w:t>11.</w:t>
      </w:r>
      <w:r>
        <w:rPr>
          <w:rFonts w:hint="eastAsia"/>
        </w:rPr>
        <w:t>移动端的浙政钉改造迁移</w:t>
      </w:r>
      <w:bookmarkEnd w:id="57"/>
    </w:p>
    <w:p w14:paraId="3EF75957">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针对浙政钉对接改造，按照浙政钉接入要求对原有的钉应用进行改造，包含应用接入、用户认证、钉消息提醒等相关功能，并在掌上基层进行统一集成。</w:t>
      </w:r>
    </w:p>
    <w:p w14:paraId="041F8DBD">
      <w:pPr>
        <w:pStyle w:val="4"/>
        <w:numPr>
          <w:ilvl w:val="2"/>
          <w:numId w:val="0"/>
        </w:numPr>
      </w:pPr>
      <w:r>
        <w:rPr>
          <w:rFonts w:hint="eastAsia"/>
          <w:lang w:eastAsia="zh-CN"/>
        </w:rPr>
        <w:t>12.</w:t>
      </w:r>
      <w:r>
        <w:rPr>
          <w:rFonts w:hint="eastAsia"/>
        </w:rPr>
        <w:t>信创符合性评估</w:t>
      </w:r>
    </w:p>
    <w:p w14:paraId="2B78A4E0">
      <w:pPr>
        <w:spacing w:line="360" w:lineRule="auto"/>
        <w:ind w:firstLine="480" w:firstLineChars="200"/>
        <w:rPr>
          <w:rFonts w:ascii="宋体" w:hAnsi="宋体" w:eastAsia="宋体" w:cs="宋体"/>
          <w:sz w:val="24"/>
        </w:rPr>
      </w:pPr>
      <w:r>
        <w:rPr>
          <w:rFonts w:hint="eastAsia" w:ascii="宋体" w:hAnsi="宋体" w:eastAsia="宋体" w:cs="宋体"/>
          <w:sz w:val="24"/>
        </w:rPr>
        <w:t>本项目系统要符合国产化要求，由第三方测评公司出具信创符合性评估报告。</w:t>
      </w:r>
    </w:p>
    <w:p w14:paraId="1419E66E">
      <w:pPr>
        <w:spacing w:line="360" w:lineRule="auto"/>
        <w:outlineLvl w:val="1"/>
        <w:rPr>
          <w:rFonts w:ascii="宋体" w:hAnsi="宋体" w:eastAsia="宋体" w:cs="宋体"/>
          <w:b/>
          <w:bCs/>
          <w:sz w:val="24"/>
          <w:highlight w:val="none"/>
        </w:rPr>
      </w:pPr>
      <w:r>
        <w:rPr>
          <w:rFonts w:hint="eastAsia" w:ascii="宋体" w:hAnsi="宋体" w:eastAsia="宋体" w:cs="宋体"/>
          <w:b/>
          <w:bCs/>
          <w:sz w:val="24"/>
          <w:highlight w:val="none"/>
        </w:rPr>
        <w:t>四、服务要求</w:t>
      </w:r>
      <w:bookmarkEnd w:id="43"/>
      <w:bookmarkEnd w:id="44"/>
      <w:bookmarkEnd w:id="45"/>
      <w:bookmarkEnd w:id="46"/>
    </w:p>
    <w:p w14:paraId="369658C3">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1.付款方式：</w:t>
      </w:r>
    </w:p>
    <w:p w14:paraId="56A911D6">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第一笔：支付比例：合同总价的70%</w:t>
      </w:r>
    </w:p>
    <w:p w14:paraId="56362D93">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支付条件：合同正式签订后，且乙方提供等额正规发票后的</w:t>
      </w:r>
      <w:r>
        <w:rPr>
          <w:rFonts w:hint="eastAsia" w:ascii="宋体" w:hAnsi="宋体" w:cs="宋体"/>
          <w:sz w:val="24"/>
          <w:highlight w:val="none"/>
          <w:lang w:val="en-US" w:eastAsia="zh-CN"/>
        </w:rPr>
        <w:t>5</w:t>
      </w:r>
      <w:r>
        <w:rPr>
          <w:rFonts w:hint="eastAsia" w:ascii="宋体" w:hAnsi="宋体" w:eastAsia="宋体" w:cs="宋体"/>
          <w:sz w:val="24"/>
          <w:highlight w:val="none"/>
        </w:rPr>
        <w:t>个工作日内。</w:t>
      </w:r>
    </w:p>
    <w:p w14:paraId="390DA00E">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第二笔：支付比例：合同总价的 20%</w:t>
      </w:r>
    </w:p>
    <w:p w14:paraId="69DCA158">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支付条件：乙方完成项目开发并经甲方</w:t>
      </w:r>
      <w:r>
        <w:rPr>
          <w:rFonts w:hint="eastAsia" w:ascii="宋体" w:hAnsi="宋体" w:cs="宋体"/>
          <w:sz w:val="24"/>
          <w:highlight w:val="none"/>
          <w:lang w:eastAsia="zh-CN"/>
        </w:rPr>
        <w:t>初验</w:t>
      </w:r>
      <w:r>
        <w:rPr>
          <w:rFonts w:hint="eastAsia" w:ascii="宋体" w:hAnsi="宋体" w:eastAsia="宋体" w:cs="宋体"/>
          <w:sz w:val="24"/>
          <w:highlight w:val="none"/>
        </w:rPr>
        <w:t>验收合格后，提供等额正规发票后的20个工作日内。</w:t>
      </w:r>
    </w:p>
    <w:p w14:paraId="5E15BB05">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第三笔：支付比例：合同总价的 10%</w:t>
      </w:r>
    </w:p>
    <w:p w14:paraId="5438BEEB">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支付条件：</w:t>
      </w:r>
      <w:r>
        <w:rPr>
          <w:rFonts w:hint="eastAsia" w:ascii="宋体" w:hAnsi="宋体" w:cs="宋体"/>
          <w:sz w:val="24"/>
          <w:highlight w:val="none"/>
          <w:lang w:val="en-US" w:eastAsia="zh-CN"/>
        </w:rPr>
        <w:t>乙方通过项目试运行</w:t>
      </w:r>
      <w:r>
        <w:rPr>
          <w:rFonts w:hint="eastAsia" w:ascii="宋体" w:hAnsi="宋体" w:eastAsia="宋体" w:cs="宋体"/>
          <w:sz w:val="24"/>
          <w:highlight w:val="none"/>
        </w:rPr>
        <w:t>并经甲方</w:t>
      </w:r>
      <w:r>
        <w:rPr>
          <w:rFonts w:hint="eastAsia" w:ascii="宋体" w:hAnsi="宋体" w:cs="宋体"/>
          <w:sz w:val="24"/>
          <w:highlight w:val="none"/>
          <w:lang w:val="en-US" w:eastAsia="zh-CN"/>
        </w:rPr>
        <w:t>终验</w:t>
      </w:r>
      <w:r>
        <w:rPr>
          <w:rFonts w:hint="eastAsia" w:ascii="宋体" w:hAnsi="宋体" w:eastAsia="宋体" w:cs="宋体"/>
          <w:sz w:val="24"/>
          <w:highlight w:val="none"/>
        </w:rPr>
        <w:t>验收合格后，提供等额正规发票后的20个工作日内支付。</w:t>
      </w:r>
    </w:p>
    <w:p w14:paraId="3C625E03">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中标人须在采购人支付合同款前提供符合采购人要求的发票，如因中标人原因延迟提供发票的，采购人有权相应顺延支付合同款时间。</w:t>
      </w:r>
    </w:p>
    <w:p w14:paraId="573E2310">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2.合同履约期限：</w:t>
      </w:r>
    </w:p>
    <w:p w14:paraId="3B60012E">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合同签订后5个月内完成所有项目的研发、建设、调试并移交采购人试运行，试运行1个月。</w:t>
      </w:r>
    </w:p>
    <w:p w14:paraId="65FD0659">
      <w:p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3.运维质保期：</w:t>
      </w:r>
    </w:p>
    <w:p w14:paraId="2A8D338D">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本项目成交供应商提供1年免费维护期，维护起始期从系统通过终验之日起计算。</w:t>
      </w:r>
    </w:p>
    <w:p w14:paraId="2EB7300C">
      <w:pPr>
        <w:numPr>
          <w:ilvl w:val="0"/>
          <w:numId w:val="2"/>
        </w:numPr>
        <w:spacing w:line="360" w:lineRule="auto"/>
        <w:ind w:firstLine="480" w:firstLineChars="200"/>
        <w:outlineLvl w:val="2"/>
        <w:rPr>
          <w:rFonts w:ascii="宋体" w:hAnsi="宋体" w:eastAsia="宋体" w:cs="宋体"/>
          <w:sz w:val="24"/>
          <w:highlight w:val="none"/>
        </w:rPr>
      </w:pPr>
      <w:r>
        <w:rPr>
          <w:rFonts w:hint="eastAsia" w:ascii="宋体" w:hAnsi="宋体" w:eastAsia="宋体" w:cs="宋体"/>
          <w:sz w:val="24"/>
          <w:highlight w:val="none"/>
        </w:rPr>
        <w:t>售后服务：</w:t>
      </w:r>
    </w:p>
    <w:p w14:paraId="2A3618CC">
      <w:pPr>
        <w:spacing w:line="360" w:lineRule="auto"/>
        <w:ind w:firstLine="480" w:firstLineChars="200"/>
        <w:rPr>
          <w:rFonts w:ascii="宋体" w:hAnsi="宋体" w:eastAsia="宋体" w:cs="宋体"/>
          <w:sz w:val="24"/>
        </w:rPr>
      </w:pPr>
      <w:r>
        <w:rPr>
          <w:rFonts w:hint="eastAsia" w:ascii="宋体" w:hAnsi="宋体" w:eastAsia="宋体" w:cs="宋体"/>
          <w:sz w:val="24"/>
          <w:highlight w:val="none"/>
        </w:rPr>
        <w:t>4.1在使用过程中，出现问题需要现场支持的，成交服务商应在2小时内达到现场，修补和完善功能的，24小时</w:t>
      </w:r>
      <w:r>
        <w:rPr>
          <w:rFonts w:hint="eastAsia" w:ascii="宋体" w:hAnsi="宋体" w:eastAsia="宋体" w:cs="宋体"/>
          <w:sz w:val="24"/>
        </w:rPr>
        <w:t>内提出解决方案，48小时内解决问题；服务异常的，12小时内提出解决方案，24小时内解决问题；严重故障导致系统瘫痪的，2小时内提出解决方案，6小时内解决问题。</w:t>
      </w:r>
    </w:p>
    <w:p w14:paraId="3556F17A">
      <w:pPr>
        <w:spacing w:line="360" w:lineRule="auto"/>
        <w:ind w:firstLine="480" w:firstLineChars="200"/>
        <w:rPr>
          <w:rFonts w:ascii="宋体" w:hAnsi="宋体" w:eastAsia="宋体" w:cs="宋体"/>
          <w:sz w:val="24"/>
        </w:rPr>
      </w:pPr>
      <w:r>
        <w:rPr>
          <w:rFonts w:hint="eastAsia" w:ascii="宋体" w:hAnsi="宋体" w:eastAsia="宋体" w:cs="宋体"/>
          <w:sz w:val="24"/>
        </w:rPr>
        <w:t>4.2采购人拥有在合同履行过程中所产生的技术成果的所有权、专利申请权使用权或其他有关权利。</w:t>
      </w:r>
    </w:p>
    <w:p w14:paraId="715771E5">
      <w:pPr>
        <w:spacing w:line="360" w:lineRule="auto"/>
        <w:ind w:firstLine="480" w:firstLineChars="200"/>
        <w:rPr>
          <w:rFonts w:ascii="宋体" w:hAnsi="宋体" w:eastAsia="宋体" w:cs="宋体"/>
          <w:sz w:val="24"/>
        </w:rPr>
      </w:pPr>
      <w:r>
        <w:rPr>
          <w:rFonts w:hint="eastAsia" w:ascii="宋体" w:hAnsi="宋体" w:eastAsia="宋体" w:cs="宋体"/>
          <w:sz w:val="24"/>
        </w:rPr>
        <w:t>4.3采购人在申请本项目鉴定及申报科技成果、报奖，中标人具有署名权。</w:t>
      </w:r>
    </w:p>
    <w:p w14:paraId="5AF3FAF5">
      <w:pPr>
        <w:spacing w:line="360" w:lineRule="auto"/>
        <w:ind w:firstLine="480" w:firstLineChars="200"/>
        <w:rPr>
          <w:rFonts w:ascii="宋体" w:hAnsi="宋体" w:eastAsia="宋体" w:cs="宋体"/>
          <w:sz w:val="24"/>
        </w:rPr>
      </w:pPr>
      <w:r>
        <w:rPr>
          <w:rFonts w:hint="eastAsia" w:ascii="宋体" w:hAnsi="宋体" w:eastAsia="宋体" w:cs="宋体"/>
          <w:sz w:val="24"/>
        </w:rPr>
        <w:t>4.4中标人保证所提供的产品、服务或其任何一部分（含本项目所涉及的全部软件）、技术等均不侵犯任何第三方的专利权、商标权、工业设计权、著作权等知识产权和其他权益，且不存在任何与此相关的争议、抵押、查封等瑕疵。</w:t>
      </w:r>
    </w:p>
    <w:p w14:paraId="1E561E6A">
      <w:pPr>
        <w:spacing w:line="360" w:lineRule="auto"/>
        <w:jc w:val="left"/>
        <w:outlineLvl w:val="0"/>
        <w:rPr>
          <w:rFonts w:hint="eastAsia" w:ascii="宋体" w:hAnsi="宋体" w:eastAsia="宋体" w:cs="宋体"/>
          <w:b/>
          <w:sz w:val="24"/>
          <w:szCs w:val="24"/>
          <w:highlight w:val="none"/>
        </w:rPr>
      </w:pPr>
      <w:r>
        <w:rPr>
          <w:rFonts w:hint="eastAsia" w:ascii="宋体" w:hAnsi="宋体" w:eastAsia="宋体" w:cs="宋体"/>
          <w:sz w:val="24"/>
        </w:rPr>
        <w:t>4.5本项目所使用或产生的数据为采购人专有，未经书面许可，中标人不得对第三方泄露或使用该项目的数据进行任何形式的开发利用。</w:t>
      </w:r>
    </w:p>
    <w:p w14:paraId="7CB89417">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 xml:space="preserve">第四部分   </w:t>
      </w:r>
      <w:bookmarkStart w:id="58" w:name="_Toc184314439"/>
      <w:bookmarkEnd w:id="58"/>
      <w:bookmarkStart w:id="59" w:name="_Toc184308084"/>
      <w:bookmarkEnd w:id="59"/>
      <w:bookmarkStart w:id="60" w:name="_Toc184314434"/>
      <w:bookmarkEnd w:id="60"/>
      <w:bookmarkStart w:id="61" w:name="_Toc184308101"/>
      <w:bookmarkEnd w:id="61"/>
      <w:bookmarkStart w:id="62" w:name="_Toc184314463"/>
      <w:bookmarkEnd w:id="62"/>
      <w:bookmarkStart w:id="63" w:name="_Toc184308067"/>
      <w:bookmarkEnd w:id="63"/>
      <w:bookmarkStart w:id="64" w:name="_Toc184310334"/>
      <w:bookmarkEnd w:id="64"/>
      <w:bookmarkStart w:id="65" w:name="_Toc184308106"/>
      <w:bookmarkEnd w:id="65"/>
      <w:bookmarkStart w:id="66" w:name="_Toc184312107"/>
      <w:bookmarkEnd w:id="66"/>
      <w:bookmarkStart w:id="67" w:name="_Toc184308049"/>
      <w:bookmarkEnd w:id="67"/>
      <w:bookmarkStart w:id="68" w:name="_Toc184310335"/>
      <w:bookmarkEnd w:id="68"/>
      <w:bookmarkStart w:id="69" w:name="_Toc184308059"/>
      <w:bookmarkEnd w:id="69"/>
      <w:bookmarkStart w:id="70" w:name="_Toc184308072"/>
      <w:bookmarkEnd w:id="70"/>
      <w:bookmarkStart w:id="71" w:name="_Toc184314455"/>
      <w:bookmarkEnd w:id="71"/>
      <w:bookmarkStart w:id="72" w:name="_Toc184310295"/>
      <w:bookmarkEnd w:id="72"/>
      <w:bookmarkStart w:id="73" w:name="_Toc184310326"/>
      <w:bookmarkEnd w:id="73"/>
      <w:bookmarkStart w:id="74" w:name="_Toc184310272"/>
      <w:bookmarkEnd w:id="74"/>
      <w:bookmarkStart w:id="75" w:name="_Toc184314470"/>
      <w:bookmarkEnd w:id="75"/>
      <w:bookmarkStart w:id="76" w:name="_Toc184314454"/>
      <w:bookmarkEnd w:id="76"/>
      <w:bookmarkStart w:id="77" w:name="_Toc184308074"/>
      <w:bookmarkEnd w:id="77"/>
      <w:bookmarkStart w:id="78" w:name="_Toc184310274"/>
      <w:bookmarkEnd w:id="78"/>
      <w:bookmarkStart w:id="79" w:name="_Toc184314446"/>
      <w:bookmarkEnd w:id="79"/>
      <w:bookmarkStart w:id="80" w:name="_Toc184310281"/>
      <w:bookmarkEnd w:id="80"/>
      <w:bookmarkStart w:id="81" w:name="_Toc184313272"/>
      <w:bookmarkEnd w:id="81"/>
      <w:bookmarkStart w:id="82" w:name="_Toc184308100"/>
      <w:bookmarkEnd w:id="82"/>
      <w:bookmarkStart w:id="83" w:name="_Toc184314410"/>
      <w:bookmarkEnd w:id="83"/>
      <w:bookmarkStart w:id="84" w:name="_Toc184312081"/>
      <w:bookmarkEnd w:id="84"/>
      <w:bookmarkStart w:id="85" w:name="_Toc184312074"/>
      <w:bookmarkEnd w:id="85"/>
      <w:bookmarkStart w:id="86" w:name="_Toc184313294"/>
      <w:bookmarkEnd w:id="86"/>
      <w:bookmarkStart w:id="87" w:name="_Toc184310278"/>
      <w:bookmarkEnd w:id="87"/>
      <w:bookmarkStart w:id="88" w:name="_Toc184308071"/>
      <w:bookmarkEnd w:id="88"/>
      <w:bookmarkStart w:id="89" w:name="_Toc184312078"/>
      <w:bookmarkEnd w:id="89"/>
      <w:bookmarkStart w:id="90" w:name="_Toc184314442"/>
      <w:bookmarkEnd w:id="90"/>
      <w:bookmarkStart w:id="91" w:name="_Toc184312105"/>
      <w:bookmarkEnd w:id="91"/>
      <w:bookmarkStart w:id="92" w:name="_Toc184308075"/>
      <w:bookmarkEnd w:id="92"/>
      <w:bookmarkStart w:id="93" w:name="_Toc184310342"/>
      <w:bookmarkEnd w:id="93"/>
      <w:bookmarkStart w:id="94" w:name="_Toc184313243"/>
      <w:bookmarkEnd w:id="94"/>
      <w:bookmarkStart w:id="95" w:name="_Toc184312131"/>
      <w:bookmarkEnd w:id="95"/>
      <w:bookmarkStart w:id="96" w:name="_Toc184312112"/>
      <w:bookmarkEnd w:id="96"/>
      <w:bookmarkStart w:id="97" w:name="_Toc184314449"/>
      <w:bookmarkEnd w:id="97"/>
      <w:bookmarkStart w:id="98" w:name="_Toc184312103"/>
      <w:bookmarkEnd w:id="98"/>
      <w:bookmarkStart w:id="99" w:name="_Toc184308070"/>
      <w:bookmarkEnd w:id="99"/>
      <w:bookmarkStart w:id="100" w:name="_Toc184312114"/>
      <w:bookmarkEnd w:id="100"/>
      <w:bookmarkStart w:id="101" w:name="_Toc184312067"/>
      <w:bookmarkEnd w:id="101"/>
      <w:bookmarkStart w:id="102" w:name="_Toc184310340"/>
      <w:bookmarkEnd w:id="102"/>
      <w:bookmarkStart w:id="103" w:name="_Toc184308048"/>
      <w:bookmarkEnd w:id="103"/>
      <w:bookmarkStart w:id="104" w:name="_Toc184310275"/>
      <w:bookmarkEnd w:id="104"/>
      <w:bookmarkStart w:id="105" w:name="_Toc184312122"/>
      <w:bookmarkEnd w:id="105"/>
      <w:bookmarkStart w:id="106" w:name="_Toc184314476"/>
      <w:bookmarkEnd w:id="106"/>
      <w:bookmarkStart w:id="107" w:name="_Toc184313258"/>
      <w:bookmarkEnd w:id="107"/>
      <w:bookmarkStart w:id="108" w:name="_Toc184308097"/>
      <w:bookmarkEnd w:id="108"/>
      <w:bookmarkStart w:id="109" w:name="_Toc184312076"/>
      <w:bookmarkEnd w:id="109"/>
      <w:bookmarkStart w:id="110" w:name="_Toc184313257"/>
      <w:bookmarkEnd w:id="110"/>
      <w:bookmarkStart w:id="111" w:name="_Toc184313268"/>
      <w:bookmarkEnd w:id="111"/>
      <w:bookmarkStart w:id="112" w:name="_Toc184310290"/>
      <w:bookmarkEnd w:id="112"/>
      <w:bookmarkStart w:id="113" w:name="_Toc184310299"/>
      <w:bookmarkEnd w:id="113"/>
      <w:bookmarkStart w:id="114" w:name="_Toc184313292"/>
      <w:bookmarkEnd w:id="114"/>
      <w:bookmarkStart w:id="115" w:name="_Toc184314423"/>
      <w:bookmarkEnd w:id="115"/>
      <w:bookmarkStart w:id="116" w:name="_Toc184313279"/>
      <w:bookmarkEnd w:id="116"/>
      <w:bookmarkStart w:id="117" w:name="_Toc184310303"/>
      <w:bookmarkEnd w:id="117"/>
      <w:bookmarkStart w:id="118" w:name="_Toc184310312"/>
      <w:bookmarkEnd w:id="118"/>
      <w:bookmarkStart w:id="119" w:name="_Toc184308038"/>
      <w:bookmarkEnd w:id="119"/>
      <w:bookmarkStart w:id="120" w:name="_Toc184312075"/>
      <w:bookmarkEnd w:id="120"/>
      <w:bookmarkStart w:id="121" w:name="_Toc184314457"/>
      <w:bookmarkEnd w:id="121"/>
      <w:bookmarkStart w:id="122" w:name="_Toc184313273"/>
      <w:bookmarkEnd w:id="122"/>
      <w:bookmarkStart w:id="123" w:name="_Toc184312138"/>
      <w:bookmarkEnd w:id="123"/>
      <w:bookmarkStart w:id="124" w:name="_Toc184312117"/>
      <w:bookmarkEnd w:id="124"/>
      <w:bookmarkStart w:id="125" w:name="_Toc184313289"/>
      <w:bookmarkEnd w:id="125"/>
      <w:bookmarkStart w:id="126" w:name="_Toc184314425"/>
      <w:bookmarkEnd w:id="126"/>
      <w:bookmarkStart w:id="127" w:name="_Toc184313282"/>
      <w:bookmarkEnd w:id="127"/>
      <w:bookmarkStart w:id="128" w:name="_Toc184313256"/>
      <w:bookmarkEnd w:id="128"/>
      <w:bookmarkStart w:id="129" w:name="_Toc184312099"/>
      <w:bookmarkEnd w:id="129"/>
      <w:bookmarkStart w:id="130" w:name="_Toc184310333"/>
      <w:bookmarkEnd w:id="130"/>
      <w:bookmarkStart w:id="131" w:name="_Toc184313267"/>
      <w:bookmarkEnd w:id="131"/>
      <w:bookmarkStart w:id="132" w:name="_Toc184314416"/>
      <w:bookmarkEnd w:id="132"/>
      <w:bookmarkStart w:id="133" w:name="_Toc184308058"/>
      <w:bookmarkEnd w:id="133"/>
      <w:bookmarkStart w:id="134" w:name="_Toc184313271"/>
      <w:bookmarkEnd w:id="134"/>
      <w:bookmarkStart w:id="135" w:name="_Toc184314417"/>
      <w:bookmarkEnd w:id="135"/>
      <w:bookmarkStart w:id="136" w:name="_Toc184312108"/>
      <w:bookmarkEnd w:id="136"/>
      <w:bookmarkStart w:id="137" w:name="_Toc184308090"/>
      <w:bookmarkEnd w:id="137"/>
      <w:bookmarkStart w:id="138" w:name="_Toc184314466"/>
      <w:bookmarkEnd w:id="138"/>
      <w:bookmarkStart w:id="139" w:name="_Toc184314475"/>
      <w:bookmarkEnd w:id="139"/>
      <w:bookmarkStart w:id="140" w:name="_Toc184313300"/>
      <w:bookmarkEnd w:id="140"/>
      <w:bookmarkStart w:id="141" w:name="_Toc184314440"/>
      <w:bookmarkEnd w:id="141"/>
      <w:bookmarkStart w:id="142" w:name="_Toc184314480"/>
      <w:bookmarkEnd w:id="142"/>
      <w:bookmarkStart w:id="143" w:name="_Toc184312085"/>
      <w:bookmarkEnd w:id="143"/>
      <w:bookmarkStart w:id="144" w:name="_Toc184308095"/>
      <w:bookmarkEnd w:id="144"/>
      <w:bookmarkStart w:id="145" w:name="_Toc184313253"/>
      <w:bookmarkEnd w:id="145"/>
      <w:bookmarkStart w:id="146" w:name="_Toc184313264"/>
      <w:bookmarkEnd w:id="146"/>
      <w:bookmarkStart w:id="147" w:name="_Toc184308066"/>
      <w:bookmarkEnd w:id="147"/>
      <w:bookmarkStart w:id="148" w:name="_Toc184310344"/>
      <w:bookmarkEnd w:id="148"/>
      <w:bookmarkStart w:id="149" w:name="_Toc184308050"/>
      <w:bookmarkEnd w:id="149"/>
      <w:bookmarkStart w:id="150" w:name="_Toc184308073"/>
      <w:bookmarkEnd w:id="150"/>
      <w:bookmarkStart w:id="151" w:name="_Toc184313254"/>
      <w:bookmarkEnd w:id="151"/>
      <w:bookmarkStart w:id="152" w:name="_Toc184313251"/>
      <w:bookmarkEnd w:id="152"/>
      <w:bookmarkStart w:id="153" w:name="_Toc184314482"/>
      <w:bookmarkEnd w:id="153"/>
      <w:bookmarkStart w:id="154" w:name="_Toc184308040"/>
      <w:bookmarkEnd w:id="154"/>
      <w:bookmarkStart w:id="155" w:name="_Toc184310282"/>
      <w:bookmarkEnd w:id="155"/>
      <w:bookmarkStart w:id="156" w:name="_Toc184312098"/>
      <w:bookmarkEnd w:id="156"/>
      <w:bookmarkStart w:id="157" w:name="_Toc184310314"/>
      <w:bookmarkEnd w:id="157"/>
      <w:bookmarkStart w:id="158" w:name="_Toc184312124"/>
      <w:bookmarkEnd w:id="158"/>
      <w:bookmarkStart w:id="159" w:name="_Toc184312069"/>
      <w:bookmarkEnd w:id="159"/>
      <w:bookmarkStart w:id="160" w:name="_Toc184312092"/>
      <w:bookmarkEnd w:id="160"/>
      <w:bookmarkStart w:id="161" w:name="_Toc184312097"/>
      <w:bookmarkEnd w:id="161"/>
      <w:bookmarkStart w:id="162" w:name="_Toc184313301"/>
      <w:bookmarkEnd w:id="162"/>
      <w:bookmarkStart w:id="163" w:name="_Toc184313283"/>
      <w:bookmarkEnd w:id="163"/>
      <w:bookmarkStart w:id="164" w:name="_Toc184312073"/>
      <w:bookmarkEnd w:id="164"/>
      <w:bookmarkStart w:id="165" w:name="_Toc184308091"/>
      <w:bookmarkEnd w:id="165"/>
      <w:bookmarkStart w:id="166" w:name="_Toc184310320"/>
      <w:bookmarkEnd w:id="166"/>
      <w:bookmarkStart w:id="167" w:name="_Toc184310277"/>
      <w:bookmarkEnd w:id="167"/>
      <w:bookmarkStart w:id="168" w:name="_Toc184314428"/>
      <w:bookmarkEnd w:id="168"/>
      <w:bookmarkStart w:id="169" w:name="_Toc184310284"/>
      <w:bookmarkEnd w:id="169"/>
      <w:bookmarkStart w:id="170" w:name="_Toc184308099"/>
      <w:bookmarkEnd w:id="170"/>
      <w:bookmarkStart w:id="171" w:name="_Toc184312127"/>
      <w:bookmarkEnd w:id="171"/>
      <w:bookmarkStart w:id="172" w:name="_Toc184314479"/>
      <w:bookmarkEnd w:id="172"/>
      <w:bookmarkStart w:id="173" w:name="_Toc184314473"/>
      <w:bookmarkEnd w:id="173"/>
      <w:bookmarkStart w:id="174" w:name="_Toc184313278"/>
      <w:bookmarkEnd w:id="174"/>
      <w:bookmarkStart w:id="175" w:name="_Toc184312139"/>
      <w:bookmarkEnd w:id="175"/>
      <w:bookmarkStart w:id="176" w:name="_Toc184308104"/>
      <w:bookmarkEnd w:id="176"/>
      <w:bookmarkStart w:id="177" w:name="_Toc184308102"/>
      <w:bookmarkEnd w:id="177"/>
      <w:bookmarkStart w:id="178" w:name="_Toc184308096"/>
      <w:bookmarkEnd w:id="178"/>
      <w:bookmarkStart w:id="179" w:name="_Toc184312116"/>
      <w:bookmarkEnd w:id="179"/>
      <w:bookmarkStart w:id="180" w:name="_Toc184314452"/>
      <w:bookmarkEnd w:id="180"/>
      <w:bookmarkStart w:id="181" w:name="_Toc184314426"/>
      <w:bookmarkEnd w:id="181"/>
      <w:bookmarkStart w:id="182" w:name="_Toc184313302"/>
      <w:bookmarkEnd w:id="182"/>
      <w:bookmarkStart w:id="183" w:name="_Toc184313242"/>
      <w:bookmarkEnd w:id="183"/>
      <w:bookmarkStart w:id="184" w:name="_Toc184310292"/>
      <w:bookmarkEnd w:id="184"/>
      <w:bookmarkStart w:id="185" w:name="_Toc184313307"/>
      <w:bookmarkEnd w:id="185"/>
      <w:bookmarkStart w:id="186" w:name="_Toc184312119"/>
      <w:bookmarkEnd w:id="186"/>
      <w:bookmarkStart w:id="187" w:name="_Toc184313260"/>
      <w:bookmarkEnd w:id="187"/>
      <w:bookmarkStart w:id="188" w:name="_Toc184313280"/>
      <w:bookmarkEnd w:id="188"/>
      <w:bookmarkStart w:id="189" w:name="_Toc184308080"/>
      <w:bookmarkEnd w:id="189"/>
      <w:bookmarkStart w:id="190" w:name="_Toc184312083"/>
      <w:bookmarkEnd w:id="190"/>
      <w:bookmarkStart w:id="191" w:name="_Toc184314468"/>
      <w:bookmarkEnd w:id="191"/>
      <w:bookmarkStart w:id="192" w:name="_Toc184314422"/>
      <w:bookmarkEnd w:id="192"/>
      <w:bookmarkStart w:id="193" w:name="_Toc184310325"/>
      <w:bookmarkEnd w:id="193"/>
      <w:bookmarkStart w:id="194" w:name="_Toc184310286"/>
      <w:bookmarkEnd w:id="194"/>
      <w:bookmarkStart w:id="195" w:name="_Toc184310313"/>
      <w:bookmarkEnd w:id="195"/>
      <w:bookmarkStart w:id="196" w:name="_Toc184312130"/>
      <w:bookmarkEnd w:id="196"/>
      <w:bookmarkStart w:id="197" w:name="_Toc184312070"/>
      <w:bookmarkEnd w:id="197"/>
      <w:bookmarkStart w:id="198" w:name="_Toc184310310"/>
      <w:bookmarkEnd w:id="198"/>
      <w:bookmarkStart w:id="199" w:name="_Toc184314418"/>
      <w:bookmarkEnd w:id="199"/>
      <w:bookmarkStart w:id="200" w:name="_Toc184313286"/>
      <w:bookmarkEnd w:id="200"/>
      <w:bookmarkStart w:id="201" w:name="_Toc184308076"/>
      <w:bookmarkEnd w:id="201"/>
      <w:bookmarkStart w:id="202" w:name="_Toc184310293"/>
      <w:bookmarkEnd w:id="202"/>
      <w:bookmarkStart w:id="203" w:name="_Toc184313298"/>
      <w:bookmarkEnd w:id="203"/>
      <w:bookmarkStart w:id="204" w:name="_Toc184312120"/>
      <w:bookmarkEnd w:id="204"/>
      <w:bookmarkStart w:id="205" w:name="_Toc184314461"/>
      <w:bookmarkEnd w:id="205"/>
      <w:bookmarkStart w:id="206" w:name="_Toc184312068"/>
      <w:bookmarkEnd w:id="206"/>
      <w:bookmarkStart w:id="207" w:name="_Toc184312093"/>
      <w:bookmarkEnd w:id="207"/>
      <w:bookmarkStart w:id="208" w:name="_Toc184310330"/>
      <w:bookmarkEnd w:id="208"/>
      <w:bookmarkStart w:id="209" w:name="_Toc184310302"/>
      <w:bookmarkEnd w:id="209"/>
      <w:bookmarkStart w:id="210" w:name="_Toc184308094"/>
      <w:bookmarkEnd w:id="210"/>
      <w:bookmarkStart w:id="211" w:name="_Toc184310324"/>
      <w:bookmarkEnd w:id="211"/>
      <w:bookmarkStart w:id="212" w:name="_Toc184308055"/>
      <w:bookmarkEnd w:id="212"/>
      <w:bookmarkStart w:id="213" w:name="_Toc184308053"/>
      <w:bookmarkEnd w:id="213"/>
      <w:bookmarkStart w:id="214" w:name="_Toc184313249"/>
      <w:bookmarkEnd w:id="214"/>
      <w:bookmarkStart w:id="215" w:name="_Toc184312101"/>
      <w:bookmarkEnd w:id="215"/>
      <w:bookmarkStart w:id="216" w:name="_Toc184308063"/>
      <w:bookmarkEnd w:id="216"/>
      <w:bookmarkStart w:id="217" w:name="_Toc184313255"/>
      <w:bookmarkEnd w:id="217"/>
      <w:bookmarkStart w:id="218" w:name="_Toc184314459"/>
      <w:bookmarkEnd w:id="218"/>
      <w:bookmarkStart w:id="219" w:name="_Toc184314424"/>
      <w:bookmarkEnd w:id="219"/>
      <w:bookmarkStart w:id="220" w:name="_Toc184314456"/>
      <w:bookmarkEnd w:id="220"/>
      <w:bookmarkStart w:id="221" w:name="_Toc184313304"/>
      <w:bookmarkEnd w:id="221"/>
      <w:bookmarkStart w:id="222" w:name="_Toc184312137"/>
      <w:bookmarkEnd w:id="222"/>
      <w:bookmarkStart w:id="223" w:name="_Toc184314438"/>
      <w:bookmarkEnd w:id="223"/>
      <w:bookmarkStart w:id="224" w:name="_Toc184313277"/>
      <w:bookmarkEnd w:id="224"/>
      <w:bookmarkStart w:id="225" w:name="_Toc184310291"/>
      <w:bookmarkEnd w:id="225"/>
      <w:bookmarkStart w:id="226" w:name="_Toc184314437"/>
      <w:bookmarkEnd w:id="226"/>
      <w:bookmarkStart w:id="227" w:name="_Toc184314451"/>
      <w:bookmarkEnd w:id="227"/>
      <w:bookmarkStart w:id="228" w:name="_Toc184313261"/>
      <w:bookmarkEnd w:id="228"/>
      <w:bookmarkStart w:id="229" w:name="_Toc184314478"/>
      <w:bookmarkEnd w:id="229"/>
      <w:bookmarkStart w:id="230" w:name="_Toc184310279"/>
      <w:bookmarkEnd w:id="230"/>
      <w:bookmarkStart w:id="231" w:name="_Toc184310283"/>
      <w:bookmarkEnd w:id="231"/>
      <w:bookmarkStart w:id="232" w:name="_Toc184314444"/>
      <w:bookmarkEnd w:id="232"/>
      <w:bookmarkStart w:id="233" w:name="_Toc184314435"/>
      <w:bookmarkEnd w:id="233"/>
      <w:bookmarkStart w:id="234" w:name="_Toc184313269"/>
      <w:bookmarkEnd w:id="234"/>
      <w:bookmarkStart w:id="235" w:name="_Toc184310323"/>
      <w:bookmarkEnd w:id="235"/>
      <w:bookmarkStart w:id="236" w:name="_Toc184310308"/>
      <w:bookmarkEnd w:id="236"/>
      <w:bookmarkStart w:id="237" w:name="_Toc184308056"/>
      <w:bookmarkEnd w:id="237"/>
      <w:bookmarkStart w:id="238" w:name="_Toc184314458"/>
      <w:bookmarkEnd w:id="238"/>
      <w:bookmarkStart w:id="239" w:name="_Toc184313245"/>
      <w:bookmarkEnd w:id="239"/>
      <w:bookmarkStart w:id="240" w:name="_Toc184314429"/>
      <w:bookmarkEnd w:id="240"/>
      <w:bookmarkStart w:id="241" w:name="_Toc184313284"/>
      <w:bookmarkEnd w:id="241"/>
      <w:bookmarkStart w:id="242" w:name="_Toc184310332"/>
      <w:bookmarkEnd w:id="242"/>
      <w:bookmarkStart w:id="243" w:name="_Toc184310296"/>
      <w:bookmarkEnd w:id="243"/>
      <w:bookmarkStart w:id="244" w:name="_Toc184308105"/>
      <w:bookmarkEnd w:id="244"/>
      <w:bookmarkStart w:id="245" w:name="_Toc184310329"/>
      <w:bookmarkEnd w:id="245"/>
      <w:bookmarkStart w:id="246" w:name="_Toc184310327"/>
      <w:bookmarkEnd w:id="246"/>
      <w:bookmarkStart w:id="247" w:name="_Toc184308092"/>
      <w:bookmarkEnd w:id="247"/>
      <w:bookmarkStart w:id="248" w:name="_Toc184308087"/>
      <w:bookmarkEnd w:id="248"/>
      <w:bookmarkStart w:id="249" w:name="_Toc184314443"/>
      <w:bookmarkEnd w:id="249"/>
      <w:bookmarkStart w:id="250" w:name="_Toc184314432"/>
      <w:bookmarkEnd w:id="250"/>
      <w:bookmarkStart w:id="251" w:name="_Toc184313303"/>
      <w:bookmarkEnd w:id="251"/>
      <w:bookmarkStart w:id="252" w:name="_Toc184310328"/>
      <w:bookmarkEnd w:id="252"/>
      <w:bookmarkStart w:id="253" w:name="_Toc184313275"/>
      <w:bookmarkEnd w:id="253"/>
      <w:bookmarkStart w:id="254" w:name="_Toc184312106"/>
      <w:bookmarkEnd w:id="254"/>
      <w:bookmarkStart w:id="255" w:name="_Toc184312082"/>
      <w:bookmarkEnd w:id="255"/>
      <w:bookmarkStart w:id="256" w:name="_Toc184312096"/>
      <w:bookmarkEnd w:id="256"/>
      <w:bookmarkStart w:id="257" w:name="_Toc184312094"/>
      <w:bookmarkEnd w:id="257"/>
      <w:bookmarkStart w:id="258" w:name="_Toc184308057"/>
      <w:bookmarkEnd w:id="258"/>
      <w:bookmarkStart w:id="259" w:name="_Toc184313293"/>
      <w:bookmarkEnd w:id="259"/>
      <w:bookmarkStart w:id="260" w:name="_Toc184308037"/>
      <w:bookmarkEnd w:id="260"/>
      <w:bookmarkStart w:id="261" w:name="_Toc184308047"/>
      <w:bookmarkEnd w:id="261"/>
      <w:bookmarkStart w:id="262" w:name="_Toc184310305"/>
      <w:bookmarkEnd w:id="262"/>
      <w:bookmarkStart w:id="263" w:name="_Toc184310316"/>
      <w:bookmarkEnd w:id="263"/>
      <w:bookmarkStart w:id="264" w:name="_Toc184312133"/>
      <w:bookmarkEnd w:id="264"/>
      <w:bookmarkStart w:id="265" w:name="_Toc184312086"/>
      <w:bookmarkEnd w:id="265"/>
      <w:bookmarkStart w:id="266" w:name="_Toc184308085"/>
      <w:bookmarkEnd w:id="266"/>
      <w:bookmarkStart w:id="267" w:name="_Toc184312100"/>
      <w:bookmarkEnd w:id="267"/>
      <w:bookmarkStart w:id="268" w:name="_Toc184314453"/>
      <w:bookmarkEnd w:id="268"/>
      <w:bookmarkStart w:id="269" w:name="_Toc184314421"/>
      <w:bookmarkEnd w:id="269"/>
      <w:bookmarkStart w:id="270" w:name="_Toc184313247"/>
      <w:bookmarkEnd w:id="270"/>
      <w:bookmarkStart w:id="271" w:name="_Toc184310322"/>
      <w:bookmarkEnd w:id="271"/>
      <w:bookmarkStart w:id="272" w:name="_Toc184312080"/>
      <w:bookmarkEnd w:id="272"/>
      <w:bookmarkStart w:id="273" w:name="_Toc184310285"/>
      <w:bookmarkEnd w:id="273"/>
      <w:bookmarkStart w:id="274" w:name="_Toc184312118"/>
      <w:bookmarkEnd w:id="274"/>
      <w:bookmarkStart w:id="275" w:name="_Toc184310331"/>
      <w:bookmarkEnd w:id="275"/>
      <w:bookmarkStart w:id="276" w:name="_Toc184312132"/>
      <w:bookmarkEnd w:id="276"/>
      <w:bookmarkStart w:id="277" w:name="_Toc184313262"/>
      <w:bookmarkEnd w:id="277"/>
      <w:bookmarkStart w:id="278" w:name="_Toc184314427"/>
      <w:bookmarkEnd w:id="278"/>
      <w:bookmarkStart w:id="279" w:name="_Toc184313248"/>
      <w:bookmarkEnd w:id="279"/>
      <w:bookmarkStart w:id="280" w:name="_Toc184310341"/>
      <w:bookmarkEnd w:id="280"/>
      <w:bookmarkStart w:id="281" w:name="_Toc184308089"/>
      <w:bookmarkEnd w:id="281"/>
      <w:bookmarkStart w:id="282" w:name="_Toc184314469"/>
      <w:bookmarkEnd w:id="282"/>
      <w:bookmarkStart w:id="283" w:name="_Toc184314431"/>
      <w:bookmarkEnd w:id="283"/>
      <w:bookmarkStart w:id="284" w:name="_Toc184313306"/>
      <w:bookmarkEnd w:id="284"/>
      <w:bookmarkStart w:id="285" w:name="_Toc184314447"/>
      <w:bookmarkEnd w:id="285"/>
      <w:bookmarkStart w:id="286" w:name="_Toc184314467"/>
      <w:bookmarkEnd w:id="286"/>
      <w:bookmarkStart w:id="287" w:name="_Toc184308039"/>
      <w:bookmarkEnd w:id="287"/>
      <w:bookmarkStart w:id="288" w:name="_Toc184313290"/>
      <w:bookmarkEnd w:id="288"/>
      <w:bookmarkStart w:id="289" w:name="_Toc184313263"/>
      <w:bookmarkEnd w:id="289"/>
      <w:bookmarkStart w:id="290" w:name="_Toc184312104"/>
      <w:bookmarkEnd w:id="290"/>
      <w:bookmarkStart w:id="291" w:name="_Toc184308046"/>
      <w:bookmarkEnd w:id="291"/>
      <w:bookmarkStart w:id="292" w:name="_Toc184313276"/>
      <w:bookmarkEnd w:id="292"/>
      <w:bookmarkStart w:id="293" w:name="_Toc184313281"/>
      <w:bookmarkEnd w:id="293"/>
      <w:bookmarkStart w:id="294" w:name="_Toc184310294"/>
      <w:bookmarkEnd w:id="294"/>
      <w:bookmarkStart w:id="295" w:name="_Toc184308042"/>
      <w:bookmarkEnd w:id="295"/>
      <w:bookmarkStart w:id="296" w:name="_Toc184313297"/>
      <w:bookmarkEnd w:id="296"/>
      <w:bookmarkStart w:id="297" w:name="_Toc184313310"/>
      <w:bookmarkEnd w:id="297"/>
      <w:bookmarkStart w:id="298" w:name="_Toc184313246"/>
      <w:bookmarkEnd w:id="298"/>
      <w:bookmarkStart w:id="299" w:name="_Toc184312071"/>
      <w:bookmarkEnd w:id="299"/>
      <w:bookmarkStart w:id="300" w:name="_Toc184308064"/>
      <w:bookmarkEnd w:id="300"/>
      <w:bookmarkStart w:id="301" w:name="_Toc184308044"/>
      <w:bookmarkEnd w:id="301"/>
      <w:bookmarkStart w:id="302" w:name="_Toc184312088"/>
      <w:bookmarkEnd w:id="302"/>
      <w:bookmarkStart w:id="303" w:name="_Toc184313291"/>
      <w:bookmarkEnd w:id="303"/>
      <w:bookmarkStart w:id="304" w:name="_Toc184312113"/>
      <w:bookmarkEnd w:id="304"/>
      <w:bookmarkStart w:id="305" w:name="_Toc184313238"/>
      <w:bookmarkEnd w:id="305"/>
      <w:bookmarkStart w:id="306" w:name="_Toc184314462"/>
      <w:bookmarkEnd w:id="306"/>
      <w:bookmarkStart w:id="307" w:name="_Toc184310288"/>
      <w:bookmarkEnd w:id="307"/>
      <w:bookmarkStart w:id="308" w:name="_Toc184308052"/>
      <w:bookmarkEnd w:id="308"/>
      <w:bookmarkStart w:id="309" w:name="_Toc184314441"/>
      <w:bookmarkEnd w:id="309"/>
      <w:bookmarkStart w:id="310" w:name="_Toc184310311"/>
      <w:bookmarkEnd w:id="310"/>
      <w:bookmarkStart w:id="311" w:name="_Toc184310304"/>
      <w:bookmarkEnd w:id="311"/>
      <w:bookmarkStart w:id="312" w:name="_Toc184312125"/>
      <w:bookmarkEnd w:id="312"/>
      <w:bookmarkStart w:id="313" w:name="_Toc184312079"/>
      <w:bookmarkEnd w:id="313"/>
      <w:bookmarkStart w:id="314" w:name="_Toc184312091"/>
      <w:bookmarkEnd w:id="314"/>
      <w:bookmarkStart w:id="315" w:name="_Toc184310338"/>
      <w:bookmarkEnd w:id="315"/>
      <w:bookmarkStart w:id="316" w:name="_Toc184312136"/>
      <w:bookmarkEnd w:id="316"/>
      <w:bookmarkStart w:id="317" w:name="_Toc184312109"/>
      <w:bookmarkEnd w:id="317"/>
      <w:bookmarkStart w:id="318" w:name="_Toc184312102"/>
      <w:bookmarkEnd w:id="318"/>
      <w:bookmarkStart w:id="319" w:name="_Toc184312089"/>
      <w:bookmarkEnd w:id="319"/>
      <w:bookmarkStart w:id="320" w:name="_Toc184310321"/>
      <w:bookmarkEnd w:id="320"/>
      <w:bookmarkStart w:id="321" w:name="_Toc184314411"/>
      <w:bookmarkEnd w:id="321"/>
      <w:bookmarkStart w:id="322" w:name="_Toc184312129"/>
      <w:bookmarkEnd w:id="322"/>
      <w:bookmarkStart w:id="323" w:name="_Toc184312095"/>
      <w:bookmarkEnd w:id="323"/>
      <w:bookmarkStart w:id="324" w:name="_Toc184312126"/>
      <w:bookmarkEnd w:id="324"/>
      <w:bookmarkStart w:id="325" w:name="_Toc184312121"/>
      <w:bookmarkEnd w:id="325"/>
      <w:bookmarkStart w:id="326" w:name="_Toc184314420"/>
      <w:bookmarkEnd w:id="326"/>
      <w:bookmarkStart w:id="327" w:name="_Toc184312123"/>
      <w:bookmarkEnd w:id="327"/>
      <w:bookmarkStart w:id="328" w:name="_Toc184310273"/>
      <w:bookmarkEnd w:id="328"/>
      <w:bookmarkStart w:id="329" w:name="_Toc184314472"/>
      <w:bookmarkEnd w:id="329"/>
      <w:bookmarkStart w:id="330" w:name="_Toc184314433"/>
      <w:bookmarkEnd w:id="330"/>
      <w:bookmarkStart w:id="331" w:name="_Toc184314436"/>
      <w:bookmarkEnd w:id="331"/>
      <w:bookmarkStart w:id="332" w:name="_Toc184308108"/>
      <w:bookmarkEnd w:id="332"/>
      <w:bookmarkStart w:id="333" w:name="_Toc184313285"/>
      <w:bookmarkEnd w:id="333"/>
      <w:bookmarkStart w:id="334" w:name="_Toc184313295"/>
      <w:bookmarkEnd w:id="334"/>
      <w:bookmarkStart w:id="335" w:name="_Toc184313266"/>
      <w:bookmarkEnd w:id="335"/>
      <w:bookmarkStart w:id="336" w:name="_Toc184312077"/>
      <w:bookmarkEnd w:id="336"/>
      <w:bookmarkStart w:id="337" w:name="_Toc184308088"/>
      <w:bookmarkEnd w:id="337"/>
      <w:bookmarkStart w:id="338" w:name="_Toc184308043"/>
      <w:bookmarkEnd w:id="338"/>
      <w:bookmarkStart w:id="339" w:name="_Toc184308062"/>
      <w:bookmarkEnd w:id="339"/>
      <w:bookmarkStart w:id="340" w:name="_Toc184314465"/>
      <w:bookmarkEnd w:id="340"/>
      <w:bookmarkStart w:id="341" w:name="_Toc184310300"/>
      <w:bookmarkEnd w:id="341"/>
      <w:bookmarkStart w:id="342" w:name="_Toc184310339"/>
      <w:bookmarkEnd w:id="342"/>
      <w:bookmarkStart w:id="343" w:name="_Toc184310298"/>
      <w:bookmarkEnd w:id="343"/>
      <w:bookmarkStart w:id="344" w:name="_Toc184313305"/>
      <w:bookmarkEnd w:id="344"/>
      <w:bookmarkStart w:id="345" w:name="_Toc184308077"/>
      <w:bookmarkEnd w:id="345"/>
      <w:bookmarkStart w:id="346" w:name="_Toc184310297"/>
      <w:bookmarkEnd w:id="346"/>
      <w:bookmarkStart w:id="347" w:name="_Toc184310280"/>
      <w:bookmarkEnd w:id="347"/>
      <w:bookmarkStart w:id="348" w:name="_Toc184312087"/>
      <w:bookmarkEnd w:id="348"/>
      <w:bookmarkStart w:id="349" w:name="_Toc184314460"/>
      <w:bookmarkEnd w:id="349"/>
      <w:bookmarkStart w:id="350" w:name="_Toc184310318"/>
      <w:bookmarkEnd w:id="350"/>
      <w:bookmarkStart w:id="351" w:name="_Toc184314413"/>
      <w:bookmarkEnd w:id="351"/>
      <w:bookmarkStart w:id="352" w:name="_Toc184312111"/>
      <w:bookmarkEnd w:id="352"/>
      <w:bookmarkStart w:id="353" w:name="_Toc184310289"/>
      <w:bookmarkEnd w:id="353"/>
      <w:bookmarkStart w:id="354" w:name="_Toc184310343"/>
      <w:bookmarkEnd w:id="354"/>
      <w:bookmarkStart w:id="355" w:name="_Toc184314415"/>
      <w:bookmarkEnd w:id="355"/>
      <w:bookmarkStart w:id="356" w:name="_Toc184313288"/>
      <w:bookmarkEnd w:id="356"/>
      <w:bookmarkStart w:id="357" w:name="_Toc184310307"/>
      <w:bookmarkEnd w:id="357"/>
      <w:bookmarkStart w:id="358" w:name="_Toc184313296"/>
      <w:bookmarkEnd w:id="358"/>
      <w:bookmarkStart w:id="359" w:name="_Toc184310306"/>
      <w:bookmarkEnd w:id="359"/>
      <w:bookmarkStart w:id="360" w:name="_Toc184313240"/>
      <w:bookmarkEnd w:id="360"/>
      <w:bookmarkStart w:id="361" w:name="_Toc184310315"/>
      <w:bookmarkEnd w:id="361"/>
      <w:bookmarkStart w:id="362" w:name="_Toc184314412"/>
      <w:bookmarkEnd w:id="362"/>
      <w:bookmarkStart w:id="363" w:name="_Toc184313287"/>
      <w:bookmarkEnd w:id="363"/>
      <w:bookmarkStart w:id="364" w:name="_Toc184308103"/>
      <w:bookmarkEnd w:id="364"/>
      <w:bookmarkStart w:id="365" w:name="_Toc184314450"/>
      <w:bookmarkEnd w:id="365"/>
      <w:bookmarkStart w:id="366" w:name="_Toc184308041"/>
      <w:bookmarkEnd w:id="366"/>
      <w:bookmarkStart w:id="367" w:name="_Toc184308061"/>
      <w:bookmarkEnd w:id="367"/>
      <w:bookmarkStart w:id="368" w:name="_Toc184308045"/>
      <w:bookmarkEnd w:id="368"/>
      <w:bookmarkStart w:id="369" w:name="_Toc184308086"/>
      <w:bookmarkEnd w:id="369"/>
      <w:bookmarkStart w:id="370" w:name="_Toc184308081"/>
      <w:bookmarkEnd w:id="370"/>
      <w:bookmarkStart w:id="371" w:name="_Toc184312134"/>
      <w:bookmarkEnd w:id="371"/>
      <w:bookmarkStart w:id="372" w:name="_Toc184314419"/>
      <w:bookmarkEnd w:id="372"/>
      <w:bookmarkStart w:id="373" w:name="_Toc184313270"/>
      <w:bookmarkEnd w:id="373"/>
      <w:bookmarkStart w:id="374" w:name="_Toc184308083"/>
      <w:bookmarkEnd w:id="374"/>
      <w:bookmarkStart w:id="375" w:name="_Toc184314481"/>
      <w:bookmarkEnd w:id="375"/>
      <w:bookmarkStart w:id="376" w:name="_Toc184313239"/>
      <w:bookmarkEnd w:id="376"/>
      <w:bookmarkStart w:id="377" w:name="_Toc184310276"/>
      <w:bookmarkEnd w:id="377"/>
      <w:bookmarkStart w:id="378" w:name="_Toc184310319"/>
      <w:bookmarkEnd w:id="378"/>
      <w:bookmarkStart w:id="379" w:name="_Toc184313252"/>
      <w:bookmarkEnd w:id="379"/>
      <w:bookmarkStart w:id="380" w:name="_Toc184314471"/>
      <w:bookmarkEnd w:id="380"/>
      <w:bookmarkStart w:id="381" w:name="_Toc184313259"/>
      <w:bookmarkEnd w:id="381"/>
      <w:bookmarkStart w:id="382" w:name="_Toc184314430"/>
      <w:bookmarkEnd w:id="382"/>
      <w:bookmarkStart w:id="383" w:name="_Toc184310287"/>
      <w:bookmarkEnd w:id="383"/>
      <w:bookmarkStart w:id="384" w:name="_Toc184314464"/>
      <w:bookmarkEnd w:id="384"/>
      <w:bookmarkStart w:id="385" w:name="_Toc184308093"/>
      <w:bookmarkEnd w:id="385"/>
      <w:bookmarkStart w:id="386" w:name="_Toc184308065"/>
      <w:bookmarkEnd w:id="386"/>
      <w:bookmarkStart w:id="387" w:name="_Toc184313250"/>
      <w:bookmarkEnd w:id="387"/>
      <w:bookmarkStart w:id="388" w:name="_Toc184308079"/>
      <w:bookmarkEnd w:id="388"/>
      <w:bookmarkStart w:id="389" w:name="_Toc184308107"/>
      <w:bookmarkEnd w:id="389"/>
      <w:bookmarkStart w:id="390" w:name="_Toc184308082"/>
      <w:bookmarkEnd w:id="390"/>
      <w:bookmarkStart w:id="391" w:name="_Toc184312084"/>
      <w:bookmarkEnd w:id="391"/>
      <w:bookmarkStart w:id="392" w:name="_Toc184310317"/>
      <w:bookmarkEnd w:id="392"/>
      <w:bookmarkStart w:id="393" w:name="_Toc184314477"/>
      <w:bookmarkEnd w:id="393"/>
      <w:bookmarkStart w:id="394" w:name="_Toc184310337"/>
      <w:bookmarkEnd w:id="394"/>
      <w:bookmarkStart w:id="395" w:name="_Toc184308078"/>
      <w:bookmarkEnd w:id="395"/>
      <w:bookmarkStart w:id="396" w:name="_Toc184313299"/>
      <w:bookmarkEnd w:id="396"/>
      <w:bookmarkStart w:id="397" w:name="_Toc184313241"/>
      <w:bookmarkEnd w:id="397"/>
      <w:bookmarkStart w:id="398" w:name="_Toc184308060"/>
      <w:bookmarkEnd w:id="398"/>
      <w:bookmarkStart w:id="399" w:name="_Toc184313308"/>
      <w:bookmarkEnd w:id="399"/>
      <w:bookmarkStart w:id="400" w:name="_Toc184313309"/>
      <w:bookmarkEnd w:id="400"/>
      <w:bookmarkStart w:id="401" w:name="_Toc184314445"/>
      <w:bookmarkEnd w:id="401"/>
      <w:bookmarkStart w:id="402" w:name="_Toc184308054"/>
      <w:bookmarkEnd w:id="402"/>
      <w:bookmarkStart w:id="403" w:name="_Toc184310301"/>
      <w:bookmarkEnd w:id="403"/>
      <w:bookmarkStart w:id="404" w:name="_Toc184314448"/>
      <w:bookmarkEnd w:id="404"/>
      <w:bookmarkStart w:id="405" w:name="_Toc184312115"/>
      <w:bookmarkEnd w:id="405"/>
      <w:bookmarkStart w:id="406" w:name="_Toc184310336"/>
      <w:bookmarkEnd w:id="406"/>
      <w:bookmarkStart w:id="407" w:name="_Toc184312072"/>
      <w:bookmarkEnd w:id="407"/>
      <w:bookmarkStart w:id="408" w:name="_Toc184312110"/>
      <w:bookmarkEnd w:id="408"/>
      <w:bookmarkStart w:id="409" w:name="_Toc184313265"/>
      <w:bookmarkEnd w:id="409"/>
      <w:bookmarkStart w:id="410" w:name="_Toc184314474"/>
      <w:bookmarkEnd w:id="410"/>
      <w:bookmarkStart w:id="411" w:name="_Toc184312135"/>
      <w:bookmarkEnd w:id="411"/>
      <w:bookmarkStart w:id="412" w:name="_Toc184308068"/>
      <w:bookmarkEnd w:id="412"/>
      <w:bookmarkStart w:id="413" w:name="_Toc184308051"/>
      <w:bookmarkEnd w:id="413"/>
      <w:bookmarkStart w:id="414" w:name="_Toc184312128"/>
      <w:bookmarkEnd w:id="414"/>
      <w:bookmarkStart w:id="415" w:name="_Toc184313244"/>
      <w:bookmarkEnd w:id="415"/>
      <w:bookmarkStart w:id="416" w:name="_Toc184313274"/>
      <w:bookmarkEnd w:id="416"/>
      <w:bookmarkStart w:id="417" w:name="_Toc184308069"/>
      <w:bookmarkEnd w:id="417"/>
      <w:bookmarkStart w:id="418" w:name="_Toc184312090"/>
      <w:bookmarkEnd w:id="418"/>
      <w:bookmarkStart w:id="419" w:name="_Toc184310309"/>
      <w:bookmarkEnd w:id="419"/>
      <w:bookmarkStart w:id="420" w:name="_Toc184308036"/>
      <w:bookmarkEnd w:id="420"/>
      <w:bookmarkStart w:id="421" w:name="_Toc184308098"/>
      <w:bookmarkEnd w:id="421"/>
      <w:bookmarkStart w:id="422" w:name="_Toc184314414"/>
      <w:bookmarkEnd w:id="422"/>
      <w:r>
        <w:rPr>
          <w:rFonts w:hint="eastAsia" w:cs="宋体" w:asciiTheme="minorEastAsia" w:hAnsiTheme="minorEastAsia" w:eastAsiaTheme="minorEastAsia"/>
          <w:b/>
          <w:sz w:val="36"/>
          <w:szCs w:val="36"/>
          <w:highlight w:val="none"/>
        </w:rPr>
        <w:t>评标办法</w:t>
      </w:r>
    </w:p>
    <w:p w14:paraId="627F7AC8">
      <w:pPr>
        <w:snapToGrid w:val="0"/>
        <w:spacing w:line="360" w:lineRule="auto"/>
        <w:jc w:val="center"/>
        <w:rPr>
          <w:rFonts w:cs="宋体" w:asciiTheme="minorEastAsia" w:hAnsiTheme="minorEastAsia" w:eastAsiaTheme="minorEastAsia"/>
          <w:sz w:val="20"/>
          <w:szCs w:val="20"/>
          <w:shd w:val="clear" w:color="auto" w:fill="FFFFFF"/>
        </w:rPr>
      </w:pPr>
      <w:r>
        <w:rPr>
          <w:rFonts w:hint="eastAsia" w:cs="宋体" w:asciiTheme="minorEastAsia" w:hAnsiTheme="minorEastAsia" w:eastAsiaTheme="minorEastAsia"/>
          <w:b/>
          <w:sz w:val="32"/>
          <w:szCs w:val="20"/>
        </w:rPr>
        <w:t>评标办法前附表</w:t>
      </w:r>
    </w:p>
    <w:tbl>
      <w:tblPr>
        <w:tblStyle w:val="64"/>
        <w:tblW w:w="499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15"/>
        <w:gridCol w:w="5378"/>
        <w:gridCol w:w="817"/>
        <w:gridCol w:w="2271"/>
      </w:tblGrid>
      <w:tr w14:paraId="1D089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trPr>
        <w:tc>
          <w:tcPr>
            <w:tcW w:w="439" w:type="pct"/>
            <w:shd w:val="clear" w:color="auto" w:fill="auto"/>
            <w:vAlign w:val="center"/>
          </w:tcPr>
          <w:p w14:paraId="1B7AB74B">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2896" w:type="pct"/>
            <w:shd w:val="clear" w:color="auto" w:fill="auto"/>
            <w:vAlign w:val="center"/>
          </w:tcPr>
          <w:p w14:paraId="31710E81">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评标标准</w:t>
            </w:r>
          </w:p>
        </w:tc>
        <w:tc>
          <w:tcPr>
            <w:tcW w:w="440" w:type="pct"/>
            <w:shd w:val="clear" w:color="auto" w:fill="auto"/>
            <w:vAlign w:val="center"/>
          </w:tcPr>
          <w:p w14:paraId="63C4AA84">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权重</w:t>
            </w:r>
          </w:p>
        </w:tc>
        <w:tc>
          <w:tcPr>
            <w:tcW w:w="1223" w:type="pct"/>
            <w:shd w:val="clear" w:color="auto" w:fill="auto"/>
            <w:vAlign w:val="center"/>
          </w:tcPr>
          <w:p w14:paraId="15F78B2A">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投标文件中评标标准相应的商务技术资料目录 *</w:t>
            </w:r>
          </w:p>
        </w:tc>
      </w:tr>
      <w:tr w14:paraId="49226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shd w:val="clear" w:color="auto" w:fill="auto"/>
            <w:noWrap/>
            <w:vAlign w:val="center"/>
          </w:tcPr>
          <w:p w14:paraId="2CB93A6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896" w:type="pct"/>
            <w:shd w:val="clear" w:color="auto" w:fill="auto"/>
            <w:vAlign w:val="center"/>
          </w:tcPr>
          <w:p w14:paraId="608D9C80">
            <w:pPr>
              <w:widowControl/>
              <w:spacing w:line="360" w:lineRule="auto"/>
              <w:jc w:val="left"/>
              <w:textAlignment w:val="center"/>
              <w:rPr>
                <w:rFonts w:hint="eastAsia" w:ascii="宋体" w:hAnsi="宋体" w:eastAsia="宋体" w:cs="宋体"/>
                <w:color w:val="000000"/>
                <w:sz w:val="24"/>
                <w:szCs w:val="24"/>
              </w:rPr>
            </w:pPr>
            <w:r>
              <w:rPr>
                <w:rStyle w:val="312"/>
                <w:rFonts w:hint="eastAsia" w:ascii="宋体" w:hAnsi="宋体" w:eastAsia="宋体" w:cs="宋体"/>
                <w:sz w:val="24"/>
                <w:szCs w:val="24"/>
                <w:lang w:bidi="ar"/>
              </w:rPr>
              <w:t>截止投标时间近三年以来投标人承担类似建设项目情况，结合已完工的案例和用户反映情况，需提供</w:t>
            </w:r>
            <w:r>
              <w:rPr>
                <w:rStyle w:val="144"/>
                <w:rFonts w:hint="eastAsia" w:ascii="宋体" w:hAnsi="宋体" w:eastAsia="宋体" w:cs="宋体"/>
                <w:sz w:val="24"/>
                <w:szCs w:val="24"/>
                <w:lang w:bidi="ar"/>
              </w:rPr>
              <w:t>合同复印件和项目验收报告</w:t>
            </w:r>
            <w:r>
              <w:rPr>
                <w:rStyle w:val="329"/>
                <w:rFonts w:hint="eastAsia" w:ascii="宋体" w:hAnsi="宋体" w:eastAsia="宋体" w:cs="宋体"/>
                <w:sz w:val="24"/>
                <w:szCs w:val="24"/>
                <w:lang w:bidi="ar"/>
              </w:rPr>
              <w:t>（一个案例得0.5分，总分1分）。未按要求提供完整材料的，不得分；</w:t>
            </w:r>
            <w:r>
              <w:rPr>
                <w:rStyle w:val="144"/>
                <w:rFonts w:hint="eastAsia" w:ascii="宋体" w:hAnsi="宋体" w:eastAsia="宋体" w:cs="宋体"/>
                <w:sz w:val="24"/>
                <w:szCs w:val="24"/>
                <w:lang w:bidi="ar"/>
              </w:rPr>
              <w:t>一个单位分年度多次签订的案例，计入1个案例；同一个项目，分两期或以上建设完成的，计入1个案例。</w:t>
            </w:r>
          </w:p>
        </w:tc>
        <w:tc>
          <w:tcPr>
            <w:tcW w:w="440" w:type="pct"/>
            <w:shd w:val="clear" w:color="auto" w:fill="auto"/>
            <w:noWrap/>
            <w:vAlign w:val="center"/>
          </w:tcPr>
          <w:p w14:paraId="25412AB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223" w:type="pct"/>
            <w:shd w:val="clear" w:color="auto" w:fill="auto"/>
            <w:vAlign w:val="center"/>
          </w:tcPr>
          <w:p w14:paraId="0ACB9CF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类似项目建设的成功经验</w:t>
            </w:r>
          </w:p>
        </w:tc>
      </w:tr>
      <w:tr w14:paraId="206EC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40" w:hRule="atLeast"/>
        </w:trPr>
        <w:tc>
          <w:tcPr>
            <w:tcW w:w="439" w:type="pct"/>
            <w:shd w:val="clear" w:color="auto" w:fill="auto"/>
            <w:noWrap/>
            <w:vAlign w:val="center"/>
          </w:tcPr>
          <w:p w14:paraId="1546169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896" w:type="pct"/>
            <w:shd w:val="clear" w:color="auto" w:fill="auto"/>
            <w:vAlign w:val="center"/>
          </w:tcPr>
          <w:p w14:paraId="68EDC48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同时具有有效期内ISO9001质量管理体系认证证书、ISO20000信息技术服务管理体系证书、ISO27001信息安全管理体系认证证书，每个证书得1分，最高3分。注：以上证书须由通过中国国家认证认可监督管理委员会备案通过的认证机构颁发且在全国认证认可信息公共服务平台查询状态为有效，</w:t>
            </w:r>
            <w:r>
              <w:rPr>
                <w:rFonts w:hint="eastAsia" w:ascii="宋体" w:hAnsi="宋体" w:cs="宋体"/>
                <w:color w:val="000000"/>
                <w:kern w:val="0"/>
                <w:sz w:val="24"/>
                <w:szCs w:val="24"/>
                <w:lang w:eastAsia="zh-CN" w:bidi="ar"/>
              </w:rPr>
              <w:t>提供截图，</w:t>
            </w:r>
            <w:r>
              <w:rPr>
                <w:rFonts w:hint="eastAsia" w:ascii="宋体" w:hAnsi="宋体" w:eastAsia="宋体" w:cs="宋体"/>
                <w:color w:val="000000"/>
                <w:kern w:val="0"/>
                <w:sz w:val="24"/>
                <w:szCs w:val="24"/>
                <w:lang w:bidi="ar"/>
              </w:rPr>
              <w:t>否则不得分。</w:t>
            </w:r>
          </w:p>
        </w:tc>
        <w:tc>
          <w:tcPr>
            <w:tcW w:w="440" w:type="pct"/>
            <w:shd w:val="clear" w:color="auto" w:fill="auto"/>
            <w:noWrap/>
            <w:vAlign w:val="center"/>
          </w:tcPr>
          <w:p w14:paraId="4F1F595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223" w:type="pct"/>
            <w:shd w:val="clear" w:color="auto" w:fill="auto"/>
            <w:vAlign w:val="center"/>
          </w:tcPr>
          <w:p w14:paraId="23E72F71">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投标人</w:t>
            </w:r>
            <w:r>
              <w:rPr>
                <w:rFonts w:hint="eastAsia" w:ascii="宋体" w:hAnsi="宋体" w:cs="宋体"/>
                <w:color w:val="000000"/>
                <w:kern w:val="0"/>
                <w:sz w:val="24"/>
                <w:szCs w:val="24"/>
                <w:lang w:eastAsia="zh-CN" w:bidi="ar"/>
              </w:rPr>
              <w:t>基本情况</w:t>
            </w:r>
          </w:p>
        </w:tc>
      </w:tr>
      <w:tr w14:paraId="1FB56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20" w:hRule="atLeast"/>
        </w:trPr>
        <w:tc>
          <w:tcPr>
            <w:tcW w:w="439" w:type="pct"/>
            <w:vMerge w:val="restart"/>
            <w:shd w:val="clear" w:color="auto" w:fill="auto"/>
            <w:noWrap/>
            <w:vAlign w:val="center"/>
          </w:tcPr>
          <w:p w14:paraId="6E2D864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896" w:type="pct"/>
            <w:shd w:val="clear" w:color="auto" w:fill="auto"/>
            <w:vAlign w:val="center"/>
          </w:tcPr>
          <w:p w14:paraId="0F7A53BB">
            <w:pPr>
              <w:widowControl/>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系统功能建设的吻合程度：</w:t>
            </w:r>
          </w:p>
          <w:p w14:paraId="1062F7D1">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①首页总览②警网智治事件信息③事件关联④事件打标⑤分析研判⑥成效晾晒⑦涉事档案管理</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完整合理、阐述详细视为满足采购需求，每项完全满足的得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分，部分满足的得1</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分，不满足的不得分，共</w:t>
            </w:r>
            <w:r>
              <w:rPr>
                <w:rFonts w:hint="eastAsia" w:ascii="宋体" w:hAnsi="宋体" w:eastAsia="宋体" w:cs="宋体"/>
                <w:color w:val="000000"/>
                <w:kern w:val="0"/>
                <w:sz w:val="24"/>
                <w:szCs w:val="24"/>
                <w:lang w:val="en-US" w:eastAsia="zh-CN" w:bidi="ar"/>
              </w:rPr>
              <w:t>21</w:t>
            </w:r>
            <w:r>
              <w:rPr>
                <w:rFonts w:hint="eastAsia" w:ascii="宋体" w:hAnsi="宋体" w:eastAsia="宋体" w:cs="宋体"/>
                <w:color w:val="000000"/>
                <w:kern w:val="0"/>
                <w:sz w:val="24"/>
                <w:szCs w:val="24"/>
                <w:lang w:bidi="ar"/>
              </w:rPr>
              <w:t>分。</w:t>
            </w:r>
          </w:p>
        </w:tc>
        <w:tc>
          <w:tcPr>
            <w:tcW w:w="440" w:type="pct"/>
            <w:vMerge w:val="restart"/>
            <w:shd w:val="clear" w:color="auto" w:fill="auto"/>
            <w:noWrap/>
            <w:vAlign w:val="center"/>
          </w:tcPr>
          <w:p w14:paraId="35D891C0">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21</w:t>
            </w:r>
          </w:p>
        </w:tc>
        <w:tc>
          <w:tcPr>
            <w:tcW w:w="1223" w:type="pct"/>
            <w:vMerge w:val="restart"/>
            <w:shd w:val="clear" w:color="auto" w:fill="auto"/>
            <w:vAlign w:val="center"/>
          </w:tcPr>
          <w:p w14:paraId="4C1D0B8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投标产品与需求的吻合程度</w:t>
            </w:r>
          </w:p>
        </w:tc>
      </w:tr>
      <w:tr w14:paraId="1E002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439" w:type="pct"/>
            <w:vMerge w:val="continue"/>
            <w:shd w:val="clear" w:color="auto" w:fill="auto"/>
            <w:noWrap/>
            <w:vAlign w:val="center"/>
          </w:tcPr>
          <w:p w14:paraId="1E3B84B2">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19994034">
            <w:pPr>
              <w:widowControl/>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信创适配改造方案：</w:t>
            </w:r>
          </w:p>
          <w:p w14:paraId="60EF222A">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针对已有平台的信创适配改造方案，结合系统的实际情况①数据库、②中间件</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③终端浏览器</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④操作系统等相关方面阐述详细的改造适配方案，根据方案内容的科学性、完整性、可实施性进行打分，每项完全满足的得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bidi="ar"/>
              </w:rPr>
              <w:t>分，部分满足的得</w:t>
            </w:r>
            <w:r>
              <w:rPr>
                <w:rFonts w:hint="eastAsia" w:ascii="宋体" w:hAnsi="宋体" w:cs="宋体"/>
                <w:color w:val="000000"/>
                <w:kern w:val="0"/>
                <w:sz w:val="24"/>
                <w:szCs w:val="24"/>
                <w:lang w:val="en-US" w:eastAsia="zh-CN" w:bidi="ar"/>
              </w:rPr>
              <w:t>0.5</w:t>
            </w:r>
            <w:r>
              <w:rPr>
                <w:rFonts w:hint="eastAsia" w:ascii="宋体" w:hAnsi="宋体" w:eastAsia="宋体" w:cs="宋体"/>
                <w:color w:val="000000"/>
                <w:kern w:val="0"/>
                <w:sz w:val="24"/>
                <w:szCs w:val="24"/>
                <w:lang w:bidi="ar"/>
              </w:rPr>
              <w:t>分，不满足的不得分，共4分。</w:t>
            </w:r>
          </w:p>
        </w:tc>
        <w:tc>
          <w:tcPr>
            <w:tcW w:w="440" w:type="pct"/>
            <w:vMerge w:val="restart"/>
            <w:shd w:val="clear" w:color="auto" w:fill="auto"/>
            <w:noWrap/>
            <w:vAlign w:val="center"/>
          </w:tcPr>
          <w:p w14:paraId="2110E15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223" w:type="pct"/>
            <w:vMerge w:val="continue"/>
            <w:shd w:val="clear" w:color="auto" w:fill="auto"/>
            <w:vAlign w:val="center"/>
          </w:tcPr>
          <w:p w14:paraId="5997AB1D">
            <w:pPr>
              <w:spacing w:line="360" w:lineRule="auto"/>
              <w:jc w:val="center"/>
              <w:rPr>
                <w:rFonts w:hint="eastAsia" w:ascii="宋体" w:hAnsi="宋体" w:eastAsia="宋体" w:cs="宋体"/>
                <w:color w:val="000000"/>
                <w:sz w:val="24"/>
                <w:szCs w:val="24"/>
              </w:rPr>
            </w:pPr>
          </w:p>
        </w:tc>
      </w:tr>
      <w:tr w14:paraId="28B64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0" w:hRule="atLeast"/>
        </w:trPr>
        <w:tc>
          <w:tcPr>
            <w:tcW w:w="439" w:type="pct"/>
            <w:vMerge w:val="continue"/>
            <w:shd w:val="clear" w:color="auto" w:fill="auto"/>
            <w:noWrap/>
            <w:vAlign w:val="center"/>
          </w:tcPr>
          <w:p w14:paraId="06BDF7DD">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6B01C006">
            <w:pPr>
              <w:widowControl/>
              <w:spacing w:line="360" w:lineRule="auto"/>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移动端的浙政钉改造迁移方案：</w:t>
            </w:r>
          </w:p>
          <w:p w14:paraId="5A655B25">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针对移动端的浙政钉改造迁移方案是否阐述详细，完全合理。完全满足的得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分，部分满足的得1</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分，不满足的不得分，共</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w:t>
            </w:r>
          </w:p>
        </w:tc>
        <w:tc>
          <w:tcPr>
            <w:tcW w:w="440" w:type="pct"/>
            <w:vMerge w:val="restart"/>
            <w:shd w:val="clear" w:color="auto" w:fill="auto"/>
            <w:noWrap/>
            <w:vAlign w:val="center"/>
          </w:tcPr>
          <w:p w14:paraId="6DDCB703">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3</w:t>
            </w:r>
          </w:p>
        </w:tc>
        <w:tc>
          <w:tcPr>
            <w:tcW w:w="1223" w:type="pct"/>
            <w:vMerge w:val="continue"/>
            <w:shd w:val="clear" w:color="auto" w:fill="auto"/>
            <w:vAlign w:val="center"/>
          </w:tcPr>
          <w:p w14:paraId="7DAE605A">
            <w:pPr>
              <w:spacing w:line="360" w:lineRule="auto"/>
              <w:jc w:val="center"/>
              <w:rPr>
                <w:rFonts w:hint="eastAsia" w:ascii="宋体" w:hAnsi="宋体" w:eastAsia="宋体" w:cs="宋体"/>
                <w:color w:val="000000"/>
                <w:sz w:val="24"/>
                <w:szCs w:val="24"/>
              </w:rPr>
            </w:pPr>
          </w:p>
        </w:tc>
      </w:tr>
      <w:tr w14:paraId="0E1CC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22" w:hRule="atLeast"/>
        </w:trPr>
        <w:tc>
          <w:tcPr>
            <w:tcW w:w="439" w:type="pct"/>
            <w:vMerge w:val="continue"/>
            <w:shd w:val="clear" w:color="auto" w:fill="auto"/>
            <w:noWrap/>
            <w:vAlign w:val="center"/>
          </w:tcPr>
          <w:p w14:paraId="2ED43C83">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2D88545D">
            <w:pPr>
              <w:widowControl/>
              <w:spacing w:line="360" w:lineRule="auto"/>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信创符合性评估：</w:t>
            </w:r>
          </w:p>
          <w:p w14:paraId="27ABBBDB">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本项目系统要符合国产化要求，由第三方测评公司出具信创符合性评估报告,承诺项目终验前通过信创符合性评估得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分，不满足不得分。</w:t>
            </w:r>
          </w:p>
        </w:tc>
        <w:tc>
          <w:tcPr>
            <w:tcW w:w="440" w:type="pct"/>
            <w:vMerge w:val="restart"/>
            <w:shd w:val="clear" w:color="auto" w:fill="auto"/>
            <w:noWrap/>
            <w:vAlign w:val="center"/>
          </w:tcPr>
          <w:p w14:paraId="7A42C9C4">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3</w:t>
            </w:r>
          </w:p>
        </w:tc>
        <w:tc>
          <w:tcPr>
            <w:tcW w:w="1223" w:type="pct"/>
            <w:vMerge w:val="continue"/>
            <w:shd w:val="clear" w:color="auto" w:fill="auto"/>
            <w:vAlign w:val="center"/>
          </w:tcPr>
          <w:p w14:paraId="2F141B1A">
            <w:pPr>
              <w:spacing w:line="360" w:lineRule="auto"/>
              <w:jc w:val="center"/>
              <w:rPr>
                <w:rFonts w:hint="eastAsia" w:ascii="宋体" w:hAnsi="宋体" w:eastAsia="宋体" w:cs="宋体"/>
                <w:color w:val="000000"/>
                <w:sz w:val="24"/>
                <w:szCs w:val="24"/>
              </w:rPr>
            </w:pPr>
          </w:p>
        </w:tc>
      </w:tr>
      <w:tr w14:paraId="3C64C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0" w:hRule="atLeast"/>
        </w:trPr>
        <w:tc>
          <w:tcPr>
            <w:tcW w:w="439" w:type="pct"/>
            <w:shd w:val="clear" w:color="auto" w:fill="auto"/>
            <w:noWrap/>
            <w:vAlign w:val="center"/>
          </w:tcPr>
          <w:p w14:paraId="36D2400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896" w:type="pct"/>
            <w:shd w:val="clear" w:color="auto" w:fill="auto"/>
            <w:vAlign w:val="center"/>
          </w:tcPr>
          <w:p w14:paraId="0709B622">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项目组织实施方案的科学性、合理性、规范性和可操作性，包括①软件开发、②系统设计、③调试调优、④组织机构、⑤工作时间进度表、⑥工作程序和步骤、⑦管理和协调方法、⑧关键步骤的思路和要点等。</w:t>
            </w:r>
          </w:p>
          <w:p w14:paraId="673070ED">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根据供应商提供的方案能否满足采购需求判定评分，方案完整合理视为符合要求，每一项全部符合的得1分，部分符合的得0.5分，未提供或不符合的不得分，共8分。</w:t>
            </w:r>
          </w:p>
        </w:tc>
        <w:tc>
          <w:tcPr>
            <w:tcW w:w="440" w:type="pct"/>
            <w:shd w:val="clear" w:color="auto" w:fill="auto"/>
            <w:noWrap/>
            <w:vAlign w:val="center"/>
          </w:tcPr>
          <w:p w14:paraId="513863BB">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223" w:type="pct"/>
            <w:shd w:val="clear" w:color="auto" w:fill="auto"/>
            <w:vAlign w:val="center"/>
          </w:tcPr>
          <w:p w14:paraId="170D9F2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项目组织实施方案</w:t>
            </w:r>
          </w:p>
        </w:tc>
      </w:tr>
      <w:tr w14:paraId="67BFA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restart"/>
            <w:shd w:val="clear" w:color="auto" w:fill="auto"/>
            <w:noWrap/>
            <w:vAlign w:val="center"/>
          </w:tcPr>
          <w:p w14:paraId="3CA24C7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896" w:type="pct"/>
            <w:shd w:val="clear" w:color="auto" w:fill="auto"/>
            <w:vAlign w:val="center"/>
          </w:tcPr>
          <w:p w14:paraId="39B75B2D">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拟担任项目经理</w:t>
            </w:r>
            <w:r>
              <w:rPr>
                <w:rFonts w:hint="eastAsia" w:ascii="宋体" w:hAnsi="宋体" w:eastAsia="宋体" w:cs="宋体"/>
                <w:color w:val="000000"/>
                <w:kern w:val="0"/>
                <w:sz w:val="24"/>
                <w:szCs w:val="24"/>
                <w:lang w:eastAsia="zh-CN" w:bidi="ar"/>
              </w:rPr>
              <w:t>①</w:t>
            </w:r>
            <w:r>
              <w:rPr>
                <w:rFonts w:hint="eastAsia" w:ascii="宋体" w:hAnsi="宋体" w:eastAsia="宋体" w:cs="宋体"/>
                <w:color w:val="000000"/>
                <w:kern w:val="0"/>
                <w:sz w:val="24"/>
                <w:szCs w:val="24"/>
                <w:lang w:bidi="ar"/>
              </w:rPr>
              <w:t>同时具有高级信息系统项目管理师和高级工程师职称</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信息技术专业</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eastAsia="zh-CN" w:bidi="ar"/>
              </w:rPr>
              <w:t>②</w:t>
            </w:r>
            <w:r>
              <w:rPr>
                <w:rFonts w:hint="eastAsia" w:ascii="宋体" w:hAnsi="宋体" w:eastAsia="宋体" w:cs="宋体"/>
                <w:color w:val="000000"/>
                <w:kern w:val="0"/>
                <w:sz w:val="24"/>
                <w:szCs w:val="24"/>
                <w:lang w:bidi="ar"/>
              </w:rPr>
              <w:t>并具有类似信息化项目建设经验，</w:t>
            </w:r>
            <w:r>
              <w:rPr>
                <w:rFonts w:hint="eastAsia" w:ascii="宋体" w:hAnsi="宋体" w:cs="宋体"/>
                <w:color w:val="000000"/>
                <w:kern w:val="0"/>
                <w:sz w:val="24"/>
                <w:szCs w:val="24"/>
                <w:lang w:eastAsia="zh-CN" w:bidi="ar"/>
              </w:rPr>
              <w:t>两项全部</w:t>
            </w:r>
            <w:r>
              <w:rPr>
                <w:rFonts w:hint="eastAsia" w:ascii="宋体" w:hAnsi="宋体" w:eastAsia="宋体" w:cs="宋体"/>
                <w:color w:val="000000"/>
                <w:kern w:val="0"/>
                <w:sz w:val="24"/>
                <w:szCs w:val="24"/>
                <w:lang w:bidi="ar"/>
              </w:rPr>
              <w:t>符合得2分，缺漏</w:t>
            </w:r>
            <w:r>
              <w:rPr>
                <w:rFonts w:hint="eastAsia" w:ascii="宋体" w:hAnsi="宋体" w:cs="宋体"/>
                <w:color w:val="000000"/>
                <w:kern w:val="0"/>
                <w:sz w:val="24"/>
                <w:szCs w:val="24"/>
                <w:lang w:eastAsia="zh-CN" w:bidi="ar"/>
              </w:rPr>
              <w:t>一项</w:t>
            </w:r>
            <w:r>
              <w:rPr>
                <w:rFonts w:hint="eastAsia" w:ascii="宋体" w:hAnsi="宋体" w:eastAsia="宋体" w:cs="宋体"/>
                <w:color w:val="000000"/>
                <w:kern w:val="0"/>
                <w:sz w:val="24"/>
                <w:szCs w:val="24"/>
                <w:lang w:bidi="ar"/>
              </w:rPr>
              <w:t>或不符合皆不得分。（注：证书上的名字须与担任项目经理的人员相一致，提供近3个月内</w:t>
            </w:r>
            <w:r>
              <w:rPr>
                <w:rFonts w:hint="eastAsia" w:ascii="宋体" w:hAnsi="宋体" w:eastAsia="宋体" w:cs="宋体"/>
                <w:color w:val="000000"/>
                <w:kern w:val="0"/>
                <w:sz w:val="24"/>
                <w:szCs w:val="24"/>
                <w:lang w:eastAsia="zh-CN" w:bidi="ar"/>
              </w:rPr>
              <w:t>任意一月的</w:t>
            </w:r>
            <w:r>
              <w:rPr>
                <w:rFonts w:hint="eastAsia" w:ascii="宋体" w:hAnsi="宋体" w:eastAsia="宋体" w:cs="宋体"/>
                <w:color w:val="000000"/>
                <w:kern w:val="0"/>
                <w:sz w:val="24"/>
                <w:szCs w:val="24"/>
                <w:lang w:bidi="ar"/>
              </w:rPr>
              <w:t>社保证明及相应证书复印件加盖公章，否则不得分）。</w:t>
            </w:r>
          </w:p>
        </w:tc>
        <w:tc>
          <w:tcPr>
            <w:tcW w:w="440" w:type="pct"/>
            <w:shd w:val="clear" w:color="auto" w:fill="auto"/>
            <w:noWrap/>
            <w:vAlign w:val="center"/>
          </w:tcPr>
          <w:p w14:paraId="6C8E99DC">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2</w:t>
            </w:r>
          </w:p>
        </w:tc>
        <w:tc>
          <w:tcPr>
            <w:tcW w:w="1223" w:type="pct"/>
            <w:vMerge w:val="restart"/>
            <w:shd w:val="clear" w:color="auto" w:fill="auto"/>
            <w:vAlign w:val="center"/>
          </w:tcPr>
          <w:p w14:paraId="3B89FD7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项目组人员</w:t>
            </w:r>
          </w:p>
        </w:tc>
      </w:tr>
      <w:tr w14:paraId="264DE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continue"/>
            <w:shd w:val="clear" w:color="auto" w:fill="auto"/>
            <w:noWrap/>
            <w:vAlign w:val="center"/>
          </w:tcPr>
          <w:p w14:paraId="7FE82310">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4FCD0D2A">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拟担任本项目技术负责人具有高级工程师</w:t>
            </w:r>
            <w:r>
              <w:rPr>
                <w:rFonts w:hint="eastAsia" w:ascii="宋体" w:hAnsi="宋体" w:cs="宋体"/>
                <w:color w:val="000000"/>
                <w:kern w:val="0"/>
                <w:sz w:val="24"/>
                <w:szCs w:val="24"/>
                <w:lang w:val="en-US" w:eastAsia="zh-CN" w:bidi="ar"/>
              </w:rPr>
              <w:t>及以上</w:t>
            </w:r>
            <w:r>
              <w:rPr>
                <w:rFonts w:hint="eastAsia" w:ascii="宋体" w:hAnsi="宋体" w:eastAsia="宋体" w:cs="宋体"/>
                <w:color w:val="000000"/>
                <w:kern w:val="0"/>
                <w:sz w:val="24"/>
                <w:szCs w:val="24"/>
                <w:lang w:bidi="ar"/>
              </w:rPr>
              <w:t>职称</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信息技术专业</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，符合得2分，不符合不得分（注：证书上的名字须与担任项目技术负责人相一致，提供近3个月内</w:t>
            </w:r>
            <w:r>
              <w:rPr>
                <w:rFonts w:hint="eastAsia" w:ascii="宋体" w:hAnsi="宋体" w:eastAsia="宋体" w:cs="宋体"/>
                <w:color w:val="000000"/>
                <w:kern w:val="0"/>
                <w:sz w:val="24"/>
                <w:szCs w:val="24"/>
                <w:lang w:eastAsia="zh-CN" w:bidi="ar"/>
              </w:rPr>
              <w:t>任意一月的</w:t>
            </w:r>
            <w:r>
              <w:rPr>
                <w:rFonts w:hint="eastAsia" w:ascii="宋体" w:hAnsi="宋体" w:eastAsia="宋体" w:cs="宋体"/>
                <w:color w:val="000000"/>
                <w:kern w:val="0"/>
                <w:sz w:val="24"/>
                <w:szCs w:val="24"/>
                <w:lang w:bidi="ar"/>
              </w:rPr>
              <w:t>社保证明及相应证书复印件加盖公章，否则不得分）。</w:t>
            </w:r>
          </w:p>
        </w:tc>
        <w:tc>
          <w:tcPr>
            <w:tcW w:w="440" w:type="pct"/>
            <w:shd w:val="clear" w:color="auto" w:fill="auto"/>
            <w:noWrap/>
            <w:vAlign w:val="center"/>
          </w:tcPr>
          <w:p w14:paraId="2682FA24">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223" w:type="pct"/>
            <w:vMerge w:val="continue"/>
            <w:shd w:val="clear" w:color="auto" w:fill="auto"/>
            <w:vAlign w:val="center"/>
          </w:tcPr>
          <w:p w14:paraId="7BCF9621">
            <w:pPr>
              <w:spacing w:line="360" w:lineRule="auto"/>
              <w:jc w:val="center"/>
              <w:rPr>
                <w:rFonts w:hint="eastAsia" w:ascii="宋体" w:hAnsi="宋体" w:eastAsia="宋体" w:cs="宋体"/>
                <w:color w:val="000000"/>
                <w:sz w:val="24"/>
                <w:szCs w:val="24"/>
              </w:rPr>
            </w:pPr>
          </w:p>
        </w:tc>
      </w:tr>
      <w:tr w14:paraId="7D9F6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continue"/>
            <w:shd w:val="clear" w:color="auto" w:fill="auto"/>
            <w:noWrap/>
            <w:vAlign w:val="center"/>
          </w:tcPr>
          <w:p w14:paraId="227EF197">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1AEA0268">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拟派的项目团队成员的配置、素质、技术能力、专业分布、经验等情况，是否具有类似业务运行情况，提供相关人员资质、工作履历、参保证明等材料（4分）。</w:t>
            </w:r>
          </w:p>
        </w:tc>
        <w:tc>
          <w:tcPr>
            <w:tcW w:w="440" w:type="pct"/>
            <w:shd w:val="clear" w:color="auto" w:fill="auto"/>
            <w:noWrap/>
            <w:vAlign w:val="center"/>
          </w:tcPr>
          <w:p w14:paraId="27109860">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223" w:type="pct"/>
            <w:vMerge w:val="continue"/>
            <w:shd w:val="clear" w:color="auto" w:fill="auto"/>
            <w:vAlign w:val="center"/>
          </w:tcPr>
          <w:p w14:paraId="32995B25">
            <w:pPr>
              <w:spacing w:line="360" w:lineRule="auto"/>
              <w:jc w:val="center"/>
              <w:rPr>
                <w:rFonts w:hint="eastAsia" w:ascii="宋体" w:hAnsi="宋体" w:eastAsia="宋体" w:cs="宋体"/>
                <w:color w:val="000000"/>
                <w:sz w:val="24"/>
                <w:szCs w:val="24"/>
              </w:rPr>
            </w:pPr>
          </w:p>
        </w:tc>
      </w:tr>
      <w:tr w14:paraId="5CB50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restart"/>
            <w:shd w:val="clear" w:color="auto" w:fill="auto"/>
            <w:noWrap/>
            <w:vAlign w:val="center"/>
          </w:tcPr>
          <w:p w14:paraId="42ACF28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896" w:type="pct"/>
            <w:shd w:val="clear" w:color="auto" w:fill="auto"/>
            <w:vAlign w:val="center"/>
          </w:tcPr>
          <w:p w14:paraId="36CAD39F">
            <w:pPr>
              <w:widowControl/>
              <w:spacing w:line="360" w:lineRule="auto"/>
              <w:textAlignment w:val="center"/>
              <w:rPr>
                <w:rFonts w:hint="eastAsia" w:ascii="宋体" w:hAnsi="宋体" w:eastAsia="宋体" w:cs="宋体"/>
                <w:color w:val="000000"/>
                <w:sz w:val="24"/>
                <w:szCs w:val="24"/>
              </w:rPr>
            </w:pPr>
            <w:r>
              <w:rPr>
                <w:rStyle w:val="312"/>
                <w:rFonts w:hint="eastAsia" w:ascii="宋体" w:hAnsi="宋体" w:eastAsia="宋体" w:cs="宋体"/>
                <w:sz w:val="24"/>
                <w:szCs w:val="24"/>
                <w:lang w:bidi="ar"/>
              </w:rPr>
              <w:t>在使用过程中，出现问题需要现场支持的，在2小时内达到现场，修补和完善功能的，24小时内提出解决方案，48小时内解决问题；服务异常的，12小时内提出解决方案，24小时内解决问题；严重故障导致系统瘫痪的，2小时内提出解决方案，6小时内解决问题。</w:t>
            </w:r>
            <w:r>
              <w:rPr>
                <w:rStyle w:val="120"/>
                <w:rFonts w:hint="eastAsia" w:ascii="宋体" w:hAnsi="宋体" w:eastAsia="宋体" w:cs="宋体"/>
                <w:sz w:val="24"/>
                <w:szCs w:val="24"/>
                <w:lang w:bidi="ar"/>
              </w:rPr>
              <w:t>提供承诺函的得2分，否则不得分。</w:t>
            </w:r>
          </w:p>
        </w:tc>
        <w:tc>
          <w:tcPr>
            <w:tcW w:w="440" w:type="pct"/>
            <w:shd w:val="clear" w:color="auto" w:fill="auto"/>
            <w:noWrap/>
            <w:vAlign w:val="center"/>
          </w:tcPr>
          <w:p w14:paraId="13E5304C">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2</w:t>
            </w:r>
          </w:p>
        </w:tc>
        <w:tc>
          <w:tcPr>
            <w:tcW w:w="1223" w:type="pct"/>
            <w:vMerge w:val="restart"/>
            <w:shd w:val="clear" w:color="auto" w:fill="auto"/>
            <w:vAlign w:val="center"/>
          </w:tcPr>
          <w:p w14:paraId="0A67A433">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售后服务保障能力</w:t>
            </w:r>
          </w:p>
        </w:tc>
      </w:tr>
      <w:tr w14:paraId="13C2E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continue"/>
            <w:shd w:val="clear" w:color="auto" w:fill="auto"/>
            <w:noWrap/>
            <w:vAlign w:val="center"/>
          </w:tcPr>
          <w:p w14:paraId="04FA085A">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15765AA9">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投标人提供的售后服务方案、质保期限是否满足采购人的要求；根据质保期限及服务承诺的可行性、完整性以及服务承诺落实的保障措施等。内容完整、措施有效、合理得4分，部分合理的得2分，不合理得0分。</w:t>
            </w:r>
          </w:p>
        </w:tc>
        <w:tc>
          <w:tcPr>
            <w:tcW w:w="440" w:type="pct"/>
            <w:shd w:val="clear" w:color="auto" w:fill="auto"/>
            <w:noWrap/>
            <w:vAlign w:val="center"/>
          </w:tcPr>
          <w:p w14:paraId="2A790724">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223" w:type="pct"/>
            <w:vMerge w:val="continue"/>
            <w:shd w:val="clear" w:color="auto" w:fill="auto"/>
            <w:vAlign w:val="center"/>
          </w:tcPr>
          <w:p w14:paraId="57453BF0">
            <w:pPr>
              <w:spacing w:line="360" w:lineRule="auto"/>
              <w:jc w:val="center"/>
              <w:rPr>
                <w:rFonts w:hint="eastAsia" w:ascii="宋体" w:hAnsi="宋体" w:eastAsia="宋体" w:cs="宋体"/>
                <w:color w:val="000000"/>
                <w:sz w:val="24"/>
                <w:szCs w:val="24"/>
              </w:rPr>
            </w:pPr>
          </w:p>
        </w:tc>
      </w:tr>
      <w:tr w14:paraId="35AC5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restart"/>
            <w:shd w:val="clear" w:color="auto" w:fill="auto"/>
            <w:noWrap/>
            <w:vAlign w:val="center"/>
          </w:tcPr>
          <w:p w14:paraId="55EF1B9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896" w:type="pct"/>
            <w:shd w:val="clear" w:color="auto" w:fill="auto"/>
            <w:vAlign w:val="center"/>
          </w:tcPr>
          <w:p w14:paraId="46EFD027">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投标人提出的技术培训方案（①对系统管理员的培训②对使用人员的培训③安全保密培训）是否符合采购方要求。每一项内容完整、措施有效、合理得1分，部分合理的得0.5分，不合理得0分，最高得3分。</w:t>
            </w:r>
          </w:p>
        </w:tc>
        <w:tc>
          <w:tcPr>
            <w:tcW w:w="440" w:type="pct"/>
            <w:shd w:val="clear" w:color="auto" w:fill="auto"/>
            <w:noWrap/>
            <w:vAlign w:val="center"/>
          </w:tcPr>
          <w:p w14:paraId="5F6BC4FF">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3</w:t>
            </w:r>
          </w:p>
        </w:tc>
        <w:tc>
          <w:tcPr>
            <w:tcW w:w="1223" w:type="pct"/>
            <w:vMerge w:val="restart"/>
            <w:shd w:val="clear" w:color="auto" w:fill="auto"/>
            <w:vAlign w:val="center"/>
          </w:tcPr>
          <w:p w14:paraId="03A73ED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培训、测试、试运行、验收方案</w:t>
            </w:r>
          </w:p>
        </w:tc>
      </w:tr>
      <w:tr w14:paraId="3DAEB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continue"/>
            <w:shd w:val="clear" w:color="auto" w:fill="auto"/>
            <w:noWrap/>
            <w:vAlign w:val="center"/>
          </w:tcPr>
          <w:p w14:paraId="6400731B">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1A138EE7">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投标人提出合理、可行的测试、试运行方案，包括①软件测试方案与②试运行方案。每一项内容完整、措施有效、合理得2分，部分合理得1分，不合理得0分，最高得4分。</w:t>
            </w:r>
          </w:p>
        </w:tc>
        <w:tc>
          <w:tcPr>
            <w:tcW w:w="440" w:type="pct"/>
            <w:shd w:val="clear" w:color="auto" w:fill="auto"/>
            <w:noWrap/>
            <w:vAlign w:val="center"/>
          </w:tcPr>
          <w:p w14:paraId="569D2BEB">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223" w:type="pct"/>
            <w:vMerge w:val="continue"/>
            <w:shd w:val="clear" w:color="auto" w:fill="auto"/>
            <w:vAlign w:val="center"/>
          </w:tcPr>
          <w:p w14:paraId="691E76A3">
            <w:pPr>
              <w:spacing w:line="360" w:lineRule="auto"/>
              <w:jc w:val="center"/>
              <w:rPr>
                <w:rFonts w:hint="eastAsia" w:ascii="宋体" w:hAnsi="宋体" w:eastAsia="宋体" w:cs="宋体"/>
                <w:color w:val="000000"/>
                <w:sz w:val="24"/>
                <w:szCs w:val="24"/>
              </w:rPr>
            </w:pPr>
          </w:p>
        </w:tc>
      </w:tr>
      <w:tr w14:paraId="18B61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vMerge w:val="continue"/>
            <w:shd w:val="clear" w:color="auto" w:fill="auto"/>
            <w:noWrap/>
            <w:vAlign w:val="center"/>
          </w:tcPr>
          <w:p w14:paraId="2255F068">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30D48C59">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投标人提出科学的验收方案并在验收时提供相应的文档。方案合理得3分，部分合理得1.5分，不合理不得分，最高得3分。</w:t>
            </w:r>
          </w:p>
        </w:tc>
        <w:tc>
          <w:tcPr>
            <w:tcW w:w="440" w:type="pct"/>
            <w:shd w:val="clear" w:color="auto" w:fill="auto"/>
            <w:noWrap/>
            <w:vAlign w:val="center"/>
          </w:tcPr>
          <w:p w14:paraId="1FBE9D4B">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223" w:type="pct"/>
            <w:vMerge w:val="continue"/>
            <w:shd w:val="clear" w:color="auto" w:fill="auto"/>
            <w:vAlign w:val="center"/>
          </w:tcPr>
          <w:p w14:paraId="79779560">
            <w:pPr>
              <w:spacing w:line="360" w:lineRule="auto"/>
              <w:jc w:val="center"/>
              <w:rPr>
                <w:rFonts w:hint="eastAsia" w:ascii="宋体" w:hAnsi="宋体" w:eastAsia="宋体" w:cs="宋体"/>
                <w:color w:val="000000"/>
                <w:sz w:val="24"/>
                <w:szCs w:val="24"/>
              </w:rPr>
            </w:pPr>
          </w:p>
        </w:tc>
      </w:tr>
      <w:tr w14:paraId="0E018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shd w:val="clear" w:color="auto" w:fill="auto"/>
            <w:noWrap/>
            <w:vAlign w:val="center"/>
          </w:tcPr>
          <w:p w14:paraId="0F775A3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896" w:type="pct"/>
            <w:shd w:val="clear" w:color="auto" w:fill="auto"/>
            <w:vAlign w:val="center"/>
          </w:tcPr>
          <w:p w14:paraId="4E1D07E5">
            <w:pPr>
              <w:widowControl/>
              <w:spacing w:line="360" w:lineRule="auto"/>
              <w:textAlignment w:val="center"/>
              <w:rPr>
                <w:rFonts w:hint="eastAsia" w:ascii="宋体" w:hAnsi="宋体" w:eastAsia="宋体" w:cs="宋体"/>
                <w:color w:val="000000"/>
                <w:sz w:val="24"/>
                <w:szCs w:val="24"/>
              </w:rPr>
            </w:pPr>
            <w:r>
              <w:rPr>
                <w:rStyle w:val="329"/>
                <w:rFonts w:hint="eastAsia" w:ascii="宋体" w:hAnsi="宋体" w:eastAsia="宋体" w:cs="宋体"/>
                <w:sz w:val="24"/>
                <w:szCs w:val="24"/>
                <w:lang w:bidi="ar"/>
              </w:rPr>
              <w:t>投标人按采购人要求：①是否明确建设质量目标，②是否有质量保证措施，③是否具有详细可行的实施内容，④是否明确工期保证措施。根据提供的方案内容进行评分，每一项内容完整、措施有效、符合采购需求视为合理，合理得1分</w:t>
            </w:r>
            <w:r>
              <w:rPr>
                <w:rStyle w:val="329"/>
                <w:rFonts w:hint="eastAsia" w:ascii="宋体" w:hAnsi="宋体" w:cs="宋体"/>
                <w:sz w:val="24"/>
                <w:szCs w:val="24"/>
                <w:lang w:eastAsia="zh-CN" w:bidi="ar"/>
              </w:rPr>
              <w:t>，</w:t>
            </w:r>
            <w:r>
              <w:rPr>
                <w:rStyle w:val="329"/>
                <w:rFonts w:hint="eastAsia" w:ascii="宋体" w:hAnsi="宋体" w:eastAsia="宋体" w:cs="宋体"/>
                <w:sz w:val="24"/>
                <w:szCs w:val="24"/>
                <w:lang w:eastAsia="zh-CN" w:bidi="ar"/>
              </w:rPr>
              <w:t>基本合理得</w:t>
            </w:r>
            <w:r>
              <w:rPr>
                <w:rStyle w:val="329"/>
                <w:rFonts w:hint="eastAsia" w:ascii="宋体" w:hAnsi="宋体" w:eastAsia="宋体" w:cs="宋体"/>
                <w:sz w:val="24"/>
                <w:szCs w:val="24"/>
                <w:lang w:val="en-US" w:eastAsia="zh-CN" w:bidi="ar"/>
              </w:rPr>
              <w:t>0.5分，</w:t>
            </w:r>
            <w:r>
              <w:rPr>
                <w:rStyle w:val="329"/>
                <w:rFonts w:hint="eastAsia" w:ascii="宋体" w:hAnsi="宋体" w:eastAsia="宋体" w:cs="宋体"/>
                <w:sz w:val="24"/>
                <w:szCs w:val="24"/>
                <w:lang w:bidi="ar"/>
              </w:rPr>
              <w:t>不合理得0分，最高得4分</w:t>
            </w:r>
            <w:r>
              <w:rPr>
                <w:rStyle w:val="371"/>
                <w:rFonts w:hint="eastAsia" w:ascii="宋体" w:hAnsi="宋体" w:eastAsia="宋体" w:cs="宋体"/>
                <w:sz w:val="24"/>
                <w:szCs w:val="24"/>
                <w:lang w:bidi="ar"/>
              </w:rPr>
              <w:t>。</w:t>
            </w:r>
          </w:p>
        </w:tc>
        <w:tc>
          <w:tcPr>
            <w:tcW w:w="440" w:type="pct"/>
            <w:shd w:val="clear" w:color="auto" w:fill="auto"/>
            <w:noWrap/>
            <w:vAlign w:val="center"/>
          </w:tcPr>
          <w:p w14:paraId="56E1BB1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223" w:type="pct"/>
            <w:shd w:val="clear" w:color="auto" w:fill="auto"/>
            <w:vAlign w:val="center"/>
          </w:tcPr>
          <w:p w14:paraId="3BA2080D">
            <w:pPr>
              <w:widowControl/>
              <w:spacing w:line="360" w:lineRule="auto"/>
              <w:jc w:val="center"/>
              <w:textAlignment w:val="center"/>
              <w:rPr>
                <w:rFonts w:hint="eastAsia" w:ascii="宋体" w:hAnsi="宋体" w:eastAsia="宋体" w:cs="宋体"/>
                <w:color w:val="000000"/>
                <w:sz w:val="24"/>
                <w:szCs w:val="24"/>
              </w:rPr>
            </w:pPr>
            <w:r>
              <w:rPr>
                <w:rStyle w:val="312"/>
                <w:rFonts w:hint="eastAsia" w:ascii="宋体" w:hAnsi="宋体" w:eastAsia="宋体" w:cs="宋体"/>
                <w:sz w:val="24"/>
                <w:szCs w:val="24"/>
                <w:lang w:bidi="ar"/>
              </w:rPr>
              <w:t>质量保证措施和</w:t>
            </w:r>
            <w:r>
              <w:rPr>
                <w:rStyle w:val="329"/>
                <w:rFonts w:hint="eastAsia" w:ascii="宋体" w:hAnsi="宋体" w:eastAsia="宋体" w:cs="宋体"/>
                <w:sz w:val="24"/>
                <w:szCs w:val="24"/>
                <w:lang w:bidi="ar"/>
              </w:rPr>
              <w:t>建设工期组织方案</w:t>
            </w:r>
          </w:p>
        </w:tc>
      </w:tr>
      <w:tr w14:paraId="44ECD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0" w:hRule="atLeast"/>
        </w:trPr>
        <w:tc>
          <w:tcPr>
            <w:tcW w:w="439" w:type="pct"/>
            <w:shd w:val="clear" w:color="auto" w:fill="auto"/>
            <w:noWrap/>
            <w:vAlign w:val="center"/>
          </w:tcPr>
          <w:p w14:paraId="0767F8E5">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896" w:type="pct"/>
            <w:shd w:val="clear" w:color="auto" w:fill="auto"/>
            <w:vAlign w:val="center"/>
          </w:tcPr>
          <w:p w14:paraId="29708EEC">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从①安全策略、②系统安全风险分析、③系统安全防护设计、④软件系统安全策略、⑤业务终端安全防护及⑥安全管理制度等方面阐述系统运行信息安全策略。满足一项得0.5分，部分满足得0.25分，不满足不得分，共3分。</w:t>
            </w:r>
          </w:p>
        </w:tc>
        <w:tc>
          <w:tcPr>
            <w:tcW w:w="440" w:type="pct"/>
            <w:shd w:val="clear" w:color="auto" w:fill="auto"/>
            <w:noWrap/>
            <w:vAlign w:val="center"/>
          </w:tcPr>
          <w:p w14:paraId="22C93B9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223" w:type="pct"/>
            <w:shd w:val="clear" w:color="auto" w:fill="auto"/>
            <w:vAlign w:val="center"/>
          </w:tcPr>
          <w:p w14:paraId="154E15C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信息安全保障能力</w:t>
            </w:r>
          </w:p>
        </w:tc>
      </w:tr>
      <w:tr w14:paraId="1D568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6" w:hRule="atLeast"/>
        </w:trPr>
        <w:tc>
          <w:tcPr>
            <w:tcW w:w="439" w:type="pct"/>
            <w:vMerge w:val="restart"/>
            <w:shd w:val="clear" w:color="auto" w:fill="auto"/>
            <w:noWrap/>
            <w:vAlign w:val="center"/>
          </w:tcPr>
          <w:p w14:paraId="5C2C4D5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2896" w:type="pct"/>
            <w:shd w:val="clear" w:color="auto" w:fill="auto"/>
            <w:vAlign w:val="center"/>
          </w:tcPr>
          <w:p w14:paraId="11E9E278">
            <w:pPr>
              <w:widowControl/>
              <w:spacing w:line="360" w:lineRule="auto"/>
              <w:jc w:val="left"/>
              <w:textAlignment w:val="center"/>
              <w:rPr>
                <w:rStyle w:val="120"/>
                <w:rFonts w:hint="eastAsia" w:ascii="宋体" w:hAnsi="宋体" w:eastAsia="宋体" w:cs="宋体"/>
                <w:sz w:val="24"/>
                <w:szCs w:val="24"/>
                <w:lang w:bidi="ar"/>
              </w:rPr>
            </w:pPr>
            <w:r>
              <w:rPr>
                <w:rStyle w:val="120"/>
                <w:rFonts w:hint="eastAsia" w:ascii="宋体" w:hAnsi="宋体" w:eastAsia="宋体" w:cs="宋体"/>
                <w:sz w:val="24"/>
                <w:szCs w:val="24"/>
                <w:lang w:bidi="ar"/>
              </w:rPr>
              <w:t>1、待化解矛盾</w:t>
            </w:r>
            <w:r>
              <w:rPr>
                <w:rStyle w:val="120"/>
                <w:rFonts w:hint="eastAsia" w:ascii="宋体" w:hAnsi="宋体" w:cs="宋体"/>
                <w:sz w:val="24"/>
                <w:szCs w:val="24"/>
                <w:lang w:eastAsia="zh-CN" w:bidi="ar"/>
              </w:rPr>
              <w:t>模块</w:t>
            </w:r>
            <w:r>
              <w:rPr>
                <w:rStyle w:val="120"/>
                <w:rFonts w:hint="eastAsia" w:ascii="宋体" w:hAnsi="宋体" w:eastAsia="宋体" w:cs="宋体"/>
                <w:sz w:val="24"/>
                <w:szCs w:val="24"/>
                <w:lang w:bidi="ar"/>
              </w:rPr>
              <w:t>：</w:t>
            </w:r>
            <w:r>
              <w:rPr>
                <w:rStyle w:val="312"/>
                <w:rFonts w:hint="eastAsia" w:ascii="宋体" w:hAnsi="宋体" w:eastAsia="宋体" w:cs="宋体"/>
                <w:sz w:val="24"/>
                <w:szCs w:val="24"/>
                <w:lang w:bidi="ar"/>
              </w:rPr>
              <w:t>（以</w:t>
            </w:r>
            <w:r>
              <w:rPr>
                <w:rStyle w:val="312"/>
                <w:rFonts w:hint="eastAsia" w:ascii="宋体" w:hAnsi="宋体" w:eastAsia="宋体" w:cs="宋体"/>
                <w:sz w:val="24"/>
                <w:szCs w:val="24"/>
                <w:lang w:eastAsia="zh-CN" w:bidi="ar"/>
              </w:rPr>
              <w:t>下</w:t>
            </w:r>
            <w:r>
              <w:rPr>
                <w:rStyle w:val="312"/>
                <w:rFonts w:hint="eastAsia" w:ascii="宋体" w:hAnsi="宋体" w:cs="宋体"/>
                <w:sz w:val="24"/>
                <w:szCs w:val="24"/>
                <w:lang w:val="en-US" w:bidi="ar"/>
              </w:rPr>
              <w:t>4个</w:t>
            </w:r>
            <w:r>
              <w:rPr>
                <w:rStyle w:val="312"/>
                <w:rFonts w:hint="eastAsia" w:ascii="宋体" w:hAnsi="宋体" w:eastAsia="宋体" w:cs="宋体"/>
                <w:sz w:val="24"/>
                <w:szCs w:val="24"/>
                <w:lang w:bidi="ar"/>
              </w:rPr>
              <w:t>小点功能满足得</w:t>
            </w:r>
            <w:r>
              <w:rPr>
                <w:rStyle w:val="312"/>
                <w:rFonts w:hint="eastAsia" w:ascii="宋体" w:hAnsi="宋体" w:cs="宋体"/>
                <w:sz w:val="24"/>
                <w:szCs w:val="24"/>
                <w:lang w:val="en-US" w:eastAsia="zh-CN" w:bidi="ar"/>
              </w:rPr>
              <w:t>2</w:t>
            </w:r>
            <w:r>
              <w:rPr>
                <w:rStyle w:val="312"/>
                <w:rFonts w:hint="eastAsia" w:ascii="宋体" w:hAnsi="宋体" w:eastAsia="宋体" w:cs="宋体"/>
                <w:sz w:val="24"/>
                <w:szCs w:val="24"/>
                <w:lang w:bidi="ar"/>
              </w:rPr>
              <w:t>分，</w:t>
            </w:r>
            <w:r>
              <w:rPr>
                <w:rStyle w:val="312"/>
                <w:rFonts w:hint="eastAsia" w:ascii="宋体" w:hAnsi="宋体" w:cs="宋体"/>
                <w:sz w:val="24"/>
                <w:szCs w:val="24"/>
                <w:lang w:bidi="ar"/>
              </w:rPr>
              <w:t>基本满足得</w:t>
            </w:r>
            <w:r>
              <w:rPr>
                <w:rStyle w:val="312"/>
                <w:rFonts w:hint="eastAsia" w:ascii="宋体" w:hAnsi="宋体" w:cs="宋体"/>
                <w:sz w:val="24"/>
                <w:szCs w:val="24"/>
                <w:lang w:val="en-US" w:bidi="ar"/>
              </w:rPr>
              <w:t>1分，</w:t>
            </w:r>
            <w:r>
              <w:rPr>
                <w:rStyle w:val="312"/>
                <w:rFonts w:hint="eastAsia" w:ascii="宋体" w:hAnsi="宋体" w:eastAsia="宋体" w:cs="宋体"/>
                <w:sz w:val="24"/>
                <w:szCs w:val="24"/>
                <w:lang w:bidi="ar"/>
              </w:rPr>
              <w:t>共</w:t>
            </w:r>
            <w:r>
              <w:rPr>
                <w:rStyle w:val="312"/>
                <w:rFonts w:hint="eastAsia" w:ascii="宋体" w:hAnsi="宋体" w:eastAsia="宋体" w:cs="宋体"/>
                <w:sz w:val="24"/>
                <w:szCs w:val="24"/>
                <w:lang w:val="en-US" w:eastAsia="zh-CN" w:bidi="ar"/>
              </w:rPr>
              <w:t>8</w:t>
            </w:r>
            <w:r>
              <w:rPr>
                <w:rStyle w:val="312"/>
                <w:rFonts w:hint="eastAsia" w:ascii="宋体" w:hAnsi="宋体" w:eastAsia="宋体" w:cs="宋体"/>
                <w:sz w:val="24"/>
                <w:szCs w:val="24"/>
                <w:lang w:bidi="ar"/>
              </w:rPr>
              <w:t>分）；</w:t>
            </w:r>
          </w:p>
          <w:p w14:paraId="1C75769E">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待化解列表：支持展示全区所有待化解矛盾，支持分页展示。</w:t>
            </w:r>
          </w:p>
          <w:p w14:paraId="561C09DE">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待化解详情：支持展示待化解矛盾详情，显示警情相关内容及转入待化解模块的相关内容。</w:t>
            </w:r>
          </w:p>
          <w:p w14:paraId="4A6E7960">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待化解二次编辑：支持对已转待化解矛盾进行重新编辑，重新选择指派组织，反馈方式、反馈截止时间、办理意见、转入原因等。</w:t>
            </w:r>
          </w:p>
          <w:p w14:paraId="39B91160">
            <w:pPr>
              <w:widowControl/>
              <w:spacing w:line="360" w:lineRule="auto"/>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反馈记录：支持展示待化解矛盾全部反馈记录，包含反馈内容、反馈组织、反馈时间。</w:t>
            </w:r>
          </w:p>
        </w:tc>
        <w:tc>
          <w:tcPr>
            <w:tcW w:w="440" w:type="pct"/>
            <w:vMerge w:val="restart"/>
            <w:shd w:val="clear" w:color="auto" w:fill="auto"/>
            <w:noWrap/>
            <w:vAlign w:val="center"/>
          </w:tcPr>
          <w:p w14:paraId="19A8148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1223" w:type="pct"/>
            <w:vMerge w:val="restart"/>
            <w:shd w:val="clear" w:color="auto" w:fill="auto"/>
            <w:vAlign w:val="center"/>
          </w:tcPr>
          <w:p w14:paraId="5E4A9F5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功能演示及讲解（提供在线演示或播放录制好的演示视频）</w:t>
            </w:r>
          </w:p>
        </w:tc>
      </w:tr>
      <w:tr w14:paraId="19601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11" w:hRule="atLeast"/>
        </w:trPr>
        <w:tc>
          <w:tcPr>
            <w:tcW w:w="439" w:type="pct"/>
            <w:vMerge w:val="continue"/>
            <w:shd w:val="clear" w:color="auto" w:fill="auto"/>
            <w:noWrap/>
            <w:vAlign w:val="center"/>
          </w:tcPr>
          <w:p w14:paraId="4F169B12">
            <w:pPr>
              <w:spacing w:line="360" w:lineRule="auto"/>
              <w:jc w:val="center"/>
              <w:rPr>
                <w:rFonts w:hint="eastAsia" w:ascii="宋体" w:hAnsi="宋体" w:eastAsia="宋体" w:cs="宋体"/>
                <w:color w:val="000000"/>
                <w:sz w:val="24"/>
                <w:szCs w:val="24"/>
              </w:rPr>
            </w:pPr>
          </w:p>
        </w:tc>
        <w:tc>
          <w:tcPr>
            <w:tcW w:w="2896" w:type="pct"/>
            <w:shd w:val="clear" w:color="auto" w:fill="auto"/>
            <w:vAlign w:val="center"/>
          </w:tcPr>
          <w:p w14:paraId="463640C0">
            <w:pPr>
              <w:widowControl/>
              <w:spacing w:line="360" w:lineRule="auto"/>
              <w:jc w:val="left"/>
              <w:textAlignment w:val="center"/>
              <w:rPr>
                <w:rStyle w:val="120"/>
                <w:rFonts w:hint="eastAsia" w:ascii="宋体" w:hAnsi="宋体" w:eastAsia="宋体" w:cs="宋体"/>
                <w:sz w:val="24"/>
                <w:szCs w:val="24"/>
                <w:lang w:bidi="ar"/>
              </w:rPr>
            </w:pPr>
            <w:r>
              <w:rPr>
                <w:rStyle w:val="120"/>
                <w:rFonts w:hint="eastAsia" w:ascii="宋体" w:hAnsi="宋体" w:eastAsia="宋体" w:cs="宋体"/>
                <w:sz w:val="24"/>
                <w:szCs w:val="24"/>
                <w:lang w:bidi="ar"/>
              </w:rPr>
              <w:t>2.靶向治理</w:t>
            </w:r>
            <w:r>
              <w:rPr>
                <w:rStyle w:val="120"/>
                <w:rFonts w:hint="eastAsia" w:ascii="宋体" w:hAnsi="宋体" w:cs="宋体"/>
                <w:sz w:val="24"/>
                <w:szCs w:val="24"/>
                <w:lang w:eastAsia="zh-CN" w:bidi="ar"/>
              </w:rPr>
              <w:t>模块</w:t>
            </w:r>
            <w:r>
              <w:rPr>
                <w:rStyle w:val="120"/>
                <w:rFonts w:hint="eastAsia" w:ascii="宋体" w:hAnsi="宋体" w:eastAsia="宋体" w:cs="宋体"/>
                <w:sz w:val="24"/>
                <w:szCs w:val="24"/>
                <w:lang w:bidi="ar"/>
              </w:rPr>
              <w:t>：</w:t>
            </w:r>
            <w:r>
              <w:rPr>
                <w:rStyle w:val="312"/>
                <w:rFonts w:hint="eastAsia" w:ascii="宋体" w:hAnsi="宋体" w:eastAsia="宋体" w:cs="宋体"/>
                <w:sz w:val="24"/>
                <w:szCs w:val="24"/>
                <w:lang w:bidi="ar"/>
              </w:rPr>
              <w:t>（以</w:t>
            </w:r>
            <w:r>
              <w:rPr>
                <w:rStyle w:val="312"/>
                <w:rFonts w:hint="eastAsia" w:ascii="宋体" w:hAnsi="宋体" w:eastAsia="宋体" w:cs="宋体"/>
                <w:sz w:val="24"/>
                <w:szCs w:val="24"/>
                <w:lang w:eastAsia="zh-CN" w:bidi="ar"/>
              </w:rPr>
              <w:t>下</w:t>
            </w:r>
            <w:r>
              <w:rPr>
                <w:rStyle w:val="312"/>
                <w:rFonts w:hint="eastAsia" w:ascii="宋体" w:hAnsi="宋体" w:cs="宋体"/>
                <w:sz w:val="24"/>
                <w:szCs w:val="24"/>
                <w:lang w:val="en-US" w:bidi="ar"/>
              </w:rPr>
              <w:t>4个</w:t>
            </w:r>
            <w:r>
              <w:rPr>
                <w:rStyle w:val="312"/>
                <w:rFonts w:hint="eastAsia" w:ascii="宋体" w:hAnsi="宋体" w:eastAsia="宋体" w:cs="宋体"/>
                <w:sz w:val="24"/>
                <w:szCs w:val="24"/>
                <w:lang w:bidi="ar"/>
              </w:rPr>
              <w:t>小点功能满足得</w:t>
            </w:r>
            <w:r>
              <w:rPr>
                <w:rStyle w:val="312"/>
                <w:rFonts w:hint="eastAsia" w:ascii="宋体" w:hAnsi="宋体" w:cs="宋体"/>
                <w:sz w:val="24"/>
                <w:szCs w:val="24"/>
                <w:lang w:val="en-US" w:eastAsia="zh-CN" w:bidi="ar"/>
              </w:rPr>
              <w:t>2</w:t>
            </w:r>
            <w:r>
              <w:rPr>
                <w:rStyle w:val="312"/>
                <w:rFonts w:hint="eastAsia" w:ascii="宋体" w:hAnsi="宋体" w:eastAsia="宋体" w:cs="宋体"/>
                <w:sz w:val="24"/>
                <w:szCs w:val="24"/>
                <w:lang w:bidi="ar"/>
              </w:rPr>
              <w:t>分，</w:t>
            </w:r>
            <w:r>
              <w:rPr>
                <w:rStyle w:val="312"/>
                <w:rFonts w:hint="eastAsia" w:ascii="宋体" w:hAnsi="宋体" w:cs="宋体"/>
                <w:sz w:val="24"/>
                <w:szCs w:val="24"/>
                <w:lang w:bidi="ar"/>
              </w:rPr>
              <w:t>基本满足得</w:t>
            </w:r>
            <w:r>
              <w:rPr>
                <w:rStyle w:val="312"/>
                <w:rFonts w:hint="eastAsia" w:ascii="宋体" w:hAnsi="宋体" w:cs="宋体"/>
                <w:sz w:val="24"/>
                <w:szCs w:val="24"/>
                <w:lang w:val="en-US" w:bidi="ar"/>
              </w:rPr>
              <w:t>1分，</w:t>
            </w:r>
            <w:r>
              <w:rPr>
                <w:rStyle w:val="312"/>
                <w:rFonts w:hint="eastAsia" w:ascii="宋体" w:hAnsi="宋体" w:eastAsia="宋体" w:cs="宋体"/>
                <w:sz w:val="24"/>
                <w:szCs w:val="24"/>
                <w:lang w:bidi="ar"/>
              </w:rPr>
              <w:t>共</w:t>
            </w:r>
            <w:r>
              <w:rPr>
                <w:rStyle w:val="312"/>
                <w:rFonts w:hint="eastAsia" w:ascii="宋体" w:hAnsi="宋体" w:eastAsia="宋体" w:cs="宋体"/>
                <w:sz w:val="24"/>
                <w:szCs w:val="24"/>
                <w:lang w:val="en-US" w:eastAsia="zh-CN" w:bidi="ar"/>
              </w:rPr>
              <w:t>8</w:t>
            </w:r>
            <w:r>
              <w:rPr>
                <w:rStyle w:val="312"/>
                <w:rFonts w:hint="eastAsia" w:ascii="宋体" w:hAnsi="宋体" w:eastAsia="宋体" w:cs="宋体"/>
                <w:sz w:val="24"/>
                <w:szCs w:val="24"/>
                <w:lang w:bidi="ar"/>
              </w:rPr>
              <w:t>分）；</w:t>
            </w:r>
          </w:p>
          <w:p w14:paraId="52FE338A">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创建治理：支持对已有警网智治事件发起相应任务。</w:t>
            </w:r>
          </w:p>
          <w:p w14:paraId="21E1C2E1">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智能搜索：支持针对关键字搜索至靶向治理。</w:t>
            </w:r>
          </w:p>
          <w:p w14:paraId="6D7D45EF">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治理详情：支持展示展示靶向治理的详细信息，包括治理标题、类型、对象、截止时间、内容、反馈等，并可查看引用的警网智治事件的全流程数据。</w:t>
            </w:r>
          </w:p>
          <w:p w14:paraId="5C55CF5D">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eastAsia="zh-CN" w:bidi="ar"/>
              </w:rPr>
              <w:t>）</w:t>
            </w:r>
            <w:r>
              <w:rPr>
                <w:rFonts w:hint="eastAsia" w:ascii="宋体" w:hAnsi="宋体" w:eastAsia="宋体" w:cs="宋体"/>
                <w:color w:val="000000"/>
                <w:kern w:val="0"/>
                <w:sz w:val="24"/>
                <w:szCs w:val="24"/>
                <w:lang w:bidi="ar"/>
              </w:rPr>
              <w:t>反馈治理：支持对需要反馈的靶向治理进行反馈。</w:t>
            </w:r>
          </w:p>
        </w:tc>
        <w:tc>
          <w:tcPr>
            <w:tcW w:w="440" w:type="pct"/>
            <w:vMerge w:val="continue"/>
            <w:shd w:val="clear" w:color="auto" w:fill="auto"/>
            <w:noWrap/>
            <w:vAlign w:val="center"/>
          </w:tcPr>
          <w:p w14:paraId="78105B1B">
            <w:pPr>
              <w:spacing w:line="360" w:lineRule="auto"/>
              <w:jc w:val="center"/>
              <w:rPr>
                <w:rFonts w:hint="eastAsia" w:ascii="宋体" w:hAnsi="宋体" w:eastAsia="宋体" w:cs="宋体"/>
                <w:color w:val="000000"/>
                <w:sz w:val="24"/>
                <w:szCs w:val="24"/>
              </w:rPr>
            </w:pPr>
          </w:p>
        </w:tc>
        <w:tc>
          <w:tcPr>
            <w:tcW w:w="1223" w:type="pct"/>
            <w:vMerge w:val="continue"/>
            <w:shd w:val="clear" w:color="auto" w:fill="auto"/>
            <w:vAlign w:val="center"/>
          </w:tcPr>
          <w:p w14:paraId="1C00D4FF">
            <w:pPr>
              <w:spacing w:line="360" w:lineRule="auto"/>
              <w:jc w:val="center"/>
              <w:rPr>
                <w:rFonts w:hint="eastAsia" w:ascii="宋体" w:hAnsi="宋体" w:eastAsia="宋体" w:cs="宋体"/>
                <w:color w:val="000000"/>
                <w:sz w:val="24"/>
                <w:szCs w:val="24"/>
              </w:rPr>
            </w:pPr>
          </w:p>
        </w:tc>
      </w:tr>
      <w:tr w14:paraId="2546C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439" w:type="pct"/>
            <w:shd w:val="clear" w:color="auto" w:fill="auto"/>
            <w:noWrap/>
            <w:vAlign w:val="center"/>
          </w:tcPr>
          <w:p w14:paraId="304B03C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2896" w:type="pct"/>
            <w:shd w:val="clear" w:color="auto" w:fill="auto"/>
            <w:vAlign w:val="center"/>
          </w:tcPr>
          <w:p w14:paraId="4CF3716C">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有效投标报价的最低价作为评标基准价，其最低报价为满分；按［投标报价得分=（评标基准价/投标报价）*10］的计算公式计算。</w:t>
            </w:r>
          </w:p>
          <w:p w14:paraId="18D2BAA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评标过程中，不得去掉报价中的最高报价和最低报价。</w:t>
            </w:r>
          </w:p>
          <w:p w14:paraId="6189B482">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因落实政府采购政策需要进行价格调整的，以调整后的价格计算评标基准价和投标报价。</w:t>
            </w:r>
          </w:p>
          <w:p w14:paraId="6D544E9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440" w:type="pct"/>
            <w:shd w:val="clear" w:color="auto" w:fill="auto"/>
            <w:noWrap/>
            <w:vAlign w:val="center"/>
          </w:tcPr>
          <w:p w14:paraId="5F5FD21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223" w:type="pct"/>
            <w:shd w:val="clear" w:color="auto" w:fill="auto"/>
            <w:vAlign w:val="center"/>
          </w:tcPr>
          <w:p w14:paraId="2A90B88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报价</w:t>
            </w:r>
          </w:p>
        </w:tc>
      </w:tr>
    </w:tbl>
    <w:p w14:paraId="1FD6F2E1">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0"/>
          <w:szCs w:val="20"/>
          <w:highlight w:val="none"/>
          <w:shd w:val="clear" w:color="auto" w:fill="FFFFFF"/>
        </w:rPr>
        <w:t>*</w:t>
      </w:r>
      <w:r>
        <w:rPr>
          <w:rFonts w:hint="eastAsia" w:cs="宋体" w:asciiTheme="minorEastAsia" w:hAnsiTheme="minorEastAsia" w:eastAsiaTheme="minorEastAsia"/>
          <w:b/>
          <w:sz w:val="24"/>
          <w:highlight w:val="none"/>
        </w:rPr>
        <w:t>备注：</w:t>
      </w:r>
      <w:r>
        <w:rPr>
          <w:rFonts w:hint="eastAsia" w:cs="宋体" w:asciiTheme="minorEastAsia" w:hAnsiTheme="minorEastAsia" w:eastAsiaTheme="minorEastAsia"/>
          <w:sz w:val="24"/>
          <w:highlight w:val="none"/>
        </w:rPr>
        <w:t>投标人编制投标文件（商务技术文件部分）时，建议按此目录（序号和内容）提供评标标准相应的商务技术资料。 </w:t>
      </w:r>
    </w:p>
    <w:p w14:paraId="709F2382">
      <w:pPr>
        <w:snapToGrid w:val="0"/>
        <w:spacing w:line="360" w:lineRule="auto"/>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32"/>
          <w:highlight w:val="none"/>
        </w:rPr>
        <w:t>一、评标方法</w:t>
      </w:r>
    </w:p>
    <w:p w14:paraId="1204A9DD">
      <w:pPr>
        <w:adjustRightInd/>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1.本项目采用综合评分法。</w:t>
      </w:r>
      <w:r>
        <w:rPr>
          <w:rFonts w:hint="eastAsia" w:cs="宋体" w:asciiTheme="minorEastAsia" w:hAnsiTheme="minorEastAsia" w:eastAsiaTheme="minorEastAsia"/>
          <w:kern w:val="0"/>
          <w:sz w:val="24"/>
          <w:highlight w:val="none"/>
        </w:rPr>
        <w:t>综合评分法，是指投标文件满足招标文件全部实质性要求，且按照评审因素的量化指标评审得分最高的投标人为中标候选人的评标方法。</w:t>
      </w:r>
    </w:p>
    <w:p w14:paraId="7D171ECD">
      <w:pPr>
        <w:adjustRightInd/>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b/>
          <w:sz w:val="32"/>
          <w:highlight w:val="none"/>
        </w:rPr>
        <w:t>二、评标标准</w:t>
      </w:r>
    </w:p>
    <w:p w14:paraId="743797D1">
      <w:pPr>
        <w:spacing w:line="360" w:lineRule="auto"/>
        <w:ind w:firstLine="472" w:firstLineChars="196"/>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评标标准：</w:t>
      </w:r>
      <w:r>
        <w:rPr>
          <w:rFonts w:hint="eastAsia" w:cs="宋体" w:asciiTheme="minorEastAsia" w:hAnsiTheme="minorEastAsia" w:eastAsiaTheme="minorEastAsia"/>
          <w:kern w:val="0"/>
          <w:sz w:val="24"/>
          <w:highlight w:val="none"/>
        </w:rPr>
        <w:t>见评标办法前附表。</w:t>
      </w:r>
    </w:p>
    <w:p w14:paraId="625ED37C">
      <w:pPr>
        <w:spacing w:line="360" w:lineRule="auto"/>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三、评标程序</w:t>
      </w:r>
    </w:p>
    <w:p w14:paraId="1F701E83">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3.1符合性审查。</w:t>
      </w:r>
      <w:r>
        <w:rPr>
          <w:rFonts w:hint="eastAsia" w:cs="宋体" w:asciiTheme="minorEastAsia" w:hAnsiTheme="minorEastAsia" w:eastAsiaTheme="minorEastAsia"/>
          <w:kern w:val="0"/>
          <w:sz w:val="24"/>
          <w:highlight w:val="none"/>
        </w:rPr>
        <w:t>评标委员会应当对符合资格的投标人的投标文件进行符合性审查，以确定其是否满足招标文件的实质性要求。不满足招标文件的实质性要求的，投标无效。</w:t>
      </w:r>
    </w:p>
    <w:p w14:paraId="7379B33E">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3.2 比较与评价。</w:t>
      </w:r>
      <w:r>
        <w:rPr>
          <w:rFonts w:hint="eastAsia" w:cs="宋体" w:asciiTheme="minorEastAsia" w:hAnsiTheme="minorEastAsia" w:eastAsiaTheme="minorEastAsia"/>
          <w:kern w:val="0"/>
          <w:sz w:val="24"/>
          <w:highlight w:val="none"/>
        </w:rPr>
        <w:t>评标委员会应当按照招标文件中规定的评标方法和标准，对符合性审查合格的投标文件进行商务和技术评估，综合比较与评价。</w:t>
      </w:r>
    </w:p>
    <w:p w14:paraId="31476081">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3.3汇总商务技术得分。</w:t>
      </w:r>
      <w:r>
        <w:rPr>
          <w:rFonts w:hint="eastAsia" w:cs="宋体" w:asciiTheme="minorEastAsia" w:hAnsiTheme="minorEastAsia" w:eastAsiaTheme="minorEastAsia"/>
          <w:kern w:val="0"/>
          <w:sz w:val="24"/>
          <w:highlight w:val="none"/>
        </w:rPr>
        <w:t>评标委员会各成员应当独立对每个投标人的商务和技术文件进行评价，并汇总商务技术得分情况。</w:t>
      </w:r>
    </w:p>
    <w:p w14:paraId="661DDF3A">
      <w:pPr>
        <w:spacing w:line="360" w:lineRule="auto"/>
        <w:ind w:firstLine="472" w:firstLineChars="196"/>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3.4报价评审。</w:t>
      </w:r>
    </w:p>
    <w:p w14:paraId="1BB136DF">
      <w:pPr>
        <w:pStyle w:val="129"/>
        <w:spacing w:before="0"/>
        <w:ind w:firstLine="508" w:firstLineChars="212"/>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3.4.1投标文件报价出现前后不一致的，按照下列规定修正：</w:t>
      </w:r>
    </w:p>
    <w:p w14:paraId="5A976DAE">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3.4.1.1投标文件中开标一览表(报价表)内容与投标文件中相应内容不一致的，以开标一览表(报价表)为准</w:t>
      </w:r>
      <w:r>
        <w:rPr>
          <w:rFonts w:hint="eastAsia" w:cs="宋体" w:asciiTheme="minorEastAsia" w:hAnsiTheme="minorEastAsia" w:eastAsiaTheme="minorEastAsia"/>
          <w:kern w:val="0"/>
          <w:szCs w:val="24"/>
          <w:highlight w:val="none"/>
          <w:lang w:eastAsia="zh-CN"/>
        </w:rPr>
        <w:t>。</w:t>
      </w:r>
    </w:p>
    <w:p w14:paraId="6F1A306E">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3.4.1.2大写金额和小写金额不一致的，以大写金额为准</w:t>
      </w:r>
      <w:r>
        <w:rPr>
          <w:rFonts w:hint="eastAsia" w:cs="宋体" w:asciiTheme="minorEastAsia" w:hAnsiTheme="minorEastAsia" w:eastAsiaTheme="minorEastAsia"/>
          <w:kern w:val="0"/>
          <w:szCs w:val="24"/>
          <w:highlight w:val="none"/>
          <w:lang w:eastAsia="zh-CN"/>
        </w:rPr>
        <w:t>。</w:t>
      </w:r>
    </w:p>
    <w:p w14:paraId="7946EBD6">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3.4.1.3单价金额小数点或者百分比有明显错位的，以开标一览表的总价为准，并修改单价</w:t>
      </w:r>
      <w:r>
        <w:rPr>
          <w:rFonts w:hint="eastAsia" w:cs="宋体" w:asciiTheme="minorEastAsia" w:hAnsiTheme="minorEastAsia" w:eastAsiaTheme="minorEastAsia"/>
          <w:kern w:val="0"/>
          <w:szCs w:val="24"/>
          <w:highlight w:val="none"/>
          <w:lang w:eastAsia="zh-CN"/>
        </w:rPr>
        <w:t>。</w:t>
      </w:r>
    </w:p>
    <w:p w14:paraId="2BE5277F">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3.4.1.4总价金额与按单价汇总金额不一致的，以单价金额计算结果为准。</w:t>
      </w:r>
    </w:p>
    <w:p w14:paraId="223C7EED">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C2F906B">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3.4.2投标文件出现不是唯一的、有选择性投标报价的，投标无效。</w:t>
      </w:r>
    </w:p>
    <w:p w14:paraId="63DC3B70">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3.4.3投标报价超过招标文件中规定的预算金额或者最高限价的，投标无效。</w:t>
      </w:r>
    </w:p>
    <w:p w14:paraId="497371E8">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3.4.4评标委员会认为投标人的报价明显低于其他通过符合性审查投标人的报价，有可能影响产品</w:t>
      </w:r>
      <w:r>
        <w:rPr>
          <w:rFonts w:hint="eastAsia" w:cs="宋体" w:asciiTheme="minorEastAsia" w:hAnsiTheme="minorEastAsia" w:eastAsiaTheme="minorEastAsia"/>
          <w:kern w:val="0"/>
          <w:szCs w:val="24"/>
          <w:highlight w:val="none"/>
          <w:lang w:eastAsia="zh-CN"/>
        </w:rPr>
        <w:t>（服务）</w:t>
      </w:r>
      <w:r>
        <w:rPr>
          <w:rFonts w:hint="eastAsia" w:cs="宋体" w:asciiTheme="minorEastAsia" w:hAnsiTheme="minorEastAsia" w:eastAsiaTheme="minorEastAsia"/>
          <w:kern w:val="0"/>
          <w:szCs w:val="24"/>
          <w:highlight w:val="none"/>
        </w:rPr>
        <w:t>质量或者不能诚信履约的，应当要求其在合理的时间内提供书面说明，必要时提交相关证明材料;投标人不能证明其报价合理性的，评标委员会应当将其作为无效投标处理。</w:t>
      </w:r>
    </w:p>
    <w:p w14:paraId="5483AB3C">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3.4.5</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3DC680E9">
      <w:pPr>
        <w:spacing w:line="360" w:lineRule="auto"/>
        <w:ind w:firstLine="482"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3.5排序与推荐。</w:t>
      </w:r>
      <w:r>
        <w:rPr>
          <w:rFonts w:hint="eastAsia" w:cs="宋体" w:asciiTheme="minorEastAsia" w:hAnsiTheme="minorEastAsia" w:eastAsia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CC8F1B">
      <w:pPr>
        <w:spacing w:line="360" w:lineRule="auto"/>
        <w:ind w:firstLine="480" w:firstLineChars="200"/>
        <w:rPr>
          <w:rFonts w:cs="宋体" w:asciiTheme="minorEastAsia" w:hAnsiTheme="minorEastAsia" w:eastAsiaTheme="minorEastAsia"/>
          <w:b/>
          <w:kern w:val="0"/>
          <w:sz w:val="24"/>
          <w:highlight w:val="none"/>
        </w:rPr>
      </w:pPr>
      <w:r>
        <w:rPr>
          <w:rFonts w:hint="eastAsia" w:cs="宋体" w:asciiTheme="minorEastAsia" w:hAnsiTheme="minorEastAsia" w:eastAsia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4181E4">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3.6编写评标报告。</w:t>
      </w:r>
      <w:r>
        <w:rPr>
          <w:rFonts w:hint="eastAsia" w:cs="宋体" w:asciiTheme="minorEastAsia" w:hAnsiTheme="minorEastAsia" w:eastAsiaTheme="min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EF99FD">
      <w:pPr>
        <w:widowControl/>
        <w:shd w:val="clear" w:color="auto" w:fill="FFFFFF"/>
        <w:adjustRightInd/>
        <w:spacing w:after="225" w:line="315" w:lineRule="atLeast"/>
        <w:jc w:val="left"/>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四、评标中的其他事项</w:t>
      </w:r>
    </w:p>
    <w:p w14:paraId="363C44BA">
      <w:pPr>
        <w:pStyle w:val="129"/>
        <w:spacing w:before="0"/>
        <w:ind w:firstLine="472" w:firstLineChars="196"/>
        <w:rPr>
          <w:rFonts w:cs="宋体" w:asciiTheme="minorEastAsia" w:hAnsiTheme="minorEastAsia" w:eastAsiaTheme="minorEastAsia"/>
          <w:kern w:val="0"/>
          <w:szCs w:val="24"/>
          <w:highlight w:val="none"/>
        </w:rPr>
      </w:pPr>
      <w:r>
        <w:rPr>
          <w:rFonts w:hint="eastAsia" w:cs="宋体" w:asciiTheme="minorEastAsia" w:hAnsiTheme="minorEastAsia" w:eastAsiaTheme="minorEastAsia"/>
          <w:b/>
          <w:kern w:val="0"/>
          <w:szCs w:val="24"/>
          <w:highlight w:val="none"/>
        </w:rPr>
        <w:t>4.1投标人澄清、说明或者补正。</w:t>
      </w:r>
      <w:r>
        <w:rPr>
          <w:rFonts w:hint="eastAsia" w:cs="宋体" w:asciiTheme="minorEastAsia" w:hAnsiTheme="minorEastAsia" w:eastAsiaTheme="minor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4C4581">
      <w:pPr>
        <w:pStyle w:val="26"/>
        <w:spacing w:line="360" w:lineRule="auto"/>
        <w:ind w:left="954" w:leftChars="226" w:hanging="479" w:firstLineChars="0"/>
        <w:rPr>
          <w:rFonts w:cs="宋体" w:asciiTheme="minorEastAsia" w:hAnsiTheme="minorEastAsia" w:eastAsiaTheme="minorEastAsia"/>
          <w:szCs w:val="21"/>
          <w:highlight w:val="none"/>
        </w:rPr>
      </w:pPr>
      <w:r>
        <w:rPr>
          <w:rFonts w:hint="eastAsia" w:cs="宋体" w:asciiTheme="minorEastAsia" w:hAnsiTheme="minorEastAsia" w:eastAsiaTheme="minorEastAsia"/>
          <w:b/>
          <w:kern w:val="0"/>
          <w:highlight w:val="none"/>
        </w:rPr>
        <w:t>4.2投标无效。</w:t>
      </w:r>
      <w:r>
        <w:rPr>
          <w:rFonts w:hint="eastAsia" w:cs="宋体" w:asciiTheme="minorEastAsia" w:hAnsiTheme="minorEastAsia" w:eastAsiaTheme="minorEastAsia"/>
          <w:szCs w:val="21"/>
          <w:highlight w:val="none"/>
        </w:rPr>
        <w:t>有下列情形之一的，投标无效：</w:t>
      </w:r>
    </w:p>
    <w:p w14:paraId="468B2742">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4.2.1投标人不具备招标文件中规定的资格要求的（投标人未提供有效的资格文件的，视为投标人不具备招标文件中规定的资格要求）；</w:t>
      </w:r>
    </w:p>
    <w:p w14:paraId="6ED7399F">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4.2.2投标文件未按照招标文件要求签署、盖章的；</w:t>
      </w:r>
    </w:p>
    <w:p w14:paraId="63F5F496">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C2A0BEC">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4.2.4投标文件含有采购人不能接受的附加条件的；</w:t>
      </w:r>
    </w:p>
    <w:p w14:paraId="0C17A0CD">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4.2.5投标文件中承诺的投标有效期少于招标文件中载明的投标有效期的；</w:t>
      </w:r>
    </w:p>
    <w:p w14:paraId="4CEAFF52">
      <w:pPr>
        <w:snapToGrid w:val="0"/>
        <w:spacing w:line="360" w:lineRule="auto"/>
        <w:ind w:firstLine="120" w:firstLineChars="5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4.2.6投标文件出现不是唯一的、有选择性投标报价的;</w:t>
      </w:r>
    </w:p>
    <w:p w14:paraId="5E6A6770">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4.2.7投标报价超过招标文件中规定的预算金额或者最高限价的;</w:t>
      </w:r>
    </w:p>
    <w:p w14:paraId="6B00C55A">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4.2.8报价明显低于其他通过符合性审查投标人的报价，有可能影响产品</w:t>
      </w:r>
      <w:r>
        <w:rPr>
          <w:rFonts w:hint="eastAsia" w:cs="宋体" w:asciiTheme="minorEastAsia" w:hAnsiTheme="minorEastAsia" w:eastAsiaTheme="minorEastAsia"/>
          <w:kern w:val="0"/>
          <w:sz w:val="24"/>
          <w:highlight w:val="none"/>
          <w:lang w:eastAsia="zh-CN"/>
        </w:rPr>
        <w:t>（服务）</w:t>
      </w:r>
      <w:r>
        <w:rPr>
          <w:rFonts w:hint="eastAsia" w:cs="宋体" w:asciiTheme="minorEastAsia" w:hAnsiTheme="minorEastAsia" w:eastAsiaTheme="minorEastAsia"/>
          <w:kern w:val="0"/>
          <w:sz w:val="24"/>
          <w:highlight w:val="none"/>
        </w:rPr>
        <w:t>质量或者不能诚信履约的，未能按要求提供书面说明或者提交相关证明材料，不能证明其报价合理性的;</w:t>
      </w:r>
    </w:p>
    <w:p w14:paraId="6C0AFA63">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4.2.9投标人对根据修正原则修正后的报价不确认的；</w:t>
      </w:r>
    </w:p>
    <w:p w14:paraId="7FA6C455">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4.2.10投标人提供虚假材料投标的；</w:t>
      </w:r>
    </w:p>
    <w:p w14:paraId="006465C1">
      <w:pPr>
        <w:spacing w:line="360" w:lineRule="auto"/>
        <w:ind w:firstLine="240" w:firstLineChars="1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4.2.11投标人有恶意串通、妨碍其他投标人的竞争行为、损害采购人或者其他投标人的合法权益情形的；</w:t>
      </w:r>
    </w:p>
    <w:p w14:paraId="15501FDA">
      <w:pPr>
        <w:spacing w:line="360" w:lineRule="auto"/>
        <w:ind w:firstLine="480" w:firstLineChars="20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4.2.12投标人仅提交备份投标文件，未在电子交易平台传输递交投标文件的，投标无效；</w:t>
      </w:r>
    </w:p>
    <w:p w14:paraId="4330EC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4.2.13投标人未提供样品或提供的样品不满足采购需求实质性条件的，投标无效；</w:t>
      </w:r>
    </w:p>
    <w:p w14:paraId="279800B9">
      <w:pPr>
        <w:pStyle w:val="3"/>
        <w:pageBreakBefore w:val="0"/>
        <w:widowControl w:val="0"/>
        <w:kinsoku/>
        <w:wordWrap/>
        <w:overflowPunct/>
        <w:topLinePunct w:val="0"/>
        <w:autoSpaceDE/>
        <w:autoSpaceDN/>
        <w:bidi w:val="0"/>
        <w:adjustRightInd w:val="0"/>
        <w:snapToGrid w:val="0"/>
        <w:ind w:left="430" w:leftChars="205" w:firstLine="0" w:firstLineChars="0"/>
        <w:textAlignment w:val="auto"/>
        <w:rPr>
          <w:rFonts w:hint="eastAsia"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b w:val="0"/>
          <w:bCs w:val="0"/>
          <w:kern w:val="0"/>
          <w:sz w:val="24"/>
          <w:szCs w:val="24"/>
          <w:highlight w:val="none"/>
          <w:lang w:val="en-US"/>
        </w:rPr>
        <w:t>4.2.1</w:t>
      </w:r>
      <w:r>
        <w:rPr>
          <w:rFonts w:hint="default" w:cs="宋体" w:asciiTheme="minorEastAsia" w:hAnsiTheme="minorEastAsia" w:eastAsiaTheme="minorEastAsia"/>
          <w:b w:val="0"/>
          <w:bCs w:val="0"/>
          <w:kern w:val="0"/>
          <w:sz w:val="24"/>
          <w:szCs w:val="24"/>
          <w:highlight w:val="none"/>
          <w:lang w:val="en-US"/>
        </w:rPr>
        <w:t>4</w:t>
      </w:r>
      <w:r>
        <w:rPr>
          <w:rFonts w:hint="eastAsia" w:cs="宋体" w:asciiTheme="minorEastAsia" w:hAnsiTheme="minorEastAsia" w:eastAsiaTheme="minorEastAsia"/>
          <w:b w:val="0"/>
          <w:bCs w:val="0"/>
          <w:kern w:val="0"/>
          <w:sz w:val="24"/>
          <w:szCs w:val="24"/>
          <w:highlight w:val="none"/>
          <w:lang w:val="en-US"/>
        </w:rPr>
        <w:t>投标文件不满足招标文件的其它实质性要求的；</w:t>
      </w:r>
    </w:p>
    <w:p w14:paraId="1525447C">
      <w:pPr>
        <w:pStyle w:val="3"/>
        <w:keepNext/>
        <w:keepLines/>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cs="宋体" w:asciiTheme="minorEastAsia" w:hAnsiTheme="minorEastAsia" w:eastAsiaTheme="minorEastAsia"/>
          <w:b w:val="0"/>
          <w:bCs w:val="0"/>
          <w:kern w:val="0"/>
          <w:sz w:val="24"/>
          <w:szCs w:val="24"/>
          <w:highlight w:val="none"/>
          <w:lang w:val="en-US" w:eastAsia="zh-CN" w:bidi="ar-SA"/>
        </w:rPr>
      </w:pPr>
      <w:r>
        <w:rPr>
          <w:rFonts w:hint="eastAsia" w:cs="宋体" w:asciiTheme="minorEastAsia" w:hAnsiTheme="minorEastAsia" w:eastAsiaTheme="minorEastAsia"/>
          <w:b w:val="0"/>
          <w:bCs w:val="0"/>
          <w:kern w:val="0"/>
          <w:sz w:val="24"/>
          <w:szCs w:val="24"/>
          <w:highlight w:val="none"/>
          <w:lang w:val="en-US" w:eastAsia="zh-CN" w:bidi="ar-SA"/>
        </w:rPr>
        <w:t>4.2.1</w:t>
      </w:r>
      <w:r>
        <w:rPr>
          <w:rFonts w:hint="default" w:cs="宋体" w:asciiTheme="minorEastAsia" w:hAnsiTheme="minorEastAsia" w:eastAsiaTheme="minorEastAsia"/>
          <w:b w:val="0"/>
          <w:bCs w:val="0"/>
          <w:kern w:val="0"/>
          <w:sz w:val="24"/>
          <w:szCs w:val="24"/>
          <w:highlight w:val="none"/>
          <w:lang w:val="en-US" w:eastAsia="zh-CN" w:bidi="ar-SA"/>
        </w:rPr>
        <w:t>5</w:t>
      </w:r>
      <w:r>
        <w:rPr>
          <w:rFonts w:hint="eastAsia" w:cs="宋体" w:asciiTheme="minorEastAsia" w:hAnsiTheme="minorEastAsia" w:eastAsiaTheme="minorEastAsia"/>
          <w:b w:val="0"/>
          <w:bCs w:val="0"/>
          <w:kern w:val="0"/>
          <w:sz w:val="24"/>
          <w:szCs w:val="24"/>
          <w:highlight w:val="none"/>
          <w:lang w:val="en-US" w:eastAsia="zh-CN" w:bidi="ar-SA"/>
        </w:rPr>
        <w:t>法律、法规、规章（适用本市的）及省级以上规范性文件（适用本市的）规定的其他无效情形。</w:t>
      </w:r>
    </w:p>
    <w:p w14:paraId="034F95BD">
      <w:pPr>
        <w:pStyle w:val="26"/>
        <w:snapToGrid w:val="0"/>
        <w:spacing w:line="360" w:lineRule="auto"/>
        <w:ind w:firstLine="472" w:firstLineChars="196"/>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5.废标。</w:t>
      </w:r>
      <w:r>
        <w:rPr>
          <w:rFonts w:hint="eastAsia" w:cs="宋体" w:asciiTheme="minorEastAsia" w:hAnsiTheme="minorEastAsia" w:eastAsiaTheme="minorEastAsia"/>
          <w:highlight w:val="none"/>
        </w:rPr>
        <w:t>根据《中华人民共和国政府采购法》第三十六条之规定，在采购中，出现下列情形之一的，应予废标：</w:t>
      </w:r>
    </w:p>
    <w:p w14:paraId="5B88FBEC">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5.1符合专业条件的供应商或者对招标文件作实质响应的供应商不足3家的；</w:t>
      </w:r>
    </w:p>
    <w:p w14:paraId="314958A7">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5.2出现影响采购公正的违法、违规行为的；</w:t>
      </w:r>
    </w:p>
    <w:p w14:paraId="13750CCF">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5.3投标人的报价均超过了采购预算，采购人不能支付的；</w:t>
      </w:r>
    </w:p>
    <w:p w14:paraId="249B89B6">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5.4因重大变故，采购任务取消的。</w:t>
      </w:r>
    </w:p>
    <w:p w14:paraId="1723834F">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废标后，采购机构应当将废标理由通知所有投标人。</w:t>
      </w:r>
    </w:p>
    <w:p w14:paraId="6EDE62E6">
      <w:pPr>
        <w:pStyle w:val="26"/>
        <w:snapToGrid w:val="0"/>
        <w:spacing w:line="360" w:lineRule="auto"/>
        <w:ind w:firstLine="590" w:firstLineChars="245"/>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6.修改招标文件，重新组织采购活动。</w:t>
      </w:r>
      <w:r>
        <w:rPr>
          <w:rFonts w:hint="eastAsia" w:cs="宋体" w:asciiTheme="minorEastAsia" w:hAnsiTheme="minorEastAsia" w:eastAsiaTheme="minorEastAsia"/>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AAC8D73">
      <w:pPr>
        <w:pStyle w:val="26"/>
        <w:snapToGrid w:val="0"/>
        <w:spacing w:line="360" w:lineRule="auto"/>
        <w:ind w:firstLine="482"/>
        <w:rPr>
          <w:rFonts w:cs="宋体" w:asciiTheme="minorEastAsia" w:hAnsiTheme="minorEastAsia" w:eastAsiaTheme="minorEastAsia"/>
          <w:highlight w:val="none"/>
        </w:rPr>
      </w:pPr>
      <w:r>
        <w:rPr>
          <w:rFonts w:hint="eastAsia" w:cs="宋体" w:asciiTheme="minorEastAsia" w:hAnsiTheme="minorEastAsia" w:eastAsiaTheme="minorEastAsia"/>
          <w:b/>
          <w:kern w:val="0"/>
          <w:highlight w:val="none"/>
        </w:rPr>
        <w:t>7.重新开展采购。</w:t>
      </w:r>
      <w:r>
        <w:rPr>
          <w:rFonts w:hint="eastAsia" w:cs="宋体" w:asciiTheme="minorEastAsia" w:hAnsiTheme="minorEastAsia" w:eastAsiaTheme="minorEastAsia"/>
          <w:highlight w:val="none"/>
        </w:rPr>
        <w:t>有政府采购法第七十一条、第七十二条规定的违法行为之一，影响或者可能影响中标结果的，依照下列规定处理：</w:t>
      </w:r>
    </w:p>
    <w:p w14:paraId="48AC8EA8">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7.1未确定中标供应商的，终止本次政府采购活动，重新开展政府采购活动。</w:t>
      </w:r>
    </w:p>
    <w:p w14:paraId="356C79E1">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7.2已确定中标供应商但尚未签订政府采购合同的，中标结果无效，从合格的中标候选人中另行确定中标供应商；没有合格的中标候选人的，重新开展政府采购活动。</w:t>
      </w:r>
    </w:p>
    <w:p w14:paraId="362BEDE9">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7.3政府采购合同已签订但尚未履行的，撤销合同，从合格的中标候选人中另行确定中标供应商；没有合格的中标候选人的，重新开展政府采购活动。</w:t>
      </w:r>
    </w:p>
    <w:p w14:paraId="0ACB41F9">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7.4政府采购合同已经履行，给采购人、供应商造成损失的，由责任人承担赔偿责任。</w:t>
      </w:r>
    </w:p>
    <w:p w14:paraId="2DE90E75">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E8FFE95">
      <w:pPr>
        <w:pStyle w:val="26"/>
        <w:snapToGrid w:val="0"/>
        <w:spacing w:line="360" w:lineRule="auto"/>
        <w:ind w:firstLine="0" w:firstLineChars="0"/>
        <w:rPr>
          <w:rFonts w:cs="宋体" w:asciiTheme="minorEastAsia" w:hAnsiTheme="minorEastAsia" w:eastAsiaTheme="minorEastAsia"/>
          <w:highlight w:val="none"/>
        </w:rPr>
      </w:pPr>
    </w:p>
    <w:bookmarkEnd w:id="21"/>
    <w:p w14:paraId="2A9AE1C9">
      <w:pPr>
        <w:widowControl/>
        <w:adjustRightInd/>
        <w:jc w:val="left"/>
        <w:rPr>
          <w:rFonts w:cs="宋体" w:asciiTheme="minorEastAsia" w:hAnsiTheme="minorEastAsia" w:eastAsiaTheme="minorEastAsia"/>
          <w:b/>
          <w:sz w:val="36"/>
          <w:szCs w:val="36"/>
          <w:highlight w:val="none"/>
        </w:rPr>
      </w:pPr>
      <w:bookmarkStart w:id="423" w:name="第五部分"/>
      <w:bookmarkStart w:id="424" w:name="_Toc86217003"/>
      <w:r>
        <w:rPr>
          <w:rFonts w:cs="宋体" w:asciiTheme="minorEastAsia" w:hAnsiTheme="minorEastAsia" w:eastAsiaTheme="minorEastAsia"/>
          <w:b/>
          <w:sz w:val="36"/>
          <w:szCs w:val="36"/>
          <w:highlight w:val="none"/>
        </w:rPr>
        <w:br w:type="page"/>
      </w:r>
    </w:p>
    <w:p w14:paraId="0B7AB7E5">
      <w:pPr>
        <w:spacing w:line="360" w:lineRule="auto"/>
        <w:jc w:val="center"/>
        <w:outlineLvl w:val="0"/>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第</w:t>
      </w:r>
      <w:r>
        <w:rPr>
          <w:rFonts w:hint="eastAsia" w:ascii="宋体" w:hAnsi="宋体" w:eastAsia="宋体" w:cs="仿宋_GB2312"/>
          <w:b/>
          <w:color w:val="auto"/>
          <w:sz w:val="36"/>
          <w:szCs w:val="36"/>
          <w:highlight w:val="none"/>
          <w:lang w:eastAsia="zh-CN"/>
        </w:rPr>
        <w:t>五</w:t>
      </w:r>
      <w:r>
        <w:rPr>
          <w:rFonts w:hint="eastAsia" w:ascii="宋体" w:hAnsi="宋体" w:eastAsia="宋体" w:cs="仿宋_GB2312"/>
          <w:b/>
          <w:color w:val="auto"/>
          <w:sz w:val="36"/>
          <w:szCs w:val="36"/>
          <w:highlight w:val="none"/>
        </w:rPr>
        <w:t>部分  拟签订的合同文本</w:t>
      </w:r>
    </w:p>
    <w:p w14:paraId="344550B6">
      <w:pPr>
        <w:spacing w:line="360" w:lineRule="auto"/>
        <w:rPr>
          <w:rFonts w:ascii="宋体" w:hAnsi="宋体" w:eastAsia="宋体"/>
          <w:color w:val="auto"/>
          <w:sz w:val="24"/>
          <w:highlight w:val="none"/>
        </w:rPr>
      </w:pPr>
    </w:p>
    <w:p w14:paraId="76F1D79E">
      <w:pPr>
        <w:spacing w:line="360" w:lineRule="auto"/>
        <w:rPr>
          <w:rFonts w:ascii="宋体" w:hAnsi="宋体" w:eastAsia="宋体"/>
          <w:color w:val="auto"/>
          <w:sz w:val="24"/>
          <w:highlight w:val="none"/>
          <w:u w:val="single"/>
        </w:rPr>
      </w:pPr>
      <w:r>
        <w:rPr>
          <w:rFonts w:hint="eastAsia" w:ascii="宋体" w:hAnsi="宋体" w:eastAsia="宋体"/>
          <w:color w:val="auto"/>
          <w:sz w:val="24"/>
          <w:highlight w:val="none"/>
        </w:rPr>
        <w:t>合同编号：</w:t>
      </w:r>
      <w:r>
        <w:rPr>
          <w:rFonts w:hint="eastAsia" w:ascii="宋体" w:hAnsi="宋体" w:eastAsia="宋体"/>
          <w:color w:val="auto"/>
          <w:sz w:val="24"/>
          <w:highlight w:val="none"/>
          <w:u w:val="single"/>
        </w:rPr>
        <w:t xml:space="preserve">           </w:t>
      </w:r>
    </w:p>
    <w:p w14:paraId="7EDCF528">
      <w:pPr>
        <w:spacing w:line="360" w:lineRule="auto"/>
        <w:rPr>
          <w:rFonts w:ascii="宋体" w:hAnsi="宋体" w:eastAsia="宋体"/>
          <w:color w:val="auto"/>
          <w:sz w:val="24"/>
          <w:highlight w:val="none"/>
          <w:u w:val="single"/>
        </w:rPr>
      </w:pPr>
    </w:p>
    <w:p w14:paraId="4B0D6347">
      <w:pPr>
        <w:pStyle w:val="700"/>
        <w:spacing w:line="360" w:lineRule="auto"/>
        <w:ind w:leftChars="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752F0D4A">
      <w:pPr>
        <w:pStyle w:val="700"/>
        <w:ind w:firstLine="2843" w:firstLineChars="1180"/>
        <w:rPr>
          <w:rFonts w:ascii="宋体" w:hAnsi="宋体" w:cs="宋体"/>
          <w:b/>
          <w:szCs w:val="24"/>
        </w:rPr>
      </w:pPr>
      <w:r>
        <w:rPr>
          <w:rFonts w:hint="eastAsia" w:ascii="宋体" w:hAnsi="宋体" w:cs="宋体"/>
          <w:b/>
          <w:szCs w:val="24"/>
        </w:rPr>
        <w:t>第一部分 合同书</w:t>
      </w:r>
    </w:p>
    <w:p w14:paraId="33D6F88D">
      <w:pPr>
        <w:pStyle w:val="700"/>
        <w:spacing w:line="360" w:lineRule="auto"/>
        <w:rPr>
          <w:rFonts w:ascii="宋体" w:hAnsi="宋体" w:eastAsia="宋体"/>
          <w:color w:val="auto"/>
          <w:szCs w:val="24"/>
          <w:highlight w:val="none"/>
        </w:rPr>
      </w:pPr>
    </w:p>
    <w:p w14:paraId="149E6746">
      <w:pPr>
        <w:pStyle w:val="700"/>
        <w:spacing w:line="360" w:lineRule="auto"/>
        <w:rPr>
          <w:rFonts w:ascii="宋体" w:hAnsi="宋体" w:eastAsia="宋体"/>
          <w:color w:val="auto"/>
          <w:szCs w:val="24"/>
          <w:highlight w:val="none"/>
        </w:rPr>
      </w:pPr>
    </w:p>
    <w:p w14:paraId="29B6C4BB">
      <w:pPr>
        <w:spacing w:before="120" w:line="360" w:lineRule="auto"/>
        <w:rPr>
          <w:rFonts w:ascii="宋体" w:hAnsi="宋体" w:eastAsia="宋体"/>
          <w:color w:val="auto"/>
          <w:sz w:val="24"/>
          <w:highlight w:val="none"/>
        </w:rPr>
      </w:pPr>
    </w:p>
    <w:p w14:paraId="1F42B199">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项目名称：</w:t>
      </w:r>
      <w:r>
        <w:rPr>
          <w:rFonts w:hint="eastAsia" w:ascii="宋体" w:hAnsi="宋体"/>
          <w:color w:val="auto"/>
          <w:sz w:val="24"/>
          <w:highlight w:val="none"/>
          <w:u w:val="single"/>
          <w:lang w:eastAsia="zh-CN"/>
        </w:rPr>
        <w:t>2025年杭州市公安局西湖区分局警网融合智治平台二期采购项目</w:t>
      </w:r>
    </w:p>
    <w:p w14:paraId="4986FBE8">
      <w:pPr>
        <w:pStyle w:val="597"/>
        <w:spacing w:before="120" w:line="360" w:lineRule="auto"/>
        <w:ind w:firstLine="960" w:firstLineChars="400"/>
        <w:rPr>
          <w:rFonts w:hint="eastAsia" w:ascii="宋体" w:hAnsi="宋体" w:eastAsia="宋体"/>
          <w:color w:val="auto"/>
          <w:szCs w:val="24"/>
          <w:highlight w:val="none"/>
          <w:lang w:eastAsia="zh-CN"/>
        </w:rPr>
      </w:pPr>
      <w:r>
        <w:rPr>
          <w:rFonts w:hint="eastAsia" w:ascii="宋体" w:hAnsi="宋体" w:eastAsia="宋体"/>
          <w:color w:val="auto"/>
          <w:szCs w:val="24"/>
          <w:highlight w:val="none"/>
          <w:lang w:eastAsia="zh-CN"/>
        </w:rPr>
        <w:t>项目编号：</w:t>
      </w:r>
      <w:r>
        <w:rPr>
          <w:rFonts w:hint="eastAsia" w:ascii="宋体" w:hAnsi="宋体" w:eastAsia="宋体"/>
          <w:color w:val="auto"/>
          <w:szCs w:val="24"/>
          <w:highlight w:val="none"/>
          <w:u w:val="single"/>
          <w:lang w:eastAsia="zh-CN"/>
        </w:rPr>
        <w:t>XHZFCG-2025-G-06</w:t>
      </w:r>
      <w:r>
        <w:rPr>
          <w:rFonts w:hint="eastAsia" w:ascii="宋体" w:hAnsi="宋体" w:eastAsia="宋体"/>
          <w:color w:val="auto"/>
          <w:sz w:val="24"/>
          <w:highlight w:val="none"/>
          <w:u w:val="single"/>
        </w:rPr>
        <w:t xml:space="preserve">                   </w:t>
      </w:r>
    </w:p>
    <w:p w14:paraId="3084FF34">
      <w:pPr>
        <w:pStyle w:val="597"/>
        <w:spacing w:before="120" w:line="360" w:lineRule="auto"/>
        <w:ind w:firstLine="960" w:firstLineChars="400"/>
        <w:rPr>
          <w:rFonts w:hint="eastAsia" w:ascii="宋体" w:hAnsi="宋体" w:eastAsia="宋体"/>
          <w:color w:val="auto"/>
          <w:szCs w:val="24"/>
          <w:highlight w:val="none"/>
          <w:lang w:eastAsia="zh-CN"/>
        </w:rPr>
      </w:pPr>
    </w:p>
    <w:p w14:paraId="2941354E">
      <w:pPr>
        <w:spacing w:line="360" w:lineRule="auto"/>
        <w:rPr>
          <w:rFonts w:ascii="宋体" w:hAnsi="宋体" w:eastAsia="宋体"/>
          <w:color w:val="auto"/>
          <w:sz w:val="24"/>
          <w:highlight w:val="none"/>
        </w:rPr>
      </w:pPr>
    </w:p>
    <w:p w14:paraId="70987B38">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甲方：</w:t>
      </w:r>
      <w:r>
        <w:rPr>
          <w:rFonts w:hint="eastAsia" w:ascii="宋体" w:hAnsi="宋体" w:eastAsia="宋体"/>
          <w:color w:val="auto"/>
          <w:sz w:val="24"/>
          <w:highlight w:val="none"/>
          <w:u w:val="single"/>
        </w:rPr>
        <w:t xml:space="preserve">                                       </w:t>
      </w:r>
    </w:p>
    <w:p w14:paraId="5BFC38C8">
      <w:pPr>
        <w:spacing w:before="120" w:line="360" w:lineRule="auto"/>
        <w:rPr>
          <w:rFonts w:ascii="宋体" w:hAnsi="宋体" w:eastAsia="宋体"/>
          <w:color w:val="auto"/>
          <w:sz w:val="24"/>
          <w:highlight w:val="none"/>
        </w:rPr>
      </w:pPr>
    </w:p>
    <w:p w14:paraId="05A004F9">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乙方：</w:t>
      </w:r>
      <w:r>
        <w:rPr>
          <w:rFonts w:hint="eastAsia" w:ascii="宋体" w:hAnsi="宋体" w:eastAsia="宋体"/>
          <w:color w:val="auto"/>
          <w:sz w:val="24"/>
          <w:highlight w:val="none"/>
          <w:u w:val="single"/>
        </w:rPr>
        <w:t xml:space="preserve">                                       </w:t>
      </w:r>
    </w:p>
    <w:p w14:paraId="215608B4">
      <w:pPr>
        <w:spacing w:before="120" w:line="360" w:lineRule="auto"/>
        <w:rPr>
          <w:rFonts w:ascii="宋体" w:hAnsi="宋体" w:eastAsia="宋体"/>
          <w:color w:val="auto"/>
          <w:sz w:val="24"/>
          <w:highlight w:val="none"/>
        </w:rPr>
      </w:pPr>
    </w:p>
    <w:p w14:paraId="25CA6490">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签订地：</w:t>
      </w:r>
      <w:r>
        <w:rPr>
          <w:rFonts w:hint="eastAsia" w:ascii="宋体" w:hAnsi="宋体" w:eastAsia="宋体"/>
          <w:color w:val="auto"/>
          <w:sz w:val="24"/>
          <w:highlight w:val="none"/>
          <w:u w:val="single"/>
        </w:rPr>
        <w:t xml:space="preserve">                                     </w:t>
      </w:r>
    </w:p>
    <w:p w14:paraId="534FB0B1">
      <w:pPr>
        <w:spacing w:before="120" w:line="360" w:lineRule="auto"/>
        <w:rPr>
          <w:rFonts w:ascii="宋体" w:hAnsi="宋体" w:eastAsia="宋体"/>
          <w:color w:val="auto"/>
          <w:sz w:val="24"/>
          <w:highlight w:val="none"/>
        </w:rPr>
      </w:pPr>
    </w:p>
    <w:p w14:paraId="6A5B177D">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14:paraId="04470E54">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14:paraId="250D06D8">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杭州市公安局西湖区分局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2025年杭州市公安局西湖区分局警网融合智治平台二期采购项目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评审小组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FDFFDF2">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杭州市公安局西湖区分局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9168D7F">
      <w:pPr>
        <w:spacing w:line="360" w:lineRule="auto"/>
        <w:ind w:firstLine="482" w:firstLineChars="200"/>
        <w:outlineLvl w:val="0"/>
        <w:rPr>
          <w:rFonts w:ascii="宋体" w:hAnsi="宋体"/>
          <w:color w:val="auto"/>
          <w:sz w:val="24"/>
          <w:highlight w:val="none"/>
        </w:rPr>
      </w:pPr>
      <w:bookmarkStart w:id="425" w:name="_Toc20421"/>
      <w:bookmarkStart w:id="426" w:name="_Toc28855"/>
      <w:bookmarkStart w:id="427" w:name="_Toc22967"/>
      <w:bookmarkStart w:id="428" w:name="_Toc15367"/>
      <w:bookmarkStart w:id="42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5"/>
      <w:bookmarkEnd w:id="426"/>
      <w:bookmarkEnd w:id="427"/>
      <w:bookmarkEnd w:id="428"/>
      <w:bookmarkEnd w:id="429"/>
    </w:p>
    <w:p w14:paraId="747E99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D439A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5AFC7E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6311F3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803DDD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4C8900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6E61A2F">
      <w:pPr>
        <w:spacing w:line="360" w:lineRule="auto"/>
        <w:ind w:firstLine="482" w:firstLineChars="200"/>
        <w:outlineLvl w:val="0"/>
        <w:rPr>
          <w:rFonts w:ascii="宋体" w:hAnsi="宋体"/>
          <w:b/>
          <w:color w:val="auto"/>
          <w:sz w:val="24"/>
          <w:highlight w:val="none"/>
        </w:rPr>
      </w:pPr>
      <w:bookmarkStart w:id="430" w:name="_Toc22185"/>
      <w:bookmarkStart w:id="431" w:name="_Toc2918"/>
      <w:bookmarkStart w:id="432" w:name="_Toc18585"/>
      <w:bookmarkStart w:id="433" w:name="_Toc6311"/>
      <w:bookmarkStart w:id="43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30"/>
      <w:bookmarkEnd w:id="431"/>
      <w:bookmarkEnd w:id="432"/>
      <w:bookmarkEnd w:id="433"/>
      <w:bookmarkEnd w:id="434"/>
    </w:p>
    <w:p w14:paraId="30A5EEC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w:t>
      </w:r>
    </w:p>
    <w:p w14:paraId="635BB49B">
      <w:pPr>
        <w:spacing w:line="360" w:lineRule="auto"/>
        <w:ind w:firstLine="480" w:firstLineChars="200"/>
        <w:rPr>
          <w:rFonts w:hint="eastAsia" w:ascii="宋体" w:hAnsi="宋体" w:eastAsia="宋体"/>
          <w:color w:val="auto"/>
          <w:sz w:val="24"/>
          <w:highlight w:val="none"/>
          <w:u w:val="single"/>
          <w:lang w:eastAsia="zh-CN"/>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none"/>
          <w:lang w:eastAsia="zh-CN"/>
        </w:rPr>
        <w:t>；</w:t>
      </w:r>
    </w:p>
    <w:p w14:paraId="1E64904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w:t>
      </w:r>
    </w:p>
    <w:p w14:paraId="03FB80E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78C149F4">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CA11FE6">
      <w:pPr>
        <w:spacing w:line="360" w:lineRule="auto"/>
        <w:ind w:firstLine="480" w:firstLineChars="200"/>
        <w:rPr>
          <w:rFonts w:ascii="宋体" w:hAnsi="宋体" w:cs="宋体"/>
          <w:color w:val="auto"/>
          <w:sz w:val="24"/>
          <w:highlight w:val="none"/>
          <w:u w:val="single"/>
        </w:rPr>
      </w:pPr>
      <w:bookmarkStart w:id="435" w:name="_Toc21124"/>
      <w:bookmarkStart w:id="436" w:name="_Toc1386"/>
      <w:bookmarkStart w:id="437" w:name="_Toc13918"/>
      <w:bookmarkStart w:id="438" w:name="_Toc4929"/>
      <w:bookmarkStart w:id="43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5DF54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3C787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61D233">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35"/>
      <w:bookmarkEnd w:id="436"/>
      <w:bookmarkEnd w:id="437"/>
      <w:bookmarkEnd w:id="438"/>
      <w:bookmarkEnd w:id="439"/>
    </w:p>
    <w:p w14:paraId="53AF22B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B2798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F1E201D">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01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DD6075">
            <w:pPr>
              <w:pStyle w:val="318"/>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14:paraId="3323D20C">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14:paraId="0605EDB2">
            <w:pPr>
              <w:pStyle w:val="318"/>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6B66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729BB1C">
            <w:pPr>
              <w:pStyle w:val="318"/>
              <w:spacing w:line="360" w:lineRule="auto"/>
              <w:ind w:firstLine="200"/>
              <w:jc w:val="center"/>
              <w:rPr>
                <w:rFonts w:hAnsi="宋体"/>
                <w:color w:val="auto"/>
                <w:sz w:val="24"/>
                <w:szCs w:val="24"/>
                <w:highlight w:val="none"/>
              </w:rPr>
            </w:pPr>
          </w:p>
        </w:tc>
        <w:tc>
          <w:tcPr>
            <w:tcW w:w="3402" w:type="dxa"/>
            <w:noWrap w:val="0"/>
            <w:vAlign w:val="center"/>
          </w:tcPr>
          <w:p w14:paraId="7D6EDF98">
            <w:pPr>
              <w:pStyle w:val="318"/>
              <w:spacing w:line="360" w:lineRule="auto"/>
              <w:ind w:firstLine="200"/>
              <w:jc w:val="center"/>
              <w:rPr>
                <w:rFonts w:hAnsi="宋体"/>
                <w:color w:val="auto"/>
                <w:sz w:val="24"/>
                <w:szCs w:val="24"/>
                <w:highlight w:val="none"/>
              </w:rPr>
            </w:pPr>
          </w:p>
        </w:tc>
        <w:tc>
          <w:tcPr>
            <w:tcW w:w="2552" w:type="dxa"/>
            <w:noWrap w:val="0"/>
            <w:vAlign w:val="center"/>
          </w:tcPr>
          <w:p w14:paraId="0884AFD9">
            <w:pPr>
              <w:pStyle w:val="318"/>
              <w:spacing w:line="360" w:lineRule="auto"/>
              <w:ind w:firstLine="200"/>
              <w:jc w:val="center"/>
              <w:rPr>
                <w:rFonts w:hAnsi="宋体"/>
                <w:color w:val="auto"/>
                <w:sz w:val="24"/>
                <w:szCs w:val="24"/>
                <w:highlight w:val="none"/>
              </w:rPr>
            </w:pPr>
          </w:p>
        </w:tc>
      </w:tr>
      <w:tr w14:paraId="7383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FC343E9">
            <w:pPr>
              <w:pStyle w:val="318"/>
              <w:spacing w:line="360" w:lineRule="auto"/>
              <w:ind w:firstLine="200"/>
              <w:jc w:val="center"/>
              <w:rPr>
                <w:rFonts w:hAnsi="宋体"/>
                <w:color w:val="auto"/>
                <w:sz w:val="24"/>
                <w:szCs w:val="24"/>
                <w:highlight w:val="none"/>
              </w:rPr>
            </w:pPr>
          </w:p>
        </w:tc>
        <w:tc>
          <w:tcPr>
            <w:tcW w:w="3402" w:type="dxa"/>
            <w:noWrap w:val="0"/>
            <w:vAlign w:val="center"/>
          </w:tcPr>
          <w:p w14:paraId="2037D720">
            <w:pPr>
              <w:pStyle w:val="318"/>
              <w:spacing w:line="360" w:lineRule="auto"/>
              <w:ind w:firstLine="200"/>
              <w:jc w:val="center"/>
              <w:rPr>
                <w:rFonts w:hAnsi="宋体"/>
                <w:color w:val="auto"/>
                <w:sz w:val="24"/>
                <w:szCs w:val="24"/>
                <w:highlight w:val="none"/>
              </w:rPr>
            </w:pPr>
          </w:p>
        </w:tc>
        <w:tc>
          <w:tcPr>
            <w:tcW w:w="2552" w:type="dxa"/>
            <w:noWrap w:val="0"/>
            <w:vAlign w:val="center"/>
          </w:tcPr>
          <w:p w14:paraId="74EEB734">
            <w:pPr>
              <w:pStyle w:val="318"/>
              <w:spacing w:line="360" w:lineRule="auto"/>
              <w:ind w:firstLine="200"/>
              <w:jc w:val="center"/>
              <w:rPr>
                <w:rFonts w:hAnsi="宋体"/>
                <w:color w:val="auto"/>
                <w:sz w:val="24"/>
                <w:szCs w:val="24"/>
                <w:highlight w:val="none"/>
              </w:rPr>
            </w:pPr>
          </w:p>
        </w:tc>
      </w:tr>
      <w:tr w14:paraId="186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7F1BF5C">
            <w:pPr>
              <w:pStyle w:val="318"/>
              <w:spacing w:line="360" w:lineRule="auto"/>
              <w:ind w:firstLine="200"/>
              <w:jc w:val="center"/>
              <w:rPr>
                <w:rFonts w:hAnsi="宋体"/>
                <w:color w:val="auto"/>
                <w:sz w:val="24"/>
                <w:szCs w:val="24"/>
                <w:highlight w:val="none"/>
              </w:rPr>
            </w:pPr>
          </w:p>
        </w:tc>
        <w:tc>
          <w:tcPr>
            <w:tcW w:w="3402" w:type="dxa"/>
            <w:noWrap w:val="0"/>
            <w:vAlign w:val="center"/>
          </w:tcPr>
          <w:p w14:paraId="473739D1">
            <w:pPr>
              <w:pStyle w:val="318"/>
              <w:spacing w:line="360" w:lineRule="auto"/>
              <w:ind w:firstLine="200"/>
              <w:jc w:val="center"/>
              <w:rPr>
                <w:rFonts w:hAnsi="宋体"/>
                <w:color w:val="auto"/>
                <w:sz w:val="24"/>
                <w:szCs w:val="24"/>
                <w:highlight w:val="none"/>
              </w:rPr>
            </w:pPr>
          </w:p>
        </w:tc>
        <w:tc>
          <w:tcPr>
            <w:tcW w:w="2552" w:type="dxa"/>
            <w:noWrap w:val="0"/>
            <w:vAlign w:val="center"/>
          </w:tcPr>
          <w:p w14:paraId="7AEC2ECD">
            <w:pPr>
              <w:pStyle w:val="318"/>
              <w:spacing w:line="360" w:lineRule="auto"/>
              <w:ind w:firstLine="200"/>
              <w:jc w:val="center"/>
              <w:rPr>
                <w:rFonts w:hAnsi="宋体"/>
                <w:color w:val="auto"/>
                <w:sz w:val="24"/>
                <w:szCs w:val="24"/>
                <w:highlight w:val="none"/>
              </w:rPr>
            </w:pPr>
          </w:p>
        </w:tc>
      </w:tr>
      <w:tr w14:paraId="2E15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461E7CC">
            <w:pPr>
              <w:pStyle w:val="318"/>
              <w:spacing w:line="360" w:lineRule="auto"/>
              <w:ind w:firstLine="200"/>
              <w:jc w:val="center"/>
              <w:rPr>
                <w:rFonts w:hAnsi="宋体"/>
                <w:color w:val="auto"/>
                <w:sz w:val="24"/>
                <w:szCs w:val="24"/>
                <w:highlight w:val="none"/>
              </w:rPr>
            </w:pPr>
          </w:p>
        </w:tc>
        <w:tc>
          <w:tcPr>
            <w:tcW w:w="3402" w:type="dxa"/>
            <w:noWrap w:val="0"/>
            <w:vAlign w:val="center"/>
          </w:tcPr>
          <w:p w14:paraId="5F6B5997">
            <w:pPr>
              <w:pStyle w:val="318"/>
              <w:spacing w:line="360" w:lineRule="auto"/>
              <w:ind w:firstLine="200"/>
              <w:jc w:val="center"/>
              <w:rPr>
                <w:rFonts w:hAnsi="宋体"/>
                <w:color w:val="auto"/>
                <w:sz w:val="24"/>
                <w:szCs w:val="24"/>
                <w:highlight w:val="none"/>
              </w:rPr>
            </w:pPr>
          </w:p>
        </w:tc>
        <w:tc>
          <w:tcPr>
            <w:tcW w:w="2552" w:type="dxa"/>
            <w:noWrap w:val="0"/>
            <w:vAlign w:val="center"/>
          </w:tcPr>
          <w:p w14:paraId="6D7BD2B5">
            <w:pPr>
              <w:pStyle w:val="318"/>
              <w:spacing w:line="360" w:lineRule="auto"/>
              <w:ind w:firstLine="200"/>
              <w:jc w:val="center"/>
              <w:rPr>
                <w:rFonts w:hAnsi="宋体"/>
                <w:color w:val="auto"/>
                <w:sz w:val="24"/>
                <w:szCs w:val="24"/>
                <w:highlight w:val="none"/>
              </w:rPr>
            </w:pPr>
          </w:p>
        </w:tc>
      </w:tr>
      <w:tr w14:paraId="0D79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398E214">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14:paraId="5CB5D077">
            <w:pPr>
              <w:pStyle w:val="318"/>
              <w:spacing w:line="360" w:lineRule="auto"/>
              <w:ind w:firstLine="200"/>
              <w:jc w:val="center"/>
              <w:rPr>
                <w:rFonts w:hAnsi="宋体"/>
                <w:color w:val="auto"/>
                <w:sz w:val="24"/>
                <w:szCs w:val="24"/>
                <w:highlight w:val="none"/>
              </w:rPr>
            </w:pPr>
          </w:p>
        </w:tc>
      </w:tr>
    </w:tbl>
    <w:p w14:paraId="394DA777">
      <w:pPr>
        <w:spacing w:line="360" w:lineRule="auto"/>
        <w:ind w:firstLine="480" w:firstLineChars="200"/>
        <w:rPr>
          <w:rFonts w:hint="eastAsia" w:ascii="宋体" w:hAnsi="宋体"/>
          <w:color w:val="auto"/>
          <w:sz w:val="24"/>
          <w:highlight w:val="none"/>
          <w:lang w:val="en-US"/>
        </w:rPr>
      </w:pPr>
      <w:bookmarkStart w:id="440" w:name="_Toc30158"/>
      <w:bookmarkStart w:id="441" w:name="_Toc26916"/>
      <w:bookmarkStart w:id="442" w:name="_Toc3654"/>
      <w:bookmarkStart w:id="443" w:name="_Toc14993"/>
      <w:bookmarkStart w:id="44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29C3CC0">
      <w:pPr>
        <w:spacing w:line="360" w:lineRule="auto"/>
        <w:ind w:firstLine="480" w:firstLineChars="2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i/>
          <w:color w:val="auto"/>
          <w:sz w:val="24"/>
          <w:highlight w:val="none"/>
          <w:u w:val="single"/>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40"/>
    <w:bookmarkEnd w:id="441"/>
    <w:bookmarkEnd w:id="442"/>
    <w:bookmarkEnd w:id="443"/>
    <w:bookmarkEnd w:id="444"/>
    <w:p w14:paraId="6337DF54">
      <w:pPr>
        <w:pStyle w:val="958"/>
        <w:spacing w:before="0" w:beforeAutospacing="0" w:after="0" w:afterAutospacing="0" w:line="360" w:lineRule="auto"/>
        <w:ind w:firstLine="480"/>
        <w:rPr>
          <w:b/>
          <w:color w:val="auto"/>
          <w:highlight w:val="none"/>
        </w:rPr>
      </w:pPr>
      <w:bookmarkStart w:id="445" w:name="_Toc1814"/>
      <w:bookmarkStart w:id="446" w:name="_Toc10340"/>
      <w:bookmarkStart w:id="447" w:name="_Toc22618"/>
      <w:bookmarkStart w:id="448" w:name="_Toc11108"/>
      <w:bookmarkStart w:id="449" w:name="_Toc31421"/>
      <w:bookmarkStart w:id="450" w:name="_Toc4760"/>
      <w:bookmarkStart w:id="451" w:name="_Toc8772"/>
      <w:bookmarkStart w:id="452" w:name="_Toc3625"/>
      <w:r>
        <w:rPr>
          <w:rFonts w:hint="eastAsia"/>
          <w:b/>
          <w:color w:val="auto"/>
          <w:highlight w:val="none"/>
        </w:rPr>
        <w:t>1.4履约保证金</w:t>
      </w:r>
    </w:p>
    <w:p w14:paraId="0C2D9523">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8757C1D">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D0F7F6">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D84843">
      <w:pPr>
        <w:pStyle w:val="3"/>
        <w:numPr>
          <w:ilvl w:val="0"/>
          <w:numId w:val="0"/>
        </w:numPr>
        <w:tabs>
          <w:tab w:val="left" w:pos="0"/>
          <w:tab w:val="clear" w:pos="432"/>
        </w:tabs>
        <w:spacing w:line="360" w:lineRule="auto"/>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EB7A9E">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FFE3D6C">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45"/>
      <w:bookmarkEnd w:id="446"/>
      <w:bookmarkEnd w:id="447"/>
      <w:r>
        <w:rPr>
          <w:rFonts w:hint="eastAsia" w:ascii="宋体" w:hAnsi="宋体" w:cs="宋体"/>
          <w:b/>
          <w:color w:val="auto"/>
          <w:sz w:val="24"/>
          <w:highlight w:val="none"/>
        </w:rPr>
        <w:t>预付款</w:t>
      </w:r>
    </w:p>
    <w:p w14:paraId="40795AE0">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C72E4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12F12F2">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2D0BD8B">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E73F3BA">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BB55336">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0E2A44">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99F222">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48"/>
      <w:bookmarkEnd w:id="449"/>
      <w:bookmarkEnd w:id="450"/>
      <w:bookmarkEnd w:id="451"/>
      <w:bookmarkEnd w:id="452"/>
    </w:p>
    <w:p w14:paraId="2930627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4716CF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FD900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D7360A8">
      <w:pPr>
        <w:spacing w:line="360" w:lineRule="auto"/>
        <w:ind w:firstLine="480" w:firstLineChars="200"/>
        <w:outlineLvl w:val="0"/>
        <w:rPr>
          <w:rFonts w:ascii="宋体" w:hAnsi="宋体"/>
          <w:bCs/>
          <w:color w:val="auto"/>
          <w:sz w:val="24"/>
          <w:highlight w:val="none"/>
        </w:rPr>
      </w:pPr>
      <w:bookmarkStart w:id="453" w:name="_Toc3079"/>
      <w:bookmarkStart w:id="454" w:name="_Toc5698"/>
      <w:bookmarkStart w:id="455" w:name="_Toc8586"/>
      <w:bookmarkStart w:id="456" w:name="_Toc24662"/>
      <w:bookmarkStart w:id="45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0EA8E65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377A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1D6A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828D70">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53"/>
      <w:bookmarkEnd w:id="454"/>
      <w:bookmarkEnd w:id="455"/>
      <w:bookmarkEnd w:id="456"/>
      <w:bookmarkEnd w:id="457"/>
    </w:p>
    <w:p w14:paraId="4FC0224F">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 xml:space="preserve">.1 </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，日迟延履行</w:t>
      </w:r>
      <w:r>
        <w:rPr>
          <w:rFonts w:ascii="宋体" w:hAnsi="宋体"/>
          <w:sz w:val="24"/>
        </w:rPr>
        <w:t>违约金按</w:t>
      </w:r>
      <w:r>
        <w:rPr>
          <w:rFonts w:hint="eastAsia" w:ascii="宋体" w:hAnsi="宋体"/>
          <w:sz w:val="24"/>
        </w:rPr>
        <w:t>合同总价</w:t>
      </w:r>
      <w:r>
        <w:rPr>
          <w:rFonts w:ascii="宋体" w:hAnsi="宋体"/>
          <w:sz w:val="24"/>
        </w:rPr>
        <w:t>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；迟延履行超过十五（1</w:t>
      </w:r>
      <w:r>
        <w:rPr>
          <w:rFonts w:ascii="宋体" w:hAnsi="宋体"/>
          <w:sz w:val="24"/>
        </w:rPr>
        <w:t>5</w:t>
      </w:r>
      <w:r>
        <w:rPr>
          <w:rFonts w:hint="eastAsia" w:ascii="宋体" w:hAnsi="宋体"/>
          <w:sz w:val="24"/>
        </w:rPr>
        <w:t>）日的，甲方有权单方解除本合同，双方对乙方已实际交付并通过甲方验收部分的服务进行按实际结算（如双方对该部分结算有争议无法协商一致，需另行委托第三方机构审计的，该等审计费用由乙方最终承担），同时乙方应退还甲方已预付但未实际交付服务对应的费用（如有），乙方还应按本合同总价款的2</w:t>
      </w:r>
      <w:r>
        <w:rPr>
          <w:rFonts w:ascii="宋体" w:hAnsi="宋体"/>
          <w:sz w:val="24"/>
        </w:rPr>
        <w:t>0%</w:t>
      </w:r>
      <w:r>
        <w:rPr>
          <w:rFonts w:hint="eastAsia" w:ascii="宋体" w:hAnsi="宋体"/>
          <w:sz w:val="24"/>
        </w:rPr>
        <w:t>另行支付违约金；违约金不足以弥补甲方全部损失的，乙方应继续补足；</w:t>
      </w:r>
    </w:p>
    <w:p w14:paraId="480AB497">
      <w:pPr>
        <w:pStyle w:val="3"/>
        <w:numPr>
          <w:ilvl w:val="0"/>
          <w:numId w:val="0"/>
        </w:numPr>
        <w:tabs>
          <w:tab w:val="clear" w:pos="432"/>
        </w:tabs>
        <w:spacing w:line="360" w:lineRule="auto"/>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FC308C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9600D50">
      <w:pPr>
        <w:spacing w:line="360" w:lineRule="auto"/>
        <w:ind w:firstLine="480" w:firstLineChars="200"/>
        <w:rPr>
          <w:rFonts w:ascii="宋体" w:hAnsi="宋体" w:cs="宋体"/>
          <w:color w:val="auto"/>
          <w:sz w:val="24"/>
          <w:highlight w:val="none"/>
        </w:rPr>
      </w:pPr>
      <w:bookmarkStart w:id="458" w:name="_Toc26807"/>
      <w:bookmarkStart w:id="459" w:name="_Toc32454"/>
      <w:bookmarkStart w:id="460" w:name="_Toc30329"/>
      <w:bookmarkStart w:id="461" w:name="_Toc9497"/>
      <w:bookmarkStart w:id="46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DE51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DD73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54DD166">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58"/>
    <w:bookmarkEnd w:id="459"/>
    <w:bookmarkEnd w:id="460"/>
    <w:bookmarkEnd w:id="461"/>
    <w:bookmarkEnd w:id="462"/>
    <w:p w14:paraId="3BD60F84">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7570A7F8">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w:t>
      </w:r>
      <w:r>
        <w:rPr>
          <w:rFonts w:hint="eastAsia" w:ascii="宋体" w:hAnsi="宋体" w:cs="宋体"/>
          <w:color w:val="auto"/>
          <w:sz w:val="24"/>
          <w:highlight w:val="none"/>
        </w:rPr>
        <w:t>条款规定的方式解决：</w:t>
      </w:r>
    </w:p>
    <w:p w14:paraId="44AC4263">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FA85681">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707D914">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515D626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C9A76E8">
      <w:pPr>
        <w:autoSpaceDE w:val="0"/>
        <w:autoSpaceDN w:val="0"/>
        <w:spacing w:line="360" w:lineRule="auto"/>
        <w:rPr>
          <w:rFonts w:ascii="宋体" w:hAnsi="宋体"/>
          <w:color w:val="auto"/>
          <w:sz w:val="24"/>
          <w:highlight w:val="none"/>
          <w:lang w:val="zh-CN"/>
        </w:rPr>
      </w:pPr>
    </w:p>
    <w:p w14:paraId="1C8828DA">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637B1B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A18FC76">
      <w:pPr>
        <w:autoSpaceDE w:val="0"/>
        <w:autoSpaceDN w:val="0"/>
        <w:spacing w:line="360" w:lineRule="auto"/>
        <w:rPr>
          <w:rFonts w:ascii="宋体" w:hAnsi="宋体"/>
          <w:color w:val="auto"/>
          <w:sz w:val="24"/>
          <w:highlight w:val="none"/>
          <w:lang w:val="zh-CN"/>
        </w:rPr>
      </w:pPr>
    </w:p>
    <w:p w14:paraId="1F6F82D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B843A4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B733463">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CC8586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2D3E4E4">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0785197">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C7FEC25">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FFA537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596434D">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80BD778">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CEE6D4C">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B539C67">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04FE4A4">
      <w:pPr>
        <w:widowControl/>
        <w:spacing w:line="360" w:lineRule="auto"/>
        <w:jc w:val="left"/>
        <w:rPr>
          <w:rFonts w:ascii="宋体" w:hAnsi="宋体"/>
          <w:b/>
          <w:color w:val="auto"/>
          <w:sz w:val="24"/>
          <w:highlight w:val="none"/>
        </w:rPr>
      </w:pPr>
    </w:p>
    <w:p w14:paraId="73BF878E">
      <w:pPr>
        <w:widowControl/>
        <w:adjustRightInd/>
        <w:spacing w:line="360" w:lineRule="auto"/>
        <w:jc w:val="left"/>
        <w:rPr>
          <w:rFonts w:ascii="宋体" w:hAnsi="宋体"/>
          <w:b/>
          <w:color w:val="auto"/>
          <w:sz w:val="24"/>
          <w:highlight w:val="none"/>
        </w:rPr>
      </w:pPr>
      <w:r>
        <w:rPr>
          <w:rFonts w:ascii="宋体" w:hAnsi="宋体"/>
          <w:b/>
          <w:color w:val="auto"/>
          <w:highlight w:val="none"/>
        </w:rPr>
        <w:br w:type="page"/>
      </w:r>
    </w:p>
    <w:p w14:paraId="384D54F4">
      <w:pPr>
        <w:pStyle w:val="700"/>
        <w:spacing w:line="360" w:lineRule="auto"/>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F37406D">
      <w:pPr>
        <w:spacing w:line="360" w:lineRule="auto"/>
        <w:ind w:firstLine="482" w:firstLineChars="200"/>
        <w:outlineLvl w:val="0"/>
        <w:rPr>
          <w:rFonts w:ascii="宋体" w:hAnsi="宋体"/>
          <w:b/>
          <w:color w:val="auto"/>
          <w:sz w:val="24"/>
          <w:highlight w:val="none"/>
        </w:rPr>
      </w:pPr>
      <w:bookmarkStart w:id="463" w:name="_Toc31297"/>
      <w:bookmarkStart w:id="464" w:name="_Toc25079"/>
      <w:bookmarkStart w:id="465" w:name="_Toc14021"/>
      <w:bookmarkStart w:id="466" w:name="_Toc5228"/>
      <w:bookmarkStart w:id="467" w:name="_Toc19680"/>
      <w:r>
        <w:rPr>
          <w:rFonts w:ascii="宋体" w:hAnsi="宋体"/>
          <w:b/>
          <w:color w:val="auto"/>
          <w:sz w:val="24"/>
          <w:highlight w:val="none"/>
        </w:rPr>
        <w:t>2.1 定义</w:t>
      </w:r>
      <w:bookmarkEnd w:id="463"/>
      <w:bookmarkEnd w:id="464"/>
      <w:bookmarkEnd w:id="465"/>
      <w:bookmarkEnd w:id="466"/>
      <w:bookmarkEnd w:id="467"/>
    </w:p>
    <w:p w14:paraId="7CF61E74">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CAA5B7D">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6916D20">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E7E454A">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F4A2EC1">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229833F">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120BD69">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76EFB05">
      <w:pPr>
        <w:spacing w:line="360" w:lineRule="auto"/>
        <w:ind w:firstLine="482" w:firstLineChars="200"/>
        <w:outlineLvl w:val="0"/>
        <w:rPr>
          <w:rFonts w:ascii="宋体" w:hAnsi="宋体"/>
          <w:b/>
          <w:color w:val="auto"/>
          <w:sz w:val="24"/>
          <w:highlight w:val="none"/>
        </w:rPr>
      </w:pPr>
      <w:bookmarkStart w:id="468" w:name="_Toc19539"/>
      <w:bookmarkStart w:id="469" w:name="_Toc3769"/>
      <w:bookmarkStart w:id="470" w:name="_Toc31402"/>
      <w:bookmarkStart w:id="471" w:name="_Toc23289"/>
      <w:bookmarkStart w:id="472" w:name="_Toc16752"/>
      <w:r>
        <w:rPr>
          <w:rFonts w:ascii="宋体" w:hAnsi="宋体"/>
          <w:b/>
          <w:color w:val="auto"/>
          <w:sz w:val="24"/>
          <w:highlight w:val="none"/>
        </w:rPr>
        <w:t>2.2 技术规范</w:t>
      </w:r>
      <w:bookmarkEnd w:id="468"/>
      <w:bookmarkEnd w:id="469"/>
      <w:bookmarkEnd w:id="470"/>
      <w:bookmarkEnd w:id="471"/>
      <w:bookmarkEnd w:id="472"/>
    </w:p>
    <w:p w14:paraId="41F194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7850AA4">
      <w:pPr>
        <w:spacing w:line="360" w:lineRule="auto"/>
        <w:ind w:firstLine="482" w:firstLineChars="200"/>
        <w:outlineLvl w:val="0"/>
        <w:rPr>
          <w:rFonts w:ascii="宋体" w:hAnsi="宋体"/>
          <w:b/>
          <w:color w:val="auto"/>
          <w:sz w:val="24"/>
          <w:highlight w:val="none"/>
        </w:rPr>
      </w:pPr>
      <w:bookmarkStart w:id="473" w:name="_Toc4133"/>
      <w:bookmarkStart w:id="474" w:name="_Toc12412"/>
      <w:bookmarkStart w:id="475" w:name="_Toc27945"/>
      <w:bookmarkStart w:id="476" w:name="_Toc9161"/>
      <w:bookmarkStart w:id="477" w:name="_Toc13673"/>
      <w:r>
        <w:rPr>
          <w:rFonts w:ascii="宋体" w:hAnsi="宋体"/>
          <w:b/>
          <w:color w:val="auto"/>
          <w:sz w:val="24"/>
          <w:highlight w:val="none"/>
        </w:rPr>
        <w:t>2.3 知识产权</w:t>
      </w:r>
      <w:bookmarkEnd w:id="473"/>
      <w:bookmarkEnd w:id="474"/>
      <w:bookmarkEnd w:id="475"/>
      <w:bookmarkEnd w:id="476"/>
      <w:bookmarkEnd w:id="477"/>
    </w:p>
    <w:p w14:paraId="552AEA5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91F084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32F869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3398EEA">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82D5BE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94EEC78">
      <w:pPr>
        <w:spacing w:line="360" w:lineRule="auto"/>
        <w:ind w:firstLine="482" w:firstLineChars="200"/>
        <w:outlineLvl w:val="0"/>
        <w:rPr>
          <w:rFonts w:ascii="宋体" w:hAnsi="宋体"/>
          <w:b/>
          <w:color w:val="auto"/>
          <w:sz w:val="24"/>
          <w:highlight w:val="none"/>
        </w:rPr>
      </w:pPr>
      <w:bookmarkStart w:id="478" w:name="_Toc32670"/>
      <w:bookmarkStart w:id="479" w:name="_Toc22011"/>
      <w:bookmarkStart w:id="480" w:name="_Toc31233"/>
      <w:bookmarkStart w:id="481" w:name="_Toc15447"/>
      <w:bookmarkStart w:id="482" w:name="_Toc26555"/>
      <w:r>
        <w:rPr>
          <w:rFonts w:ascii="宋体" w:hAnsi="宋体"/>
          <w:b/>
          <w:color w:val="auto"/>
          <w:sz w:val="24"/>
          <w:highlight w:val="none"/>
        </w:rPr>
        <w:t>2.5 结算方式和付款条件</w:t>
      </w:r>
      <w:bookmarkEnd w:id="478"/>
      <w:bookmarkEnd w:id="479"/>
      <w:bookmarkEnd w:id="480"/>
      <w:bookmarkEnd w:id="481"/>
      <w:bookmarkEnd w:id="482"/>
    </w:p>
    <w:p w14:paraId="37DE0792">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8F9AC43">
      <w:pPr>
        <w:spacing w:line="360" w:lineRule="auto"/>
        <w:ind w:firstLine="482" w:firstLineChars="200"/>
        <w:outlineLvl w:val="0"/>
        <w:rPr>
          <w:rFonts w:ascii="宋体" w:hAnsi="宋体"/>
          <w:b/>
          <w:color w:val="auto"/>
          <w:sz w:val="24"/>
          <w:highlight w:val="none"/>
        </w:rPr>
      </w:pPr>
      <w:bookmarkStart w:id="483" w:name="_Toc16163"/>
      <w:bookmarkStart w:id="484" w:name="_Toc13154"/>
      <w:bookmarkStart w:id="485" w:name="_Toc30507"/>
      <w:bookmarkStart w:id="486" w:name="_Toc13467"/>
      <w:bookmarkStart w:id="487" w:name="_Toc18990"/>
      <w:r>
        <w:rPr>
          <w:rFonts w:ascii="宋体" w:hAnsi="宋体"/>
          <w:b/>
          <w:color w:val="auto"/>
          <w:sz w:val="24"/>
          <w:highlight w:val="none"/>
        </w:rPr>
        <w:t>2.6 技术资料和保密义务</w:t>
      </w:r>
      <w:bookmarkEnd w:id="483"/>
      <w:bookmarkEnd w:id="484"/>
      <w:bookmarkEnd w:id="485"/>
      <w:bookmarkEnd w:id="486"/>
      <w:bookmarkEnd w:id="487"/>
    </w:p>
    <w:p w14:paraId="11580B26">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66713A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CA1369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B23DF28">
      <w:pPr>
        <w:spacing w:line="360" w:lineRule="auto"/>
        <w:ind w:firstLine="482" w:firstLineChars="200"/>
        <w:outlineLvl w:val="0"/>
        <w:rPr>
          <w:rFonts w:ascii="宋体" w:hAnsi="宋体"/>
          <w:b/>
          <w:color w:val="auto"/>
          <w:sz w:val="24"/>
          <w:highlight w:val="none"/>
        </w:rPr>
      </w:pPr>
      <w:bookmarkStart w:id="48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88"/>
    </w:p>
    <w:p w14:paraId="4023649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EBA7EC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DF930D5">
      <w:pPr>
        <w:spacing w:line="360" w:lineRule="auto"/>
        <w:ind w:firstLine="482" w:firstLineChars="200"/>
        <w:outlineLvl w:val="0"/>
        <w:rPr>
          <w:rFonts w:ascii="宋体" w:hAnsi="宋体"/>
          <w:b/>
          <w:color w:val="auto"/>
          <w:sz w:val="24"/>
          <w:highlight w:val="none"/>
        </w:rPr>
      </w:pPr>
      <w:bookmarkStart w:id="48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89"/>
    </w:p>
    <w:p w14:paraId="26C7545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0A5FBA8">
      <w:pPr>
        <w:spacing w:line="360" w:lineRule="auto"/>
        <w:ind w:firstLine="482" w:firstLineChars="200"/>
        <w:outlineLvl w:val="0"/>
        <w:rPr>
          <w:rFonts w:ascii="宋体" w:hAnsi="宋体"/>
          <w:b/>
          <w:color w:val="auto"/>
          <w:sz w:val="24"/>
          <w:highlight w:val="none"/>
        </w:rPr>
      </w:pPr>
      <w:bookmarkStart w:id="49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90"/>
    </w:p>
    <w:p w14:paraId="4F0C0D7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703BD1F">
      <w:pPr>
        <w:spacing w:line="360" w:lineRule="auto"/>
        <w:ind w:firstLine="482" w:firstLineChars="200"/>
        <w:outlineLvl w:val="0"/>
        <w:rPr>
          <w:rFonts w:ascii="宋体" w:hAnsi="宋体"/>
          <w:b/>
          <w:color w:val="auto"/>
          <w:sz w:val="24"/>
          <w:highlight w:val="none"/>
        </w:rPr>
      </w:pPr>
      <w:bookmarkStart w:id="491" w:name="_Toc42"/>
      <w:bookmarkStart w:id="492" w:name="_Toc23368"/>
      <w:bookmarkStart w:id="493" w:name="_Toc21830"/>
      <w:bookmarkStart w:id="494" w:name="_Toc26689"/>
      <w:bookmarkStart w:id="495" w:name="_Toc10663"/>
      <w:r>
        <w:rPr>
          <w:rFonts w:ascii="宋体" w:hAnsi="宋体"/>
          <w:b/>
          <w:color w:val="auto"/>
          <w:sz w:val="24"/>
          <w:highlight w:val="none"/>
        </w:rPr>
        <w:t>2.10 合同转让和分包</w:t>
      </w:r>
      <w:bookmarkEnd w:id="491"/>
      <w:bookmarkEnd w:id="492"/>
      <w:bookmarkEnd w:id="493"/>
      <w:bookmarkEnd w:id="494"/>
      <w:bookmarkEnd w:id="495"/>
    </w:p>
    <w:p w14:paraId="7D1FC4C8">
      <w:pPr>
        <w:spacing w:line="360" w:lineRule="auto"/>
        <w:ind w:firstLine="480" w:firstLineChars="200"/>
        <w:rPr>
          <w:rFonts w:ascii="宋体" w:hAnsi="宋体"/>
          <w:sz w:val="24"/>
        </w:rPr>
      </w:pPr>
      <w:bookmarkStart w:id="496" w:name="_Toc25571"/>
      <w:bookmarkStart w:id="497" w:name="_Toc4720"/>
      <w:bookmarkStart w:id="498" w:name="_Toc32494"/>
      <w:bookmarkStart w:id="499" w:name="_Toc26633"/>
      <w:bookmarkStart w:id="500" w:name="_Toc14371"/>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亦不得分包。</w:t>
      </w:r>
    </w:p>
    <w:p w14:paraId="7B314860">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2.11 不可抗力</w:t>
      </w:r>
      <w:bookmarkEnd w:id="496"/>
      <w:bookmarkEnd w:id="497"/>
      <w:bookmarkEnd w:id="498"/>
      <w:bookmarkEnd w:id="499"/>
      <w:bookmarkEnd w:id="500"/>
    </w:p>
    <w:p w14:paraId="2F693963">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BAC390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D87A18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28F5150">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BA090C0">
      <w:pPr>
        <w:spacing w:line="360" w:lineRule="auto"/>
        <w:ind w:firstLine="482" w:firstLineChars="200"/>
        <w:outlineLvl w:val="0"/>
        <w:rPr>
          <w:rFonts w:ascii="宋体" w:hAnsi="宋体"/>
          <w:b/>
          <w:color w:val="auto"/>
          <w:sz w:val="24"/>
          <w:highlight w:val="none"/>
        </w:rPr>
      </w:pPr>
      <w:bookmarkStart w:id="501" w:name="_Toc23854"/>
      <w:bookmarkStart w:id="502" w:name="_Toc3638"/>
      <w:bookmarkStart w:id="503" w:name="_Toc14115"/>
      <w:bookmarkStart w:id="504" w:name="_Toc24465"/>
      <w:bookmarkStart w:id="505" w:name="_Toc25783"/>
      <w:r>
        <w:rPr>
          <w:rFonts w:ascii="宋体" w:hAnsi="宋体"/>
          <w:b/>
          <w:color w:val="auto"/>
          <w:sz w:val="24"/>
          <w:highlight w:val="none"/>
        </w:rPr>
        <w:t>2.12 税费</w:t>
      </w:r>
      <w:bookmarkEnd w:id="501"/>
      <w:bookmarkEnd w:id="502"/>
      <w:bookmarkEnd w:id="503"/>
      <w:bookmarkEnd w:id="504"/>
      <w:bookmarkEnd w:id="505"/>
    </w:p>
    <w:p w14:paraId="2B6DD79A">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4C08FF3">
      <w:pPr>
        <w:spacing w:line="360" w:lineRule="auto"/>
        <w:ind w:firstLine="482" w:firstLineChars="200"/>
        <w:outlineLvl w:val="0"/>
        <w:rPr>
          <w:rFonts w:ascii="宋体" w:hAnsi="宋体"/>
          <w:b/>
          <w:color w:val="auto"/>
          <w:sz w:val="24"/>
          <w:highlight w:val="none"/>
        </w:rPr>
      </w:pPr>
      <w:bookmarkStart w:id="506" w:name="_Toc7315"/>
      <w:bookmarkStart w:id="507" w:name="_Toc25525"/>
      <w:bookmarkStart w:id="508" w:name="_Toc14814"/>
      <w:bookmarkStart w:id="509" w:name="_Toc26883"/>
      <w:bookmarkStart w:id="510" w:name="_Toc30105"/>
      <w:r>
        <w:rPr>
          <w:rFonts w:ascii="宋体" w:hAnsi="宋体"/>
          <w:b/>
          <w:color w:val="auto"/>
          <w:sz w:val="24"/>
          <w:highlight w:val="none"/>
        </w:rPr>
        <w:t>2.13 乙方破产</w:t>
      </w:r>
      <w:bookmarkEnd w:id="506"/>
      <w:bookmarkEnd w:id="507"/>
      <w:bookmarkEnd w:id="508"/>
      <w:bookmarkEnd w:id="509"/>
      <w:bookmarkEnd w:id="510"/>
    </w:p>
    <w:p w14:paraId="3FEC4942">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ECC3C3E">
      <w:pPr>
        <w:spacing w:line="360" w:lineRule="auto"/>
        <w:ind w:firstLine="482" w:firstLineChars="200"/>
        <w:outlineLvl w:val="0"/>
        <w:rPr>
          <w:rFonts w:ascii="宋体" w:hAnsi="宋体"/>
          <w:b/>
          <w:color w:val="auto"/>
          <w:sz w:val="24"/>
          <w:highlight w:val="none"/>
        </w:rPr>
      </w:pPr>
      <w:bookmarkStart w:id="511" w:name="_Toc23323"/>
      <w:bookmarkStart w:id="512" w:name="_Toc1123"/>
      <w:bookmarkStart w:id="513" w:name="_Toc2016"/>
      <w:r>
        <w:rPr>
          <w:rFonts w:ascii="宋体" w:hAnsi="宋体"/>
          <w:b/>
          <w:color w:val="auto"/>
          <w:sz w:val="24"/>
          <w:highlight w:val="none"/>
        </w:rPr>
        <w:t>2.14 合同中止、终止</w:t>
      </w:r>
      <w:bookmarkEnd w:id="511"/>
      <w:bookmarkEnd w:id="512"/>
      <w:bookmarkEnd w:id="513"/>
    </w:p>
    <w:p w14:paraId="05E59B3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22F2343">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5B18B90">
      <w:pPr>
        <w:spacing w:line="360" w:lineRule="auto"/>
        <w:ind w:firstLine="482" w:firstLineChars="200"/>
        <w:outlineLvl w:val="0"/>
        <w:rPr>
          <w:rFonts w:ascii="宋体" w:hAnsi="宋体"/>
          <w:b/>
          <w:color w:val="auto"/>
          <w:sz w:val="24"/>
          <w:highlight w:val="none"/>
        </w:rPr>
      </w:pPr>
      <w:bookmarkStart w:id="514" w:name="_Toc17363"/>
      <w:bookmarkStart w:id="515" w:name="_Toc14525"/>
      <w:bookmarkStart w:id="516" w:name="_Toc1969"/>
      <w:r>
        <w:rPr>
          <w:rFonts w:ascii="宋体" w:hAnsi="宋体"/>
          <w:b/>
          <w:color w:val="auto"/>
          <w:sz w:val="24"/>
          <w:highlight w:val="none"/>
        </w:rPr>
        <w:t>2.15 检验和验收</w:t>
      </w:r>
      <w:bookmarkEnd w:id="514"/>
      <w:bookmarkEnd w:id="515"/>
      <w:bookmarkEnd w:id="516"/>
    </w:p>
    <w:p w14:paraId="0BED45A0">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878B5D8">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0EBB69">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A4B2FAB">
      <w:pPr>
        <w:spacing w:line="360" w:lineRule="auto"/>
        <w:ind w:firstLine="482" w:firstLineChars="200"/>
        <w:outlineLvl w:val="0"/>
        <w:rPr>
          <w:rFonts w:ascii="宋体" w:hAnsi="宋体"/>
          <w:b/>
          <w:color w:val="auto"/>
          <w:sz w:val="24"/>
          <w:highlight w:val="none"/>
        </w:rPr>
      </w:pPr>
      <w:bookmarkStart w:id="517" w:name="_Toc12666"/>
      <w:bookmarkStart w:id="518" w:name="_Toc25198"/>
      <w:bookmarkStart w:id="519" w:name="_Toc9808"/>
      <w:bookmarkStart w:id="520" w:name="_Toc31892"/>
      <w:bookmarkStart w:id="521" w:name="_Toc2308"/>
      <w:r>
        <w:rPr>
          <w:rFonts w:ascii="宋体" w:hAnsi="宋体"/>
          <w:b/>
          <w:color w:val="auto"/>
          <w:sz w:val="24"/>
          <w:highlight w:val="none"/>
        </w:rPr>
        <w:t>2.16 通知和送达</w:t>
      </w:r>
      <w:bookmarkEnd w:id="517"/>
      <w:bookmarkEnd w:id="518"/>
      <w:bookmarkEnd w:id="519"/>
      <w:bookmarkEnd w:id="520"/>
      <w:bookmarkEnd w:id="521"/>
    </w:p>
    <w:p w14:paraId="7FAA3DD6">
      <w:pPr>
        <w:spacing w:line="360" w:lineRule="auto"/>
        <w:ind w:firstLine="480" w:firstLineChars="200"/>
        <w:rPr>
          <w:rFonts w:ascii="宋体" w:hAnsi="宋体"/>
          <w:color w:val="auto"/>
          <w:sz w:val="24"/>
          <w:highlight w:val="none"/>
        </w:rPr>
      </w:pPr>
      <w:bookmarkStart w:id="522" w:name="_Toc18401"/>
      <w:bookmarkStart w:id="523" w:name="_Toc27674"/>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B39804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22"/>
      <w:bookmarkEnd w:id="523"/>
    </w:p>
    <w:p w14:paraId="28E0409D">
      <w:pPr>
        <w:spacing w:line="360" w:lineRule="auto"/>
        <w:ind w:firstLine="480" w:firstLineChars="200"/>
        <w:rPr>
          <w:rFonts w:ascii="宋体" w:hAnsi="宋体"/>
          <w:color w:val="auto"/>
          <w:sz w:val="24"/>
          <w:highlight w:val="none"/>
        </w:rPr>
      </w:pPr>
      <w:r>
        <w:rPr>
          <w:rFonts w:hint="eastAsia" w:ascii="宋体" w:hAnsi="宋体"/>
          <w:sz w:val="24"/>
        </w:rPr>
        <w:t>2</w:t>
      </w:r>
      <w:r>
        <w:rPr>
          <w:rFonts w:ascii="宋体" w:hAnsi="宋体"/>
          <w:sz w:val="24"/>
        </w:rPr>
        <w:t xml:space="preserve">.16.3 </w:t>
      </w:r>
      <w:r>
        <w:rPr>
          <w:rFonts w:hint="eastAsia" w:ascii="宋体" w:hAnsi="宋体"/>
          <w:sz w:val="24"/>
        </w:rPr>
        <w:t>本合同内列明的送达信息、送达方式同样适用于双方争议解决时法律文书的送达。</w:t>
      </w:r>
    </w:p>
    <w:p w14:paraId="009B82CE">
      <w:pPr>
        <w:spacing w:line="360" w:lineRule="auto"/>
        <w:ind w:firstLine="482" w:firstLineChars="200"/>
        <w:outlineLvl w:val="0"/>
        <w:rPr>
          <w:rFonts w:ascii="宋体" w:hAnsi="宋体"/>
          <w:b/>
          <w:color w:val="auto"/>
          <w:sz w:val="24"/>
          <w:highlight w:val="none"/>
        </w:rPr>
      </w:pPr>
      <w:bookmarkStart w:id="524" w:name="_Toc20808"/>
      <w:bookmarkStart w:id="525" w:name="_Toc12254"/>
      <w:bookmarkStart w:id="526" w:name="_Toc5063"/>
      <w:bookmarkStart w:id="527" w:name="_Toc27644"/>
      <w:bookmarkStart w:id="528"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24"/>
      <w:bookmarkEnd w:id="525"/>
      <w:bookmarkEnd w:id="526"/>
      <w:bookmarkEnd w:id="527"/>
      <w:bookmarkEnd w:id="528"/>
    </w:p>
    <w:p w14:paraId="3A144215">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09C3B7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686AC6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7C0C5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8FD2B7A">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7FEEBB0">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89C6B0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41E12F6F">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60D9D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5A0011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noWrap w:val="0"/>
            <w:vAlign w:val="center"/>
          </w:tcPr>
          <w:p w14:paraId="5BE260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47B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664795F">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4464" w:type="pct"/>
            <w:noWrap w:val="0"/>
            <w:vAlign w:val="center"/>
          </w:tcPr>
          <w:p w14:paraId="1503A5AE">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1.3.1</w:t>
            </w:r>
          </w:p>
        </w:tc>
      </w:tr>
      <w:tr w14:paraId="3240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1C8883D">
            <w:pPr>
              <w:spacing w:line="360" w:lineRule="auto"/>
              <w:rPr>
                <w:rFonts w:hint="default"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1.3.2</w:t>
            </w:r>
          </w:p>
        </w:tc>
        <w:tc>
          <w:tcPr>
            <w:tcW w:w="4464" w:type="pct"/>
            <w:noWrap w:val="0"/>
            <w:vAlign w:val="center"/>
          </w:tcPr>
          <w:p w14:paraId="77AC7BF1">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A1B1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C9A419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1.3.3</w:t>
            </w:r>
          </w:p>
        </w:tc>
        <w:tc>
          <w:tcPr>
            <w:tcW w:w="4464" w:type="pct"/>
            <w:noWrap w:val="0"/>
            <w:vAlign w:val="center"/>
          </w:tcPr>
          <w:p w14:paraId="4CFB7D4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843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9265CE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noWrap w:val="0"/>
            <w:vAlign w:val="center"/>
          </w:tcPr>
          <w:p w14:paraId="7DD07244">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否</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71253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9C37C78">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noWrap w:val="0"/>
            <w:vAlign w:val="center"/>
          </w:tcPr>
          <w:p w14:paraId="0D9C50DE">
            <w:pPr>
              <w:spacing w:line="360" w:lineRule="auto"/>
              <w:rPr>
                <w:rFonts w:hint="eastAsia" w:eastAsia="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0D7C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F96152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464" w:type="pct"/>
            <w:noWrap w:val="0"/>
            <w:vAlign w:val="center"/>
          </w:tcPr>
          <w:p w14:paraId="41433651">
            <w:pPr>
              <w:spacing w:line="360" w:lineRule="auto"/>
              <w:rPr>
                <w:rFonts w:hint="eastAsia" w:eastAsia="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25E0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6E6933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noWrap w:val="0"/>
            <w:vAlign w:val="center"/>
          </w:tcPr>
          <w:p w14:paraId="46495E0E">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350F2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CDC6F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noWrap w:val="0"/>
            <w:vAlign w:val="center"/>
          </w:tcPr>
          <w:p w14:paraId="63AA7C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lang w:val="en-US" w:eastAsia="zh-CN"/>
              </w:rPr>
              <w:t>合同正式签订后，且乙方提供等额正规发票后的</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lang w:val="en-US" w:eastAsia="zh-CN"/>
              </w:rPr>
              <w:t xml:space="preserve"> </w:t>
            </w:r>
          </w:p>
        </w:tc>
      </w:tr>
      <w:tr w14:paraId="470A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1398B2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noWrap w:val="0"/>
            <w:vAlign w:val="center"/>
          </w:tcPr>
          <w:p w14:paraId="6F4A39A0">
            <w:pPr>
              <w:spacing w:line="360" w:lineRule="auto"/>
              <w:rPr>
                <w:rFonts w:hint="eastAsia" w:ascii="宋体" w:hAnsi="宋体" w:eastAsia="宋体" w:cs="宋体"/>
                <w:color w:val="auto"/>
                <w:sz w:val="24"/>
                <w:highlight w:val="none"/>
                <w:lang w:val="en-US" w:eastAsia="zh-CN"/>
              </w:rPr>
            </w:pPr>
            <w:r>
              <w:rPr>
                <w:rFonts w:hint="eastAsia" w:ascii="宋体" w:hAnsi="宋体" w:cs="宋体"/>
                <w:sz w:val="24"/>
                <w:highlight w:val="none"/>
                <w:lang w:val="en-US" w:eastAsia="zh-CN"/>
              </w:rPr>
              <w:t>/</w:t>
            </w:r>
          </w:p>
        </w:tc>
      </w:tr>
      <w:tr w14:paraId="1DB6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18035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noWrap w:val="0"/>
            <w:vAlign w:val="center"/>
          </w:tcPr>
          <w:p w14:paraId="553CF83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4B7E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92A1B0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noWrap w:val="0"/>
            <w:vAlign w:val="center"/>
          </w:tcPr>
          <w:p w14:paraId="6B4EA6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default" w:ascii="宋体" w:hAnsi="宋体" w:cs="宋体"/>
                <w:color w:val="auto"/>
                <w:sz w:val="24"/>
                <w:highlight w:val="none"/>
                <w:lang w:val="en-US"/>
              </w:rPr>
            </w:pPr>
            <w:r>
              <w:rPr>
                <w:rFonts w:hint="eastAsia" w:ascii="宋体" w:hAnsi="宋体" w:eastAsia="宋体" w:cs="宋体"/>
                <w:b w:val="0"/>
                <w:bCs w:val="0"/>
                <w:color w:val="auto"/>
                <w:sz w:val="24"/>
                <w:szCs w:val="24"/>
                <w:lang w:val="en-US" w:eastAsia="zh-CN"/>
              </w:rPr>
              <w:t>合同正式签订后，且乙方提供等额正规发票后的</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lang w:val="en-US" w:eastAsia="zh-CN"/>
              </w:rPr>
              <w:t>乙方完成项目开发并经甲方</w:t>
            </w:r>
            <w:r>
              <w:rPr>
                <w:rFonts w:hint="eastAsia" w:ascii="宋体" w:hAnsi="宋体" w:cs="宋体"/>
                <w:b w:val="0"/>
                <w:bCs w:val="0"/>
                <w:color w:val="auto"/>
                <w:sz w:val="24"/>
                <w:szCs w:val="24"/>
                <w:lang w:val="en-US" w:eastAsia="zh-CN"/>
              </w:rPr>
              <w:t>初验</w:t>
            </w:r>
            <w:r>
              <w:rPr>
                <w:rFonts w:hint="eastAsia" w:ascii="宋体" w:hAnsi="宋体" w:eastAsia="宋体" w:cs="宋体"/>
                <w:b w:val="0"/>
                <w:bCs w:val="0"/>
                <w:color w:val="auto"/>
                <w:sz w:val="24"/>
                <w:szCs w:val="24"/>
                <w:lang w:val="en-US" w:eastAsia="zh-CN"/>
              </w:rPr>
              <w:t>验收合格后，提供等额正规发票后的</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lang w:val="en-US" w:eastAsia="zh-CN"/>
              </w:rPr>
              <w:t>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支付合同总价的20%；</w:t>
            </w:r>
            <w:r>
              <w:rPr>
                <w:rFonts w:hint="eastAsia" w:ascii="宋体" w:hAnsi="宋体" w:eastAsia="宋体" w:cs="宋体"/>
                <w:b w:val="0"/>
                <w:bCs w:val="0"/>
                <w:color w:val="auto"/>
                <w:sz w:val="24"/>
                <w:szCs w:val="24"/>
                <w:lang w:val="en-US" w:eastAsia="zh-CN"/>
              </w:rPr>
              <w:t>乙方通过项目试运行并经甲方终验验收合格后，提供等额正规发票后的20个工作日内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p>
        </w:tc>
      </w:tr>
      <w:tr w14:paraId="37925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7159EF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noWrap w:val="0"/>
            <w:vAlign w:val="center"/>
          </w:tcPr>
          <w:p w14:paraId="2FF34407">
            <w:pPr>
              <w:widowControl/>
              <w:autoSpaceDE w:val="0"/>
              <w:autoSpaceDN w:val="0"/>
              <w:snapToGrid w:val="0"/>
              <w:spacing w:line="360" w:lineRule="auto"/>
              <w:ind w:right="-53" w:rightChars="-25"/>
              <w:jc w:val="left"/>
              <w:textAlignment w:val="bottom"/>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合同签订后</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个月内完成所有项目的研发、建设、调试并移交采购人试运行</w:t>
            </w:r>
            <w:r>
              <w:rPr>
                <w:rFonts w:hint="eastAsia" w:ascii="宋体" w:hAnsi="宋体" w:cs="宋体"/>
                <w:b w:val="0"/>
                <w:bCs w:val="0"/>
                <w:color w:val="auto"/>
                <w:sz w:val="24"/>
                <w:szCs w:val="24"/>
                <w:highlight w:val="none"/>
                <w:lang w:val="en-US" w:eastAsia="zh-CN"/>
              </w:rPr>
              <w:t>（试运行1个月）。</w:t>
            </w:r>
          </w:p>
        </w:tc>
      </w:tr>
      <w:tr w14:paraId="319FF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B80612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noWrap w:val="0"/>
            <w:vAlign w:val="center"/>
          </w:tcPr>
          <w:p w14:paraId="0E63A761">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采购人指定地点</w:t>
            </w:r>
          </w:p>
        </w:tc>
      </w:tr>
      <w:tr w14:paraId="34F66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67F2AE4">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noWrap w:val="0"/>
            <w:vAlign w:val="center"/>
          </w:tcPr>
          <w:p w14:paraId="3F822001">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现场交付</w:t>
            </w:r>
          </w:p>
        </w:tc>
      </w:tr>
      <w:tr w14:paraId="37F12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E62C3B7">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noWrap w:val="0"/>
            <w:vAlign w:val="center"/>
          </w:tcPr>
          <w:p w14:paraId="79EEB755">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A321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DB3F24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noWrap w:val="0"/>
            <w:vAlign w:val="center"/>
          </w:tcPr>
          <w:p w14:paraId="21EEEC3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FFC1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1CE4E51">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noWrap w:val="0"/>
            <w:vAlign w:val="center"/>
          </w:tcPr>
          <w:p w14:paraId="63AC8F10">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8F9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0B58DFB">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noWrap w:val="0"/>
            <w:vAlign w:val="center"/>
          </w:tcPr>
          <w:p w14:paraId="63CCEEE4">
            <w:pPr>
              <w:spacing w:line="360" w:lineRule="auto"/>
              <w:rPr>
                <w:rFonts w:ascii="宋体" w:hAnsi="宋体" w:cs="宋体"/>
                <w:sz w:val="24"/>
              </w:rPr>
            </w:pPr>
            <w:r>
              <w:rPr>
                <w:rFonts w:hint="eastAsia" w:ascii="宋体" w:hAnsi="宋体" w:cs="宋体"/>
                <w:sz w:val="24"/>
              </w:rPr>
              <w:t>（1）如乙方违反本合同约定，向第三方转让、分包本合同项下任何权利义务的，甲方有权单方解除本合同并不予支付任何费用，乙方应按本合同总价的3</w:t>
            </w:r>
            <w:r>
              <w:rPr>
                <w:rFonts w:ascii="宋体" w:hAnsi="宋体" w:cs="宋体"/>
                <w:sz w:val="24"/>
              </w:rPr>
              <w:t>0%</w:t>
            </w:r>
            <w:r>
              <w:rPr>
                <w:rFonts w:hint="eastAsia" w:ascii="宋体" w:hAnsi="宋体" w:cs="宋体"/>
                <w:sz w:val="24"/>
              </w:rPr>
              <w:t>向甲方支付违约金；违约金不足以弥补甲方全部损失的，乙方应继续补足。</w:t>
            </w:r>
          </w:p>
          <w:p w14:paraId="1553BE8C">
            <w:pPr>
              <w:spacing w:line="360" w:lineRule="auto"/>
              <w:rPr>
                <w:rFonts w:ascii="宋体" w:hAnsi="宋体" w:cs="宋体"/>
                <w:color w:val="auto"/>
                <w:sz w:val="24"/>
                <w:highlight w:val="none"/>
              </w:rPr>
            </w:pPr>
            <w:r>
              <w:rPr>
                <w:rFonts w:hint="eastAsia" w:ascii="宋体" w:hAnsi="宋体" w:cs="宋体"/>
                <w:sz w:val="24"/>
              </w:rPr>
              <w:t>（2）乙方勤勉尽责，对交付的服务成果的真实性、合法性、完整性负责，如乙方交付的成果存在虚假或严重不实的，视为乙方根本性违约，甲方有权单方解除本合同且无需支付问题成果对应的服务费（已支付的乙方予以返还），乙方应按本合同总价的2</w:t>
            </w:r>
            <w:r>
              <w:rPr>
                <w:rFonts w:ascii="宋体" w:hAnsi="宋体" w:cs="宋体"/>
                <w:sz w:val="24"/>
              </w:rPr>
              <w:t>0%</w:t>
            </w:r>
            <w:r>
              <w:rPr>
                <w:rFonts w:hint="eastAsia" w:ascii="宋体" w:hAnsi="宋体" w:cs="宋体"/>
                <w:sz w:val="24"/>
              </w:rPr>
              <w:t>向甲方支付违约金；违约金不足以弥补甲方全部损失的，乙方应继续补足。</w:t>
            </w:r>
          </w:p>
        </w:tc>
      </w:tr>
      <w:tr w14:paraId="6F4B5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6C3596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noWrap w:val="0"/>
            <w:vAlign w:val="center"/>
          </w:tcPr>
          <w:p w14:paraId="657FE5A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r>
      <w:tr w14:paraId="2F48F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B1AFB6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noWrap w:val="0"/>
            <w:vAlign w:val="center"/>
          </w:tcPr>
          <w:p w14:paraId="1E82AD9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ECAE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08F00F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noWrap w:val="0"/>
            <w:vAlign w:val="center"/>
          </w:tcPr>
          <w:p w14:paraId="6CE9653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14:paraId="28F3D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EBAA45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noWrap w:val="0"/>
            <w:vAlign w:val="center"/>
          </w:tcPr>
          <w:p w14:paraId="79E2A9B8">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44CF2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A8C027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p>
        </w:tc>
        <w:tc>
          <w:tcPr>
            <w:tcW w:w="4464" w:type="pct"/>
            <w:noWrap w:val="0"/>
            <w:vAlign w:val="center"/>
          </w:tcPr>
          <w:p w14:paraId="16ADB545">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同1.6.2</w:t>
            </w:r>
          </w:p>
        </w:tc>
      </w:tr>
      <w:tr w14:paraId="085CB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E51F65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2.11.3</w:t>
            </w:r>
          </w:p>
        </w:tc>
        <w:tc>
          <w:tcPr>
            <w:tcW w:w="4464" w:type="pct"/>
            <w:noWrap w:val="0"/>
            <w:vAlign w:val="center"/>
          </w:tcPr>
          <w:p w14:paraId="16F5A128">
            <w:p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snapToGrid w:val="0"/>
                <w:color w:val="auto"/>
                <w:kern w:val="0"/>
                <w:sz w:val="24"/>
                <w:highlight w:val="none"/>
              </w:rPr>
              <w:t>因不可抗力致使合同有变更必要的，双方当事人应在</w:t>
            </w:r>
            <w:r>
              <w:rPr>
                <w:rFonts w:hint="eastAsia" w:ascii="宋体" w:hAnsi="宋体" w:eastAsia="宋体" w:cs="宋体"/>
                <w:snapToGrid w:val="0"/>
                <w:color w:val="auto"/>
                <w:kern w:val="0"/>
                <w:sz w:val="24"/>
                <w:highlight w:val="none"/>
                <w:u w:val="single"/>
              </w:rPr>
              <w:t>30日</w:t>
            </w:r>
            <w:r>
              <w:rPr>
                <w:rFonts w:hint="eastAsia" w:ascii="宋体" w:hAnsi="宋体" w:eastAsia="宋体" w:cs="宋体"/>
                <w:snapToGrid w:val="0"/>
                <w:color w:val="auto"/>
                <w:kern w:val="0"/>
                <w:sz w:val="24"/>
                <w:highlight w:val="none"/>
              </w:rPr>
              <w:t>内以书面形式变更合同</w:t>
            </w:r>
          </w:p>
        </w:tc>
      </w:tr>
      <w:tr w14:paraId="3DCC0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14:paraId="5EF4C71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noWrap w:val="0"/>
            <w:vAlign w:val="center"/>
          </w:tcPr>
          <w:p w14:paraId="643694A6">
            <w:pPr>
              <w:spacing w:line="360" w:lineRule="auto"/>
              <w:jc w:val="left"/>
              <w:rPr>
                <w:rFonts w:ascii="宋体" w:hAnsi="宋体" w:cs="宋体"/>
                <w:color w:val="auto"/>
                <w:sz w:val="24"/>
                <w:highlight w:val="none"/>
              </w:rPr>
            </w:pPr>
            <w:r>
              <w:rPr>
                <w:rFonts w:hint="eastAsia" w:ascii="宋体" w:hAnsi="宋体" w:eastAsia="宋体" w:cs="宋体"/>
                <w:snapToGrid w:val="0"/>
                <w:color w:val="auto"/>
                <w:kern w:val="0"/>
                <w:sz w:val="24"/>
                <w:highlight w:val="none"/>
              </w:rPr>
              <w:t>受不可抗力影响的一方在不可抗力发生后，应在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内以书面形式通知对方当事人，并在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内，将有关部门出具的证明文件送达对方当事人。</w:t>
            </w:r>
          </w:p>
        </w:tc>
      </w:tr>
      <w:tr w14:paraId="1A496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5A2453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noWrap w:val="0"/>
            <w:vAlign w:val="center"/>
          </w:tcPr>
          <w:p w14:paraId="51BF3F7A">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乙方按照</w:t>
            </w:r>
            <w:r>
              <w:rPr>
                <w:rFonts w:hint="eastAsia" w:ascii="宋体" w:hAnsi="宋体" w:cs="宋体"/>
                <w:b/>
                <w:color w:val="auto"/>
                <w:sz w:val="24"/>
                <w:highlight w:val="none"/>
                <w:u w:val="single"/>
              </w:rPr>
              <w:t>双方确定的服务考核办法</w:t>
            </w:r>
            <w:r>
              <w:rPr>
                <w:rFonts w:hint="eastAsia" w:ascii="宋体" w:hAnsi="宋体" w:cs="宋体"/>
                <w:color w:val="auto"/>
                <w:sz w:val="24"/>
                <w:highlight w:val="none"/>
              </w:rPr>
              <w:t>的约定，定期提交服务报告，甲方按照</w:t>
            </w:r>
            <w:r>
              <w:rPr>
                <w:rFonts w:hint="eastAsia" w:ascii="宋体" w:hAnsi="宋体" w:cs="宋体"/>
                <w:b/>
                <w:color w:val="auto"/>
                <w:sz w:val="24"/>
                <w:highlight w:val="none"/>
                <w:u w:val="single"/>
              </w:rPr>
              <w:t>服务考核办法</w:t>
            </w:r>
            <w:r>
              <w:rPr>
                <w:rFonts w:hint="eastAsia" w:ascii="宋体" w:hAnsi="宋体" w:cs="宋体"/>
                <w:color w:val="auto"/>
                <w:sz w:val="24"/>
                <w:highlight w:val="none"/>
              </w:rPr>
              <w:t>的约定进行定期验收</w:t>
            </w:r>
            <w:r>
              <w:rPr>
                <w:rFonts w:hint="eastAsia" w:ascii="宋体" w:hAnsi="宋体" w:cs="宋体"/>
                <w:color w:val="auto"/>
                <w:sz w:val="24"/>
                <w:highlight w:val="none"/>
                <w:lang w:eastAsia="zh-CN"/>
              </w:rPr>
              <w:t>。</w:t>
            </w:r>
          </w:p>
        </w:tc>
      </w:tr>
      <w:tr w14:paraId="4318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AAB2F6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noWrap w:val="0"/>
            <w:vAlign w:val="center"/>
          </w:tcPr>
          <w:p w14:paraId="6DFC4B4E">
            <w:pPr>
              <w:spacing w:line="360" w:lineRule="auto"/>
              <w:jc w:val="left"/>
              <w:rPr>
                <w:rFonts w:ascii="宋体" w:hAnsi="宋体" w:cs="宋体"/>
                <w:color w:val="auto"/>
                <w:sz w:val="24"/>
                <w:highlight w:val="none"/>
              </w:rPr>
            </w:pPr>
            <w:r>
              <w:rPr>
                <w:rFonts w:hint="eastAsia" w:ascii="宋体" w:hAnsi="宋体" w:eastAsia="宋体" w:cs="宋体"/>
                <w:color w:val="auto"/>
                <w:sz w:val="24"/>
                <w:highlight w:val="none"/>
              </w:rPr>
              <w:t>服务考核办法及招标文件中记载的采购需求</w:t>
            </w:r>
          </w:p>
        </w:tc>
      </w:tr>
      <w:tr w14:paraId="3B83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14:paraId="742359C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noWrap w:val="0"/>
            <w:vAlign w:val="center"/>
          </w:tcPr>
          <w:p w14:paraId="7A45D375">
            <w:pPr>
              <w:spacing w:line="360" w:lineRule="auto"/>
              <w:jc w:val="left"/>
              <w:rPr>
                <w:rFonts w:ascii="宋体" w:hAnsi="宋体" w:cs="宋体"/>
                <w:color w:val="auto"/>
                <w:sz w:val="24"/>
                <w:highlight w:val="none"/>
              </w:rPr>
            </w:pPr>
            <w:r>
              <w:rPr>
                <w:rFonts w:hint="eastAsia" w:ascii="宋体" w:hAnsi="宋体" w:cs="宋体"/>
                <w:sz w:val="24"/>
              </w:rPr>
              <w:t>壹式</w:t>
            </w:r>
            <w:r>
              <w:rPr>
                <w:rFonts w:hint="eastAsia" w:ascii="宋体" w:hAnsi="宋体" w:cs="宋体"/>
                <w:sz w:val="24"/>
                <w:u w:val="single"/>
                <w:lang w:val="en-US" w:eastAsia="zh-CN"/>
              </w:rPr>
              <w:t xml:space="preserve"> 伍 </w:t>
            </w:r>
            <w:r>
              <w:rPr>
                <w:rFonts w:hint="eastAsia" w:ascii="宋体" w:hAnsi="宋体" w:cs="宋体"/>
                <w:sz w:val="24"/>
              </w:rPr>
              <w:t>份，甲方执</w:t>
            </w:r>
            <w:r>
              <w:rPr>
                <w:rFonts w:hint="eastAsia" w:ascii="宋体" w:hAnsi="宋体" w:cs="宋体"/>
                <w:b/>
                <w:bCs/>
                <w:sz w:val="24"/>
                <w:u w:val="single"/>
                <w:lang w:val="en-US" w:eastAsia="zh-CN"/>
              </w:rPr>
              <w:t xml:space="preserve"> 贰 </w:t>
            </w:r>
            <w:r>
              <w:rPr>
                <w:rFonts w:hint="eastAsia" w:ascii="宋体" w:hAnsi="宋体" w:cs="宋体"/>
                <w:sz w:val="24"/>
              </w:rPr>
              <w:t>份，乙方执</w:t>
            </w:r>
            <w:r>
              <w:rPr>
                <w:rFonts w:hint="eastAsia" w:ascii="宋体" w:hAnsi="宋体" w:cs="宋体"/>
                <w:b/>
                <w:bCs/>
                <w:sz w:val="24"/>
                <w:u w:val="single"/>
                <w:lang w:val="en-US" w:eastAsia="zh-CN"/>
              </w:rPr>
              <w:t xml:space="preserve"> 贰 </w:t>
            </w:r>
            <w:r>
              <w:rPr>
                <w:rFonts w:hint="eastAsia" w:ascii="宋体" w:hAnsi="宋体" w:cs="宋体"/>
                <w:sz w:val="24"/>
              </w:rPr>
              <w:t>份</w:t>
            </w:r>
            <w:r>
              <w:rPr>
                <w:rFonts w:hint="eastAsia" w:ascii="宋体" w:hAnsi="宋体" w:cs="宋体"/>
                <w:sz w:val="24"/>
                <w:lang w:eastAsia="zh-CN"/>
              </w:rPr>
              <w:t>，采购中心执</w:t>
            </w:r>
            <w:r>
              <w:rPr>
                <w:rFonts w:hint="eastAsia" w:ascii="宋体" w:hAnsi="宋体" w:cs="宋体"/>
                <w:b/>
                <w:bCs/>
                <w:sz w:val="24"/>
                <w:u w:val="single"/>
                <w:lang w:val="en-US" w:eastAsia="zh-CN"/>
              </w:rPr>
              <w:t>1</w:t>
            </w:r>
            <w:r>
              <w:rPr>
                <w:rFonts w:hint="eastAsia" w:ascii="宋体" w:hAnsi="宋体" w:cs="宋体"/>
                <w:sz w:val="24"/>
                <w:lang w:val="en-US" w:eastAsia="zh-CN"/>
              </w:rPr>
              <w:t>份</w:t>
            </w:r>
          </w:p>
        </w:tc>
      </w:tr>
    </w:tbl>
    <w:p w14:paraId="75DD8D1B">
      <w:pPr>
        <w:widowControl/>
        <w:adjustRightInd/>
        <w:jc w:val="left"/>
        <w:rPr>
          <w:rFonts w:cs="宋体" w:asciiTheme="minorEastAsia" w:hAnsiTheme="minorEastAsia" w:eastAsiaTheme="minorEastAsia"/>
          <w:b/>
          <w:sz w:val="36"/>
          <w:szCs w:val="20"/>
          <w:highlight w:val="none"/>
        </w:rPr>
      </w:pPr>
    </w:p>
    <w:p w14:paraId="36A76676">
      <w:pPr>
        <w:spacing w:line="360" w:lineRule="auto"/>
        <w:jc w:val="center"/>
        <w:outlineLvl w:val="0"/>
        <w:rPr>
          <w:rFonts w:hint="eastAsia" w:cs="宋体" w:asciiTheme="minorEastAsia" w:hAnsiTheme="minorEastAsia" w:eastAsiaTheme="minorEastAsia"/>
          <w:b/>
          <w:sz w:val="36"/>
          <w:szCs w:val="20"/>
          <w:highlight w:val="none"/>
        </w:rPr>
      </w:pPr>
    </w:p>
    <w:p w14:paraId="59F23D87">
      <w:pPr>
        <w:spacing w:line="360" w:lineRule="auto"/>
        <w:jc w:val="center"/>
        <w:outlineLvl w:val="0"/>
        <w:rPr>
          <w:rFonts w:hint="eastAsia" w:cs="宋体" w:asciiTheme="minorEastAsia" w:hAnsiTheme="minorEastAsia" w:eastAsiaTheme="minorEastAsia"/>
          <w:b/>
          <w:sz w:val="36"/>
          <w:szCs w:val="20"/>
          <w:highlight w:val="none"/>
        </w:rPr>
      </w:pPr>
    </w:p>
    <w:p w14:paraId="6E9E029B">
      <w:pPr>
        <w:spacing w:line="360" w:lineRule="auto"/>
        <w:jc w:val="center"/>
        <w:outlineLvl w:val="0"/>
        <w:rPr>
          <w:rFonts w:hint="eastAsia" w:cs="宋体" w:asciiTheme="minorEastAsia" w:hAnsiTheme="minorEastAsia" w:eastAsiaTheme="minorEastAsia"/>
          <w:b/>
          <w:sz w:val="36"/>
          <w:szCs w:val="20"/>
          <w:highlight w:val="none"/>
        </w:rPr>
      </w:pPr>
    </w:p>
    <w:p w14:paraId="711E3788">
      <w:pPr>
        <w:spacing w:line="360" w:lineRule="auto"/>
        <w:jc w:val="center"/>
        <w:outlineLvl w:val="0"/>
        <w:rPr>
          <w:rFonts w:hint="eastAsia" w:cs="宋体" w:asciiTheme="minorEastAsia" w:hAnsiTheme="minorEastAsia" w:eastAsiaTheme="minorEastAsia"/>
          <w:b/>
          <w:sz w:val="36"/>
          <w:szCs w:val="20"/>
          <w:highlight w:val="none"/>
        </w:rPr>
      </w:pPr>
    </w:p>
    <w:p w14:paraId="609912A6">
      <w:pPr>
        <w:spacing w:line="360" w:lineRule="auto"/>
        <w:jc w:val="center"/>
        <w:outlineLvl w:val="0"/>
        <w:rPr>
          <w:rFonts w:hint="eastAsia" w:cs="宋体" w:asciiTheme="minorEastAsia" w:hAnsiTheme="minorEastAsia" w:eastAsiaTheme="minorEastAsia"/>
          <w:b/>
          <w:sz w:val="36"/>
          <w:szCs w:val="20"/>
          <w:highlight w:val="none"/>
        </w:rPr>
      </w:pPr>
    </w:p>
    <w:p w14:paraId="1E35AC4A">
      <w:pPr>
        <w:spacing w:line="360" w:lineRule="auto"/>
        <w:jc w:val="center"/>
        <w:outlineLvl w:val="0"/>
        <w:rPr>
          <w:rFonts w:hint="eastAsia" w:cs="宋体" w:asciiTheme="minorEastAsia" w:hAnsiTheme="minorEastAsia" w:eastAsiaTheme="minorEastAsia"/>
          <w:b/>
          <w:sz w:val="36"/>
          <w:szCs w:val="20"/>
          <w:highlight w:val="none"/>
        </w:rPr>
      </w:pPr>
    </w:p>
    <w:p w14:paraId="217134AF">
      <w:pPr>
        <w:spacing w:line="360" w:lineRule="auto"/>
        <w:jc w:val="center"/>
        <w:outlineLvl w:val="0"/>
        <w:rPr>
          <w:rFonts w:hint="eastAsia" w:cs="宋体" w:asciiTheme="minorEastAsia" w:hAnsiTheme="minorEastAsia" w:eastAsiaTheme="minorEastAsia"/>
          <w:b/>
          <w:sz w:val="36"/>
          <w:szCs w:val="20"/>
          <w:highlight w:val="none"/>
        </w:rPr>
      </w:pPr>
    </w:p>
    <w:p w14:paraId="1455F4BC">
      <w:pPr>
        <w:spacing w:line="360" w:lineRule="auto"/>
        <w:jc w:val="both"/>
        <w:outlineLvl w:val="0"/>
        <w:rPr>
          <w:rFonts w:hint="eastAsia" w:cs="宋体" w:asciiTheme="minorEastAsia" w:hAnsiTheme="minorEastAsia" w:eastAsiaTheme="minorEastAsia"/>
          <w:b/>
          <w:sz w:val="36"/>
          <w:szCs w:val="20"/>
          <w:highlight w:val="none"/>
        </w:rPr>
      </w:pPr>
    </w:p>
    <w:p w14:paraId="00F9F4D1">
      <w:pPr>
        <w:pStyle w:val="38"/>
        <w:rPr>
          <w:rFonts w:hint="eastAsia"/>
        </w:rPr>
      </w:pPr>
    </w:p>
    <w:p w14:paraId="3D818833">
      <w:pPr>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第六部分</w:t>
      </w:r>
      <w:bookmarkEnd w:id="423"/>
      <w:r>
        <w:rPr>
          <w:rFonts w:hint="eastAsia" w:cs="宋体" w:asciiTheme="minorEastAsia" w:hAnsiTheme="minorEastAsia" w:eastAsiaTheme="minorEastAsia"/>
          <w:b/>
          <w:sz w:val="36"/>
          <w:szCs w:val="20"/>
          <w:highlight w:val="none"/>
        </w:rPr>
        <w:t xml:space="preserve"> </w:t>
      </w:r>
      <w:bookmarkEnd w:id="424"/>
      <w:r>
        <w:rPr>
          <w:rFonts w:hint="eastAsia" w:cs="宋体" w:asciiTheme="minorEastAsia" w:hAnsiTheme="minorEastAsia" w:eastAsiaTheme="minorEastAsia"/>
          <w:b/>
          <w:sz w:val="36"/>
          <w:szCs w:val="20"/>
          <w:highlight w:val="none"/>
        </w:rPr>
        <w:t>应提交的有关格式范例</w:t>
      </w:r>
    </w:p>
    <w:p w14:paraId="1836044F">
      <w:pPr>
        <w:spacing w:line="360" w:lineRule="auto"/>
        <w:jc w:val="center"/>
        <w:outlineLvl w:val="0"/>
        <w:rPr>
          <w:rFonts w:cs="宋体" w:asciiTheme="minorEastAsia" w:hAnsiTheme="minorEastAsia" w:eastAsiaTheme="minorEastAsia"/>
          <w:b/>
          <w:kern w:val="0"/>
          <w:sz w:val="36"/>
          <w:szCs w:val="36"/>
          <w:highlight w:val="none"/>
        </w:rPr>
      </w:pPr>
    </w:p>
    <w:p w14:paraId="4620FE3E">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资格文件部分</w:t>
      </w:r>
    </w:p>
    <w:p w14:paraId="12A59B4D">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14:paraId="2A16BF1C">
      <w:pPr>
        <w:spacing w:line="360" w:lineRule="auto"/>
        <w:jc w:val="center"/>
        <w:outlineLvl w:val="0"/>
        <w:rPr>
          <w:rFonts w:cs="宋体" w:asciiTheme="minorEastAsia" w:hAnsiTheme="minorEastAsia" w:eastAsiaTheme="minorEastAsia"/>
          <w:b/>
          <w:kern w:val="0"/>
          <w:sz w:val="36"/>
          <w:szCs w:val="36"/>
          <w:highlight w:val="none"/>
        </w:rPr>
      </w:pPr>
    </w:p>
    <w:p w14:paraId="3956838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（1）符合参加政府采购活动应当具备的一般条件的承诺函……………（页码）</w:t>
      </w:r>
    </w:p>
    <w:p w14:paraId="75E9084F">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szCs w:val="20"/>
          <w:highlight w:val="none"/>
        </w:rPr>
        <w:t>（2）联合协议</w:t>
      </w:r>
      <w:r>
        <w:rPr>
          <w:rFonts w:hint="eastAsia" w:cs="宋体" w:asciiTheme="minorEastAsia" w:hAnsiTheme="minorEastAsia" w:eastAsiaTheme="minorEastAsia"/>
          <w:sz w:val="24"/>
          <w:highlight w:val="none"/>
        </w:rPr>
        <w:t>………………………………………………………………（页码）</w:t>
      </w:r>
    </w:p>
    <w:p w14:paraId="1847241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）落实政府采购政策需满足的资格要求………………………………（页码）</w:t>
      </w:r>
    </w:p>
    <w:p w14:paraId="3499BFD5">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）本项目的特定资格要求………………………………………………（页码）</w:t>
      </w:r>
    </w:p>
    <w:p w14:paraId="60E44321">
      <w:pPr>
        <w:snapToGrid w:val="0"/>
        <w:spacing w:line="360" w:lineRule="auto"/>
        <w:ind w:firstLine="480" w:firstLineChars="200"/>
        <w:rPr>
          <w:rFonts w:cs="宋体" w:asciiTheme="minorEastAsia" w:hAnsiTheme="minorEastAsia" w:eastAsiaTheme="minorEastAsia"/>
          <w:sz w:val="24"/>
          <w:highlight w:val="none"/>
        </w:rPr>
      </w:pPr>
    </w:p>
    <w:p w14:paraId="0F1972B4">
      <w:pPr>
        <w:spacing w:line="360" w:lineRule="auto"/>
        <w:ind w:firstLine="480" w:firstLineChars="200"/>
        <w:rPr>
          <w:rFonts w:cs="宋体" w:asciiTheme="minorEastAsia" w:hAnsiTheme="minorEastAsia" w:eastAsiaTheme="minorEastAsia"/>
          <w:sz w:val="24"/>
          <w:highlight w:val="none"/>
        </w:rPr>
      </w:pPr>
    </w:p>
    <w:p w14:paraId="47CEF7A1">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kern w:val="0"/>
          <w:sz w:val="24"/>
          <w:highlight w:val="none"/>
        </w:rPr>
        <w:br w:type="page"/>
      </w:r>
      <w:r>
        <w:rPr>
          <w:rFonts w:hint="eastAsia" w:cs="宋体" w:asciiTheme="minorEastAsia" w:hAnsiTheme="minorEastAsia" w:eastAsiaTheme="minorEastAsia"/>
          <w:b/>
          <w:kern w:val="0"/>
          <w:sz w:val="32"/>
          <w:szCs w:val="32"/>
          <w:highlight w:val="none"/>
        </w:rPr>
        <w:t xml:space="preserve">  一、 符合参加政府采购活动应当具备的一般条件的承诺函</w:t>
      </w:r>
    </w:p>
    <w:p w14:paraId="1FD5B1B2">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14:paraId="155B438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宋体" w:asciiTheme="minorEastAsia" w:hAnsiTheme="minorEastAsia" w:eastAsiaTheme="minorEastAsia"/>
          <w:sz w:val="24"/>
          <w:highlight w:val="none"/>
          <w:lang w:eastAsia="zh-CN"/>
        </w:rPr>
        <w:t>2025年杭州市公安局西湖区分局警网融合智治平台二期采购项目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XHZFCG-2025-G-06</w:t>
      </w:r>
      <w:r>
        <w:rPr>
          <w:rFonts w:hint="eastAsia" w:cs="宋体" w:asciiTheme="minorEastAsia" w:hAnsiTheme="minorEastAsia" w:eastAsiaTheme="minorEastAsia"/>
          <w:sz w:val="24"/>
          <w:highlight w:val="none"/>
        </w:rPr>
        <w:t>】政府采购活动，郑重承诺：</w:t>
      </w:r>
    </w:p>
    <w:p w14:paraId="718F9ECB">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14:paraId="12B33A1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3057C62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14EF129E">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405F7AF9">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5E59FE53">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3FB8D69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03E680D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3359EF59">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562A786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14:paraId="1E43B97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195F7D55">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投标人名称(电子签名)：</w:t>
      </w:r>
    </w:p>
    <w:p w14:paraId="1A096F0B">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732506D3">
      <w:pPr>
        <w:snapToGrid w:val="0"/>
        <w:spacing w:line="360" w:lineRule="auto"/>
        <w:ind w:right="480"/>
        <w:jc w:val="left"/>
        <w:rPr>
          <w:rFonts w:hint="eastAsia" w:ascii="宋体" w:hAnsi="宋体" w:cs="仿宋_GB2312"/>
          <w:color w:val="auto"/>
          <w:sz w:val="24"/>
          <w:highlight w:val="none"/>
        </w:rPr>
      </w:pPr>
    </w:p>
    <w:p w14:paraId="5E6D9ED7">
      <w:pPr>
        <w:snapToGrid w:val="0"/>
        <w:spacing w:line="360" w:lineRule="auto"/>
        <w:ind w:right="480"/>
        <w:jc w:val="left"/>
        <w:rPr>
          <w:rFonts w:cs="宋体" w:asciiTheme="minorEastAsia" w:hAnsiTheme="minorEastAsia" w:eastAsiaTheme="minorEastAsia"/>
          <w:b/>
          <w:kern w:val="0"/>
          <w:sz w:val="32"/>
          <w:szCs w:val="32"/>
          <w:highlight w:val="none"/>
        </w:rPr>
      </w:pPr>
      <w:r>
        <w:rPr>
          <w:rFonts w:hint="eastAsia" w:ascii="宋体" w:hAnsi="宋体" w:cs="仿宋_GB2312"/>
          <w:color w:val="auto"/>
          <w:sz w:val="24"/>
          <w:highlight w:val="none"/>
        </w:rPr>
        <w:t>注：根据《</w:t>
      </w:r>
      <w:r>
        <w:rPr>
          <w:rFonts w:ascii="宋体" w:hAnsi="宋体" w:cs="仿宋_GB2312"/>
          <w:color w:val="auto"/>
          <w:sz w:val="24"/>
          <w:highlight w:val="none"/>
        </w:rPr>
        <w:t>关于规范政府采购供应商资格设定及资格审查的通知</w:t>
      </w:r>
      <w:r>
        <w:rPr>
          <w:rFonts w:hint="eastAsia" w:ascii="宋体" w:hAnsi="宋体" w:cs="仿宋_GB2312"/>
          <w:color w:val="auto"/>
          <w:sz w:val="24"/>
          <w:highlight w:val="none"/>
        </w:rPr>
        <w:t>》（</w:t>
      </w:r>
      <w:r>
        <w:rPr>
          <w:rFonts w:ascii="宋体" w:hAnsi="宋体" w:cs="仿宋_GB2312"/>
          <w:color w:val="auto"/>
          <w:sz w:val="24"/>
          <w:highlight w:val="none"/>
        </w:rPr>
        <w:t>浙财采监[2013]24号</w:t>
      </w:r>
      <w:r>
        <w:rPr>
          <w:rFonts w:hint="eastAsia" w:ascii="宋体" w:hAnsi="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235DD74">
      <w:pPr>
        <w:widowControl/>
        <w:adjustRightInd/>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二、联合协议（如果有）</w:t>
      </w:r>
    </w:p>
    <w:p w14:paraId="5AFB01E1">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[以联合体形式投标的，提供联合协议（附件5）；本项目不接受联合体投标或者投标人不以联合体形式投标的，则不需要提供）]</w:t>
      </w:r>
    </w:p>
    <w:p w14:paraId="75278AC9">
      <w:pPr>
        <w:snapToGrid w:val="0"/>
        <w:spacing w:line="360" w:lineRule="auto"/>
        <w:ind w:right="480"/>
        <w:jc w:val="center"/>
        <w:rPr>
          <w:rFonts w:cs="宋体" w:asciiTheme="minorEastAsia" w:hAnsiTheme="minorEastAsia" w:eastAsiaTheme="minorEastAsia"/>
          <w:b/>
          <w:kern w:val="0"/>
          <w:sz w:val="32"/>
          <w:szCs w:val="32"/>
          <w:highlight w:val="none"/>
        </w:rPr>
      </w:pPr>
    </w:p>
    <w:p w14:paraId="4C7281BC">
      <w:pPr>
        <w:snapToGrid w:val="0"/>
        <w:spacing w:line="360" w:lineRule="auto"/>
        <w:ind w:right="480"/>
        <w:jc w:val="center"/>
        <w:rPr>
          <w:rFonts w:cs="宋体" w:asciiTheme="minorEastAsia" w:hAnsiTheme="minorEastAsia" w:eastAsiaTheme="minorEastAsia"/>
          <w:b/>
          <w:kern w:val="0"/>
          <w:sz w:val="32"/>
          <w:szCs w:val="32"/>
          <w:highlight w:val="none"/>
        </w:rPr>
      </w:pPr>
    </w:p>
    <w:p w14:paraId="0C5F9C02">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三、落实政府采购政策需满足的资格要求</w:t>
      </w:r>
    </w:p>
    <w:p w14:paraId="644EF21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（根据招标公告落实政府采购政策需满足的资格要求选择提供相应的材料；未要求的，无需提供）</w:t>
      </w:r>
    </w:p>
    <w:p w14:paraId="2EFCF257">
      <w:pPr>
        <w:spacing w:line="360" w:lineRule="auto"/>
        <w:ind w:firstLine="723" w:firstLineChars="300"/>
        <w:rPr>
          <w:rFonts w:ascii="宋体" w:hAnsi="宋体" w:cs="宋体"/>
          <w:b/>
          <w:bCs/>
          <w:sz w:val="24"/>
          <w:highlight w:val="none"/>
        </w:rPr>
      </w:pPr>
      <w:r>
        <w:rPr>
          <w:rFonts w:hint="eastAsia" w:ascii="宋体" w:hAnsi="宋体" w:cs="宋体"/>
          <w:b/>
          <w:bCs/>
          <w:sz w:val="24"/>
          <w:highlight w:val="none"/>
          <w:lang w:val="en-US" w:eastAsia="zh-CN"/>
        </w:rPr>
        <w:t>本项目专门面向中小微企业，</w:t>
      </w:r>
      <w:r>
        <w:rPr>
          <w:rFonts w:hint="eastAsia" w:ascii="宋体" w:hAnsi="宋体" w:cs="宋体"/>
          <w:b/>
          <w:bCs/>
          <w:sz w:val="24"/>
          <w:highlight w:val="none"/>
        </w:rPr>
        <w:t>服务全部由符合政策要求的中小</w:t>
      </w:r>
      <w:r>
        <w:rPr>
          <w:rFonts w:hint="eastAsia" w:ascii="宋体" w:hAnsi="宋体" w:cs="宋体"/>
          <w:b/>
          <w:bCs/>
          <w:sz w:val="24"/>
          <w:highlight w:val="none"/>
          <w:lang w:eastAsia="zh-CN"/>
        </w:rPr>
        <w:t>微</w:t>
      </w:r>
      <w:r>
        <w:rPr>
          <w:rFonts w:hint="eastAsia" w:ascii="宋体" w:hAnsi="宋体" w:cs="宋体"/>
          <w:b/>
          <w:bCs/>
          <w:sz w:val="24"/>
          <w:highlight w:val="none"/>
        </w:rPr>
        <w:t>企业承接，提供中小企业声明函；</w:t>
      </w:r>
    </w:p>
    <w:p w14:paraId="0932E8B4">
      <w:pPr>
        <w:widowControl/>
        <w:spacing w:line="360" w:lineRule="auto"/>
        <w:ind w:firstLine="480"/>
        <w:jc w:val="left"/>
        <w:rPr>
          <w:rFonts w:hint="default" w:ascii="宋体" w:hAnsi="宋体" w:cs="宋体"/>
          <w:sz w:val="24"/>
          <w:highlight w:val="none"/>
          <w:lang w:val="en-US"/>
        </w:rPr>
      </w:pPr>
    </w:p>
    <w:p w14:paraId="11886744">
      <w:pPr>
        <w:rPr>
          <w:highlight w:val="none"/>
        </w:rPr>
      </w:pPr>
    </w:p>
    <w:p w14:paraId="6A6808A3">
      <w:pPr>
        <w:widowControl/>
        <w:spacing w:line="360" w:lineRule="auto"/>
        <w:ind w:left="150"/>
        <w:jc w:val="center"/>
        <w:rPr>
          <w:rFonts w:hint="eastAsia" w:cs="宋体" w:asciiTheme="minorEastAsia" w:hAnsiTheme="minorEastAsia" w:eastAsiaTheme="minorEastAsia"/>
          <w:b/>
          <w:kern w:val="0"/>
          <w:sz w:val="32"/>
          <w:szCs w:val="32"/>
          <w:highlight w:val="none"/>
        </w:rPr>
      </w:pPr>
    </w:p>
    <w:p w14:paraId="2D185F82">
      <w:pPr>
        <w:widowControl/>
        <w:spacing w:line="360" w:lineRule="auto"/>
        <w:ind w:left="15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四、本项目的特定资格要求（如果有）</w:t>
      </w:r>
    </w:p>
    <w:p w14:paraId="67AA291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（根据招标公告本项目的特定资格要求提供相应的材料；未要求的，无需提供）</w:t>
      </w:r>
    </w:p>
    <w:p w14:paraId="01D52D97">
      <w:pPr>
        <w:rPr>
          <w:rFonts w:cs="宋体" w:asciiTheme="minorEastAsia" w:hAnsiTheme="minorEastAsia" w:eastAsiaTheme="minorEastAsia"/>
          <w:highlight w:val="none"/>
        </w:rPr>
      </w:pPr>
    </w:p>
    <w:p w14:paraId="58CD5EF8">
      <w:pPr>
        <w:snapToGrid w:val="0"/>
        <w:spacing w:line="360" w:lineRule="auto"/>
        <w:ind w:right="480"/>
        <w:jc w:val="center"/>
        <w:rPr>
          <w:rFonts w:cs="宋体" w:asciiTheme="minorEastAsia" w:hAnsiTheme="minorEastAsia" w:eastAsiaTheme="minorEastAsia"/>
          <w:b/>
          <w:kern w:val="0"/>
          <w:sz w:val="32"/>
          <w:szCs w:val="32"/>
          <w:highlight w:val="none"/>
        </w:rPr>
      </w:pPr>
    </w:p>
    <w:p w14:paraId="01309063">
      <w:pPr>
        <w:widowControl/>
        <w:adjustRightInd/>
        <w:jc w:val="left"/>
        <w:rPr>
          <w:rFonts w:cs="宋体" w:asciiTheme="minorEastAsia" w:hAnsiTheme="minorEastAsia" w:eastAsiaTheme="minorEastAsia"/>
          <w:b/>
          <w:kern w:val="0"/>
          <w:sz w:val="36"/>
          <w:szCs w:val="36"/>
          <w:highlight w:val="none"/>
        </w:rPr>
      </w:pPr>
      <w:r>
        <w:rPr>
          <w:rFonts w:cs="宋体" w:asciiTheme="minorEastAsia" w:hAnsiTheme="minorEastAsia" w:eastAsiaTheme="minorEastAsia"/>
          <w:b/>
          <w:kern w:val="0"/>
          <w:sz w:val="36"/>
          <w:szCs w:val="36"/>
          <w:highlight w:val="none"/>
        </w:rPr>
        <w:br w:type="page"/>
      </w:r>
    </w:p>
    <w:p w14:paraId="34EB3A7E">
      <w:pPr>
        <w:spacing w:line="360" w:lineRule="auto"/>
        <w:ind w:right="420" w:firstLine="3614" w:firstLineChars="100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商务技术文件部分</w:t>
      </w:r>
    </w:p>
    <w:p w14:paraId="54267B96">
      <w:pPr>
        <w:spacing w:line="360" w:lineRule="auto"/>
        <w:jc w:val="center"/>
        <w:outlineLvl w:val="0"/>
        <w:rPr>
          <w:rFonts w:cs="宋体" w:asciiTheme="minorEastAsia" w:hAnsiTheme="minorEastAsia" w:eastAsiaTheme="minorEastAsia"/>
          <w:b/>
          <w:kern w:val="0"/>
          <w:sz w:val="24"/>
          <w:highlight w:val="none"/>
        </w:rPr>
      </w:pPr>
    </w:p>
    <w:p w14:paraId="3F60F1C0">
      <w:pPr>
        <w:spacing w:line="360" w:lineRule="auto"/>
        <w:jc w:val="center"/>
        <w:outlineLvl w:val="0"/>
        <w:rPr>
          <w:rFonts w:cs="宋体" w:asciiTheme="minorEastAsia" w:hAnsiTheme="minorEastAsia" w:eastAsiaTheme="minorEastAsia"/>
          <w:b/>
          <w:kern w:val="0"/>
          <w:sz w:val="28"/>
          <w:szCs w:val="28"/>
          <w:highlight w:val="none"/>
        </w:rPr>
      </w:pPr>
      <w:r>
        <w:rPr>
          <w:rFonts w:hint="eastAsia" w:cs="宋体" w:asciiTheme="minorEastAsia" w:hAnsiTheme="minorEastAsia" w:eastAsiaTheme="minorEastAsia"/>
          <w:b/>
          <w:kern w:val="0"/>
          <w:sz w:val="28"/>
          <w:szCs w:val="28"/>
          <w:highlight w:val="none"/>
        </w:rPr>
        <w:t>目录</w:t>
      </w:r>
    </w:p>
    <w:p w14:paraId="158AB7AE">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（1）投标函</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（2）授权委托书或法定代表人（单位负责人、自然人本人）身份证明</w:t>
      </w:r>
      <w:r>
        <w:rPr>
          <w:rFonts w:hint="eastAsia" w:cs="宋体" w:asciiTheme="minorEastAsia" w:hAnsiTheme="minorEastAsia" w:eastAsiaTheme="minorEastAsia"/>
          <w:highlight w:val="none"/>
        </w:rPr>
        <w:t>………（页码）</w:t>
      </w:r>
    </w:p>
    <w:p w14:paraId="4BF68B34">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highlight w:val="none"/>
        </w:rPr>
        <w:t>…………………………………………………………………………（页码）</w:t>
      </w:r>
    </w:p>
    <w:p w14:paraId="05D051FD">
      <w:pPr>
        <w:snapToGrid w:val="0"/>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r>
        <w:rPr>
          <w:rFonts w:hint="eastAsia" w:cs="宋体" w:asciiTheme="minorEastAsia" w:hAnsiTheme="minorEastAsia" w:eastAsiaTheme="minorEastAsia"/>
          <w:highlight w:val="none"/>
        </w:rPr>
        <w:t>………………………………………………………………………（页码）</w:t>
      </w:r>
    </w:p>
    <w:p w14:paraId="2F781657">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zh-CN"/>
        </w:rPr>
        <w:t>政府采购供应商廉洁自律承诺书</w:t>
      </w:r>
      <w:r>
        <w:rPr>
          <w:rFonts w:hint="eastAsia" w:cs="宋体" w:asciiTheme="minorEastAsia" w:hAnsiTheme="minorEastAsia" w:eastAsiaTheme="minorEastAsia"/>
          <w:highlight w:val="none"/>
        </w:rPr>
        <w:t>…………………………………………………（页码）</w:t>
      </w:r>
    </w:p>
    <w:p w14:paraId="1AF5CF54">
      <w:pPr>
        <w:snapToGrid w:val="0"/>
        <w:spacing w:line="360" w:lineRule="auto"/>
        <w:jc w:val="center"/>
        <w:rPr>
          <w:rFonts w:cs="宋体" w:asciiTheme="minorEastAsia" w:hAnsiTheme="minorEastAsia" w:eastAsiaTheme="minorEastAsia"/>
          <w:b/>
          <w:kern w:val="0"/>
          <w:sz w:val="32"/>
          <w:szCs w:val="32"/>
          <w:highlight w:val="none"/>
          <w:lang w:val="zh-CN"/>
        </w:rPr>
      </w:pPr>
    </w:p>
    <w:p w14:paraId="2F5A9A67">
      <w:pPr>
        <w:snapToGrid w:val="0"/>
        <w:spacing w:line="360" w:lineRule="auto"/>
        <w:jc w:val="center"/>
        <w:rPr>
          <w:rFonts w:cs="宋体" w:asciiTheme="minorEastAsia" w:hAnsiTheme="minorEastAsia" w:eastAsiaTheme="minorEastAsia"/>
          <w:b/>
          <w:kern w:val="0"/>
          <w:sz w:val="32"/>
          <w:szCs w:val="32"/>
          <w:highlight w:val="none"/>
          <w:lang w:val="zh-CN"/>
        </w:rPr>
      </w:pPr>
    </w:p>
    <w:p w14:paraId="5D0396B5">
      <w:pPr>
        <w:snapToGrid w:val="0"/>
        <w:spacing w:line="360" w:lineRule="auto"/>
        <w:jc w:val="center"/>
        <w:rPr>
          <w:rFonts w:cs="宋体" w:asciiTheme="minorEastAsia" w:hAnsiTheme="minorEastAsia" w:eastAsiaTheme="minorEastAsia"/>
          <w:b/>
          <w:kern w:val="0"/>
          <w:sz w:val="32"/>
          <w:szCs w:val="32"/>
          <w:highlight w:val="none"/>
          <w:lang w:val="zh-CN"/>
        </w:rPr>
      </w:pPr>
    </w:p>
    <w:p w14:paraId="5AF19AFD">
      <w:pPr>
        <w:snapToGrid w:val="0"/>
        <w:spacing w:line="360" w:lineRule="auto"/>
        <w:jc w:val="center"/>
        <w:rPr>
          <w:rFonts w:cs="宋体" w:asciiTheme="minorEastAsia" w:hAnsiTheme="minorEastAsia" w:eastAsiaTheme="minorEastAsia"/>
          <w:b/>
          <w:kern w:val="0"/>
          <w:sz w:val="32"/>
          <w:szCs w:val="32"/>
          <w:highlight w:val="none"/>
          <w:lang w:val="zh-CN"/>
        </w:rPr>
      </w:pPr>
    </w:p>
    <w:p w14:paraId="49406FA5">
      <w:pPr>
        <w:snapToGrid w:val="0"/>
        <w:spacing w:line="360" w:lineRule="auto"/>
        <w:jc w:val="center"/>
        <w:rPr>
          <w:rFonts w:cs="宋体" w:asciiTheme="minorEastAsia" w:hAnsiTheme="minorEastAsia" w:eastAsiaTheme="minorEastAsia"/>
          <w:b/>
          <w:kern w:val="0"/>
          <w:sz w:val="32"/>
          <w:szCs w:val="32"/>
          <w:highlight w:val="none"/>
          <w:lang w:val="zh-CN"/>
        </w:rPr>
      </w:pPr>
    </w:p>
    <w:p w14:paraId="67CFADFE">
      <w:pPr>
        <w:snapToGrid w:val="0"/>
        <w:spacing w:line="360" w:lineRule="auto"/>
        <w:jc w:val="center"/>
        <w:rPr>
          <w:rFonts w:cs="宋体" w:asciiTheme="minorEastAsia" w:hAnsiTheme="minorEastAsia" w:eastAsiaTheme="minorEastAsia"/>
          <w:b/>
          <w:kern w:val="0"/>
          <w:sz w:val="32"/>
          <w:szCs w:val="32"/>
          <w:highlight w:val="none"/>
          <w:lang w:val="zh-CN"/>
        </w:rPr>
      </w:pPr>
    </w:p>
    <w:p w14:paraId="4247FD0C">
      <w:pPr>
        <w:snapToGrid w:val="0"/>
        <w:spacing w:line="360" w:lineRule="auto"/>
        <w:jc w:val="center"/>
        <w:rPr>
          <w:rFonts w:cs="宋体" w:asciiTheme="minorEastAsia" w:hAnsiTheme="minorEastAsia" w:eastAsiaTheme="minorEastAsia"/>
          <w:b/>
          <w:kern w:val="0"/>
          <w:sz w:val="32"/>
          <w:szCs w:val="32"/>
          <w:highlight w:val="none"/>
          <w:lang w:val="zh-CN"/>
        </w:rPr>
      </w:pPr>
    </w:p>
    <w:p w14:paraId="5C8A28E4">
      <w:pPr>
        <w:snapToGrid w:val="0"/>
        <w:spacing w:line="360" w:lineRule="auto"/>
        <w:jc w:val="center"/>
        <w:rPr>
          <w:rFonts w:cs="宋体" w:asciiTheme="minorEastAsia" w:hAnsiTheme="minorEastAsia" w:eastAsiaTheme="minorEastAsia"/>
          <w:b/>
          <w:kern w:val="0"/>
          <w:sz w:val="32"/>
          <w:szCs w:val="32"/>
          <w:highlight w:val="none"/>
          <w:lang w:val="zh-CN"/>
        </w:rPr>
      </w:pPr>
    </w:p>
    <w:p w14:paraId="4DD17F1E">
      <w:pPr>
        <w:snapToGrid w:val="0"/>
        <w:spacing w:line="360" w:lineRule="auto"/>
        <w:jc w:val="center"/>
        <w:rPr>
          <w:rFonts w:cs="宋体" w:asciiTheme="minorEastAsia" w:hAnsiTheme="minorEastAsia" w:eastAsiaTheme="minorEastAsia"/>
          <w:b/>
          <w:kern w:val="0"/>
          <w:sz w:val="32"/>
          <w:szCs w:val="32"/>
          <w:highlight w:val="none"/>
          <w:lang w:val="zh-CN"/>
        </w:rPr>
      </w:pPr>
    </w:p>
    <w:p w14:paraId="70DD0B71">
      <w:pPr>
        <w:snapToGrid w:val="0"/>
        <w:spacing w:line="360" w:lineRule="auto"/>
        <w:jc w:val="center"/>
        <w:rPr>
          <w:rFonts w:cs="宋体" w:asciiTheme="minorEastAsia" w:hAnsiTheme="minorEastAsia" w:eastAsiaTheme="minorEastAsia"/>
          <w:b/>
          <w:kern w:val="0"/>
          <w:sz w:val="32"/>
          <w:szCs w:val="32"/>
          <w:highlight w:val="none"/>
          <w:lang w:val="zh-CN"/>
        </w:rPr>
      </w:pPr>
    </w:p>
    <w:p w14:paraId="22669EB2">
      <w:pPr>
        <w:snapToGrid w:val="0"/>
        <w:spacing w:line="360" w:lineRule="auto"/>
        <w:jc w:val="center"/>
        <w:rPr>
          <w:rFonts w:cs="宋体" w:asciiTheme="minorEastAsia" w:hAnsiTheme="minorEastAsia" w:eastAsiaTheme="minorEastAsia"/>
          <w:b/>
          <w:kern w:val="0"/>
          <w:sz w:val="32"/>
          <w:szCs w:val="32"/>
          <w:highlight w:val="none"/>
          <w:lang w:val="zh-CN"/>
        </w:rPr>
      </w:pPr>
    </w:p>
    <w:p w14:paraId="42460245">
      <w:pPr>
        <w:snapToGrid w:val="0"/>
        <w:spacing w:line="360" w:lineRule="auto"/>
        <w:jc w:val="center"/>
        <w:rPr>
          <w:rFonts w:cs="宋体" w:asciiTheme="minorEastAsia" w:hAnsiTheme="minorEastAsia" w:eastAsiaTheme="minorEastAsia"/>
          <w:b/>
          <w:kern w:val="0"/>
          <w:sz w:val="32"/>
          <w:szCs w:val="32"/>
          <w:highlight w:val="none"/>
          <w:lang w:val="zh-CN"/>
        </w:rPr>
      </w:pPr>
    </w:p>
    <w:p w14:paraId="7CC802D4">
      <w:pPr>
        <w:rPr>
          <w:rFonts w:cs="宋体" w:asciiTheme="minorEastAsia" w:hAnsiTheme="minorEastAsia" w:eastAsiaTheme="minorEastAsia"/>
          <w:b/>
          <w:kern w:val="0"/>
          <w:sz w:val="32"/>
          <w:szCs w:val="32"/>
          <w:highlight w:val="none"/>
          <w:lang w:val="zh-CN"/>
        </w:rPr>
      </w:pPr>
    </w:p>
    <w:p w14:paraId="66B6315F">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715F6D3C">
      <w:pPr>
        <w:snapToGrid w:val="0"/>
        <w:spacing w:line="360" w:lineRule="auto"/>
        <w:jc w:val="center"/>
        <w:outlineLvl w:val="0"/>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kern w:val="0"/>
          <w:sz w:val="32"/>
          <w:szCs w:val="32"/>
          <w:highlight w:val="none"/>
        </w:rPr>
        <w:t>一、投标</w:t>
      </w:r>
      <w:r>
        <w:rPr>
          <w:rFonts w:hint="eastAsia" w:cs="宋体" w:asciiTheme="minorEastAsia" w:hAnsiTheme="minorEastAsia" w:eastAsiaTheme="minorEastAsia"/>
          <w:b/>
          <w:sz w:val="32"/>
          <w:szCs w:val="32"/>
          <w:highlight w:val="none"/>
        </w:rPr>
        <w:t>函</w:t>
      </w:r>
    </w:p>
    <w:p w14:paraId="4EC5E28F">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14:paraId="296B8422">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我方参加你方组织的</w:t>
      </w:r>
      <w:r>
        <w:rPr>
          <w:rFonts w:hint="eastAsia" w:cs="宋体" w:asciiTheme="minorEastAsia" w:hAnsiTheme="minorEastAsia" w:eastAsiaTheme="minorEastAsia"/>
          <w:sz w:val="24"/>
          <w:highlight w:val="none"/>
          <w:lang w:eastAsia="zh-CN"/>
        </w:rPr>
        <w:t>2025年杭州市公安局西湖区分局警网融合智治平台二期采购项目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XHZFCG-2025-G-06</w:t>
      </w:r>
      <w:r>
        <w:rPr>
          <w:rFonts w:hint="eastAsia" w:cs="宋体" w:asciiTheme="minorEastAsia" w:hAnsiTheme="minorEastAsia" w:eastAsiaTheme="minorEastAsia"/>
          <w:sz w:val="24"/>
          <w:highlight w:val="none"/>
        </w:rPr>
        <w:t>】招标的有关活动，并对此项目进行投标。为此：</w:t>
      </w:r>
    </w:p>
    <w:p w14:paraId="4B7C7D8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1、我方承诺投标有效期从提交投标文件的截止之日起</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天（不少于90天）</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本投标文件在投标有效期满之前均具有约束力。</w:t>
      </w:r>
    </w:p>
    <w:p w14:paraId="42CBF14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2、我方的投标文件包括以下内容：</w:t>
      </w:r>
    </w:p>
    <w:p w14:paraId="2AD6882B">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2.1资格文件：</w:t>
      </w:r>
    </w:p>
    <w:p w14:paraId="234318FC">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2.1.1承诺函；</w:t>
      </w:r>
    </w:p>
    <w:p w14:paraId="47973FA5">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2.1.2</w:t>
      </w:r>
      <w:r>
        <w:rPr>
          <w:rFonts w:hint="eastAsia" w:cs="宋体" w:asciiTheme="minorEastAsia" w:hAnsiTheme="minorEastAsia" w:eastAsiaTheme="minorEastAsia"/>
          <w:snapToGrid w:val="0"/>
          <w:kern w:val="28"/>
          <w:sz w:val="24"/>
          <w:szCs w:val="20"/>
          <w:highlight w:val="none"/>
        </w:rPr>
        <w:t>联合协议</w:t>
      </w:r>
      <w:bookmarkStart w:id="529" w:name="_Hlk101257010"/>
      <w:r>
        <w:rPr>
          <w:rFonts w:hint="eastAsia" w:cs="宋体" w:asciiTheme="minorEastAsia" w:hAnsiTheme="minorEastAsia" w:eastAsiaTheme="minorEastAsia"/>
          <w:sz w:val="24"/>
          <w:highlight w:val="none"/>
        </w:rPr>
        <w:t>（如果有)</w:t>
      </w:r>
      <w:bookmarkEnd w:id="529"/>
      <w:r>
        <w:rPr>
          <w:rFonts w:hint="eastAsia" w:cs="宋体" w:asciiTheme="minorEastAsia" w:hAnsiTheme="minorEastAsia" w:eastAsiaTheme="minorEastAsia"/>
          <w:snapToGrid w:val="0"/>
          <w:kern w:val="28"/>
          <w:sz w:val="24"/>
          <w:szCs w:val="20"/>
          <w:highlight w:val="none"/>
        </w:rPr>
        <w:t>；</w:t>
      </w:r>
    </w:p>
    <w:p w14:paraId="5EE904C3">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.1.3</w:t>
      </w:r>
      <w:r>
        <w:rPr>
          <w:rFonts w:hint="eastAsia" w:cs="宋体" w:asciiTheme="minorEastAsia" w:hAnsiTheme="minorEastAsia" w:eastAsiaTheme="minorEastAsia"/>
          <w:sz w:val="24"/>
          <w:highlight w:val="none"/>
        </w:rPr>
        <w:t>落实政府采购政策需满足的资格要求；</w:t>
      </w:r>
    </w:p>
    <w:p w14:paraId="74C90E0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本项目的特定资格要求（如果有)。</w:t>
      </w:r>
    </w:p>
    <w:p w14:paraId="06E9F144">
      <w:pPr>
        <w:snapToGrid w:val="0"/>
        <w:spacing w:line="360" w:lineRule="auto"/>
        <w:ind w:left="210" w:leftChars="1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14:paraId="1C0BFDBC">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2.2.1投标函；</w:t>
      </w:r>
      <w:r>
        <w:rPr>
          <w:rFonts w:hint="eastAsia" w:cs="宋体" w:asciiTheme="minorEastAsia" w:hAnsiTheme="minorEastAsia" w:eastAsiaTheme="minorEastAsia"/>
          <w:sz w:val="24"/>
          <w:highlight w:val="none"/>
          <w:lang w:val="zh-CN"/>
        </w:rPr>
        <w:t xml:space="preserve"> </w:t>
      </w:r>
    </w:p>
    <w:p w14:paraId="31D79555">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2.2.2授权委托书或法定代表人（单位负责人）身份证明；</w:t>
      </w:r>
    </w:p>
    <w:p w14:paraId="0C1D71B4">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分包意向协议（如果有)；</w:t>
      </w:r>
    </w:p>
    <w:p w14:paraId="481BAE2F">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5A653A8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731A85A9">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14:paraId="4BF6DBDD">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14:paraId="26AAED92">
      <w:pPr>
        <w:snapToGrid w:val="0"/>
        <w:spacing w:line="360" w:lineRule="auto"/>
        <w:ind w:left="420" w:leftChars="2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cs="宋体" w:asciiTheme="minorEastAsia" w:hAnsiTheme="minorEastAsia" w:eastAsiaTheme="minorEastAsia"/>
          <w:sz w:val="24"/>
          <w:highlight w:val="none"/>
        </w:rPr>
        <w:t>8</w:t>
      </w:r>
      <w:r>
        <w:rPr>
          <w:rFonts w:hint="eastAsia" w:cs="宋体" w:asciiTheme="minorEastAsia" w:hAnsiTheme="minorEastAsia" w:eastAsiaTheme="minorEastAsia"/>
          <w:sz w:val="24"/>
          <w:highlight w:val="none"/>
          <w:lang w:val="zh-CN"/>
        </w:rPr>
        <w:t>政府采购供应商廉洁自律承诺书；</w:t>
      </w:r>
    </w:p>
    <w:p w14:paraId="27704958">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3报价文件</w:t>
      </w:r>
    </w:p>
    <w:p w14:paraId="3E6DFE47">
      <w:pPr>
        <w:snapToGrid w:val="0"/>
        <w:spacing w:line="360" w:lineRule="auto"/>
        <w:ind w:left="420" w:leftChars="200" w:firstLine="480" w:firstLineChars="2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2.3.1开标一览表（报价表）</w:t>
      </w:r>
      <w:r>
        <w:rPr>
          <w:rFonts w:hint="eastAsia" w:cs="宋体" w:asciiTheme="minorEastAsia" w:hAnsiTheme="minorEastAsia" w:eastAsiaTheme="minorEastAsia"/>
          <w:sz w:val="24"/>
          <w:highlight w:val="none"/>
          <w:lang w:eastAsia="zh-CN"/>
        </w:rPr>
        <w:t>。</w:t>
      </w:r>
    </w:p>
    <w:p w14:paraId="7F99618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3、我方承诺除商务技术偏离表列出的偏离外，我方响应招标文件的全部要求。</w:t>
      </w:r>
    </w:p>
    <w:p w14:paraId="2E15BE9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4、如我方中标，我方承诺：</w:t>
      </w:r>
    </w:p>
    <w:p w14:paraId="57AD5CC5">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4.1在收到中标通知书后，在中标通知书规定的期限内与你方签订合同； </w:t>
      </w:r>
    </w:p>
    <w:p w14:paraId="1B1F6999">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4E169283">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4.3按照招标文件要求提交履约保证金； </w:t>
      </w:r>
    </w:p>
    <w:p w14:paraId="6F00D5E6">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19577509">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5、其他补充说明:</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14:paraId="1E10B9BB">
      <w:pPr>
        <w:spacing w:line="360" w:lineRule="auto"/>
        <w:ind w:firstLine="3600" w:firstLineChars="1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投标人名称（电子签名）：                          </w:t>
      </w:r>
    </w:p>
    <w:p w14:paraId="5C0D17E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77DAABF4">
      <w:pPr>
        <w:snapToGrid w:val="0"/>
        <w:spacing w:line="360" w:lineRule="auto"/>
        <w:ind w:left="420" w:leftChars="200" w:firstLine="4200" w:firstLineChars="1750"/>
        <w:rPr>
          <w:rFonts w:cs="宋体" w:asciiTheme="minorEastAsia" w:hAnsiTheme="minorEastAsia" w:eastAsiaTheme="minorEastAsia"/>
          <w:kern w:val="0"/>
          <w:sz w:val="24"/>
          <w:highlight w:val="none"/>
          <w:u w:val="single"/>
        </w:rPr>
      </w:pPr>
    </w:p>
    <w:p w14:paraId="58A66797">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3C0B0567">
      <w:pPr>
        <w:snapToGrid w:val="0"/>
        <w:spacing w:line="360" w:lineRule="auto"/>
        <w:jc w:val="center"/>
        <w:rPr>
          <w:rFonts w:cs="宋体" w:asciiTheme="minorEastAsia" w:hAnsiTheme="minorEastAsia" w:eastAsiaTheme="minorEastAsia"/>
          <w:b/>
          <w:kern w:val="0"/>
          <w:sz w:val="32"/>
          <w:szCs w:val="32"/>
          <w:highlight w:val="none"/>
        </w:rPr>
      </w:pPr>
    </w:p>
    <w:p w14:paraId="5F415CAC">
      <w:pPr>
        <w:snapToGrid w:val="0"/>
        <w:spacing w:line="360" w:lineRule="auto"/>
        <w:rPr>
          <w:rFonts w:cs="宋体" w:asciiTheme="minorEastAsia" w:hAnsiTheme="minorEastAsia" w:eastAsiaTheme="minorEastAsia"/>
          <w:sz w:val="24"/>
          <w:highlight w:val="none"/>
        </w:rPr>
      </w:pPr>
    </w:p>
    <w:p w14:paraId="416D9B6F">
      <w:pPr>
        <w:jc w:val="center"/>
        <w:rPr>
          <w:rFonts w:cs="宋体" w:asciiTheme="minorEastAsia" w:hAnsiTheme="minorEastAsia" w:eastAsiaTheme="minorEastAsia"/>
          <w:b/>
          <w:kern w:val="0"/>
          <w:sz w:val="32"/>
          <w:szCs w:val="32"/>
          <w:highlight w:val="none"/>
        </w:rPr>
      </w:pPr>
    </w:p>
    <w:p w14:paraId="54076070">
      <w:pPr>
        <w:jc w:val="center"/>
        <w:rPr>
          <w:rFonts w:cs="宋体" w:asciiTheme="minorEastAsia" w:hAnsiTheme="minorEastAsia" w:eastAsiaTheme="minorEastAsia"/>
          <w:b/>
          <w:kern w:val="0"/>
          <w:sz w:val="32"/>
          <w:szCs w:val="32"/>
          <w:highlight w:val="none"/>
        </w:rPr>
      </w:pPr>
    </w:p>
    <w:p w14:paraId="67F15C43">
      <w:pPr>
        <w:jc w:val="center"/>
        <w:rPr>
          <w:rFonts w:cs="宋体" w:asciiTheme="minorEastAsia" w:hAnsiTheme="minorEastAsia" w:eastAsiaTheme="minorEastAsia"/>
          <w:b/>
          <w:kern w:val="0"/>
          <w:sz w:val="32"/>
          <w:szCs w:val="32"/>
          <w:highlight w:val="none"/>
        </w:rPr>
      </w:pPr>
    </w:p>
    <w:p w14:paraId="6B4BF51D">
      <w:pPr>
        <w:jc w:val="center"/>
        <w:rPr>
          <w:rFonts w:cs="宋体" w:asciiTheme="minorEastAsia" w:hAnsiTheme="minorEastAsia" w:eastAsiaTheme="minorEastAsia"/>
          <w:b/>
          <w:kern w:val="0"/>
          <w:sz w:val="32"/>
          <w:szCs w:val="32"/>
          <w:highlight w:val="none"/>
        </w:rPr>
      </w:pPr>
    </w:p>
    <w:p w14:paraId="4BC9F8CB">
      <w:pPr>
        <w:jc w:val="center"/>
        <w:rPr>
          <w:rFonts w:cs="宋体" w:asciiTheme="minorEastAsia" w:hAnsiTheme="minorEastAsia" w:eastAsiaTheme="minorEastAsia"/>
          <w:b/>
          <w:kern w:val="0"/>
          <w:sz w:val="32"/>
          <w:szCs w:val="32"/>
          <w:highlight w:val="none"/>
        </w:rPr>
      </w:pPr>
    </w:p>
    <w:p w14:paraId="62136105">
      <w:pPr>
        <w:jc w:val="center"/>
        <w:rPr>
          <w:rFonts w:cs="宋体" w:asciiTheme="minorEastAsia" w:hAnsiTheme="minorEastAsia" w:eastAsiaTheme="minorEastAsia"/>
          <w:b/>
          <w:kern w:val="0"/>
          <w:sz w:val="32"/>
          <w:szCs w:val="32"/>
          <w:highlight w:val="none"/>
        </w:rPr>
      </w:pPr>
    </w:p>
    <w:p w14:paraId="2E0474C3">
      <w:pPr>
        <w:jc w:val="center"/>
        <w:rPr>
          <w:rFonts w:cs="宋体" w:asciiTheme="minorEastAsia" w:hAnsiTheme="minorEastAsia" w:eastAsiaTheme="minorEastAsia"/>
          <w:b/>
          <w:kern w:val="0"/>
          <w:sz w:val="32"/>
          <w:szCs w:val="32"/>
          <w:highlight w:val="none"/>
        </w:rPr>
      </w:pPr>
    </w:p>
    <w:p w14:paraId="2DCCA2D4">
      <w:pPr>
        <w:jc w:val="center"/>
        <w:rPr>
          <w:rFonts w:cs="宋体" w:asciiTheme="minorEastAsia" w:hAnsiTheme="minorEastAsia" w:eastAsiaTheme="minorEastAsia"/>
          <w:b/>
          <w:kern w:val="0"/>
          <w:sz w:val="32"/>
          <w:szCs w:val="32"/>
          <w:highlight w:val="none"/>
        </w:rPr>
      </w:pPr>
    </w:p>
    <w:p w14:paraId="6B80BA36">
      <w:pPr>
        <w:jc w:val="center"/>
        <w:rPr>
          <w:rFonts w:cs="宋体" w:asciiTheme="minorEastAsia" w:hAnsiTheme="minorEastAsia" w:eastAsiaTheme="minorEastAsia"/>
          <w:b/>
          <w:kern w:val="0"/>
          <w:sz w:val="32"/>
          <w:szCs w:val="32"/>
          <w:highlight w:val="none"/>
        </w:rPr>
      </w:pPr>
    </w:p>
    <w:p w14:paraId="3879DF92">
      <w:pPr>
        <w:jc w:val="center"/>
        <w:rPr>
          <w:rFonts w:cs="宋体" w:asciiTheme="minorEastAsia" w:hAnsiTheme="minorEastAsia" w:eastAsiaTheme="minorEastAsia"/>
          <w:b/>
          <w:kern w:val="0"/>
          <w:sz w:val="32"/>
          <w:szCs w:val="32"/>
          <w:highlight w:val="none"/>
        </w:rPr>
      </w:pPr>
    </w:p>
    <w:p w14:paraId="339E8B6B">
      <w:pPr>
        <w:jc w:val="center"/>
        <w:rPr>
          <w:rFonts w:cs="宋体" w:asciiTheme="minorEastAsia" w:hAnsiTheme="minorEastAsia" w:eastAsiaTheme="minorEastAsia"/>
          <w:b/>
          <w:kern w:val="0"/>
          <w:sz w:val="32"/>
          <w:szCs w:val="32"/>
          <w:highlight w:val="none"/>
        </w:rPr>
      </w:pPr>
    </w:p>
    <w:p w14:paraId="451906CD">
      <w:pPr>
        <w:jc w:val="center"/>
        <w:rPr>
          <w:rFonts w:cs="宋体" w:asciiTheme="minorEastAsia" w:hAnsiTheme="minorEastAsia" w:eastAsiaTheme="minorEastAsia"/>
          <w:b/>
          <w:kern w:val="0"/>
          <w:sz w:val="32"/>
          <w:szCs w:val="32"/>
          <w:highlight w:val="none"/>
        </w:rPr>
      </w:pPr>
    </w:p>
    <w:p w14:paraId="68903B44">
      <w:pPr>
        <w:jc w:val="center"/>
        <w:rPr>
          <w:rFonts w:cs="宋体" w:asciiTheme="minorEastAsia" w:hAnsiTheme="minorEastAsia" w:eastAsiaTheme="minorEastAsia"/>
          <w:b/>
          <w:kern w:val="0"/>
          <w:sz w:val="32"/>
          <w:szCs w:val="32"/>
          <w:highlight w:val="none"/>
        </w:rPr>
      </w:pPr>
    </w:p>
    <w:p w14:paraId="66AC5CED">
      <w:pPr>
        <w:jc w:val="center"/>
        <w:rPr>
          <w:rFonts w:cs="宋体" w:asciiTheme="minorEastAsia" w:hAnsiTheme="minorEastAsia" w:eastAsiaTheme="minorEastAsia"/>
          <w:b/>
          <w:kern w:val="0"/>
          <w:sz w:val="32"/>
          <w:szCs w:val="32"/>
          <w:highlight w:val="none"/>
        </w:rPr>
      </w:pPr>
    </w:p>
    <w:p w14:paraId="6A99FB7D">
      <w:pPr>
        <w:jc w:val="center"/>
        <w:rPr>
          <w:rFonts w:cs="宋体" w:asciiTheme="minorEastAsia" w:hAnsiTheme="minorEastAsia" w:eastAsiaTheme="minorEastAsia"/>
          <w:b/>
          <w:kern w:val="0"/>
          <w:sz w:val="32"/>
          <w:szCs w:val="32"/>
          <w:highlight w:val="none"/>
        </w:rPr>
      </w:pPr>
    </w:p>
    <w:p w14:paraId="253140D7">
      <w:pPr>
        <w:jc w:val="center"/>
        <w:rPr>
          <w:rFonts w:cs="宋体" w:asciiTheme="minorEastAsia" w:hAnsiTheme="minorEastAsia" w:eastAsiaTheme="minorEastAsia"/>
          <w:b/>
          <w:kern w:val="0"/>
          <w:sz w:val="32"/>
          <w:szCs w:val="32"/>
          <w:highlight w:val="none"/>
        </w:rPr>
      </w:pPr>
    </w:p>
    <w:p w14:paraId="61D1853C">
      <w:pPr>
        <w:jc w:val="center"/>
        <w:rPr>
          <w:rFonts w:cs="宋体" w:asciiTheme="minorEastAsia" w:hAnsiTheme="minorEastAsia" w:eastAsiaTheme="minorEastAsia"/>
          <w:b/>
          <w:kern w:val="0"/>
          <w:sz w:val="32"/>
          <w:szCs w:val="32"/>
          <w:highlight w:val="none"/>
        </w:rPr>
      </w:pPr>
    </w:p>
    <w:p w14:paraId="59F1390C">
      <w:pPr>
        <w:jc w:val="center"/>
        <w:rPr>
          <w:rFonts w:cs="宋体" w:asciiTheme="minorEastAsia" w:hAnsiTheme="minorEastAsia" w:eastAsiaTheme="minorEastAsia"/>
          <w:b/>
          <w:kern w:val="0"/>
          <w:sz w:val="32"/>
          <w:szCs w:val="32"/>
          <w:highlight w:val="none"/>
        </w:rPr>
      </w:pPr>
    </w:p>
    <w:p w14:paraId="0032BD22">
      <w:pPr>
        <w:jc w:val="center"/>
        <w:rPr>
          <w:rFonts w:cs="宋体" w:asciiTheme="minorEastAsia" w:hAnsiTheme="minorEastAsia" w:eastAsiaTheme="minorEastAsia"/>
          <w:b/>
          <w:kern w:val="0"/>
          <w:sz w:val="32"/>
          <w:szCs w:val="32"/>
          <w:highlight w:val="none"/>
        </w:rPr>
      </w:pPr>
    </w:p>
    <w:p w14:paraId="066D09ED">
      <w:pPr>
        <w:jc w:val="center"/>
        <w:rPr>
          <w:rFonts w:cs="宋体" w:asciiTheme="minorEastAsia" w:hAnsiTheme="minorEastAsia" w:eastAsiaTheme="minorEastAsia"/>
          <w:b/>
          <w:kern w:val="0"/>
          <w:sz w:val="32"/>
          <w:szCs w:val="32"/>
          <w:highlight w:val="none"/>
        </w:rPr>
      </w:pPr>
    </w:p>
    <w:p w14:paraId="59E260A4">
      <w:pPr>
        <w:pStyle w:val="3"/>
        <w:rPr>
          <w:rFonts w:asciiTheme="minorEastAsia" w:hAnsiTheme="minorEastAsia" w:eastAsiaTheme="minorEastAsia"/>
          <w:highlight w:val="none"/>
          <w:lang w:val="en-US"/>
        </w:rPr>
      </w:pPr>
    </w:p>
    <w:p w14:paraId="540CC340">
      <w:pPr>
        <w:jc w:val="center"/>
        <w:rPr>
          <w:rFonts w:cs="宋体" w:asciiTheme="minorEastAsia" w:hAnsiTheme="minorEastAsia" w:eastAsiaTheme="minorEastAsia"/>
          <w:b/>
          <w:kern w:val="0"/>
          <w:sz w:val="32"/>
          <w:szCs w:val="32"/>
          <w:highlight w:val="none"/>
        </w:rPr>
      </w:pPr>
    </w:p>
    <w:p w14:paraId="1ECECC99">
      <w:pPr>
        <w:jc w:val="center"/>
        <w:rPr>
          <w:rFonts w:cs="宋体" w:asciiTheme="minorEastAsia" w:hAnsiTheme="minorEastAsia" w:eastAsiaTheme="minorEastAsia"/>
          <w:b/>
          <w:kern w:val="0"/>
          <w:sz w:val="32"/>
          <w:szCs w:val="32"/>
          <w:highlight w:val="none"/>
        </w:rPr>
      </w:pPr>
    </w:p>
    <w:p w14:paraId="20009453">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12B69C42">
      <w:pPr>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二、授权委托书或法定代表人（单位负责人、自然人本人）身份证明</w:t>
      </w:r>
    </w:p>
    <w:p w14:paraId="188A2A71">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p>
    <w:p w14:paraId="5E6C02A9">
      <w:pPr>
        <w:snapToGrid w:val="0"/>
        <w:spacing w:line="360" w:lineRule="auto"/>
        <w:ind w:firstLine="2872" w:firstLineChars="894"/>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lang w:val="zh-CN"/>
        </w:rPr>
        <w:t>授权委托书（适用于非联合体投标）</w:t>
      </w:r>
      <w:r>
        <w:rPr>
          <w:rFonts w:hint="eastAsia" w:cs="宋体" w:asciiTheme="minorEastAsia" w:hAnsiTheme="minorEastAsia" w:eastAsiaTheme="minorEastAsia"/>
          <w:highlight w:val="none"/>
        </w:rPr>
        <w:t xml:space="preserve">                               </w:t>
      </w:r>
    </w:p>
    <w:p w14:paraId="71855CE9">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0096588D">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2025年杭州市公安局西湖区分局警网融合智治平台二期采购项目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XHZFCG-2025-G-06</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3487ED2A">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14:paraId="6D3BFAD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14:paraId="6984FCF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投标人名称(电子签名)：</w:t>
      </w:r>
    </w:p>
    <w:p w14:paraId="09055248">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签发日期：  年  月   日</w:t>
      </w:r>
    </w:p>
    <w:p w14:paraId="695C3C22">
      <w:pPr>
        <w:snapToGrid w:val="0"/>
        <w:spacing w:line="360" w:lineRule="auto"/>
        <w:rPr>
          <w:rFonts w:cs="宋体" w:asciiTheme="minorEastAsia" w:hAnsiTheme="minorEastAsia" w:eastAsiaTheme="minorEastAsia"/>
          <w:sz w:val="24"/>
          <w:highlight w:val="none"/>
        </w:rPr>
      </w:pPr>
    </w:p>
    <w:p w14:paraId="0655AFCC">
      <w:pPr>
        <w:spacing w:line="360" w:lineRule="auto"/>
        <w:jc w:val="center"/>
        <w:rPr>
          <w:rFonts w:hint="eastAsia"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 xml:space="preserve">      </w:t>
      </w:r>
      <w:r>
        <w:rPr>
          <w:rFonts w:hint="eastAsia" w:cs="宋体" w:asciiTheme="minorEastAsia" w:hAnsiTheme="minorEastAsia" w:eastAsiaTheme="minorEastAsia"/>
          <w:b/>
          <w:kern w:val="0"/>
          <w:sz w:val="32"/>
          <w:szCs w:val="32"/>
          <w:highlight w:val="none"/>
        </w:rPr>
        <w:t xml:space="preserve"> </w:t>
      </w:r>
      <w:r>
        <w:rPr>
          <w:rFonts w:hint="eastAsia" w:cs="宋体" w:asciiTheme="minorEastAsia" w:hAnsiTheme="minorEastAsia" w:eastAsiaTheme="minorEastAsia"/>
          <w:b/>
          <w:kern w:val="0"/>
          <w:sz w:val="32"/>
          <w:szCs w:val="32"/>
          <w:highlight w:val="none"/>
          <w:lang w:val="zh-CN"/>
        </w:rPr>
        <w:t>授权委托书（适用于联合体投标）</w:t>
      </w:r>
    </w:p>
    <w:p w14:paraId="401D096A">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49C2F546">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2025年杭州市公安局西湖区分局警网融合智治平台二期采购项目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XHZFCG-2025-G-06</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4E8F903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14:paraId="528C372E">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14:paraId="552B4555">
      <w:pPr>
        <w:jc w:val="center"/>
        <w:rPr>
          <w:rFonts w:cs="宋体" w:asciiTheme="minorEastAsia" w:hAnsiTheme="minorEastAsia" w:eastAsiaTheme="minorEastAsia"/>
          <w:b/>
          <w:kern w:val="0"/>
          <w:sz w:val="32"/>
          <w:szCs w:val="32"/>
          <w:highlight w:val="none"/>
        </w:rPr>
      </w:pPr>
    </w:p>
    <w:p w14:paraId="7AC68A91">
      <w:pPr>
        <w:rPr>
          <w:rFonts w:cs="宋体" w:asciiTheme="minorEastAsia" w:hAnsiTheme="minorEastAsia" w:eastAsiaTheme="minorEastAsia"/>
          <w:highlight w:val="none"/>
        </w:rPr>
      </w:pPr>
    </w:p>
    <w:p w14:paraId="70B1AE7B">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7FC1A7E0">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C0EE7F3">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13210CB">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F92C312">
      <w:pPr>
        <w:autoSpaceDE w:val="0"/>
        <w:autoSpaceDN w:val="0"/>
        <w:spacing w:line="360" w:lineRule="auto"/>
        <w:jc w:val="left"/>
        <w:rPr>
          <w:rFonts w:ascii="宋体" w:hAnsi="宋体" w:cs="宋体"/>
          <w:b/>
          <w:color w:val="auto"/>
          <w:kern w:val="0"/>
          <w:sz w:val="32"/>
          <w:szCs w:val="32"/>
          <w:highlight w:val="none"/>
          <w:u w:val="single"/>
          <w:lang w:val="zh-CN"/>
        </w:rPr>
      </w:pPr>
      <w:r>
        <w:rPr>
          <w:rFonts w:hint="eastAsia" w:ascii="宋体" w:hAnsi="宋体" w:cs="宋体"/>
          <w:b/>
          <w:color w:val="auto"/>
          <w:kern w:val="0"/>
          <w:sz w:val="24"/>
          <w:highlight w:val="none"/>
          <w:u w:val="single"/>
          <w:lang w:val="zh-CN"/>
        </w:rPr>
        <w:t>注：▲供应商委派不在本单位缴纳社保的人员作为授权代表（代理人）的，应当在投标（响应）文件中，说明具体原因、授权代表缴纳社保的单位，并附列该授权代表缴纳社保清单。</w:t>
      </w:r>
    </w:p>
    <w:p w14:paraId="413FD5D5">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14:paraId="64BEA95B">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14:paraId="6279E7D5">
      <w:pPr>
        <w:autoSpaceDE w:val="0"/>
        <w:autoSpaceDN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32"/>
          <w:szCs w:val="32"/>
          <w:highlight w:val="none"/>
          <w:lang w:val="zh-CN"/>
        </w:rPr>
        <w:t>法定代表人、单位负责人或自然人本人</w:t>
      </w:r>
      <w:r>
        <w:rPr>
          <w:rFonts w:hint="eastAsia" w:cs="宋体" w:asciiTheme="minorEastAsia" w:hAnsiTheme="minorEastAsia" w:eastAsiaTheme="minorEastAsia"/>
          <w:b/>
          <w:sz w:val="30"/>
          <w:szCs w:val="30"/>
          <w:highlight w:val="none"/>
        </w:rPr>
        <w:t>的身份证明（适用于法定代表人、单位负责人或者自然人本人代表投标人参加投标）</w:t>
      </w:r>
    </w:p>
    <w:p w14:paraId="69E1605E">
      <w:pPr>
        <w:pStyle w:val="147"/>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C1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762FC9">
            <w:pPr>
              <w:pStyle w:val="147"/>
              <w:adjustRightIn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正面：                                 反面：</w:t>
            </w:r>
          </w:p>
          <w:p w14:paraId="4FC92856">
            <w:pPr>
              <w:pStyle w:val="147"/>
              <w:adjustRightInd w:val="0"/>
              <w:spacing w:line="360" w:lineRule="auto"/>
              <w:rPr>
                <w:rFonts w:cs="宋体" w:asciiTheme="minorEastAsia" w:hAnsiTheme="minorEastAsia" w:eastAsiaTheme="minorEastAsia"/>
                <w:bCs/>
                <w:sz w:val="24"/>
                <w:highlight w:val="none"/>
              </w:rPr>
            </w:pPr>
          </w:p>
        </w:tc>
      </w:tr>
    </w:tbl>
    <w:p w14:paraId="5ABE1E39">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14:paraId="3BA8BE45">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投标人名称(电子签名)：                              </w:t>
      </w:r>
    </w:p>
    <w:p w14:paraId="7AC054C5">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1B2D560B">
      <w:pPr>
        <w:jc w:val="center"/>
        <w:rPr>
          <w:rFonts w:cs="宋体" w:asciiTheme="minorEastAsia" w:hAnsiTheme="minorEastAsia" w:eastAsiaTheme="minorEastAsia"/>
          <w:b/>
          <w:kern w:val="0"/>
          <w:sz w:val="32"/>
          <w:szCs w:val="32"/>
          <w:highlight w:val="none"/>
        </w:rPr>
      </w:pPr>
    </w:p>
    <w:p w14:paraId="317C89F8">
      <w:pPr>
        <w:jc w:val="center"/>
        <w:rPr>
          <w:rFonts w:cs="宋体" w:asciiTheme="minorEastAsia" w:hAnsiTheme="minorEastAsia" w:eastAsiaTheme="minorEastAsia"/>
          <w:b/>
          <w:kern w:val="0"/>
          <w:sz w:val="32"/>
          <w:szCs w:val="32"/>
          <w:highlight w:val="none"/>
        </w:rPr>
      </w:pPr>
    </w:p>
    <w:p w14:paraId="5CEE2B64">
      <w:pPr>
        <w:jc w:val="center"/>
        <w:rPr>
          <w:rFonts w:cs="宋体" w:asciiTheme="minorEastAsia" w:hAnsiTheme="minorEastAsia" w:eastAsiaTheme="minorEastAsia"/>
          <w:b/>
          <w:kern w:val="0"/>
          <w:sz w:val="32"/>
          <w:szCs w:val="32"/>
          <w:highlight w:val="none"/>
        </w:rPr>
      </w:pPr>
    </w:p>
    <w:p w14:paraId="0D45A7DF">
      <w:pPr>
        <w:jc w:val="center"/>
        <w:rPr>
          <w:rFonts w:cs="宋体" w:asciiTheme="minorEastAsia" w:hAnsiTheme="minorEastAsia" w:eastAsiaTheme="minorEastAsia"/>
          <w:b/>
          <w:kern w:val="0"/>
          <w:sz w:val="32"/>
          <w:szCs w:val="32"/>
          <w:highlight w:val="none"/>
        </w:rPr>
      </w:pPr>
    </w:p>
    <w:p w14:paraId="7AFE4721">
      <w:pPr>
        <w:jc w:val="center"/>
        <w:rPr>
          <w:rFonts w:cs="宋体" w:asciiTheme="minorEastAsia" w:hAnsiTheme="minorEastAsia" w:eastAsiaTheme="minorEastAsia"/>
          <w:b/>
          <w:kern w:val="0"/>
          <w:sz w:val="32"/>
          <w:szCs w:val="32"/>
          <w:highlight w:val="none"/>
        </w:rPr>
      </w:pPr>
    </w:p>
    <w:p w14:paraId="1B43371A">
      <w:pPr>
        <w:jc w:val="center"/>
        <w:rPr>
          <w:rFonts w:cs="宋体" w:asciiTheme="minorEastAsia" w:hAnsiTheme="minorEastAsia" w:eastAsiaTheme="minorEastAsia"/>
          <w:b/>
          <w:kern w:val="0"/>
          <w:sz w:val="32"/>
          <w:szCs w:val="32"/>
          <w:highlight w:val="none"/>
        </w:rPr>
      </w:pPr>
    </w:p>
    <w:p w14:paraId="31AF8F71">
      <w:pPr>
        <w:jc w:val="center"/>
        <w:rPr>
          <w:rFonts w:cs="宋体" w:asciiTheme="minorEastAsia" w:hAnsiTheme="minorEastAsia" w:eastAsiaTheme="minorEastAsia"/>
          <w:b/>
          <w:kern w:val="0"/>
          <w:sz w:val="32"/>
          <w:szCs w:val="32"/>
          <w:highlight w:val="none"/>
        </w:rPr>
      </w:pPr>
    </w:p>
    <w:p w14:paraId="288280FF">
      <w:pPr>
        <w:jc w:val="center"/>
        <w:rPr>
          <w:rFonts w:cs="宋体" w:asciiTheme="minorEastAsia" w:hAnsiTheme="minorEastAsia" w:eastAsiaTheme="minorEastAsia"/>
          <w:b/>
          <w:kern w:val="0"/>
          <w:sz w:val="32"/>
          <w:szCs w:val="32"/>
          <w:highlight w:val="none"/>
        </w:rPr>
      </w:pPr>
    </w:p>
    <w:p w14:paraId="498A8479">
      <w:pPr>
        <w:jc w:val="center"/>
        <w:rPr>
          <w:rFonts w:cs="宋体" w:asciiTheme="minorEastAsia" w:hAnsiTheme="minorEastAsia" w:eastAsiaTheme="minorEastAsia"/>
          <w:b/>
          <w:kern w:val="0"/>
          <w:sz w:val="32"/>
          <w:szCs w:val="32"/>
          <w:highlight w:val="none"/>
        </w:rPr>
      </w:pPr>
    </w:p>
    <w:p w14:paraId="490EA289">
      <w:pPr>
        <w:jc w:val="center"/>
        <w:rPr>
          <w:rFonts w:cs="宋体" w:asciiTheme="minorEastAsia" w:hAnsiTheme="minorEastAsia" w:eastAsiaTheme="minorEastAsia"/>
          <w:b/>
          <w:kern w:val="0"/>
          <w:sz w:val="32"/>
          <w:szCs w:val="32"/>
          <w:highlight w:val="none"/>
        </w:rPr>
      </w:pPr>
    </w:p>
    <w:p w14:paraId="47F3B830">
      <w:pPr>
        <w:snapToGrid w:val="0"/>
        <w:spacing w:line="360" w:lineRule="auto"/>
        <w:ind w:right="480"/>
        <w:rPr>
          <w:rFonts w:cs="宋体" w:asciiTheme="minorEastAsia" w:hAnsiTheme="minorEastAsia" w:eastAsiaTheme="minorEastAsia"/>
          <w:b/>
          <w:kern w:val="0"/>
          <w:sz w:val="32"/>
          <w:szCs w:val="32"/>
          <w:highlight w:val="none"/>
        </w:rPr>
        <w:sectPr>
          <w:headerReference r:id="rId9" w:type="first"/>
          <w:footerReference r:id="rId11" w:type="first"/>
          <w:headerReference r:id="rId8" w:type="default"/>
          <w:footerReference r:id="rId10" w:type="default"/>
          <w:pgSz w:w="11906" w:h="16838"/>
          <w:pgMar w:top="680" w:right="1417" w:bottom="471" w:left="1417" w:header="851" w:footer="992" w:gutter="0"/>
          <w:cols w:space="0" w:num="1"/>
          <w:titlePg/>
          <w:rtlGutter w:val="0"/>
          <w:docGrid w:linePitch="312" w:charSpace="0"/>
        </w:sectPr>
      </w:pPr>
    </w:p>
    <w:p w14:paraId="4EC80095">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三、分包意向协议（如果有）</w:t>
      </w:r>
    </w:p>
    <w:p w14:paraId="147A6FD7">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中标后以分包方式履行合同的，提供分包意向协议(附件6</w:t>
      </w:r>
      <w:r>
        <w:rPr>
          <w:rFonts w:cs="宋体" w:asciiTheme="minorEastAsia" w:hAnsiTheme="minorEastAsia" w:eastAsiaTheme="minorEastAsia"/>
          <w:b/>
          <w:sz w:val="24"/>
          <w:highlight w:val="none"/>
        </w:rPr>
        <w:t>)</w:t>
      </w:r>
      <w:r>
        <w:rPr>
          <w:rFonts w:hint="eastAsia" w:cs="宋体" w:asciiTheme="minorEastAsia" w:hAnsiTheme="minorEastAsia" w:eastAsiaTheme="minorEastAsia"/>
          <w:b/>
          <w:sz w:val="24"/>
          <w:highlight w:val="none"/>
        </w:rPr>
        <w:t>；采购人不同意分包或者投标人中标后不以分包方式履行合同的，则不需要提供。</w:t>
      </w:r>
      <w:r>
        <w:rPr>
          <w:rFonts w:hint="eastAsia" w:cs="宋体" w:asciiTheme="minorEastAsia" w:hAnsiTheme="minorEastAsia" w:eastAsiaTheme="minorEastAsia"/>
          <w:sz w:val="24"/>
          <w:highlight w:val="none"/>
        </w:rPr>
        <w:t>]</w:t>
      </w:r>
    </w:p>
    <w:p w14:paraId="44060A11">
      <w:pPr>
        <w:snapToGrid w:val="0"/>
        <w:spacing w:line="360" w:lineRule="auto"/>
        <w:rPr>
          <w:rFonts w:cs="宋体" w:asciiTheme="minorEastAsia" w:hAnsiTheme="minorEastAsia" w:eastAsiaTheme="minorEastAsia"/>
          <w:kern w:val="0"/>
          <w:sz w:val="24"/>
          <w:highlight w:val="none"/>
        </w:rPr>
      </w:pPr>
    </w:p>
    <w:p w14:paraId="2126F7EF">
      <w:pPr>
        <w:jc w:val="center"/>
        <w:rPr>
          <w:rFonts w:cs="宋体" w:asciiTheme="minorEastAsia" w:hAnsiTheme="minorEastAsia" w:eastAsiaTheme="minorEastAsia"/>
          <w:b/>
          <w:kern w:val="0"/>
          <w:sz w:val="32"/>
          <w:szCs w:val="32"/>
          <w:highlight w:val="none"/>
        </w:rPr>
      </w:pPr>
    </w:p>
    <w:p w14:paraId="1BC870DF">
      <w:pPr>
        <w:jc w:val="center"/>
        <w:rPr>
          <w:rFonts w:cs="宋体" w:asciiTheme="minorEastAsia" w:hAnsiTheme="minorEastAsia" w:eastAsiaTheme="minorEastAsia"/>
          <w:b/>
          <w:kern w:val="0"/>
          <w:sz w:val="32"/>
          <w:szCs w:val="32"/>
          <w:highlight w:val="none"/>
        </w:rPr>
      </w:pPr>
    </w:p>
    <w:p w14:paraId="649DB5C2">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四、符合性审查资料</w:t>
      </w:r>
    </w:p>
    <w:p w14:paraId="79238D17">
      <w:pPr>
        <w:jc w:val="center"/>
        <w:rPr>
          <w:rFonts w:cs="宋体" w:asciiTheme="minorEastAsia" w:hAnsiTheme="minorEastAsia" w:eastAsiaTheme="minorEastAsia"/>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ED2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3A1424">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4991" w:type="dxa"/>
            <w:vAlign w:val="center"/>
          </w:tcPr>
          <w:p w14:paraId="4A084A08">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实质性要求</w:t>
            </w:r>
          </w:p>
        </w:tc>
        <w:tc>
          <w:tcPr>
            <w:tcW w:w="2551" w:type="dxa"/>
            <w:vAlign w:val="center"/>
          </w:tcPr>
          <w:p w14:paraId="07CF7026">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需要提供的符合性审查资料</w:t>
            </w:r>
          </w:p>
        </w:tc>
        <w:tc>
          <w:tcPr>
            <w:tcW w:w="1418" w:type="dxa"/>
            <w:vAlign w:val="center"/>
          </w:tcPr>
          <w:p w14:paraId="003177E8">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投标文件中的</w:t>
            </w:r>
          </w:p>
          <w:p w14:paraId="012EAE61">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页码位置</w:t>
            </w:r>
          </w:p>
        </w:tc>
      </w:tr>
      <w:tr w14:paraId="666A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4EB4FF">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4991" w:type="dxa"/>
            <w:vAlign w:val="center"/>
          </w:tcPr>
          <w:p w14:paraId="49E32921">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投标文件按照招标文件要求签署、盖章。</w:t>
            </w:r>
          </w:p>
        </w:tc>
        <w:tc>
          <w:tcPr>
            <w:tcW w:w="2551" w:type="dxa"/>
            <w:vAlign w:val="center"/>
          </w:tcPr>
          <w:p w14:paraId="4DC8BD3A">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需要使用电子签名或者签字盖章的投标文件的组成部分</w:t>
            </w:r>
          </w:p>
        </w:tc>
        <w:tc>
          <w:tcPr>
            <w:tcW w:w="1418" w:type="dxa"/>
            <w:vAlign w:val="center"/>
          </w:tcPr>
          <w:p w14:paraId="659E046F">
            <w:pPr>
              <w:jc w:val="center"/>
              <w:rPr>
                <w:rFonts w:cs="宋体" w:asciiTheme="minorEastAsia" w:hAnsiTheme="minorEastAsia" w:eastAsiaTheme="minorEastAsia"/>
                <w:sz w:val="24"/>
                <w:highlight w:val="none"/>
              </w:rPr>
            </w:pPr>
          </w:p>
          <w:p w14:paraId="218F6E79">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见投标文件</w:t>
            </w:r>
          </w:p>
          <w:p w14:paraId="60C557F2">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14:paraId="1778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FE75A9">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4991" w:type="dxa"/>
            <w:vAlign w:val="center"/>
          </w:tcPr>
          <w:p w14:paraId="194D34BC">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投标文件中承诺的投标有效期不少于招标文件中载明的投标有效期。</w:t>
            </w:r>
          </w:p>
        </w:tc>
        <w:tc>
          <w:tcPr>
            <w:tcW w:w="2551" w:type="dxa"/>
            <w:vAlign w:val="center"/>
          </w:tcPr>
          <w:p w14:paraId="545590D6">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投标函</w:t>
            </w:r>
          </w:p>
        </w:tc>
        <w:tc>
          <w:tcPr>
            <w:tcW w:w="1418" w:type="dxa"/>
            <w:vAlign w:val="center"/>
          </w:tcPr>
          <w:p w14:paraId="475C7456">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14:paraId="48FF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A053C9">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4991" w:type="dxa"/>
            <w:vAlign w:val="center"/>
          </w:tcPr>
          <w:p w14:paraId="16B4F70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投标文件满足招标文件的其它实质性要求。</w:t>
            </w:r>
          </w:p>
        </w:tc>
        <w:tc>
          <w:tcPr>
            <w:tcW w:w="2551" w:type="dxa"/>
            <w:vAlign w:val="center"/>
          </w:tcPr>
          <w:p w14:paraId="6C51231C">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招标文件其它实质性要求相应的材料（“▲” 系指实质性要求条款，招标文件无其它实质性要求的，无需提供）</w:t>
            </w:r>
          </w:p>
        </w:tc>
        <w:tc>
          <w:tcPr>
            <w:tcW w:w="1418" w:type="dxa"/>
            <w:vAlign w:val="center"/>
          </w:tcPr>
          <w:p w14:paraId="13C6EA6E">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bl>
    <w:p w14:paraId="382D5F21">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4DE14F8">
      <w:pPr>
        <w:jc w:val="center"/>
        <w:rPr>
          <w:rFonts w:cs="宋体" w:asciiTheme="minorEastAsia" w:hAnsiTheme="minorEastAsia" w:eastAsiaTheme="minorEastAsia"/>
          <w:b/>
          <w:kern w:val="0"/>
          <w:sz w:val="32"/>
          <w:szCs w:val="32"/>
          <w:highlight w:val="none"/>
        </w:rPr>
      </w:pPr>
    </w:p>
    <w:p w14:paraId="7DF4BE3D">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 xml:space="preserve">            </w:t>
      </w:r>
    </w:p>
    <w:p w14:paraId="2B67AF31">
      <w:pPr>
        <w:jc w:val="center"/>
        <w:rPr>
          <w:rFonts w:cs="宋体" w:asciiTheme="minorEastAsia" w:hAnsiTheme="minorEastAsia" w:eastAsiaTheme="minorEastAsia"/>
          <w:b/>
          <w:kern w:val="0"/>
          <w:sz w:val="32"/>
          <w:szCs w:val="32"/>
          <w:highlight w:val="none"/>
        </w:rPr>
      </w:pPr>
    </w:p>
    <w:p w14:paraId="737AE047">
      <w:pPr>
        <w:jc w:val="center"/>
        <w:rPr>
          <w:rFonts w:cs="宋体" w:asciiTheme="minorEastAsia" w:hAnsiTheme="minorEastAsia" w:eastAsiaTheme="minorEastAsia"/>
          <w:b/>
          <w:kern w:val="0"/>
          <w:sz w:val="32"/>
          <w:szCs w:val="32"/>
          <w:highlight w:val="none"/>
        </w:rPr>
      </w:pPr>
    </w:p>
    <w:p w14:paraId="346BFCE0">
      <w:pPr>
        <w:jc w:val="center"/>
        <w:rPr>
          <w:rFonts w:cs="宋体" w:asciiTheme="minorEastAsia" w:hAnsiTheme="minorEastAsia" w:eastAsiaTheme="minorEastAsia"/>
          <w:b/>
          <w:kern w:val="0"/>
          <w:sz w:val="32"/>
          <w:szCs w:val="32"/>
          <w:highlight w:val="none"/>
        </w:rPr>
      </w:pPr>
    </w:p>
    <w:p w14:paraId="683253E7">
      <w:pPr>
        <w:jc w:val="center"/>
        <w:rPr>
          <w:rFonts w:cs="宋体" w:asciiTheme="minorEastAsia" w:hAnsiTheme="minorEastAsia" w:eastAsiaTheme="minorEastAsia"/>
          <w:b/>
          <w:kern w:val="0"/>
          <w:sz w:val="32"/>
          <w:szCs w:val="32"/>
          <w:highlight w:val="none"/>
        </w:rPr>
      </w:pPr>
    </w:p>
    <w:p w14:paraId="1FAC6DF9">
      <w:pPr>
        <w:jc w:val="center"/>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rPr>
        <w:t>五、评标标准相应的商务技术资料</w:t>
      </w:r>
    </w:p>
    <w:p w14:paraId="6D1DF44D">
      <w:pPr>
        <w:snapToGrid w:val="0"/>
        <w:spacing w:line="360" w:lineRule="auto"/>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（按招标文件第四部分评标办法前附表中“投标文件中评标标准相应的商务技术资料目录”提供资料。）</w:t>
      </w:r>
    </w:p>
    <w:p w14:paraId="316A6C96">
      <w:pPr>
        <w:jc w:val="center"/>
        <w:rPr>
          <w:rFonts w:cs="宋体" w:asciiTheme="minorEastAsia" w:hAnsiTheme="minorEastAsia" w:eastAsiaTheme="minorEastAsia"/>
          <w:b/>
          <w:kern w:val="0"/>
          <w:sz w:val="32"/>
          <w:szCs w:val="32"/>
          <w:highlight w:val="none"/>
        </w:rPr>
      </w:pPr>
    </w:p>
    <w:p w14:paraId="3C507A97">
      <w:pPr>
        <w:jc w:val="center"/>
        <w:rPr>
          <w:rFonts w:cs="宋体" w:asciiTheme="minorEastAsia" w:hAnsiTheme="minorEastAsia" w:eastAsiaTheme="minorEastAsia"/>
          <w:b/>
          <w:kern w:val="0"/>
          <w:sz w:val="32"/>
          <w:szCs w:val="32"/>
          <w:highlight w:val="none"/>
        </w:rPr>
      </w:pPr>
    </w:p>
    <w:p w14:paraId="1EBE8047">
      <w:pPr>
        <w:jc w:val="center"/>
        <w:rPr>
          <w:rFonts w:cs="宋体" w:asciiTheme="minorEastAsia" w:hAnsiTheme="minorEastAsia" w:eastAsiaTheme="minorEastAsia"/>
          <w:b/>
          <w:kern w:val="0"/>
          <w:sz w:val="32"/>
          <w:szCs w:val="32"/>
          <w:highlight w:val="none"/>
        </w:rPr>
      </w:pPr>
    </w:p>
    <w:p w14:paraId="1D67DA01">
      <w:pPr>
        <w:ind w:firstLine="2891" w:firstLineChars="9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六、投标标的清单</w:t>
      </w:r>
    </w:p>
    <w:tbl>
      <w:tblPr>
        <w:tblStyle w:val="6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52"/>
        <w:gridCol w:w="1581"/>
        <w:gridCol w:w="2313"/>
        <w:gridCol w:w="1612"/>
        <w:gridCol w:w="875"/>
        <w:gridCol w:w="1786"/>
      </w:tblGrid>
      <w:tr w14:paraId="529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E20E041">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0444BF7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581" w:type="dxa"/>
            <w:tcBorders>
              <w:top w:val="single" w:color="auto" w:sz="4" w:space="0"/>
              <w:left w:val="single" w:color="auto" w:sz="4" w:space="0"/>
              <w:bottom w:val="single" w:color="auto" w:sz="4" w:space="0"/>
              <w:right w:val="single" w:color="auto" w:sz="4" w:space="0"/>
            </w:tcBorders>
          </w:tcPr>
          <w:p w14:paraId="1FCBAEB7">
            <w:pPr>
              <w:spacing w:line="360" w:lineRule="auto"/>
              <w:jc w:val="center"/>
              <w:rPr>
                <w:rFonts w:cs="宋体" w:asciiTheme="minorEastAsia" w:hAnsiTheme="minorEastAsia" w:eastAsiaTheme="minorEastAsia"/>
                <w:b/>
                <w:sz w:val="24"/>
                <w:highlight w:val="none"/>
              </w:rPr>
            </w:pPr>
          </w:p>
          <w:p w14:paraId="539806B8">
            <w:pPr>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p w14:paraId="362FDDC5">
            <w:pPr>
              <w:spacing w:line="360" w:lineRule="auto"/>
              <w:jc w:val="center"/>
              <w:rPr>
                <w:rFonts w:hint="eastAsia" w:cs="宋体" w:asciiTheme="minorEastAsia" w:hAnsiTheme="minorEastAsia" w:eastAsiaTheme="minorEastAsia"/>
                <w:b/>
                <w:sz w:val="24"/>
                <w:highlight w:val="none"/>
                <w:lang w:eastAsia="zh-CN"/>
              </w:rPr>
            </w:pPr>
          </w:p>
        </w:tc>
        <w:tc>
          <w:tcPr>
            <w:tcW w:w="2313" w:type="dxa"/>
            <w:tcBorders>
              <w:top w:val="single" w:color="auto" w:sz="4" w:space="0"/>
              <w:left w:val="single" w:color="auto" w:sz="4" w:space="0"/>
              <w:bottom w:val="single" w:color="auto" w:sz="4" w:space="0"/>
              <w:right w:val="single" w:color="auto" w:sz="4" w:space="0"/>
            </w:tcBorders>
            <w:vAlign w:val="center"/>
          </w:tcPr>
          <w:p w14:paraId="41554004">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服务要求</w:t>
            </w:r>
          </w:p>
        </w:tc>
        <w:tc>
          <w:tcPr>
            <w:tcW w:w="1612" w:type="dxa"/>
            <w:tcBorders>
              <w:top w:val="single" w:color="auto" w:sz="4" w:space="0"/>
              <w:left w:val="single" w:color="auto" w:sz="4" w:space="0"/>
              <w:bottom w:val="single" w:color="auto" w:sz="4" w:space="0"/>
              <w:right w:val="single" w:color="auto" w:sz="4" w:space="0"/>
            </w:tcBorders>
            <w:vAlign w:val="center"/>
          </w:tcPr>
          <w:p w14:paraId="2B3E31C6">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p>
        </w:tc>
        <w:tc>
          <w:tcPr>
            <w:tcW w:w="875" w:type="dxa"/>
            <w:tcBorders>
              <w:top w:val="single" w:color="auto" w:sz="4" w:space="0"/>
              <w:left w:val="single" w:color="auto" w:sz="4" w:space="0"/>
              <w:bottom w:val="single" w:color="auto" w:sz="4" w:space="0"/>
              <w:right w:val="single" w:color="auto" w:sz="4" w:space="0"/>
            </w:tcBorders>
            <w:vAlign w:val="center"/>
          </w:tcPr>
          <w:p w14:paraId="0A265E9C">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1786" w:type="dxa"/>
            <w:tcBorders>
              <w:top w:val="single" w:color="auto" w:sz="4" w:space="0"/>
              <w:left w:val="single" w:color="auto" w:sz="4" w:space="0"/>
              <w:bottom w:val="single" w:color="auto" w:sz="4" w:space="0"/>
              <w:right w:val="single" w:color="auto" w:sz="4" w:space="0"/>
            </w:tcBorders>
            <w:vAlign w:val="center"/>
          </w:tcPr>
          <w:p w14:paraId="00ED3E1C">
            <w:pPr>
              <w:spacing w:line="360" w:lineRule="auto"/>
              <w:jc w:val="center"/>
              <w:rPr>
                <w:rFonts w:cs="宋体" w:asciiTheme="minorEastAsia" w:hAnsiTheme="minorEastAsia" w:eastAsiaTheme="minorEastAsia"/>
                <w:b/>
                <w:sz w:val="24"/>
                <w:highlight w:val="none"/>
              </w:rPr>
            </w:pPr>
          </w:p>
          <w:p w14:paraId="65A261F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3B23A4B9">
            <w:pPr>
              <w:spacing w:line="360" w:lineRule="auto"/>
              <w:jc w:val="center"/>
              <w:rPr>
                <w:rFonts w:cs="宋体" w:asciiTheme="minorEastAsia" w:hAnsiTheme="minorEastAsia" w:eastAsiaTheme="minorEastAsia"/>
                <w:b/>
                <w:sz w:val="24"/>
                <w:highlight w:val="none"/>
              </w:rPr>
            </w:pPr>
          </w:p>
        </w:tc>
      </w:tr>
      <w:tr w14:paraId="3081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638B36E">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34BFF582">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6F1B5884">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08F674F6">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238A8FBA">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4D5906BA">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73070B25">
            <w:pPr>
              <w:spacing w:line="360" w:lineRule="auto"/>
              <w:jc w:val="center"/>
              <w:rPr>
                <w:rFonts w:cs="宋体" w:asciiTheme="minorEastAsia" w:hAnsiTheme="minorEastAsia" w:eastAsiaTheme="minorEastAsia"/>
                <w:sz w:val="24"/>
                <w:highlight w:val="none"/>
              </w:rPr>
            </w:pPr>
          </w:p>
        </w:tc>
      </w:tr>
      <w:tr w14:paraId="3BB3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351B28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0157D815">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6579B947">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72B8F34F">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3BAF77C5">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744F789C">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156F28DA">
            <w:pPr>
              <w:spacing w:line="360" w:lineRule="auto"/>
              <w:jc w:val="center"/>
              <w:rPr>
                <w:rFonts w:cs="宋体" w:asciiTheme="minorEastAsia" w:hAnsiTheme="minorEastAsia" w:eastAsiaTheme="minorEastAsia"/>
                <w:sz w:val="24"/>
                <w:highlight w:val="none"/>
              </w:rPr>
            </w:pPr>
          </w:p>
        </w:tc>
      </w:tr>
      <w:tr w14:paraId="2B3E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7A419AD">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14:paraId="66F86C56">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3978094D">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52E6C03A">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79A0D8E8">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17CB0690">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0A3CA5C2">
            <w:pPr>
              <w:spacing w:line="360" w:lineRule="auto"/>
              <w:jc w:val="center"/>
              <w:rPr>
                <w:rFonts w:cs="宋体" w:asciiTheme="minorEastAsia" w:hAnsiTheme="minorEastAsia" w:eastAsiaTheme="minorEastAsia"/>
                <w:sz w:val="24"/>
                <w:highlight w:val="none"/>
              </w:rPr>
            </w:pPr>
          </w:p>
        </w:tc>
      </w:tr>
    </w:tbl>
    <w:p w14:paraId="441512C9">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66C9FCEA">
      <w:pPr>
        <w:jc w:val="center"/>
        <w:rPr>
          <w:rFonts w:cs="宋体" w:asciiTheme="minorEastAsia" w:hAnsiTheme="minorEastAsia" w:eastAsiaTheme="minorEastAsia"/>
          <w:b/>
          <w:kern w:val="0"/>
          <w:sz w:val="32"/>
          <w:szCs w:val="32"/>
          <w:highlight w:val="none"/>
        </w:rPr>
      </w:pPr>
    </w:p>
    <w:p w14:paraId="718B9BFB">
      <w:pPr>
        <w:jc w:val="center"/>
        <w:rPr>
          <w:rFonts w:cs="宋体" w:asciiTheme="minorEastAsia" w:hAnsiTheme="minorEastAsia" w:eastAsiaTheme="minorEastAsia"/>
          <w:b/>
          <w:kern w:val="0"/>
          <w:sz w:val="32"/>
          <w:szCs w:val="32"/>
          <w:highlight w:val="none"/>
        </w:rPr>
      </w:pPr>
    </w:p>
    <w:p w14:paraId="047278F9">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551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71AD5B">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序号</w:t>
            </w:r>
          </w:p>
        </w:tc>
        <w:tc>
          <w:tcPr>
            <w:tcW w:w="3683" w:type="dxa"/>
          </w:tcPr>
          <w:p w14:paraId="5A815031">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招标文件章节及具体内容</w:t>
            </w:r>
          </w:p>
        </w:tc>
        <w:tc>
          <w:tcPr>
            <w:tcW w:w="3546" w:type="dxa"/>
          </w:tcPr>
          <w:p w14:paraId="629E3F35">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投标文件章节及具体内容</w:t>
            </w:r>
          </w:p>
        </w:tc>
        <w:tc>
          <w:tcPr>
            <w:tcW w:w="1276" w:type="dxa"/>
          </w:tcPr>
          <w:p w14:paraId="47201C13">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偏离说明</w:t>
            </w:r>
          </w:p>
        </w:tc>
      </w:tr>
      <w:tr w14:paraId="4306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0B0AFB">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p>
        </w:tc>
        <w:tc>
          <w:tcPr>
            <w:tcW w:w="3683" w:type="dxa"/>
          </w:tcPr>
          <w:p w14:paraId="5974D098">
            <w:pPr>
              <w:jc w:val="center"/>
              <w:rPr>
                <w:rFonts w:cs="宋体" w:asciiTheme="minorEastAsia" w:hAnsiTheme="minorEastAsia" w:eastAsiaTheme="minorEastAsia"/>
                <w:b/>
                <w:kern w:val="0"/>
                <w:sz w:val="32"/>
                <w:szCs w:val="32"/>
                <w:highlight w:val="none"/>
              </w:rPr>
            </w:pPr>
          </w:p>
        </w:tc>
        <w:tc>
          <w:tcPr>
            <w:tcW w:w="3546" w:type="dxa"/>
          </w:tcPr>
          <w:p w14:paraId="6B37491A">
            <w:pPr>
              <w:jc w:val="center"/>
              <w:rPr>
                <w:rFonts w:cs="宋体" w:asciiTheme="minorEastAsia" w:hAnsiTheme="minorEastAsia" w:eastAsiaTheme="minorEastAsia"/>
                <w:b/>
                <w:kern w:val="0"/>
                <w:sz w:val="32"/>
                <w:szCs w:val="32"/>
                <w:highlight w:val="none"/>
              </w:rPr>
            </w:pPr>
          </w:p>
        </w:tc>
        <w:tc>
          <w:tcPr>
            <w:tcW w:w="1276" w:type="dxa"/>
          </w:tcPr>
          <w:p w14:paraId="3CCC6EFF">
            <w:pPr>
              <w:jc w:val="center"/>
              <w:rPr>
                <w:rFonts w:cs="宋体" w:asciiTheme="minorEastAsia" w:hAnsiTheme="minorEastAsia" w:eastAsiaTheme="minorEastAsia"/>
                <w:b/>
                <w:kern w:val="0"/>
                <w:sz w:val="32"/>
                <w:szCs w:val="32"/>
                <w:highlight w:val="none"/>
              </w:rPr>
            </w:pPr>
          </w:p>
        </w:tc>
      </w:tr>
      <w:tr w14:paraId="7C34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F06C6E">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p>
        </w:tc>
        <w:tc>
          <w:tcPr>
            <w:tcW w:w="3683" w:type="dxa"/>
          </w:tcPr>
          <w:p w14:paraId="55539277">
            <w:pPr>
              <w:jc w:val="center"/>
              <w:rPr>
                <w:rFonts w:cs="宋体" w:asciiTheme="minorEastAsia" w:hAnsiTheme="minorEastAsia" w:eastAsiaTheme="minorEastAsia"/>
                <w:b/>
                <w:kern w:val="0"/>
                <w:sz w:val="32"/>
                <w:szCs w:val="32"/>
                <w:highlight w:val="none"/>
              </w:rPr>
            </w:pPr>
          </w:p>
        </w:tc>
        <w:tc>
          <w:tcPr>
            <w:tcW w:w="3546" w:type="dxa"/>
          </w:tcPr>
          <w:p w14:paraId="2F82DACE">
            <w:pPr>
              <w:jc w:val="center"/>
              <w:rPr>
                <w:rFonts w:cs="宋体" w:asciiTheme="minorEastAsia" w:hAnsiTheme="minorEastAsia" w:eastAsiaTheme="minorEastAsia"/>
                <w:b/>
                <w:kern w:val="0"/>
                <w:sz w:val="32"/>
                <w:szCs w:val="32"/>
                <w:highlight w:val="none"/>
              </w:rPr>
            </w:pPr>
          </w:p>
        </w:tc>
        <w:tc>
          <w:tcPr>
            <w:tcW w:w="1276" w:type="dxa"/>
          </w:tcPr>
          <w:p w14:paraId="42247AAB">
            <w:pPr>
              <w:jc w:val="center"/>
              <w:rPr>
                <w:rFonts w:cs="宋体" w:asciiTheme="minorEastAsia" w:hAnsiTheme="minorEastAsia" w:eastAsiaTheme="minorEastAsia"/>
                <w:b/>
                <w:kern w:val="0"/>
                <w:sz w:val="32"/>
                <w:szCs w:val="32"/>
                <w:highlight w:val="none"/>
              </w:rPr>
            </w:pPr>
          </w:p>
        </w:tc>
      </w:tr>
      <w:tr w14:paraId="61D8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504C99">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w:t>
            </w:r>
          </w:p>
        </w:tc>
        <w:tc>
          <w:tcPr>
            <w:tcW w:w="3683" w:type="dxa"/>
          </w:tcPr>
          <w:p w14:paraId="2702DA3E">
            <w:pPr>
              <w:jc w:val="center"/>
              <w:rPr>
                <w:rFonts w:cs="宋体" w:asciiTheme="minorEastAsia" w:hAnsiTheme="minorEastAsia" w:eastAsiaTheme="minorEastAsia"/>
                <w:b/>
                <w:kern w:val="0"/>
                <w:sz w:val="32"/>
                <w:szCs w:val="32"/>
                <w:highlight w:val="none"/>
              </w:rPr>
            </w:pPr>
          </w:p>
        </w:tc>
        <w:tc>
          <w:tcPr>
            <w:tcW w:w="3546" w:type="dxa"/>
          </w:tcPr>
          <w:p w14:paraId="33D832F6">
            <w:pPr>
              <w:jc w:val="center"/>
              <w:rPr>
                <w:rFonts w:cs="宋体" w:asciiTheme="minorEastAsia" w:hAnsiTheme="minorEastAsia" w:eastAsiaTheme="minorEastAsia"/>
                <w:b/>
                <w:kern w:val="0"/>
                <w:sz w:val="32"/>
                <w:szCs w:val="32"/>
                <w:highlight w:val="none"/>
              </w:rPr>
            </w:pPr>
          </w:p>
        </w:tc>
        <w:tc>
          <w:tcPr>
            <w:tcW w:w="1276" w:type="dxa"/>
          </w:tcPr>
          <w:p w14:paraId="61FDB86B">
            <w:pPr>
              <w:jc w:val="center"/>
              <w:rPr>
                <w:rFonts w:cs="宋体" w:asciiTheme="minorEastAsia" w:hAnsiTheme="minorEastAsia" w:eastAsiaTheme="minorEastAsia"/>
                <w:b/>
                <w:kern w:val="0"/>
                <w:sz w:val="32"/>
                <w:szCs w:val="32"/>
                <w:highlight w:val="none"/>
              </w:rPr>
            </w:pPr>
          </w:p>
        </w:tc>
      </w:tr>
    </w:tbl>
    <w:p w14:paraId="53859DDD">
      <w:pPr>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投标人保证：除商务技术偏离表列出的偏离外，投标人响应招标文件的全部要求</w:t>
      </w:r>
    </w:p>
    <w:p w14:paraId="29533961">
      <w:pPr>
        <w:jc w:val="center"/>
        <w:rPr>
          <w:rFonts w:cs="宋体" w:asciiTheme="minorEastAsia" w:hAnsiTheme="minorEastAsia" w:eastAsiaTheme="minorEastAsia"/>
          <w:b/>
          <w:kern w:val="0"/>
          <w:sz w:val="32"/>
          <w:szCs w:val="32"/>
          <w:highlight w:val="none"/>
        </w:rPr>
      </w:pPr>
    </w:p>
    <w:p w14:paraId="45C34395">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77106A0C">
      <w:pPr>
        <w:ind w:firstLine="1911" w:firstLineChars="595"/>
        <w:rPr>
          <w:rFonts w:cs="宋体" w:asciiTheme="minorEastAsia" w:hAnsiTheme="minorEastAsia" w:eastAsiaTheme="minorEastAsia"/>
          <w:b/>
          <w:bCs/>
          <w:sz w:val="32"/>
          <w:szCs w:val="32"/>
          <w:highlight w:val="none"/>
        </w:rPr>
      </w:pPr>
    </w:p>
    <w:p w14:paraId="17542FDC">
      <w:pPr>
        <w:spacing w:line="360" w:lineRule="auto"/>
        <w:jc w:val="center"/>
        <w:rPr>
          <w:rFonts w:hint="eastAsia" w:cs="宋体" w:asciiTheme="minorEastAsia" w:hAnsiTheme="minorEastAsia" w:eastAsiaTheme="minorEastAsia"/>
          <w:b/>
          <w:bCs/>
          <w:sz w:val="32"/>
          <w:szCs w:val="32"/>
          <w:highlight w:val="none"/>
        </w:rPr>
      </w:pPr>
    </w:p>
    <w:p w14:paraId="530843F3">
      <w:pPr>
        <w:spacing w:line="360" w:lineRule="auto"/>
        <w:jc w:val="center"/>
        <w:rPr>
          <w:rFonts w:hint="eastAsia" w:cs="宋体" w:asciiTheme="minorEastAsia" w:hAnsiTheme="minorEastAsia" w:eastAsiaTheme="minorEastAsia"/>
          <w:b/>
          <w:bCs/>
          <w:sz w:val="32"/>
          <w:szCs w:val="32"/>
          <w:highlight w:val="none"/>
        </w:rPr>
      </w:pPr>
    </w:p>
    <w:p w14:paraId="486682DC">
      <w:pPr>
        <w:spacing w:line="360" w:lineRule="auto"/>
        <w:jc w:val="center"/>
        <w:rPr>
          <w:rFonts w:hint="eastAsia" w:cs="宋体" w:asciiTheme="minorEastAsia" w:hAnsiTheme="minorEastAsia" w:eastAsiaTheme="minorEastAsia"/>
          <w:b/>
          <w:bCs/>
          <w:sz w:val="32"/>
          <w:szCs w:val="32"/>
          <w:highlight w:val="none"/>
        </w:rPr>
      </w:pPr>
    </w:p>
    <w:p w14:paraId="458A6F89">
      <w:pPr>
        <w:spacing w:line="360" w:lineRule="auto"/>
        <w:jc w:val="center"/>
        <w:rPr>
          <w:rFonts w:hint="eastAsia" w:cs="宋体" w:asciiTheme="minorEastAsia" w:hAnsiTheme="minorEastAsia" w:eastAsiaTheme="minorEastAsia"/>
          <w:b/>
          <w:bCs/>
          <w:sz w:val="32"/>
          <w:szCs w:val="32"/>
          <w:highlight w:val="none"/>
        </w:rPr>
      </w:pPr>
    </w:p>
    <w:p w14:paraId="721E7947">
      <w:pPr>
        <w:spacing w:line="360" w:lineRule="auto"/>
        <w:jc w:val="center"/>
        <w:rPr>
          <w:rFonts w:hint="eastAsia" w:cs="宋体" w:asciiTheme="minorEastAsia" w:hAnsiTheme="minorEastAsia" w:eastAsiaTheme="minorEastAsia"/>
          <w:b/>
          <w:bCs/>
          <w:sz w:val="32"/>
          <w:szCs w:val="32"/>
          <w:highlight w:val="none"/>
        </w:rPr>
      </w:pPr>
    </w:p>
    <w:p w14:paraId="798C9D65">
      <w:pPr>
        <w:spacing w:line="360" w:lineRule="auto"/>
        <w:jc w:val="center"/>
        <w:rPr>
          <w:rFonts w:hint="eastAsia" w:cs="宋体" w:asciiTheme="minorEastAsia" w:hAnsiTheme="minorEastAsia" w:eastAsiaTheme="minorEastAsia"/>
          <w:b/>
          <w:bCs/>
          <w:sz w:val="32"/>
          <w:szCs w:val="32"/>
          <w:highlight w:val="none"/>
        </w:rPr>
      </w:pPr>
    </w:p>
    <w:p w14:paraId="12462BA6">
      <w:pPr>
        <w:spacing w:line="360" w:lineRule="auto"/>
        <w:jc w:val="center"/>
        <w:rPr>
          <w:rFonts w:hint="eastAsia" w:cs="宋体" w:asciiTheme="minorEastAsia" w:hAnsiTheme="minorEastAsia" w:eastAsiaTheme="minorEastAsia"/>
          <w:b/>
          <w:bCs/>
          <w:sz w:val="32"/>
          <w:szCs w:val="32"/>
          <w:highlight w:val="none"/>
        </w:rPr>
      </w:pPr>
    </w:p>
    <w:p w14:paraId="5724D640">
      <w:pPr>
        <w:spacing w:line="360" w:lineRule="auto"/>
        <w:jc w:val="center"/>
        <w:rPr>
          <w:rFonts w:hint="eastAsia" w:cs="宋体" w:asciiTheme="minorEastAsia" w:hAnsiTheme="minorEastAsia" w:eastAsiaTheme="minorEastAsia"/>
          <w:b/>
          <w:bCs/>
          <w:sz w:val="32"/>
          <w:szCs w:val="32"/>
          <w:highlight w:val="none"/>
        </w:rPr>
      </w:pPr>
    </w:p>
    <w:p w14:paraId="76CEDFD9">
      <w:pPr>
        <w:spacing w:line="360" w:lineRule="auto"/>
        <w:jc w:val="center"/>
        <w:rPr>
          <w:rFonts w:hint="eastAsia" w:cs="宋体" w:asciiTheme="minorEastAsia" w:hAnsiTheme="minorEastAsia" w:eastAsiaTheme="minorEastAsia"/>
          <w:b/>
          <w:bCs/>
          <w:sz w:val="32"/>
          <w:szCs w:val="32"/>
          <w:highlight w:val="none"/>
        </w:rPr>
      </w:pPr>
    </w:p>
    <w:p w14:paraId="2333D2CA">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C22BE7">
      <w:pPr>
        <w:spacing w:line="360" w:lineRule="auto"/>
        <w:ind w:firstLine="1911" w:firstLineChars="595"/>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bCs/>
          <w:sz w:val="32"/>
          <w:szCs w:val="32"/>
          <w:highlight w:val="none"/>
          <w:lang w:val="en-US" w:eastAsia="zh-CN"/>
        </w:rPr>
        <w:t>八</w:t>
      </w:r>
      <w:r>
        <w:rPr>
          <w:rFonts w:hint="eastAsia" w:cs="宋体" w:asciiTheme="minorEastAsia" w:hAnsiTheme="minorEastAsia" w:eastAsiaTheme="minorEastAsia"/>
          <w:b/>
          <w:kern w:val="0"/>
          <w:sz w:val="32"/>
          <w:szCs w:val="32"/>
          <w:highlight w:val="none"/>
        </w:rPr>
        <w:t>、</w:t>
      </w:r>
      <w:r>
        <w:rPr>
          <w:rFonts w:hint="eastAsia" w:cs="宋体" w:asciiTheme="minorEastAsia" w:hAnsiTheme="minorEastAsia" w:eastAsiaTheme="minorEastAsia"/>
          <w:b/>
          <w:kern w:val="0"/>
          <w:sz w:val="32"/>
          <w:szCs w:val="32"/>
          <w:highlight w:val="none"/>
          <w:lang w:val="zh-CN"/>
        </w:rPr>
        <w:t>政府采购供应商廉洁自律承诺书</w:t>
      </w:r>
    </w:p>
    <w:p w14:paraId="359BB840">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5E547434">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我单位响应你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项目招标要求参加投标。在这次投标过程中和中标后，我们将严格遵守国家法律法规要求，并郑重承诺：</w:t>
      </w:r>
    </w:p>
    <w:p w14:paraId="0A627F72">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4751C042">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二、不为项目有关人员及部门报销应由你方单位或个人支付的费用； </w:t>
      </w:r>
    </w:p>
    <w:p w14:paraId="25D07976">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三、不向项目有关人员及部门提供有可能影响公正的宴请和健身娱乐等活动； </w:t>
      </w:r>
    </w:p>
    <w:p w14:paraId="5DF8DA9A">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四、不为项目有关人员及部门出国（境）、旅游等提供方便；</w:t>
      </w:r>
    </w:p>
    <w:p w14:paraId="0FE4CA1B">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五、不为项目有关人员个人装修住房、婚丧嫁娶、配偶子女工作安排等提供</w:t>
      </w:r>
    </w:p>
    <w:p w14:paraId="6443785E">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好处；</w:t>
      </w:r>
    </w:p>
    <w:p w14:paraId="5739DED4">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六、严格遵守《</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政府采购法》《</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招标投标</w:t>
      </w:r>
    </w:p>
    <w:p w14:paraId="7108C984">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法》</w:t>
      </w:r>
      <w:r>
        <w:rPr>
          <w:rFonts w:hint="eastAsia" w:cs="宋体" w:asciiTheme="minorEastAsia" w:hAnsiTheme="minorEastAsia" w:eastAsiaTheme="minorEastAsia"/>
          <w:sz w:val="24"/>
          <w:highlight w:val="none"/>
          <w:lang w:val="zh-CN"/>
        </w:rPr>
        <w:t>《中华人民共和国民法典》</w:t>
      </w:r>
      <w:r>
        <w:rPr>
          <w:rFonts w:hint="eastAsia" w:cs="宋体" w:asciiTheme="minorEastAsia" w:hAnsiTheme="minorEastAsia" w:eastAsiaTheme="minorEastAsia"/>
          <w:kern w:val="0"/>
          <w:sz w:val="24"/>
          <w:highlight w:val="none"/>
          <w:lang w:val="zh-CN"/>
        </w:rPr>
        <w:t xml:space="preserve">等法律法规，诚实守信，合法经营，坚决抵制各种违法违纪行为。 </w:t>
      </w:r>
    </w:p>
    <w:p w14:paraId="0CCD5410">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如违反上述承诺，你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进行项目建设或其他经营活动，并通报区财政局。由此引起的相应损失均由我单位承担。</w:t>
      </w:r>
    </w:p>
    <w:p w14:paraId="00F1900C">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469A0DBA">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243308CC">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040DDC78">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投标人名称（</w:t>
      </w:r>
      <w:r>
        <w:rPr>
          <w:rFonts w:hint="eastAsia" w:cs="宋体" w:asciiTheme="minorEastAsia" w:hAnsiTheme="minorEastAsia" w:eastAsiaTheme="minorEastAsia"/>
          <w:sz w:val="24"/>
          <w:highlight w:val="none"/>
        </w:rPr>
        <w:t>电子签名</w:t>
      </w:r>
      <w:r>
        <w:rPr>
          <w:rFonts w:hint="eastAsia" w:cs="宋体" w:asciiTheme="minorEastAsia" w:hAnsiTheme="minorEastAsia" w:eastAsiaTheme="minorEastAsia"/>
          <w:kern w:val="0"/>
          <w:sz w:val="24"/>
          <w:highlight w:val="none"/>
          <w:lang w:val="zh-CN"/>
        </w:rPr>
        <w:t xml:space="preserve">）：                                                                                                                                                                                                               </w:t>
      </w:r>
    </w:p>
    <w:p w14:paraId="40E22C94">
      <w:pPr>
        <w:spacing w:line="360" w:lineRule="auto"/>
        <w:ind w:left="4620" w:leftChars="2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 xml:space="preserve">   年   月   日</w:t>
      </w:r>
    </w:p>
    <w:p w14:paraId="07B3EF96">
      <w:pPr>
        <w:spacing w:line="360" w:lineRule="auto"/>
        <w:jc w:val="center"/>
        <w:rPr>
          <w:rFonts w:cs="宋体" w:asciiTheme="minorEastAsia" w:hAnsiTheme="minorEastAsia" w:eastAsiaTheme="minorEastAsia"/>
          <w:b/>
          <w:bCs/>
          <w:sz w:val="24"/>
          <w:highlight w:val="none"/>
        </w:rPr>
      </w:pPr>
    </w:p>
    <w:p w14:paraId="032A8FF7">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3BF0C376">
      <w:pPr>
        <w:spacing w:line="360" w:lineRule="auto"/>
        <w:jc w:val="center"/>
        <w:rPr>
          <w:rFonts w:cs="宋体" w:asciiTheme="minorEastAsia" w:hAnsiTheme="minorEastAsia" w:eastAsiaTheme="minorEastAsia"/>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3E3EC3D">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报价文件部分</w:t>
      </w:r>
    </w:p>
    <w:p w14:paraId="5BCA6E10">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14:paraId="2751CAA6">
      <w:pPr>
        <w:spacing w:line="360" w:lineRule="auto"/>
        <w:jc w:val="center"/>
        <w:outlineLvl w:val="0"/>
        <w:rPr>
          <w:rFonts w:cs="宋体" w:asciiTheme="minorEastAsia" w:hAnsiTheme="minorEastAsia" w:eastAsiaTheme="minorEastAsia"/>
          <w:b/>
          <w:kern w:val="0"/>
          <w:sz w:val="36"/>
          <w:szCs w:val="36"/>
          <w:highlight w:val="none"/>
        </w:rPr>
      </w:pPr>
    </w:p>
    <w:p w14:paraId="522EA3E0">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（1）开标一览表（报价表）………………………………………………………（页码）</w:t>
      </w:r>
    </w:p>
    <w:p w14:paraId="246AA6A9">
      <w:pPr>
        <w:snapToGrid w:val="0"/>
        <w:spacing w:line="360" w:lineRule="auto"/>
        <w:ind w:right="480"/>
        <w:jc w:val="center"/>
        <w:rPr>
          <w:rFonts w:cs="宋体" w:asciiTheme="minorEastAsia" w:hAnsiTheme="minorEastAsia" w:eastAsiaTheme="minorEastAsia"/>
          <w:b/>
          <w:kern w:val="0"/>
          <w:sz w:val="32"/>
          <w:szCs w:val="32"/>
          <w:highlight w:val="none"/>
        </w:rPr>
      </w:pPr>
    </w:p>
    <w:p w14:paraId="7E6707CD">
      <w:pPr>
        <w:snapToGrid w:val="0"/>
        <w:spacing w:line="360" w:lineRule="auto"/>
        <w:ind w:right="480"/>
        <w:jc w:val="center"/>
        <w:rPr>
          <w:rFonts w:cs="宋体" w:asciiTheme="minorEastAsia" w:hAnsiTheme="minorEastAsia" w:eastAsiaTheme="minorEastAsia"/>
          <w:b/>
          <w:kern w:val="0"/>
          <w:sz w:val="32"/>
          <w:szCs w:val="32"/>
          <w:highlight w:val="none"/>
        </w:rPr>
      </w:pPr>
    </w:p>
    <w:p w14:paraId="26DE70B1">
      <w:pPr>
        <w:snapToGrid w:val="0"/>
        <w:spacing w:line="360" w:lineRule="auto"/>
        <w:ind w:right="480"/>
        <w:jc w:val="center"/>
        <w:rPr>
          <w:rFonts w:cs="宋体" w:asciiTheme="minorEastAsia" w:hAnsiTheme="minorEastAsia" w:eastAsiaTheme="minorEastAsia"/>
          <w:b/>
          <w:kern w:val="0"/>
          <w:sz w:val="32"/>
          <w:szCs w:val="32"/>
          <w:highlight w:val="none"/>
        </w:rPr>
      </w:pPr>
    </w:p>
    <w:p w14:paraId="1CA47883">
      <w:pPr>
        <w:snapToGrid w:val="0"/>
        <w:spacing w:line="360" w:lineRule="auto"/>
        <w:ind w:right="480"/>
        <w:jc w:val="center"/>
        <w:rPr>
          <w:rFonts w:cs="宋体" w:asciiTheme="minorEastAsia" w:hAnsiTheme="minorEastAsia" w:eastAsiaTheme="minorEastAsia"/>
          <w:b/>
          <w:kern w:val="0"/>
          <w:sz w:val="32"/>
          <w:szCs w:val="32"/>
          <w:highlight w:val="none"/>
        </w:rPr>
      </w:pPr>
    </w:p>
    <w:p w14:paraId="231B21F4">
      <w:pPr>
        <w:snapToGrid w:val="0"/>
        <w:spacing w:line="360" w:lineRule="auto"/>
        <w:ind w:right="480"/>
        <w:jc w:val="center"/>
        <w:rPr>
          <w:rFonts w:cs="宋体" w:asciiTheme="minorEastAsia" w:hAnsiTheme="minorEastAsia" w:eastAsiaTheme="minorEastAsia"/>
          <w:b/>
          <w:kern w:val="0"/>
          <w:sz w:val="32"/>
          <w:szCs w:val="32"/>
          <w:highlight w:val="none"/>
        </w:rPr>
      </w:pPr>
    </w:p>
    <w:p w14:paraId="12AE7C27">
      <w:pPr>
        <w:snapToGrid w:val="0"/>
        <w:spacing w:line="360" w:lineRule="auto"/>
        <w:ind w:right="480"/>
        <w:jc w:val="center"/>
        <w:rPr>
          <w:rFonts w:cs="宋体" w:asciiTheme="minorEastAsia" w:hAnsiTheme="minorEastAsia" w:eastAsiaTheme="minorEastAsia"/>
          <w:b/>
          <w:kern w:val="0"/>
          <w:sz w:val="32"/>
          <w:szCs w:val="32"/>
          <w:highlight w:val="none"/>
        </w:rPr>
      </w:pPr>
    </w:p>
    <w:p w14:paraId="463D2927">
      <w:pPr>
        <w:snapToGrid w:val="0"/>
        <w:spacing w:line="360" w:lineRule="auto"/>
        <w:ind w:right="480"/>
        <w:jc w:val="center"/>
        <w:rPr>
          <w:rFonts w:cs="宋体" w:asciiTheme="minorEastAsia" w:hAnsiTheme="minorEastAsia" w:eastAsiaTheme="minorEastAsia"/>
          <w:b/>
          <w:kern w:val="0"/>
          <w:sz w:val="32"/>
          <w:szCs w:val="32"/>
          <w:highlight w:val="none"/>
        </w:rPr>
      </w:pPr>
    </w:p>
    <w:p w14:paraId="4962FE64">
      <w:pPr>
        <w:snapToGrid w:val="0"/>
        <w:spacing w:line="360" w:lineRule="auto"/>
        <w:ind w:right="480"/>
        <w:jc w:val="center"/>
        <w:rPr>
          <w:rFonts w:cs="宋体" w:asciiTheme="minorEastAsia" w:hAnsiTheme="minorEastAsia" w:eastAsiaTheme="minorEastAsia"/>
          <w:b/>
          <w:kern w:val="0"/>
          <w:sz w:val="32"/>
          <w:szCs w:val="32"/>
          <w:highlight w:val="none"/>
        </w:rPr>
      </w:pPr>
    </w:p>
    <w:p w14:paraId="1285BD51">
      <w:pPr>
        <w:snapToGrid w:val="0"/>
        <w:spacing w:line="360" w:lineRule="auto"/>
        <w:ind w:right="480"/>
        <w:jc w:val="center"/>
        <w:rPr>
          <w:rFonts w:cs="宋体" w:asciiTheme="minorEastAsia" w:hAnsiTheme="minorEastAsia" w:eastAsiaTheme="minorEastAsia"/>
          <w:b/>
          <w:kern w:val="0"/>
          <w:sz w:val="32"/>
          <w:szCs w:val="32"/>
          <w:highlight w:val="none"/>
        </w:rPr>
      </w:pPr>
    </w:p>
    <w:p w14:paraId="76B789E6">
      <w:pPr>
        <w:snapToGrid w:val="0"/>
        <w:spacing w:line="360" w:lineRule="auto"/>
        <w:ind w:right="480"/>
        <w:jc w:val="center"/>
        <w:rPr>
          <w:rFonts w:cs="宋体" w:asciiTheme="minorEastAsia" w:hAnsiTheme="minorEastAsia" w:eastAsiaTheme="minorEastAsia"/>
          <w:b/>
          <w:kern w:val="0"/>
          <w:sz w:val="32"/>
          <w:szCs w:val="32"/>
          <w:highlight w:val="none"/>
        </w:rPr>
      </w:pPr>
    </w:p>
    <w:p w14:paraId="40A63C83">
      <w:pPr>
        <w:snapToGrid w:val="0"/>
        <w:spacing w:line="360" w:lineRule="auto"/>
        <w:ind w:right="480"/>
        <w:jc w:val="center"/>
        <w:rPr>
          <w:rFonts w:cs="宋体" w:asciiTheme="minorEastAsia" w:hAnsiTheme="minorEastAsia" w:eastAsiaTheme="minorEastAsia"/>
          <w:b/>
          <w:kern w:val="0"/>
          <w:sz w:val="32"/>
          <w:szCs w:val="32"/>
          <w:highlight w:val="none"/>
        </w:rPr>
      </w:pPr>
    </w:p>
    <w:p w14:paraId="4FA3EF07">
      <w:pPr>
        <w:snapToGrid w:val="0"/>
        <w:spacing w:line="360" w:lineRule="auto"/>
        <w:ind w:right="480"/>
        <w:jc w:val="center"/>
        <w:rPr>
          <w:rFonts w:cs="宋体" w:asciiTheme="minorEastAsia" w:hAnsiTheme="minorEastAsia" w:eastAsiaTheme="minorEastAsia"/>
          <w:b/>
          <w:kern w:val="0"/>
          <w:sz w:val="32"/>
          <w:szCs w:val="32"/>
          <w:highlight w:val="none"/>
        </w:rPr>
      </w:pPr>
    </w:p>
    <w:p w14:paraId="1812EABD">
      <w:pPr>
        <w:snapToGrid w:val="0"/>
        <w:spacing w:line="360" w:lineRule="auto"/>
        <w:ind w:right="480"/>
        <w:jc w:val="center"/>
        <w:rPr>
          <w:rFonts w:cs="宋体" w:asciiTheme="minorEastAsia" w:hAnsiTheme="minorEastAsia" w:eastAsiaTheme="minorEastAsia"/>
          <w:b/>
          <w:kern w:val="0"/>
          <w:sz w:val="32"/>
          <w:szCs w:val="32"/>
          <w:highlight w:val="none"/>
        </w:rPr>
      </w:pPr>
    </w:p>
    <w:p w14:paraId="58D7705D">
      <w:pPr>
        <w:snapToGrid w:val="0"/>
        <w:spacing w:line="360" w:lineRule="auto"/>
        <w:ind w:right="480"/>
        <w:jc w:val="center"/>
        <w:rPr>
          <w:rFonts w:cs="宋体" w:asciiTheme="minorEastAsia" w:hAnsiTheme="minorEastAsia" w:eastAsiaTheme="minorEastAsia"/>
          <w:b/>
          <w:kern w:val="0"/>
          <w:sz w:val="32"/>
          <w:szCs w:val="32"/>
          <w:highlight w:val="none"/>
        </w:rPr>
      </w:pPr>
    </w:p>
    <w:p w14:paraId="49C4CE62">
      <w:pPr>
        <w:snapToGrid w:val="0"/>
        <w:spacing w:line="360" w:lineRule="auto"/>
        <w:ind w:right="480"/>
        <w:jc w:val="center"/>
        <w:rPr>
          <w:rFonts w:cs="宋体" w:asciiTheme="minorEastAsia" w:hAnsiTheme="minorEastAsia" w:eastAsiaTheme="minorEastAsia"/>
          <w:b/>
          <w:kern w:val="0"/>
          <w:sz w:val="32"/>
          <w:szCs w:val="32"/>
          <w:highlight w:val="none"/>
        </w:rPr>
      </w:pPr>
    </w:p>
    <w:p w14:paraId="089BF5E2">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101FD05">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pPr>
      <w:r>
        <w:rPr>
          <w:rFonts w:hint="eastAsia" w:cs="宋体" w:asciiTheme="minorEastAsia" w:hAnsiTheme="minorEastAsia" w:eastAsiaTheme="minorEastAsia"/>
          <w:kern w:val="2"/>
          <w:sz w:val="32"/>
          <w:szCs w:val="32"/>
          <w:highlight w:val="none"/>
        </w:rPr>
        <w:t>一、开标一览表（报价表）</w:t>
      </w:r>
    </w:p>
    <w:p w14:paraId="787FEAC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杭州市公安局西湖区分局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25C95F62">
      <w:pPr>
        <w:snapToGrid w:val="0"/>
        <w:spacing w:line="360" w:lineRule="auto"/>
        <w:ind w:firstLine="482"/>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highlight w:val="none"/>
          <w:lang w:eastAsia="zh-CN"/>
        </w:rPr>
        <w:t>2025年杭州市公安局西湖区分局警网融合智治平台二期采购项目</w:t>
      </w:r>
      <w:r>
        <w:rPr>
          <w:rFonts w:hint="eastAsia" w:cs="宋体" w:asciiTheme="minorEastAsia" w:hAnsiTheme="minorEastAsia" w:eastAsiaTheme="minorEastAsia"/>
          <w:kern w:val="0"/>
          <w:sz w:val="24"/>
          <w:highlight w:val="none"/>
          <w:lang w:val="zh-CN"/>
        </w:rPr>
        <w:t>【招标编号：</w:t>
      </w:r>
      <w:r>
        <w:rPr>
          <w:rFonts w:hint="eastAsia" w:cs="宋体" w:asciiTheme="minorEastAsia" w:hAnsiTheme="minorEastAsia" w:eastAsiaTheme="minorEastAsia"/>
          <w:sz w:val="24"/>
          <w:highlight w:val="none"/>
          <w:lang w:eastAsia="zh-CN"/>
        </w:rPr>
        <w:t>XHZFCG-2025-G-06</w:t>
      </w:r>
      <w:r>
        <w:rPr>
          <w:rFonts w:hint="eastAsia" w:cs="宋体" w:asciiTheme="minorEastAsia" w:hAnsiTheme="minorEastAsia" w:eastAsiaTheme="minorEastAsia"/>
          <w:sz w:val="24"/>
          <w:highlight w:val="none"/>
        </w:rPr>
        <w:t>】的实施</w:t>
      </w:r>
      <w:r>
        <w:rPr>
          <w:rFonts w:hint="eastAsia" w:cs="宋体" w:asciiTheme="minorEastAsia" w:hAnsiTheme="minorEastAsia" w:eastAsiaTheme="minorEastAsia"/>
          <w:kern w:val="0"/>
          <w:sz w:val="24"/>
          <w:highlight w:val="none"/>
          <w:lang w:val="zh-CN"/>
        </w:rPr>
        <w:t>。</w:t>
      </w:r>
    </w:p>
    <w:p w14:paraId="1FF32B80">
      <w:pPr>
        <w:spacing w:line="360" w:lineRule="auto"/>
        <w:jc w:val="center"/>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开标一览表（报价表）(单位均为人民币元)</w:t>
      </w:r>
    </w:p>
    <w:tbl>
      <w:tblPr>
        <w:tblStyle w:val="6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2410"/>
        <w:gridCol w:w="2268"/>
        <w:gridCol w:w="2126"/>
        <w:gridCol w:w="2127"/>
        <w:gridCol w:w="1842"/>
      </w:tblGrid>
      <w:tr w14:paraId="22DB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vAlign w:val="center"/>
          </w:tcPr>
          <w:p w14:paraId="7052329C">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559" w:type="dxa"/>
            <w:vAlign w:val="center"/>
          </w:tcPr>
          <w:p w14:paraId="49DD18C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701" w:type="dxa"/>
          </w:tcPr>
          <w:p w14:paraId="7C5D4C99">
            <w:pPr>
              <w:spacing w:line="360" w:lineRule="auto"/>
              <w:jc w:val="center"/>
              <w:rPr>
                <w:rFonts w:cs="宋体" w:asciiTheme="minorEastAsia" w:hAnsiTheme="minorEastAsia" w:eastAsiaTheme="minorEastAsia"/>
                <w:b/>
                <w:sz w:val="24"/>
                <w:highlight w:val="none"/>
              </w:rPr>
            </w:pPr>
          </w:p>
          <w:p w14:paraId="211B65F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6353882B">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10F1CC90">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p>
        </w:tc>
        <w:tc>
          <w:tcPr>
            <w:tcW w:w="2126" w:type="dxa"/>
            <w:vAlign w:val="center"/>
          </w:tcPr>
          <w:p w14:paraId="1F7C362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79244E32">
            <w:pPr>
              <w:spacing w:line="360" w:lineRule="auto"/>
              <w:jc w:val="center"/>
              <w:rPr>
                <w:rFonts w:cs="宋体" w:asciiTheme="minorEastAsia" w:hAnsiTheme="minorEastAsia" w:eastAsiaTheme="minorEastAsia"/>
                <w:b/>
                <w:sz w:val="24"/>
                <w:highlight w:val="none"/>
              </w:rPr>
            </w:pPr>
          </w:p>
          <w:p w14:paraId="2B11A15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1842" w:type="dxa"/>
            <w:vAlign w:val="center"/>
          </w:tcPr>
          <w:p w14:paraId="4B43C362">
            <w:pPr>
              <w:spacing w:line="360" w:lineRule="auto"/>
              <w:jc w:val="center"/>
              <w:rPr>
                <w:rFonts w:cs="宋体" w:asciiTheme="minorEastAsia" w:hAnsiTheme="minorEastAsia" w:eastAsiaTheme="minorEastAsia"/>
                <w:b/>
                <w:sz w:val="24"/>
                <w:highlight w:val="none"/>
              </w:rPr>
            </w:pPr>
          </w:p>
          <w:p w14:paraId="42E19D9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47CF85AE">
            <w:pPr>
              <w:spacing w:line="360" w:lineRule="auto"/>
              <w:jc w:val="center"/>
              <w:rPr>
                <w:rFonts w:cs="宋体" w:asciiTheme="minorEastAsia" w:hAnsiTheme="minorEastAsia" w:eastAsiaTheme="minorEastAsia"/>
                <w:b/>
                <w:sz w:val="24"/>
                <w:highlight w:val="none"/>
              </w:rPr>
            </w:pPr>
          </w:p>
        </w:tc>
      </w:tr>
      <w:tr w14:paraId="4590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CCE947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559" w:type="dxa"/>
            <w:vAlign w:val="center"/>
          </w:tcPr>
          <w:p w14:paraId="1E72306E">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0468076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53EA388">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6F89832">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1BE383A2">
            <w:pPr>
              <w:spacing w:line="360" w:lineRule="auto"/>
              <w:jc w:val="center"/>
              <w:rPr>
                <w:rFonts w:cs="宋体" w:asciiTheme="minorEastAsia" w:hAnsiTheme="minorEastAsia" w:eastAsiaTheme="minorEastAsia"/>
                <w:sz w:val="24"/>
                <w:highlight w:val="none"/>
              </w:rPr>
            </w:pPr>
          </w:p>
        </w:tc>
        <w:tc>
          <w:tcPr>
            <w:tcW w:w="2127" w:type="dxa"/>
          </w:tcPr>
          <w:p w14:paraId="181C397A">
            <w:pPr>
              <w:spacing w:line="360" w:lineRule="auto"/>
              <w:jc w:val="center"/>
              <w:rPr>
                <w:rFonts w:cs="宋体" w:asciiTheme="minorEastAsia" w:hAnsiTheme="minorEastAsia" w:eastAsiaTheme="minorEastAsia"/>
                <w:sz w:val="24"/>
                <w:highlight w:val="none"/>
              </w:rPr>
            </w:pPr>
          </w:p>
        </w:tc>
        <w:tc>
          <w:tcPr>
            <w:tcW w:w="1842" w:type="dxa"/>
            <w:vAlign w:val="center"/>
          </w:tcPr>
          <w:p w14:paraId="43AC7624">
            <w:pPr>
              <w:spacing w:line="360" w:lineRule="auto"/>
              <w:jc w:val="center"/>
              <w:rPr>
                <w:rFonts w:cs="宋体" w:asciiTheme="minorEastAsia" w:hAnsiTheme="minorEastAsia" w:eastAsiaTheme="minorEastAsia"/>
                <w:sz w:val="24"/>
                <w:highlight w:val="none"/>
              </w:rPr>
            </w:pPr>
          </w:p>
        </w:tc>
      </w:tr>
      <w:tr w14:paraId="7732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0A8A97">
            <w:pPr>
              <w:spacing w:line="360" w:lineRule="auto"/>
              <w:jc w:val="center"/>
              <w:rPr>
                <w:rFonts w:hint="default" w:cs="宋体" w:asciiTheme="minorEastAsia" w:hAnsiTheme="minorEastAsia" w:eastAsiaTheme="minorEastAsia"/>
                <w:sz w:val="24"/>
                <w:highlight w:val="none"/>
                <w:lang w:val="en-US"/>
              </w:rPr>
            </w:pPr>
            <w:r>
              <w:rPr>
                <w:rFonts w:hint="default" w:cs="宋体" w:asciiTheme="minorEastAsia" w:hAnsiTheme="minorEastAsia" w:eastAsiaTheme="minorEastAsia"/>
                <w:sz w:val="24"/>
                <w:highlight w:val="none"/>
                <w:lang w:val="en-US"/>
              </w:rPr>
              <w:t>......</w:t>
            </w:r>
          </w:p>
        </w:tc>
        <w:tc>
          <w:tcPr>
            <w:tcW w:w="1559" w:type="dxa"/>
            <w:vAlign w:val="center"/>
          </w:tcPr>
          <w:p w14:paraId="2648A9DE">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75B59CB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DD7E745">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E9E6A3B">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5C4016CF">
            <w:pPr>
              <w:spacing w:line="360" w:lineRule="auto"/>
              <w:jc w:val="center"/>
              <w:rPr>
                <w:rFonts w:cs="宋体" w:asciiTheme="minorEastAsia" w:hAnsiTheme="minorEastAsia" w:eastAsiaTheme="minorEastAsia"/>
                <w:sz w:val="24"/>
                <w:highlight w:val="none"/>
              </w:rPr>
            </w:pPr>
          </w:p>
        </w:tc>
        <w:tc>
          <w:tcPr>
            <w:tcW w:w="2127" w:type="dxa"/>
          </w:tcPr>
          <w:p w14:paraId="031AB23B">
            <w:pPr>
              <w:spacing w:line="360" w:lineRule="auto"/>
              <w:jc w:val="center"/>
              <w:rPr>
                <w:rFonts w:cs="宋体" w:asciiTheme="minorEastAsia" w:hAnsiTheme="minorEastAsia" w:eastAsiaTheme="minorEastAsia"/>
                <w:sz w:val="24"/>
                <w:highlight w:val="none"/>
              </w:rPr>
            </w:pPr>
          </w:p>
        </w:tc>
        <w:tc>
          <w:tcPr>
            <w:tcW w:w="1842" w:type="dxa"/>
            <w:vAlign w:val="center"/>
          </w:tcPr>
          <w:p w14:paraId="7CEE2928">
            <w:pPr>
              <w:spacing w:line="360" w:lineRule="auto"/>
              <w:jc w:val="center"/>
              <w:rPr>
                <w:rFonts w:cs="宋体" w:asciiTheme="minorEastAsia" w:hAnsiTheme="minorEastAsia" w:eastAsiaTheme="minorEastAsia"/>
                <w:sz w:val="24"/>
                <w:highlight w:val="none"/>
              </w:rPr>
            </w:pPr>
          </w:p>
        </w:tc>
      </w:tr>
      <w:tr w14:paraId="5EC7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133417">
            <w:pPr>
              <w:spacing w:line="360" w:lineRule="auto"/>
              <w:jc w:val="center"/>
              <w:rPr>
                <w:rFonts w:cs="宋体" w:asciiTheme="minorEastAsia" w:hAnsiTheme="minorEastAsia" w:eastAsiaTheme="minorEastAsia"/>
                <w:sz w:val="24"/>
                <w:highlight w:val="none"/>
              </w:rPr>
            </w:pPr>
          </w:p>
        </w:tc>
        <w:tc>
          <w:tcPr>
            <w:tcW w:w="1559" w:type="dxa"/>
            <w:vAlign w:val="center"/>
          </w:tcPr>
          <w:p w14:paraId="15285B5D">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72B5C46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9E3A2D8">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E16141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3871FD1E">
            <w:pPr>
              <w:spacing w:line="360" w:lineRule="auto"/>
              <w:jc w:val="center"/>
              <w:rPr>
                <w:rFonts w:cs="宋体" w:asciiTheme="minorEastAsia" w:hAnsiTheme="minorEastAsia" w:eastAsiaTheme="minorEastAsia"/>
                <w:sz w:val="24"/>
                <w:highlight w:val="none"/>
              </w:rPr>
            </w:pPr>
          </w:p>
        </w:tc>
        <w:tc>
          <w:tcPr>
            <w:tcW w:w="2127" w:type="dxa"/>
          </w:tcPr>
          <w:p w14:paraId="35703CF6">
            <w:pPr>
              <w:spacing w:line="360" w:lineRule="auto"/>
              <w:jc w:val="center"/>
              <w:rPr>
                <w:rFonts w:cs="宋体" w:asciiTheme="minorEastAsia" w:hAnsiTheme="minorEastAsia" w:eastAsiaTheme="minorEastAsia"/>
                <w:sz w:val="24"/>
                <w:highlight w:val="none"/>
              </w:rPr>
            </w:pPr>
          </w:p>
        </w:tc>
        <w:tc>
          <w:tcPr>
            <w:tcW w:w="1842" w:type="dxa"/>
            <w:vAlign w:val="center"/>
          </w:tcPr>
          <w:p w14:paraId="15A71513">
            <w:pPr>
              <w:spacing w:line="360" w:lineRule="auto"/>
              <w:jc w:val="center"/>
              <w:rPr>
                <w:rFonts w:cs="宋体" w:asciiTheme="minorEastAsia" w:hAnsiTheme="minorEastAsia" w:eastAsiaTheme="minorEastAsia"/>
                <w:sz w:val="24"/>
                <w:highlight w:val="none"/>
              </w:rPr>
            </w:pPr>
          </w:p>
        </w:tc>
      </w:tr>
      <w:tr w14:paraId="384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AED267">
            <w:pPr>
              <w:pStyle w:val="3"/>
              <w:rPr>
                <w:rFonts w:asciiTheme="minorEastAsia" w:hAnsiTheme="minorEastAsia" w:eastAsiaTheme="minorEastAsia"/>
                <w:highlight w:val="none"/>
              </w:rPr>
            </w:pPr>
          </w:p>
        </w:tc>
        <w:tc>
          <w:tcPr>
            <w:tcW w:w="1559" w:type="dxa"/>
            <w:vAlign w:val="center"/>
          </w:tcPr>
          <w:p w14:paraId="4CD80D57">
            <w:pPr>
              <w:snapToGrid w:val="0"/>
              <w:spacing w:line="360" w:lineRule="auto"/>
              <w:jc w:val="center"/>
              <w:rPr>
                <w:rFonts w:cs="仿宋_GB2312" w:asciiTheme="minorEastAsia" w:hAnsiTheme="minorEastAsia" w:eastAsiaTheme="minorEastAsia"/>
                <w:sz w:val="24"/>
                <w:highlight w:val="none"/>
              </w:rPr>
            </w:pPr>
          </w:p>
        </w:tc>
        <w:tc>
          <w:tcPr>
            <w:tcW w:w="1701" w:type="dxa"/>
            <w:vAlign w:val="center"/>
          </w:tcPr>
          <w:p w14:paraId="01291F9F">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5245FE4">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43AEB1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3933684">
            <w:pPr>
              <w:spacing w:line="360" w:lineRule="auto"/>
              <w:jc w:val="center"/>
              <w:rPr>
                <w:rFonts w:cs="宋体" w:asciiTheme="minorEastAsia" w:hAnsiTheme="minorEastAsia" w:eastAsiaTheme="minorEastAsia"/>
                <w:sz w:val="24"/>
                <w:highlight w:val="none"/>
              </w:rPr>
            </w:pPr>
          </w:p>
        </w:tc>
        <w:tc>
          <w:tcPr>
            <w:tcW w:w="2127" w:type="dxa"/>
          </w:tcPr>
          <w:p w14:paraId="09B6732A">
            <w:pPr>
              <w:spacing w:line="360" w:lineRule="auto"/>
              <w:jc w:val="center"/>
              <w:rPr>
                <w:rFonts w:cs="宋体" w:asciiTheme="minorEastAsia" w:hAnsiTheme="minorEastAsia" w:eastAsiaTheme="minorEastAsia"/>
                <w:sz w:val="24"/>
                <w:highlight w:val="none"/>
              </w:rPr>
            </w:pPr>
          </w:p>
        </w:tc>
        <w:tc>
          <w:tcPr>
            <w:tcW w:w="1842" w:type="dxa"/>
            <w:vAlign w:val="center"/>
          </w:tcPr>
          <w:p w14:paraId="767A9432">
            <w:pPr>
              <w:spacing w:line="360" w:lineRule="auto"/>
              <w:jc w:val="center"/>
              <w:rPr>
                <w:rFonts w:cs="宋体" w:asciiTheme="minorEastAsia" w:hAnsiTheme="minorEastAsia" w:eastAsiaTheme="minorEastAsia"/>
                <w:sz w:val="24"/>
                <w:highlight w:val="none"/>
              </w:rPr>
            </w:pPr>
          </w:p>
        </w:tc>
      </w:tr>
      <w:tr w14:paraId="2F59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36384C">
            <w:pPr>
              <w:spacing w:line="360" w:lineRule="auto"/>
              <w:jc w:val="center"/>
              <w:rPr>
                <w:rFonts w:cs="宋体" w:asciiTheme="minorEastAsia" w:hAnsiTheme="minorEastAsia" w:eastAsiaTheme="minorEastAsia"/>
                <w:sz w:val="24"/>
                <w:highlight w:val="none"/>
              </w:rPr>
            </w:pPr>
          </w:p>
        </w:tc>
        <w:tc>
          <w:tcPr>
            <w:tcW w:w="1559" w:type="dxa"/>
            <w:vAlign w:val="center"/>
          </w:tcPr>
          <w:p w14:paraId="24B7D021">
            <w:pPr>
              <w:snapToGrid w:val="0"/>
              <w:spacing w:line="360" w:lineRule="auto"/>
              <w:jc w:val="center"/>
              <w:rPr>
                <w:rFonts w:asciiTheme="minorEastAsia" w:hAnsiTheme="minorEastAsia" w:eastAsiaTheme="minorEastAsia"/>
                <w:sz w:val="24"/>
                <w:highlight w:val="none"/>
              </w:rPr>
            </w:pPr>
          </w:p>
        </w:tc>
        <w:tc>
          <w:tcPr>
            <w:tcW w:w="1701" w:type="dxa"/>
            <w:vAlign w:val="center"/>
          </w:tcPr>
          <w:p w14:paraId="6C3B1CFB">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033C43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50623E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043B74F6">
            <w:pPr>
              <w:spacing w:line="360" w:lineRule="auto"/>
              <w:jc w:val="center"/>
              <w:rPr>
                <w:rFonts w:cs="宋体" w:asciiTheme="minorEastAsia" w:hAnsiTheme="minorEastAsia" w:eastAsiaTheme="minorEastAsia"/>
                <w:sz w:val="24"/>
                <w:highlight w:val="none"/>
              </w:rPr>
            </w:pPr>
          </w:p>
        </w:tc>
        <w:tc>
          <w:tcPr>
            <w:tcW w:w="2127" w:type="dxa"/>
          </w:tcPr>
          <w:p w14:paraId="6CA592C2">
            <w:pPr>
              <w:spacing w:line="360" w:lineRule="auto"/>
              <w:jc w:val="center"/>
              <w:rPr>
                <w:rFonts w:cs="宋体" w:asciiTheme="minorEastAsia" w:hAnsiTheme="minorEastAsia" w:eastAsiaTheme="minorEastAsia"/>
                <w:sz w:val="24"/>
                <w:highlight w:val="none"/>
              </w:rPr>
            </w:pPr>
          </w:p>
        </w:tc>
        <w:tc>
          <w:tcPr>
            <w:tcW w:w="1842" w:type="dxa"/>
            <w:vAlign w:val="center"/>
          </w:tcPr>
          <w:p w14:paraId="696B9D45">
            <w:pPr>
              <w:spacing w:line="360" w:lineRule="auto"/>
              <w:jc w:val="center"/>
              <w:rPr>
                <w:rFonts w:cs="宋体" w:asciiTheme="minorEastAsia" w:hAnsiTheme="minorEastAsia" w:eastAsiaTheme="minorEastAsia"/>
                <w:sz w:val="24"/>
                <w:highlight w:val="none"/>
              </w:rPr>
            </w:pPr>
          </w:p>
        </w:tc>
      </w:tr>
      <w:tr w14:paraId="1D9B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830873">
            <w:pPr>
              <w:spacing w:line="360" w:lineRule="auto"/>
              <w:jc w:val="center"/>
              <w:rPr>
                <w:rFonts w:cs="宋体" w:asciiTheme="minorEastAsia" w:hAnsiTheme="minorEastAsia" w:eastAsiaTheme="minorEastAsia"/>
                <w:sz w:val="24"/>
                <w:highlight w:val="none"/>
              </w:rPr>
            </w:pPr>
          </w:p>
        </w:tc>
        <w:tc>
          <w:tcPr>
            <w:tcW w:w="1559" w:type="dxa"/>
            <w:vAlign w:val="center"/>
          </w:tcPr>
          <w:p w14:paraId="1446643B">
            <w:pPr>
              <w:snapToGrid w:val="0"/>
              <w:spacing w:line="360" w:lineRule="auto"/>
              <w:jc w:val="center"/>
              <w:rPr>
                <w:rFonts w:asciiTheme="minorEastAsia" w:hAnsiTheme="minorEastAsia" w:eastAsiaTheme="minorEastAsia"/>
                <w:sz w:val="24"/>
                <w:highlight w:val="none"/>
              </w:rPr>
            </w:pPr>
          </w:p>
        </w:tc>
        <w:tc>
          <w:tcPr>
            <w:tcW w:w="1701" w:type="dxa"/>
            <w:vAlign w:val="center"/>
          </w:tcPr>
          <w:p w14:paraId="4B896B9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D7E9339">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6C90AB4">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3557C7BD">
            <w:pPr>
              <w:spacing w:line="360" w:lineRule="auto"/>
              <w:jc w:val="center"/>
              <w:rPr>
                <w:rFonts w:cs="宋体" w:asciiTheme="minorEastAsia" w:hAnsiTheme="minorEastAsia" w:eastAsiaTheme="minorEastAsia"/>
                <w:sz w:val="24"/>
                <w:highlight w:val="none"/>
              </w:rPr>
            </w:pPr>
          </w:p>
        </w:tc>
        <w:tc>
          <w:tcPr>
            <w:tcW w:w="2127" w:type="dxa"/>
          </w:tcPr>
          <w:p w14:paraId="11353008">
            <w:pPr>
              <w:spacing w:line="360" w:lineRule="auto"/>
              <w:jc w:val="center"/>
              <w:rPr>
                <w:rFonts w:cs="宋体" w:asciiTheme="minorEastAsia" w:hAnsiTheme="minorEastAsia" w:eastAsiaTheme="minorEastAsia"/>
                <w:sz w:val="24"/>
                <w:highlight w:val="none"/>
              </w:rPr>
            </w:pPr>
          </w:p>
        </w:tc>
        <w:tc>
          <w:tcPr>
            <w:tcW w:w="1842" w:type="dxa"/>
            <w:vAlign w:val="center"/>
          </w:tcPr>
          <w:p w14:paraId="0EE69334">
            <w:pPr>
              <w:spacing w:line="360" w:lineRule="auto"/>
              <w:jc w:val="center"/>
              <w:rPr>
                <w:rFonts w:cs="宋体" w:asciiTheme="minorEastAsia" w:hAnsiTheme="minorEastAsia" w:eastAsiaTheme="minorEastAsia"/>
                <w:sz w:val="24"/>
                <w:highlight w:val="none"/>
              </w:rPr>
            </w:pPr>
          </w:p>
        </w:tc>
      </w:tr>
      <w:tr w14:paraId="2FD1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E08F5C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投标报价（小写）</w:t>
            </w:r>
          </w:p>
        </w:tc>
        <w:tc>
          <w:tcPr>
            <w:tcW w:w="8363" w:type="dxa"/>
            <w:gridSpan w:val="4"/>
            <w:vAlign w:val="center"/>
          </w:tcPr>
          <w:p w14:paraId="6DCEEB44">
            <w:pPr>
              <w:spacing w:line="360" w:lineRule="auto"/>
              <w:jc w:val="center"/>
              <w:rPr>
                <w:rFonts w:cs="宋体" w:asciiTheme="minorEastAsia" w:hAnsiTheme="minorEastAsia" w:eastAsiaTheme="minorEastAsia"/>
                <w:sz w:val="24"/>
                <w:highlight w:val="none"/>
              </w:rPr>
            </w:pPr>
          </w:p>
        </w:tc>
      </w:tr>
      <w:tr w14:paraId="510A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936E8E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投标报价（大写）</w:t>
            </w:r>
          </w:p>
        </w:tc>
        <w:tc>
          <w:tcPr>
            <w:tcW w:w="8363" w:type="dxa"/>
            <w:gridSpan w:val="4"/>
            <w:vAlign w:val="center"/>
          </w:tcPr>
          <w:p w14:paraId="68714232">
            <w:pPr>
              <w:spacing w:line="360" w:lineRule="auto"/>
              <w:jc w:val="center"/>
              <w:rPr>
                <w:rFonts w:cs="宋体" w:asciiTheme="minorEastAsia" w:hAnsiTheme="minorEastAsia" w:eastAsiaTheme="minorEastAsia"/>
                <w:sz w:val="24"/>
                <w:highlight w:val="none"/>
              </w:rPr>
            </w:pPr>
          </w:p>
        </w:tc>
      </w:tr>
    </w:tbl>
    <w:p w14:paraId="3BBB32AD">
      <w:pPr>
        <w:snapToGrid w:val="0"/>
        <w:spacing w:line="360" w:lineRule="auto"/>
        <w:ind w:left="480"/>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注：</w:t>
      </w:r>
    </w:p>
    <w:p w14:paraId="16FE3FED">
      <w:pPr>
        <w:spacing w:line="360" w:lineRule="auto"/>
        <w:ind w:left="-2" w:leftChars="-1"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1、投标人需按本表格式填写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投标文件含有采购人不能接受的附加条件，投标无效</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kern w:val="0"/>
          <w:sz w:val="24"/>
          <w:highlight w:val="none"/>
          <w:lang w:val="zh-CN"/>
        </w:rPr>
        <w:t>。</w:t>
      </w:r>
    </w:p>
    <w:p w14:paraId="28A43FE5">
      <w:pPr>
        <w:spacing w:line="360" w:lineRule="auto"/>
        <w:ind w:firstLine="480" w:firstLineChars="200"/>
        <w:rPr>
          <w:rFonts w:hint="eastAsia" w:ascii="宋体" w:hAnsi="宋体" w:cs="宋体"/>
          <w:b/>
          <w:color w:val="auto"/>
          <w:kern w:val="0"/>
          <w:sz w:val="24"/>
          <w:highlight w:val="none"/>
          <w:lang w:val="zh-CN"/>
        </w:rPr>
      </w:pPr>
      <w:r>
        <w:rPr>
          <w:rFonts w:hint="default" w:ascii="宋体" w:hAnsi="宋体" w:cs="宋体"/>
          <w:color w:val="auto"/>
          <w:kern w:val="0"/>
          <w:sz w:val="24"/>
          <w:highlight w:val="none"/>
          <w:lang w:val="en-US"/>
        </w:rPr>
        <w:t>2</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5AD8F5B9">
      <w:pPr>
        <w:pStyle w:val="3"/>
        <w:rPr>
          <w:rFonts w:hint="eastAsia" w:ascii="宋体" w:hAnsi="宋体" w:eastAsia="宋体" w:cs="宋体"/>
          <w:b/>
          <w:bCs/>
          <w:color w:val="auto"/>
          <w:kern w:val="0"/>
          <w:sz w:val="24"/>
          <w:szCs w:val="24"/>
          <w:highlight w:val="none"/>
          <w:lang w:val="en-US" w:eastAsia="zh-CN" w:bidi="ar-SA"/>
        </w:rPr>
      </w:pPr>
      <w:r>
        <w:rPr>
          <w:rFonts w:hint="default" w:ascii="宋体" w:hAnsi="宋体" w:cs="宋体"/>
          <w:b/>
          <w:color w:val="auto"/>
          <w:sz w:val="24"/>
          <w:highlight w:val="none"/>
          <w:lang w:val="en-US"/>
        </w:rPr>
        <w:t xml:space="preserve">    3</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特别说明</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供应商报价低于项目预算50%的，应当在报价文件中详细阐述不影响产品质量或者诚信履约的具体原因。</w:t>
      </w:r>
    </w:p>
    <w:p w14:paraId="0130D7B5">
      <w:pPr>
        <w:snapToGrid w:val="0"/>
        <w:spacing w:line="360" w:lineRule="auto"/>
        <w:ind w:firstLine="482" w:firstLineChars="200"/>
        <w:jc w:val="left"/>
        <w:rPr>
          <w:rFonts w:hint="default"/>
          <w:color w:val="auto"/>
          <w:highlight w:val="none"/>
          <w:lang w:val="en-US"/>
        </w:rPr>
      </w:pPr>
      <w:r>
        <w:rPr>
          <w:rFonts w:hint="default" w:ascii="宋体" w:hAnsi="宋体" w:cs="宋体"/>
          <w:b/>
          <w:bCs/>
          <w:color w:val="auto"/>
          <w:kern w:val="0"/>
          <w:sz w:val="24"/>
          <w:highlight w:val="none"/>
          <w:lang w:val="en-US"/>
        </w:rPr>
        <w:t>4</w:t>
      </w:r>
      <w:r>
        <w:rPr>
          <w:rFonts w:hint="eastAsia" w:ascii="宋体" w:hAnsi="宋体" w:cs="宋体"/>
          <w:b/>
          <w:bCs/>
          <w:color w:val="auto"/>
          <w:kern w:val="0"/>
          <w:sz w:val="24"/>
          <w:highlight w:val="none"/>
          <w:lang w:val="zh-CN"/>
        </w:rPr>
        <w:t>、特别提示：采购机构将对项目名称和项目编号，中标供应商名称、地址和中标金额</w:t>
      </w:r>
      <w:bookmarkStart w:id="530" w:name="OLE_LINK37"/>
      <w:r>
        <w:rPr>
          <w:rFonts w:hint="eastAsia" w:ascii="宋体" w:hAnsi="宋体" w:cs="宋体"/>
          <w:b/>
          <w:bCs/>
          <w:color w:val="auto"/>
          <w:kern w:val="0"/>
          <w:sz w:val="24"/>
          <w:highlight w:val="none"/>
          <w:lang w:val="zh-CN"/>
        </w:rPr>
        <w:t>，主要中标标的名称、服务范围、服务要求、服务时间、服务标准等予以公示。</w:t>
      </w:r>
      <w:bookmarkEnd w:id="530"/>
    </w:p>
    <w:p w14:paraId="60130262">
      <w:pPr>
        <w:snapToGrid w:val="0"/>
        <w:spacing w:line="360" w:lineRule="auto"/>
        <w:ind w:firstLine="480" w:firstLineChars="200"/>
        <w:jc w:val="left"/>
        <w:rPr>
          <w:rFonts w:ascii="宋体" w:hAnsi="宋体" w:cs="宋体"/>
          <w:color w:val="auto"/>
          <w:kern w:val="0"/>
          <w:sz w:val="24"/>
          <w:highlight w:val="none"/>
          <w:lang w:val="zh-CN"/>
        </w:rPr>
      </w:pPr>
      <w:r>
        <w:rPr>
          <w:rFonts w:hint="default" w:ascii="宋体" w:hAnsi="宋体" w:cs="宋体"/>
          <w:color w:val="auto"/>
          <w:kern w:val="0"/>
          <w:sz w:val="24"/>
          <w:szCs w:val="22"/>
          <w:highlight w:val="none"/>
          <w:lang w:val="en-US"/>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A8C0C9">
      <w:pPr>
        <w:snapToGrid w:val="0"/>
        <w:spacing w:line="360" w:lineRule="auto"/>
        <w:ind w:firstLine="480" w:firstLineChars="200"/>
        <w:jc w:val="left"/>
        <w:rPr>
          <w:rFonts w:cs="宋体" w:asciiTheme="minorEastAsia" w:hAnsiTheme="minorEastAsia" w:eastAsiaTheme="minorEastAsia"/>
          <w:kern w:val="0"/>
          <w:sz w:val="24"/>
          <w:highlight w:val="none"/>
          <w:lang w:val="zh-CN"/>
        </w:rPr>
      </w:pPr>
    </w:p>
    <w:p w14:paraId="53DC48FC">
      <w:pPr>
        <w:autoSpaceDE w:val="0"/>
        <w:autoSpaceDN w:val="0"/>
        <w:spacing w:line="360" w:lineRule="auto"/>
        <w:ind w:left="2" w:leftChars="1" w:right="1120" w:firstLine="6480" w:firstLineChars="27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384A529">
      <w:pPr>
        <w:spacing w:line="360" w:lineRule="auto"/>
        <w:ind w:left="4620" w:leftChars="2200" w:firstLine="1920" w:firstLineChars="800"/>
        <w:rPr>
          <w:rFonts w:hint="eastAsia" w:ascii="宋体" w:hAnsi="宋体" w:eastAsia="宋体" w:cs="宋体"/>
          <w:color w:val="auto"/>
          <w:kern w:val="0"/>
          <w:sz w:val="24"/>
          <w:highlight w:val="none"/>
          <w:lang w:val="en-US" w:eastAsia="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w:t>
      </w:r>
      <w:r>
        <w:rPr>
          <w:rFonts w:hint="default" w:ascii="宋体" w:hAnsi="宋体" w:cs="宋体"/>
          <w:color w:val="auto"/>
          <w:kern w:val="0"/>
          <w:sz w:val="24"/>
          <w:highlight w:val="none"/>
          <w:lang w:val="en-US"/>
        </w:rPr>
        <w:t xml:space="preserve">  </w:t>
      </w:r>
      <w:r>
        <w:rPr>
          <w:rFonts w:hint="eastAsia" w:ascii="宋体" w:hAnsi="宋体" w:cs="宋体"/>
          <w:color w:val="auto"/>
          <w:kern w:val="0"/>
          <w:sz w:val="24"/>
          <w:highlight w:val="none"/>
          <w:lang w:val="en-US" w:eastAsia="zh-CN"/>
        </w:rPr>
        <w:t>日</w:t>
      </w:r>
    </w:p>
    <w:p w14:paraId="7594786D">
      <w:pPr>
        <w:spacing w:line="360" w:lineRule="auto"/>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附件1：</w:t>
      </w:r>
    </w:p>
    <w:p w14:paraId="4F745316">
      <w:pPr>
        <w:spacing w:line="360" w:lineRule="auto"/>
        <w:jc w:val="center"/>
        <w:rPr>
          <w:rFonts w:cs="宋体" w:asciiTheme="minorEastAsia" w:hAnsiTheme="minorEastAsia" w:eastAsiaTheme="minorEastAsia"/>
          <w:b/>
          <w:spacing w:val="6"/>
          <w:sz w:val="32"/>
          <w:szCs w:val="32"/>
          <w:highlight w:val="none"/>
        </w:rPr>
      </w:pPr>
      <w:bookmarkStart w:id="531" w:name="OLE_LINK13"/>
      <w:bookmarkStart w:id="532" w:name="OLE_LINK14"/>
      <w:r>
        <w:rPr>
          <w:rFonts w:hint="eastAsia" w:cs="宋体" w:asciiTheme="minorEastAsia" w:hAnsiTheme="minorEastAsia" w:eastAsiaTheme="minorEastAsia"/>
          <w:b/>
          <w:spacing w:val="6"/>
          <w:sz w:val="32"/>
          <w:szCs w:val="32"/>
          <w:highlight w:val="none"/>
        </w:rPr>
        <w:t>残疾人福利性单位声明函</w:t>
      </w:r>
    </w:p>
    <w:bookmarkEnd w:id="531"/>
    <w:bookmarkEnd w:id="532"/>
    <w:p w14:paraId="30A313B8">
      <w:pPr>
        <w:spacing w:line="360" w:lineRule="auto"/>
        <w:rPr>
          <w:rFonts w:cs="宋体" w:asciiTheme="minorEastAsia" w:hAnsiTheme="minorEastAsia" w:eastAsiaTheme="minorEastAsia"/>
          <w:b/>
          <w:spacing w:val="6"/>
          <w:sz w:val="30"/>
          <w:szCs w:val="30"/>
          <w:highlight w:val="none"/>
        </w:rPr>
      </w:pPr>
    </w:p>
    <w:p w14:paraId="656B8EE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rPr>
        <w:t>_单位的_</w:t>
      </w:r>
      <w:r>
        <w:rPr>
          <w:rFonts w:hint="eastAsia" w:cs="宋体" w:asciiTheme="minorEastAsia" w:hAnsiTheme="minorEastAsia" w:eastAsiaTheme="minorEastAsia"/>
          <w:sz w:val="24"/>
          <w:highlight w:val="none"/>
          <w:u w:val="single"/>
          <w:lang w:eastAsia="zh-CN"/>
        </w:rPr>
        <w:t>2025年杭州市公安局西湖区分局警网融合智治平台二期采购项目的</w:t>
      </w:r>
      <w:r>
        <w:rPr>
          <w:rFonts w:hint="eastAsia" w:cs="宋体"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37F5D52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本单位对上述声明的真实性负责。如有虚假，将依法承担相应责任。</w:t>
      </w:r>
    </w:p>
    <w:p w14:paraId="7A740EFF">
      <w:pPr>
        <w:spacing w:line="360" w:lineRule="auto"/>
        <w:ind w:firstLine="480" w:firstLineChars="200"/>
        <w:rPr>
          <w:rFonts w:cs="宋体" w:asciiTheme="minorEastAsia" w:hAnsiTheme="minorEastAsia" w:eastAsiaTheme="minorEastAsia"/>
          <w:sz w:val="24"/>
          <w:highlight w:val="none"/>
        </w:rPr>
      </w:pPr>
    </w:p>
    <w:p w14:paraId="2ECA08D2">
      <w:pPr>
        <w:spacing w:line="360" w:lineRule="auto"/>
        <w:ind w:firstLine="480" w:firstLineChars="200"/>
        <w:rPr>
          <w:rFonts w:cs="宋体" w:asciiTheme="minorEastAsia" w:hAnsiTheme="minorEastAsia" w:eastAsiaTheme="minorEastAsia"/>
          <w:sz w:val="24"/>
          <w:highlight w:val="none"/>
        </w:rPr>
      </w:pPr>
    </w:p>
    <w:p w14:paraId="1261C461">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kern w:val="0"/>
          <w:sz w:val="24"/>
          <w:highlight w:val="none"/>
          <w:lang w:val="zh-CN"/>
        </w:rPr>
        <w:t>投标人名称（电子签名）</w:t>
      </w:r>
      <w:r>
        <w:rPr>
          <w:rFonts w:hint="eastAsia" w:cs="宋体" w:asciiTheme="minorEastAsia" w:hAnsiTheme="minorEastAsia" w:eastAsiaTheme="minorEastAsia"/>
          <w:sz w:val="24"/>
          <w:highlight w:val="none"/>
        </w:rPr>
        <w:t>：</w:t>
      </w:r>
    </w:p>
    <w:p w14:paraId="31C834AD">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  期：</w:t>
      </w:r>
    </w:p>
    <w:p w14:paraId="77768F7F">
      <w:pPr>
        <w:spacing w:line="360" w:lineRule="auto"/>
        <w:ind w:firstLine="480" w:firstLineChars="200"/>
        <w:rPr>
          <w:rFonts w:cs="宋体" w:asciiTheme="minorEastAsia" w:hAnsiTheme="minorEastAsia" w:eastAsiaTheme="minorEastAsia"/>
          <w:sz w:val="24"/>
          <w:highlight w:val="none"/>
        </w:rPr>
      </w:pPr>
    </w:p>
    <w:p w14:paraId="766B9788">
      <w:pPr>
        <w:spacing w:line="360" w:lineRule="auto"/>
        <w:ind w:firstLine="420" w:firstLineChars="200"/>
        <w:rPr>
          <w:rFonts w:cs="宋体" w:asciiTheme="minorEastAsia" w:hAnsiTheme="minorEastAsia" w:eastAsiaTheme="minorEastAsia"/>
          <w:highlight w:val="none"/>
        </w:rPr>
      </w:pPr>
    </w:p>
    <w:p w14:paraId="5BFB1A1F">
      <w:pPr>
        <w:spacing w:line="360" w:lineRule="auto"/>
        <w:ind w:firstLine="420" w:firstLineChars="200"/>
        <w:rPr>
          <w:rFonts w:cs="宋体" w:asciiTheme="minorEastAsia" w:hAnsiTheme="minorEastAsia" w:eastAsiaTheme="minorEastAsia"/>
          <w:highlight w:val="none"/>
        </w:rPr>
      </w:pPr>
    </w:p>
    <w:p w14:paraId="34BF4E1E">
      <w:pPr>
        <w:spacing w:line="360" w:lineRule="auto"/>
        <w:ind w:firstLine="420" w:firstLineChars="200"/>
        <w:rPr>
          <w:rFonts w:cs="宋体" w:asciiTheme="minorEastAsia" w:hAnsiTheme="minorEastAsia" w:eastAsiaTheme="minorEastAsia"/>
          <w:highlight w:val="none"/>
        </w:rPr>
      </w:pPr>
    </w:p>
    <w:p w14:paraId="45BD97D3">
      <w:pPr>
        <w:spacing w:line="360" w:lineRule="auto"/>
        <w:ind w:firstLine="420" w:firstLineChars="200"/>
        <w:rPr>
          <w:rFonts w:cs="宋体" w:asciiTheme="minorEastAsia" w:hAnsiTheme="minorEastAsia" w:eastAsiaTheme="minorEastAsia"/>
          <w:highlight w:val="none"/>
        </w:rPr>
      </w:pPr>
    </w:p>
    <w:p w14:paraId="5B578DF8">
      <w:pPr>
        <w:spacing w:line="360" w:lineRule="auto"/>
        <w:rPr>
          <w:rFonts w:cs="宋体" w:asciiTheme="minorEastAsia" w:hAnsiTheme="minorEastAsia" w:eastAsiaTheme="minorEastAsia"/>
          <w:b/>
          <w:sz w:val="24"/>
          <w:highlight w:val="none"/>
        </w:rPr>
      </w:pPr>
    </w:p>
    <w:p w14:paraId="58B33504">
      <w:pPr>
        <w:spacing w:line="360" w:lineRule="auto"/>
        <w:rPr>
          <w:rFonts w:cs="宋体" w:asciiTheme="minorEastAsia" w:hAnsiTheme="minorEastAsia" w:eastAsiaTheme="minorEastAsia"/>
          <w:b/>
          <w:sz w:val="24"/>
          <w:highlight w:val="none"/>
        </w:rPr>
      </w:pPr>
    </w:p>
    <w:p w14:paraId="0BB8EC97">
      <w:pPr>
        <w:spacing w:line="360" w:lineRule="auto"/>
        <w:rPr>
          <w:rFonts w:cs="宋体" w:asciiTheme="minorEastAsia" w:hAnsiTheme="minorEastAsia" w:eastAsiaTheme="minorEastAsia"/>
          <w:b/>
          <w:sz w:val="24"/>
          <w:highlight w:val="none"/>
        </w:rPr>
      </w:pPr>
    </w:p>
    <w:p w14:paraId="04284259">
      <w:pPr>
        <w:spacing w:line="360" w:lineRule="auto"/>
        <w:rPr>
          <w:rFonts w:cs="宋体" w:asciiTheme="minorEastAsia" w:hAnsiTheme="minorEastAsia" w:eastAsiaTheme="minorEastAsia"/>
          <w:b/>
          <w:sz w:val="24"/>
          <w:highlight w:val="none"/>
        </w:rPr>
      </w:pPr>
    </w:p>
    <w:p w14:paraId="49A31677">
      <w:pPr>
        <w:spacing w:line="360" w:lineRule="auto"/>
        <w:rPr>
          <w:rFonts w:cs="宋体" w:asciiTheme="minorEastAsia" w:hAnsiTheme="minorEastAsia" w:eastAsiaTheme="minorEastAsia"/>
          <w:b/>
          <w:sz w:val="24"/>
          <w:highlight w:val="none"/>
        </w:rPr>
      </w:pPr>
    </w:p>
    <w:p w14:paraId="2A10C47C">
      <w:pPr>
        <w:spacing w:line="360" w:lineRule="auto"/>
        <w:rPr>
          <w:rFonts w:cs="宋体" w:asciiTheme="minorEastAsia" w:hAnsiTheme="minorEastAsia" w:eastAsiaTheme="minorEastAsia"/>
          <w:b/>
          <w:sz w:val="24"/>
          <w:highlight w:val="none"/>
        </w:rPr>
      </w:pPr>
    </w:p>
    <w:p w14:paraId="2911EAE5">
      <w:pPr>
        <w:spacing w:line="360" w:lineRule="auto"/>
        <w:rPr>
          <w:rFonts w:cs="宋体" w:asciiTheme="minorEastAsia" w:hAnsiTheme="minorEastAsia" w:eastAsiaTheme="minorEastAsia"/>
          <w:b/>
          <w:sz w:val="24"/>
          <w:highlight w:val="none"/>
        </w:rPr>
      </w:pPr>
    </w:p>
    <w:p w14:paraId="21557DC3">
      <w:pPr>
        <w:spacing w:line="360" w:lineRule="auto"/>
        <w:rPr>
          <w:rFonts w:cs="宋体" w:asciiTheme="minorEastAsia" w:hAnsiTheme="minorEastAsia" w:eastAsiaTheme="minorEastAsia"/>
          <w:b/>
          <w:sz w:val="24"/>
          <w:highlight w:val="none"/>
        </w:rPr>
      </w:pPr>
    </w:p>
    <w:p w14:paraId="31D5035F">
      <w:pPr>
        <w:spacing w:line="360" w:lineRule="auto"/>
        <w:rPr>
          <w:rFonts w:cs="宋体" w:asciiTheme="minorEastAsia" w:hAnsiTheme="minorEastAsia" w:eastAsiaTheme="minorEastAsia"/>
          <w:b/>
          <w:sz w:val="24"/>
          <w:highlight w:val="none"/>
        </w:rPr>
      </w:pPr>
    </w:p>
    <w:p w14:paraId="5E036DAF">
      <w:pPr>
        <w:spacing w:line="360" w:lineRule="auto"/>
        <w:rPr>
          <w:rFonts w:cs="宋体" w:asciiTheme="minorEastAsia" w:hAnsiTheme="minorEastAsia" w:eastAsiaTheme="minorEastAsia"/>
          <w:b/>
          <w:sz w:val="24"/>
          <w:highlight w:val="none"/>
        </w:rPr>
      </w:pPr>
    </w:p>
    <w:p w14:paraId="2E61299B">
      <w:pPr>
        <w:spacing w:line="360" w:lineRule="auto"/>
        <w:rPr>
          <w:rFonts w:cs="宋体" w:asciiTheme="minorEastAsia" w:hAnsiTheme="minorEastAsia" w:eastAsiaTheme="minorEastAsia"/>
          <w:b/>
          <w:sz w:val="24"/>
          <w:highlight w:val="none"/>
        </w:rPr>
      </w:pPr>
    </w:p>
    <w:p w14:paraId="5A2801BC">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附件2：质疑函范本及制作说明</w:t>
      </w:r>
    </w:p>
    <w:p w14:paraId="600D2C74">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质疑函范本</w:t>
      </w:r>
    </w:p>
    <w:p w14:paraId="525B7EE2">
      <w:pPr>
        <w:snapToGrid w:val="0"/>
        <w:spacing w:before="240" w:beforeLines="100"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一、质疑供应商基本信息</w:t>
      </w:r>
    </w:p>
    <w:p w14:paraId="53E17C86">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质疑供应商：</w:t>
      </w:r>
      <w:r>
        <w:rPr>
          <w:rFonts w:hint="eastAsia" w:cs="宋体" w:asciiTheme="minorEastAsia" w:hAnsiTheme="minorEastAsia" w:eastAsiaTheme="minorEastAsia"/>
          <w:sz w:val="24"/>
          <w:highlight w:val="none"/>
          <w:u w:val="dotted"/>
        </w:rPr>
        <w:t xml:space="preserve">                                        </w:t>
      </w:r>
    </w:p>
    <w:p w14:paraId="418AB8CA">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14:paraId="32CBB8EB">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02B0408A">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p>
    <w:p w14:paraId="3044643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3FBC884A">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地址： </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14:paraId="24238210">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二、质疑项目基本情况</w:t>
      </w:r>
    </w:p>
    <w:p w14:paraId="0323F0B9">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质疑项目的名称：</w:t>
      </w:r>
      <w:r>
        <w:rPr>
          <w:rFonts w:hint="eastAsia" w:cs="宋体" w:asciiTheme="minorEastAsia" w:hAnsiTheme="minorEastAsia" w:eastAsiaTheme="minorEastAsia"/>
          <w:sz w:val="24"/>
          <w:highlight w:val="none"/>
          <w:u w:val="dotted"/>
        </w:rPr>
        <w:t xml:space="preserve">                                      </w:t>
      </w:r>
    </w:p>
    <w:p w14:paraId="224CE21B">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14:paraId="65DF8C02">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p>
    <w:p w14:paraId="74DEFF37">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采购文件获取日期：</w:t>
      </w:r>
      <w:r>
        <w:rPr>
          <w:rFonts w:hint="eastAsia" w:cs="宋体" w:asciiTheme="minorEastAsia" w:hAnsiTheme="minorEastAsia" w:eastAsiaTheme="minorEastAsia"/>
          <w:sz w:val="24"/>
          <w:highlight w:val="none"/>
          <w:u w:val="dotted"/>
        </w:rPr>
        <w:t xml:space="preserve">                                           </w:t>
      </w:r>
    </w:p>
    <w:p w14:paraId="5FAE681C">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三、质疑事项具体内容</w:t>
      </w:r>
    </w:p>
    <w:p w14:paraId="35080B33">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质疑事项1：</w:t>
      </w:r>
      <w:r>
        <w:rPr>
          <w:rFonts w:hint="eastAsia" w:cs="宋体" w:asciiTheme="minorEastAsia" w:hAnsiTheme="minorEastAsia" w:eastAsiaTheme="minorEastAsia"/>
          <w:sz w:val="24"/>
          <w:highlight w:val="none"/>
          <w:u w:val="dotted"/>
        </w:rPr>
        <w:t xml:space="preserve">                                         </w:t>
      </w:r>
    </w:p>
    <w:p w14:paraId="7DBF378D">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14:paraId="4AB99350">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 xml:space="preserve">                                                       </w:t>
      </w:r>
    </w:p>
    <w:p w14:paraId="6474CDCA">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14:paraId="640977B3">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0FF3554E">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质疑事项2</w:t>
      </w:r>
    </w:p>
    <w:p w14:paraId="56ED5AC4">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4E6E32FC">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四、与质疑事项相关的质疑请求</w:t>
      </w:r>
    </w:p>
    <w:p w14:paraId="1485F172">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p>
    <w:p w14:paraId="11F4782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51F2C89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1A2456BC">
      <w:pPr>
        <w:spacing w:line="360" w:lineRule="auto"/>
        <w:jc w:val="center"/>
        <w:rPr>
          <w:rFonts w:cs="宋体" w:asciiTheme="minorEastAsia" w:hAnsiTheme="minorEastAsia" w:eastAsiaTheme="minorEastAsia"/>
          <w:b/>
          <w:bCs/>
          <w:sz w:val="24"/>
          <w:highlight w:val="none"/>
        </w:rPr>
      </w:pPr>
    </w:p>
    <w:p w14:paraId="06976346">
      <w:pPr>
        <w:spacing w:line="360" w:lineRule="auto"/>
        <w:rPr>
          <w:rFonts w:cs="宋体" w:asciiTheme="minorEastAsia" w:hAnsiTheme="minorEastAsia" w:eastAsiaTheme="minorEastAsia"/>
          <w:b/>
          <w:sz w:val="24"/>
          <w:highlight w:val="none"/>
        </w:rPr>
      </w:pPr>
    </w:p>
    <w:p w14:paraId="5B683BE9">
      <w:pPr>
        <w:spacing w:line="360" w:lineRule="auto"/>
        <w:rPr>
          <w:rFonts w:cs="宋体" w:asciiTheme="minorEastAsia" w:hAnsiTheme="minorEastAsia" w:eastAsiaTheme="minorEastAsia"/>
          <w:b/>
          <w:sz w:val="24"/>
          <w:highlight w:val="none"/>
        </w:rPr>
      </w:pPr>
    </w:p>
    <w:p w14:paraId="72A8C91F">
      <w:pPr>
        <w:spacing w:line="360" w:lineRule="auto"/>
        <w:rPr>
          <w:rFonts w:cs="宋体" w:asciiTheme="minorEastAsia" w:hAnsiTheme="minorEastAsia" w:eastAsiaTheme="minorEastAsia"/>
          <w:b/>
          <w:sz w:val="24"/>
          <w:highlight w:val="none"/>
        </w:rPr>
      </w:pPr>
    </w:p>
    <w:p w14:paraId="0340DD7B">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质疑函制作说明：</w:t>
      </w:r>
    </w:p>
    <w:p w14:paraId="61CCD5FF">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1.供应商提出质疑时，应提交质疑函和必要的证明材料。</w:t>
      </w:r>
    </w:p>
    <w:p w14:paraId="2A18E4DD">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4FBDEC2E">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3.质疑供应商若对项目的某一分包进行质疑，质疑函中应列明具体分包号。</w:t>
      </w:r>
    </w:p>
    <w:p w14:paraId="69C467AD">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4.质疑函的质疑事项应具体、明确，并有必要的事实依据和法律依据。</w:t>
      </w:r>
    </w:p>
    <w:p w14:paraId="5F9DFF28">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5.质疑函的质疑请求应与质疑事项相关。</w:t>
      </w:r>
    </w:p>
    <w:p w14:paraId="6E60AF6C">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6AD8E637">
      <w:pPr>
        <w:widowControl/>
        <w:spacing w:line="360" w:lineRule="auto"/>
        <w:ind w:firstLine="600" w:firstLineChars="200"/>
        <w:jc w:val="left"/>
        <w:rPr>
          <w:rFonts w:cs="宋体" w:asciiTheme="minorEastAsia" w:hAnsiTheme="minorEastAsia" w:eastAsiaTheme="minorEastAsia"/>
          <w:sz w:val="30"/>
          <w:szCs w:val="30"/>
          <w:highlight w:val="none"/>
        </w:rPr>
      </w:pPr>
    </w:p>
    <w:p w14:paraId="57164215">
      <w:pPr>
        <w:spacing w:line="360" w:lineRule="auto"/>
        <w:jc w:val="center"/>
        <w:rPr>
          <w:rFonts w:cs="宋体" w:asciiTheme="minorEastAsia" w:hAnsiTheme="minorEastAsia" w:eastAsiaTheme="minorEastAsia"/>
          <w:b/>
          <w:spacing w:val="6"/>
          <w:sz w:val="32"/>
          <w:szCs w:val="32"/>
          <w:highlight w:val="none"/>
        </w:rPr>
      </w:pPr>
    </w:p>
    <w:p w14:paraId="1A34730C">
      <w:pPr>
        <w:spacing w:line="360" w:lineRule="auto"/>
        <w:jc w:val="center"/>
        <w:rPr>
          <w:rFonts w:cs="宋体" w:asciiTheme="minorEastAsia" w:hAnsiTheme="minorEastAsia" w:eastAsiaTheme="minorEastAsia"/>
          <w:b/>
          <w:spacing w:val="6"/>
          <w:sz w:val="32"/>
          <w:szCs w:val="32"/>
          <w:highlight w:val="none"/>
        </w:rPr>
      </w:pPr>
    </w:p>
    <w:p w14:paraId="74E04D1E">
      <w:pPr>
        <w:spacing w:line="360" w:lineRule="auto"/>
        <w:jc w:val="center"/>
        <w:rPr>
          <w:rFonts w:cs="宋体" w:asciiTheme="minorEastAsia" w:hAnsiTheme="minorEastAsia" w:eastAsiaTheme="minorEastAsia"/>
          <w:b/>
          <w:spacing w:val="6"/>
          <w:sz w:val="32"/>
          <w:szCs w:val="32"/>
          <w:highlight w:val="none"/>
        </w:rPr>
      </w:pPr>
    </w:p>
    <w:p w14:paraId="1227DBC3">
      <w:pPr>
        <w:spacing w:line="360" w:lineRule="auto"/>
        <w:jc w:val="center"/>
        <w:rPr>
          <w:rFonts w:cs="宋体" w:asciiTheme="minorEastAsia" w:hAnsiTheme="minorEastAsia" w:eastAsiaTheme="minorEastAsia"/>
          <w:b/>
          <w:spacing w:val="6"/>
          <w:sz w:val="32"/>
          <w:szCs w:val="32"/>
          <w:highlight w:val="none"/>
        </w:rPr>
      </w:pPr>
    </w:p>
    <w:p w14:paraId="2DAF19C7">
      <w:pPr>
        <w:spacing w:line="360" w:lineRule="auto"/>
        <w:jc w:val="center"/>
        <w:rPr>
          <w:rFonts w:cs="宋体" w:asciiTheme="minorEastAsia" w:hAnsiTheme="minorEastAsia" w:eastAsiaTheme="minorEastAsia"/>
          <w:b/>
          <w:spacing w:val="6"/>
          <w:sz w:val="32"/>
          <w:szCs w:val="32"/>
          <w:highlight w:val="none"/>
        </w:rPr>
      </w:pPr>
    </w:p>
    <w:p w14:paraId="0B9E555F">
      <w:pPr>
        <w:spacing w:line="360" w:lineRule="auto"/>
        <w:jc w:val="center"/>
        <w:rPr>
          <w:rFonts w:cs="宋体" w:asciiTheme="minorEastAsia" w:hAnsiTheme="minorEastAsia" w:eastAsiaTheme="minorEastAsia"/>
          <w:b/>
          <w:spacing w:val="6"/>
          <w:sz w:val="32"/>
          <w:szCs w:val="32"/>
          <w:highlight w:val="none"/>
        </w:rPr>
      </w:pPr>
    </w:p>
    <w:p w14:paraId="5452B9DA">
      <w:pPr>
        <w:spacing w:line="360" w:lineRule="auto"/>
        <w:jc w:val="center"/>
        <w:rPr>
          <w:rFonts w:cs="宋体" w:asciiTheme="minorEastAsia" w:hAnsiTheme="minorEastAsia" w:eastAsiaTheme="minorEastAsia"/>
          <w:b/>
          <w:spacing w:val="6"/>
          <w:sz w:val="32"/>
          <w:szCs w:val="32"/>
          <w:highlight w:val="none"/>
        </w:rPr>
      </w:pPr>
    </w:p>
    <w:p w14:paraId="0C75E911">
      <w:pPr>
        <w:spacing w:line="360" w:lineRule="auto"/>
        <w:jc w:val="center"/>
        <w:rPr>
          <w:rFonts w:cs="宋体" w:asciiTheme="minorEastAsia" w:hAnsiTheme="minorEastAsia" w:eastAsiaTheme="minorEastAsia"/>
          <w:b/>
          <w:spacing w:val="6"/>
          <w:sz w:val="32"/>
          <w:szCs w:val="32"/>
          <w:highlight w:val="none"/>
        </w:rPr>
      </w:pPr>
    </w:p>
    <w:p w14:paraId="5F74935A">
      <w:pPr>
        <w:spacing w:line="360" w:lineRule="auto"/>
        <w:jc w:val="center"/>
        <w:rPr>
          <w:rFonts w:cs="宋体" w:asciiTheme="minorEastAsia" w:hAnsiTheme="minorEastAsia" w:eastAsiaTheme="minorEastAsia"/>
          <w:b/>
          <w:spacing w:val="6"/>
          <w:sz w:val="32"/>
          <w:szCs w:val="32"/>
          <w:highlight w:val="none"/>
        </w:rPr>
      </w:pPr>
    </w:p>
    <w:p w14:paraId="11EA9868">
      <w:pPr>
        <w:spacing w:line="360" w:lineRule="auto"/>
        <w:jc w:val="center"/>
        <w:rPr>
          <w:rFonts w:cs="宋体" w:asciiTheme="minorEastAsia" w:hAnsiTheme="minorEastAsia" w:eastAsiaTheme="minorEastAsia"/>
          <w:b/>
          <w:spacing w:val="6"/>
          <w:sz w:val="32"/>
          <w:szCs w:val="32"/>
          <w:highlight w:val="none"/>
        </w:rPr>
      </w:pPr>
    </w:p>
    <w:p w14:paraId="3FEF84D2">
      <w:pPr>
        <w:spacing w:line="360" w:lineRule="auto"/>
        <w:jc w:val="center"/>
        <w:rPr>
          <w:rFonts w:cs="宋体" w:asciiTheme="minorEastAsia" w:hAnsiTheme="minorEastAsia" w:eastAsiaTheme="minorEastAsia"/>
          <w:b/>
          <w:spacing w:val="6"/>
          <w:sz w:val="32"/>
          <w:szCs w:val="32"/>
          <w:highlight w:val="none"/>
        </w:rPr>
      </w:pPr>
    </w:p>
    <w:p w14:paraId="41C1B254">
      <w:pPr>
        <w:spacing w:line="360" w:lineRule="auto"/>
        <w:jc w:val="center"/>
        <w:rPr>
          <w:rFonts w:cs="宋体" w:asciiTheme="minorEastAsia" w:hAnsiTheme="minorEastAsia" w:eastAsiaTheme="minorEastAsia"/>
          <w:b/>
          <w:spacing w:val="6"/>
          <w:sz w:val="32"/>
          <w:szCs w:val="32"/>
          <w:highlight w:val="none"/>
        </w:rPr>
      </w:pPr>
    </w:p>
    <w:p w14:paraId="730B9172">
      <w:pPr>
        <w:spacing w:line="360" w:lineRule="auto"/>
        <w:jc w:val="left"/>
        <w:rPr>
          <w:rFonts w:cs="宋体" w:asciiTheme="minorEastAsia" w:hAnsiTheme="minorEastAsia" w:eastAsiaTheme="minorEastAsia"/>
          <w:b/>
          <w:spacing w:val="6"/>
          <w:sz w:val="32"/>
          <w:szCs w:val="32"/>
          <w:highlight w:val="none"/>
        </w:rPr>
      </w:pPr>
    </w:p>
    <w:p w14:paraId="14D77AA8">
      <w:pPr>
        <w:spacing w:line="360" w:lineRule="auto"/>
        <w:jc w:val="left"/>
        <w:rPr>
          <w:rFonts w:cs="宋体" w:asciiTheme="minorEastAsia" w:hAnsiTheme="minorEastAsia" w:eastAsiaTheme="minorEastAsia"/>
          <w:b/>
          <w:spacing w:val="6"/>
          <w:sz w:val="32"/>
          <w:szCs w:val="32"/>
          <w:highlight w:val="none"/>
        </w:rPr>
      </w:pPr>
    </w:p>
    <w:p w14:paraId="525AB52A">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附件3：投诉书范本及制作说明</w:t>
      </w:r>
    </w:p>
    <w:p w14:paraId="106EDBDB">
      <w:pPr>
        <w:spacing w:line="360" w:lineRule="auto"/>
        <w:jc w:val="center"/>
        <w:rPr>
          <w:rFonts w:cs="宋体" w:asciiTheme="minorEastAsia" w:hAnsiTheme="minorEastAsia" w:eastAsiaTheme="minorEastAsia"/>
          <w:b/>
          <w:sz w:val="24"/>
          <w:highlight w:val="none"/>
        </w:rPr>
      </w:pPr>
    </w:p>
    <w:p w14:paraId="01DD8BFB">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投诉书范本</w:t>
      </w:r>
    </w:p>
    <w:p w14:paraId="0A823321">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一、投诉相关主体基本情况</w:t>
      </w:r>
    </w:p>
    <w:p w14:paraId="1654D144">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w:t>
      </w:r>
      <w:r>
        <w:rPr>
          <w:rFonts w:hint="eastAsia" w:cs="宋体" w:asciiTheme="minorEastAsia" w:hAnsiTheme="minorEastAsia" w:eastAsiaTheme="minorEastAsia"/>
          <w:sz w:val="24"/>
          <w:highlight w:val="none"/>
          <w:u w:val="dotted"/>
        </w:rPr>
        <w:t xml:space="preserve">                                               </w:t>
      </w:r>
    </w:p>
    <w:p w14:paraId="25C07F20">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2BDBC7AF">
      <w:pPr>
        <w:tabs>
          <w:tab w:val="left" w:pos="6510"/>
        </w:tabs>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法定代表人/主要负责人：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16718930">
      <w:pPr>
        <w:tabs>
          <w:tab w:val="left" w:pos="6510"/>
        </w:tabs>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462EA039">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3914F711">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dotted"/>
        </w:rPr>
        <w:t xml:space="preserve">                   </w:t>
      </w:r>
    </w:p>
    <w:p w14:paraId="32AA2626">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被投诉人1：</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447643E1">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59ABEB61">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5B619A9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被投诉人2</w:t>
      </w:r>
    </w:p>
    <w:p w14:paraId="1ACB9D39">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278EB21C">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相关供应商：</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7BB0AE42">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2F0F08D2">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1E5F72E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二、投诉项目基本情况</w:t>
      </w:r>
    </w:p>
    <w:p w14:paraId="130A92B7">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采购项目名称：</w:t>
      </w:r>
      <w:r>
        <w:rPr>
          <w:rFonts w:hint="eastAsia" w:cs="宋体" w:asciiTheme="minorEastAsia" w:hAnsiTheme="minorEastAsia" w:eastAsiaTheme="minorEastAsia"/>
          <w:sz w:val="24"/>
          <w:highlight w:val="none"/>
          <w:u w:val="dotted"/>
        </w:rPr>
        <w:t xml:space="preserve">                                        </w:t>
      </w:r>
    </w:p>
    <w:p w14:paraId="7921C03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采购项目编号：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14:paraId="6D72C81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1AEF0BF4">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代理机构名称：</w:t>
      </w:r>
      <w:r>
        <w:rPr>
          <w:rFonts w:hint="eastAsia" w:cs="宋体" w:asciiTheme="minorEastAsia" w:hAnsiTheme="minorEastAsia" w:eastAsiaTheme="minorEastAsia"/>
          <w:sz w:val="24"/>
          <w:highlight w:val="none"/>
          <w:u w:val="dotted"/>
        </w:rPr>
        <w:t xml:space="preserve">                                         </w:t>
      </w:r>
    </w:p>
    <w:p w14:paraId="5C7981D6">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采购文件公告: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14:paraId="1C784AD8">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采购结果公告: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14:paraId="30A07AE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三、质疑基本情况</w:t>
      </w:r>
    </w:p>
    <w:p w14:paraId="7549CDAF">
      <w:pPr>
        <w:spacing w:line="360" w:lineRule="auto"/>
        <w:ind w:firstLine="480" w:firstLineChars="200"/>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日,向</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提出质疑，质疑事项为：</w:t>
      </w:r>
      <w:r>
        <w:rPr>
          <w:rFonts w:hint="eastAsia" w:cs="宋体" w:asciiTheme="minorEastAsia" w:hAnsiTheme="minorEastAsia" w:eastAsiaTheme="minorEastAsia"/>
          <w:sz w:val="24"/>
          <w:highlight w:val="none"/>
          <w:u w:val="dotted"/>
        </w:rPr>
        <w:t xml:space="preserve">                                </w:t>
      </w:r>
    </w:p>
    <w:p w14:paraId="08326D50">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03DA8BAA">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采购人/代理机构</w:t>
      </w:r>
      <w:r>
        <w:rPr>
          <w:rFonts w:hint="eastAsia" w:cs="宋体" w:asciiTheme="minorEastAsia" w:hAnsiTheme="minorEastAsia" w:eastAsiaTheme="minorEastAsia"/>
          <w:sz w:val="24"/>
          <w:highlight w:val="none"/>
        </w:rPr>
        <w:t>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日,就质疑事项作出了答复/没有在法定期限内作出答复。</w:t>
      </w:r>
    </w:p>
    <w:p w14:paraId="15150689">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四、投诉事项具体内容</w:t>
      </w:r>
    </w:p>
    <w:p w14:paraId="63549D49">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投诉事项 1：</w:t>
      </w:r>
      <w:r>
        <w:rPr>
          <w:rFonts w:hint="eastAsia" w:cs="宋体" w:asciiTheme="minorEastAsia" w:hAnsiTheme="minorEastAsia" w:eastAsiaTheme="minorEastAsia"/>
          <w:sz w:val="24"/>
          <w:highlight w:val="none"/>
          <w:u w:val="dotted"/>
        </w:rPr>
        <w:t xml:space="preserve">                                       </w:t>
      </w:r>
    </w:p>
    <w:p w14:paraId="1D1835B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14:paraId="2AA1AFD1">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5CB4D18D">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14:paraId="58132C7B">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3778B5A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投诉事项2</w:t>
      </w:r>
    </w:p>
    <w:p w14:paraId="70E004E0">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5B71592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五、与投诉事项相关的投诉请求</w:t>
      </w:r>
    </w:p>
    <w:p w14:paraId="77A3D1F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4117ECC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 xml:space="preserve">                                                                                                    </w:t>
      </w:r>
    </w:p>
    <w:p w14:paraId="0442726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213CC55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5B8E50CC">
      <w:pPr>
        <w:spacing w:line="360" w:lineRule="auto"/>
        <w:rPr>
          <w:rFonts w:cs="宋体" w:asciiTheme="minorEastAsia" w:hAnsiTheme="minorEastAsia" w:eastAsiaTheme="minorEastAsia"/>
          <w:b/>
          <w:sz w:val="24"/>
          <w:highlight w:val="none"/>
        </w:rPr>
      </w:pPr>
    </w:p>
    <w:p w14:paraId="44E5386C">
      <w:pPr>
        <w:spacing w:line="360" w:lineRule="auto"/>
        <w:rPr>
          <w:rFonts w:cs="宋体" w:asciiTheme="minorEastAsia" w:hAnsiTheme="minorEastAsia" w:eastAsiaTheme="minorEastAsia"/>
          <w:b/>
          <w:sz w:val="24"/>
          <w:highlight w:val="none"/>
        </w:rPr>
      </w:pPr>
    </w:p>
    <w:p w14:paraId="4BCBCD81">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投诉书制作说明：</w:t>
      </w:r>
    </w:p>
    <w:p w14:paraId="23BB0326">
      <w:pPr>
        <w:widowControl/>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6C56A444">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3B1B08DF">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3.投诉人若对项目的某一分包进行投诉，投诉书应列明具体分包号。</w:t>
      </w:r>
    </w:p>
    <w:p w14:paraId="313A7C87">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4.投诉书应简要列明质疑事项，质疑函、质疑答复等作为附件材料提供。</w:t>
      </w:r>
    </w:p>
    <w:p w14:paraId="73E2784E">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5.投诉书的投诉事项应具体、明确，并有必要的事实依据和法律依据。</w:t>
      </w:r>
    </w:p>
    <w:p w14:paraId="08BF530C">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6.投诉书的投诉请求应与投诉事项相关。</w:t>
      </w:r>
    </w:p>
    <w:p w14:paraId="19C12D8A">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428FD640">
      <w:pPr>
        <w:spacing w:line="360" w:lineRule="auto"/>
        <w:rPr>
          <w:rFonts w:cs="宋体" w:asciiTheme="minorEastAsia" w:hAnsiTheme="minorEastAsia" w:eastAsiaTheme="minorEastAsia"/>
          <w:b/>
          <w:sz w:val="24"/>
          <w:highlight w:val="none"/>
        </w:rPr>
      </w:pPr>
    </w:p>
    <w:p w14:paraId="6AB18473">
      <w:pPr>
        <w:autoSpaceDE w:val="0"/>
        <w:autoSpaceDN w:val="0"/>
        <w:jc w:val="center"/>
        <w:rPr>
          <w:rFonts w:cs="宋体" w:asciiTheme="minorEastAsia" w:hAnsiTheme="minorEastAsia" w:eastAsiaTheme="minorEastAsia"/>
          <w:b/>
          <w:spacing w:val="6"/>
          <w:sz w:val="32"/>
          <w:szCs w:val="32"/>
          <w:highlight w:val="none"/>
        </w:rPr>
      </w:pPr>
    </w:p>
    <w:p w14:paraId="54962BFF">
      <w:pPr>
        <w:autoSpaceDE w:val="0"/>
        <w:autoSpaceDN w:val="0"/>
        <w:jc w:val="center"/>
        <w:rPr>
          <w:rFonts w:cs="宋体" w:asciiTheme="minorEastAsia" w:hAnsiTheme="minorEastAsia" w:eastAsiaTheme="minorEastAsia"/>
          <w:b/>
          <w:spacing w:val="6"/>
          <w:sz w:val="32"/>
          <w:szCs w:val="32"/>
          <w:highlight w:val="none"/>
        </w:rPr>
      </w:pPr>
    </w:p>
    <w:p w14:paraId="202B3486">
      <w:pPr>
        <w:pStyle w:val="38"/>
        <w:rPr>
          <w:rFonts w:cs="宋体" w:asciiTheme="minorEastAsia" w:hAnsiTheme="minorEastAsia" w:eastAsiaTheme="minorEastAsia"/>
          <w:b/>
          <w:spacing w:val="6"/>
          <w:sz w:val="32"/>
          <w:szCs w:val="32"/>
          <w:highlight w:val="none"/>
        </w:rPr>
      </w:pPr>
    </w:p>
    <w:p w14:paraId="208F927B">
      <w:pPr>
        <w:pStyle w:val="38"/>
        <w:rPr>
          <w:rFonts w:cs="宋体" w:asciiTheme="minorEastAsia" w:hAnsiTheme="minorEastAsia" w:eastAsiaTheme="minorEastAsia"/>
          <w:b/>
          <w:spacing w:val="6"/>
          <w:sz w:val="32"/>
          <w:szCs w:val="32"/>
          <w:highlight w:val="none"/>
        </w:rPr>
      </w:pPr>
    </w:p>
    <w:p w14:paraId="4D2CE809">
      <w:pPr>
        <w:autoSpaceDE w:val="0"/>
        <w:autoSpaceDN w:val="0"/>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spacing w:val="6"/>
          <w:sz w:val="32"/>
          <w:szCs w:val="32"/>
          <w:highlight w:val="none"/>
        </w:rPr>
        <w:t>附件4：</w:t>
      </w:r>
      <w:r>
        <w:rPr>
          <w:rFonts w:hint="eastAsia" w:cs="宋体" w:asciiTheme="minorEastAsia" w:hAnsiTheme="minorEastAsia" w:eastAsiaTheme="minorEastAsia"/>
          <w:b/>
          <w:bCs/>
          <w:sz w:val="32"/>
          <w:szCs w:val="32"/>
          <w:highlight w:val="none"/>
        </w:rPr>
        <w:t>业务专用章使用说明函</w:t>
      </w:r>
    </w:p>
    <w:p w14:paraId="3C22C01C">
      <w:pPr>
        <w:spacing w:line="360" w:lineRule="auto"/>
        <w:rPr>
          <w:rFonts w:cs="宋体" w:asciiTheme="minorEastAsia" w:hAnsiTheme="minorEastAsia" w:eastAsiaTheme="minorEastAsia"/>
          <w:sz w:val="24"/>
          <w:highlight w:val="none"/>
          <w:u w:val="single"/>
        </w:rPr>
      </w:pPr>
    </w:p>
    <w:p w14:paraId="5B230D7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u w:val="single"/>
          <w:lang w:eastAsia="zh-CN"/>
        </w:rPr>
        <w:t>杭州市西湖区政府采购中心</w:t>
      </w:r>
      <w:r>
        <w:rPr>
          <w:rFonts w:hint="eastAsia" w:cs="宋体" w:asciiTheme="minorEastAsia" w:hAnsiTheme="minorEastAsia" w:eastAsiaTheme="minorEastAsia"/>
          <w:sz w:val="24"/>
          <w:highlight w:val="none"/>
          <w:u w:val="single"/>
        </w:rPr>
        <w:t>：</w:t>
      </w:r>
    </w:p>
    <w:p w14:paraId="3782A18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我方</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sz w:val="24"/>
          <w:highlight w:val="none"/>
        </w:rPr>
        <w:t>(投标人全称)是中华人民共和国依法登记注册的合法企业，</w:t>
      </w:r>
      <w:r>
        <w:rPr>
          <w:rFonts w:hint="eastAsia" w:cs="宋体" w:asciiTheme="minorEastAsia" w:hAnsiTheme="minorEastAsia" w:eastAsiaTheme="minorEastAsia"/>
          <w:bCs/>
          <w:sz w:val="24"/>
          <w:highlight w:val="none"/>
        </w:rPr>
        <w:t>在参加</w:t>
      </w:r>
      <w:r>
        <w:rPr>
          <w:rFonts w:hint="eastAsia" w:cs="宋体" w:asciiTheme="minorEastAsia" w:hAnsiTheme="minorEastAsia" w:eastAsiaTheme="minorEastAsia"/>
          <w:sz w:val="24"/>
          <w:highlight w:val="none"/>
        </w:rPr>
        <w:t>你方组织的</w:t>
      </w:r>
      <w:r>
        <w:rPr>
          <w:rFonts w:hint="eastAsia" w:cs="宋体" w:asciiTheme="minorEastAsia" w:hAnsiTheme="minorEastAsia" w:eastAsiaTheme="minorEastAsia"/>
          <w:sz w:val="24"/>
          <w:highlight w:val="none"/>
          <w:lang w:eastAsia="zh-CN"/>
        </w:rPr>
        <w:t>2025年杭州市公安局西湖区分局警网融合智治平台二期采购项目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XHZFCG-2025-G-06</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投标活动中作如下说明：</w:t>
      </w:r>
      <w:r>
        <w:rPr>
          <w:rFonts w:hint="eastAsia" w:cs="宋体" w:asciiTheme="minorEastAsia" w:hAnsiTheme="minorEastAsia" w:eastAsiaTheme="minorEastAsia"/>
          <w:sz w:val="24"/>
          <w:highlight w:val="none"/>
        </w:rPr>
        <w:t xml:space="preserve">我方所使用的“XX专用章”与法定名称章具有同等的法律效力，对使用“XX专用章”的行为予以完全承认，并愿意承担相应责任。   </w:t>
      </w:r>
    </w:p>
    <w:p w14:paraId="141BFD4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73C32A93">
      <w:pPr>
        <w:spacing w:line="360" w:lineRule="auto"/>
        <w:ind w:firstLine="494"/>
        <w:rPr>
          <w:rFonts w:cs="宋体" w:asciiTheme="minorEastAsia" w:hAnsiTheme="minorEastAsia" w:eastAsiaTheme="minorEastAsia"/>
          <w:sz w:val="24"/>
          <w:highlight w:val="none"/>
        </w:rPr>
      </w:pPr>
    </w:p>
    <w:p w14:paraId="38AD0E31">
      <w:pPr>
        <w:spacing w:line="360" w:lineRule="auto"/>
        <w:ind w:firstLine="494"/>
        <w:rPr>
          <w:rFonts w:cs="宋体" w:asciiTheme="minorEastAsia" w:hAnsiTheme="minorEastAsia" w:eastAsiaTheme="minorEastAsia"/>
          <w:sz w:val="24"/>
          <w:highlight w:val="none"/>
        </w:rPr>
      </w:pPr>
    </w:p>
    <w:p w14:paraId="21ED93A3">
      <w:pPr>
        <w:spacing w:line="360" w:lineRule="auto"/>
        <w:ind w:firstLine="494"/>
        <w:rPr>
          <w:rFonts w:cs="宋体" w:asciiTheme="minorEastAsia" w:hAnsiTheme="minorEastAsia" w:eastAsiaTheme="minorEastAsia"/>
          <w:sz w:val="24"/>
          <w:highlight w:val="none"/>
        </w:rPr>
      </w:pPr>
    </w:p>
    <w:p w14:paraId="5E98AF4C">
      <w:pPr>
        <w:spacing w:line="360" w:lineRule="auto"/>
        <w:ind w:firstLine="494"/>
        <w:rPr>
          <w:rFonts w:cs="宋体" w:asciiTheme="minorEastAsia" w:hAnsiTheme="minorEastAsia" w:eastAsiaTheme="minorEastAsia"/>
          <w:sz w:val="24"/>
          <w:highlight w:val="none"/>
        </w:rPr>
      </w:pPr>
    </w:p>
    <w:p w14:paraId="682857AA">
      <w:pPr>
        <w:spacing w:line="360" w:lineRule="auto"/>
        <w:ind w:right="480"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投标单位（法定名称章）：</w:t>
      </w:r>
    </w:p>
    <w:p w14:paraId="2C7DA9BD">
      <w:pPr>
        <w:ind w:right="1440" w:firstLine="494"/>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0DB9715D">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47C2FA8A">
      <w:pPr>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投标单位法定名称章（印模）                投标单位“XX专用章”（印模）</w:t>
      </w:r>
    </w:p>
    <w:p w14:paraId="2EDCC8A3">
      <w:pPr>
        <w:autoSpaceDE w:val="0"/>
        <w:autoSpaceDN w:val="0"/>
        <w:jc w:val="center"/>
        <w:rPr>
          <w:rFonts w:cs="宋体" w:asciiTheme="minorEastAsia" w:hAnsiTheme="minorEastAsia" w:eastAsiaTheme="minorEastAsia"/>
          <w:b/>
          <w:spacing w:val="6"/>
          <w:sz w:val="32"/>
          <w:szCs w:val="32"/>
          <w:highlight w:val="none"/>
        </w:rPr>
      </w:pPr>
    </w:p>
    <w:p w14:paraId="25DFE672">
      <w:pPr>
        <w:autoSpaceDE w:val="0"/>
        <w:autoSpaceDN w:val="0"/>
        <w:jc w:val="center"/>
        <w:rPr>
          <w:rFonts w:cs="宋体" w:asciiTheme="minorEastAsia" w:hAnsiTheme="minorEastAsia" w:eastAsiaTheme="minorEastAsia"/>
          <w:b/>
          <w:spacing w:val="6"/>
          <w:sz w:val="32"/>
          <w:szCs w:val="32"/>
          <w:highlight w:val="none"/>
        </w:rPr>
      </w:pPr>
    </w:p>
    <w:p w14:paraId="61C39C0E">
      <w:pPr>
        <w:autoSpaceDE w:val="0"/>
        <w:autoSpaceDN w:val="0"/>
        <w:jc w:val="center"/>
        <w:rPr>
          <w:rFonts w:cs="宋体" w:asciiTheme="minorEastAsia" w:hAnsiTheme="minorEastAsia" w:eastAsiaTheme="minorEastAsia"/>
          <w:b/>
          <w:spacing w:val="6"/>
          <w:sz w:val="32"/>
          <w:szCs w:val="32"/>
          <w:highlight w:val="none"/>
        </w:rPr>
      </w:pPr>
    </w:p>
    <w:p w14:paraId="3FA221D2">
      <w:pPr>
        <w:autoSpaceDE w:val="0"/>
        <w:autoSpaceDN w:val="0"/>
        <w:jc w:val="center"/>
        <w:rPr>
          <w:rFonts w:cs="宋体" w:asciiTheme="minorEastAsia" w:hAnsiTheme="minorEastAsia" w:eastAsiaTheme="minorEastAsia"/>
          <w:b/>
          <w:spacing w:val="6"/>
          <w:sz w:val="32"/>
          <w:szCs w:val="32"/>
          <w:highlight w:val="none"/>
        </w:rPr>
      </w:pPr>
    </w:p>
    <w:p w14:paraId="1FDA3B32">
      <w:pPr>
        <w:autoSpaceDE w:val="0"/>
        <w:autoSpaceDN w:val="0"/>
        <w:jc w:val="center"/>
        <w:rPr>
          <w:rFonts w:cs="宋体" w:asciiTheme="minorEastAsia" w:hAnsiTheme="minorEastAsia" w:eastAsiaTheme="minorEastAsia"/>
          <w:b/>
          <w:spacing w:val="6"/>
          <w:sz w:val="32"/>
          <w:szCs w:val="32"/>
          <w:highlight w:val="none"/>
        </w:rPr>
      </w:pPr>
    </w:p>
    <w:p w14:paraId="022AF7DB">
      <w:pPr>
        <w:autoSpaceDE w:val="0"/>
        <w:autoSpaceDN w:val="0"/>
        <w:jc w:val="center"/>
        <w:rPr>
          <w:rFonts w:cs="宋体" w:asciiTheme="minorEastAsia" w:hAnsiTheme="minorEastAsia" w:eastAsiaTheme="minorEastAsia"/>
          <w:b/>
          <w:spacing w:val="6"/>
          <w:sz w:val="32"/>
          <w:szCs w:val="32"/>
          <w:highlight w:val="none"/>
        </w:rPr>
      </w:pPr>
    </w:p>
    <w:p w14:paraId="25555CED">
      <w:pPr>
        <w:autoSpaceDE w:val="0"/>
        <w:autoSpaceDN w:val="0"/>
        <w:jc w:val="center"/>
        <w:rPr>
          <w:rFonts w:cs="宋体" w:asciiTheme="minorEastAsia" w:hAnsiTheme="minorEastAsia" w:eastAsiaTheme="minorEastAsia"/>
          <w:b/>
          <w:spacing w:val="6"/>
          <w:sz w:val="32"/>
          <w:szCs w:val="32"/>
          <w:highlight w:val="none"/>
        </w:rPr>
      </w:pPr>
    </w:p>
    <w:p w14:paraId="24BB4115">
      <w:pPr>
        <w:autoSpaceDE w:val="0"/>
        <w:autoSpaceDN w:val="0"/>
        <w:jc w:val="center"/>
        <w:rPr>
          <w:rFonts w:cs="宋体" w:asciiTheme="minorEastAsia" w:hAnsiTheme="minorEastAsia" w:eastAsiaTheme="minorEastAsia"/>
          <w:b/>
          <w:spacing w:val="6"/>
          <w:sz w:val="32"/>
          <w:szCs w:val="32"/>
          <w:highlight w:val="none"/>
        </w:rPr>
      </w:pPr>
    </w:p>
    <w:p w14:paraId="4C8EF2E9">
      <w:pPr>
        <w:autoSpaceDE w:val="0"/>
        <w:autoSpaceDN w:val="0"/>
        <w:jc w:val="center"/>
        <w:rPr>
          <w:rFonts w:cs="宋体" w:asciiTheme="minorEastAsia" w:hAnsiTheme="minorEastAsia" w:eastAsiaTheme="minorEastAsia"/>
          <w:b/>
          <w:spacing w:val="6"/>
          <w:sz w:val="32"/>
          <w:szCs w:val="32"/>
          <w:highlight w:val="none"/>
        </w:rPr>
      </w:pPr>
    </w:p>
    <w:p w14:paraId="577952F1">
      <w:pPr>
        <w:autoSpaceDE w:val="0"/>
        <w:autoSpaceDN w:val="0"/>
        <w:jc w:val="center"/>
        <w:rPr>
          <w:rFonts w:cs="宋体" w:asciiTheme="minorEastAsia" w:hAnsiTheme="minorEastAsia" w:eastAsiaTheme="minorEastAsia"/>
          <w:b/>
          <w:spacing w:val="6"/>
          <w:sz w:val="32"/>
          <w:szCs w:val="32"/>
          <w:highlight w:val="none"/>
        </w:rPr>
      </w:pPr>
    </w:p>
    <w:p w14:paraId="6C696A54">
      <w:pPr>
        <w:autoSpaceDE w:val="0"/>
        <w:autoSpaceDN w:val="0"/>
        <w:jc w:val="center"/>
        <w:rPr>
          <w:rFonts w:cs="宋体" w:asciiTheme="minorEastAsia" w:hAnsiTheme="minorEastAsia" w:eastAsiaTheme="minorEastAsia"/>
          <w:b/>
          <w:spacing w:val="6"/>
          <w:sz w:val="32"/>
          <w:szCs w:val="32"/>
          <w:highlight w:val="none"/>
        </w:rPr>
      </w:pPr>
    </w:p>
    <w:p w14:paraId="2ECD34DE">
      <w:pPr>
        <w:autoSpaceDE w:val="0"/>
        <w:autoSpaceDN w:val="0"/>
        <w:jc w:val="center"/>
        <w:rPr>
          <w:rFonts w:cs="宋体" w:asciiTheme="minorEastAsia" w:hAnsiTheme="minorEastAsia" w:eastAsiaTheme="minorEastAsia"/>
          <w:b/>
          <w:spacing w:val="6"/>
          <w:sz w:val="32"/>
          <w:szCs w:val="32"/>
          <w:highlight w:val="none"/>
        </w:rPr>
      </w:pPr>
    </w:p>
    <w:p w14:paraId="107A63F8">
      <w:pPr>
        <w:autoSpaceDE w:val="0"/>
        <w:autoSpaceDN w:val="0"/>
        <w:jc w:val="center"/>
        <w:rPr>
          <w:rFonts w:cs="宋体" w:asciiTheme="minorEastAsia" w:hAnsiTheme="minorEastAsia" w:eastAsiaTheme="minorEastAsia"/>
          <w:b/>
          <w:spacing w:val="6"/>
          <w:sz w:val="32"/>
          <w:szCs w:val="32"/>
          <w:highlight w:val="none"/>
        </w:rPr>
      </w:pPr>
    </w:p>
    <w:p w14:paraId="2551079B">
      <w:pPr>
        <w:autoSpaceDE w:val="0"/>
        <w:autoSpaceDN w:val="0"/>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5</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lang w:val="zh-CN"/>
        </w:rPr>
        <w:t>联合协议</w:t>
      </w:r>
    </w:p>
    <w:p w14:paraId="27271D09">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（以联合体形式投标的，提供联合协议；本项目不接受联合体投标或者投标人不以联合体形式投标的，则不需要提供）</w:t>
      </w:r>
    </w:p>
    <w:p w14:paraId="2BE1484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组成一个联合体，以一个投标人的身份</w:t>
      </w:r>
      <w:r>
        <w:rPr>
          <w:rFonts w:hint="eastAsia" w:cs="宋体" w:asciiTheme="minorEastAsia" w:hAnsiTheme="minorEastAsia" w:eastAsiaTheme="minorEastAsia"/>
          <w:kern w:val="0"/>
          <w:sz w:val="24"/>
          <w:highlight w:val="none"/>
        </w:rPr>
        <w:t>参加</w:t>
      </w:r>
      <w:r>
        <w:rPr>
          <w:rFonts w:hint="eastAsia" w:cs="宋体" w:asciiTheme="minorEastAsia" w:hAnsiTheme="minorEastAsia" w:eastAsiaTheme="minorEastAsia"/>
          <w:sz w:val="24"/>
          <w:highlight w:val="none"/>
          <w:lang w:eastAsia="zh-CN"/>
        </w:rPr>
        <w:t>2025年杭州市公安局西湖区分局警网融合智治平台二期采购项目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XHZFCG-2025-G-06</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投标。 </w:t>
      </w:r>
    </w:p>
    <w:p w14:paraId="06F224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，代表所有联合体成员负责投标和合同实施阶段的主办、协调工作</w:t>
      </w:r>
      <w:r>
        <w:rPr>
          <w:rFonts w:hint="eastAsia" w:cs="宋体" w:asciiTheme="minorEastAsia" w:hAnsiTheme="minorEastAsia" w:eastAsiaTheme="minorEastAsia"/>
          <w:kern w:val="0"/>
          <w:sz w:val="24"/>
          <w:highlight w:val="none"/>
          <w:lang w:val="zh-CN"/>
        </w:rPr>
        <w:t>。</w:t>
      </w:r>
    </w:p>
    <w:p w14:paraId="48E7460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授权代表根据招标文件规定及投标内容而对采购人、采购机构所作的任何合法承诺，包括书面澄清及相应等均对联合投标各方产生约束力。</w:t>
      </w:r>
    </w:p>
    <w:p w14:paraId="680A038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三、本次联合投标中，分工如下：</w:t>
      </w:r>
    </w:p>
    <w:p w14:paraId="4C42A23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4D04C1E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0EB302E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13AD8B9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w:t>
      </w:r>
    </w:p>
    <w:p w14:paraId="44BCE89E">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533"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533"/>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534" w:name="_Hlk101133598"/>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bookmarkEnd w:id="534"/>
      <w:r>
        <w:rPr>
          <w:rFonts w:hint="eastAsia" w:cs="宋体" w:asciiTheme="minorEastAsia" w:hAnsiTheme="minorEastAsia" w:eastAsiaTheme="minorEastAsia"/>
          <w:b/>
          <w:kern w:val="0"/>
          <w:sz w:val="24"/>
          <w:highlight w:val="none"/>
          <w:lang w:val="zh-CN"/>
        </w:rPr>
        <w:t>）</w:t>
      </w:r>
    </w:p>
    <w:p w14:paraId="38A0DEBC">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535"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535"/>
    </w:p>
    <w:p w14:paraId="47ACC90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五、如果中标，</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095BC50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六、有关本次联合投标的其他事宜：</w:t>
      </w:r>
    </w:p>
    <w:p w14:paraId="4B3DA54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14:paraId="17CC2E6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4EA05C7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73850E64">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5C732B4C">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2801099">
      <w:pPr>
        <w:snapToGrid w:val="0"/>
        <w:spacing w:line="360" w:lineRule="auto"/>
        <w:ind w:right="960"/>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14:paraId="6F28A3DC">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3D8B310C">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00259E8">
      <w:pPr>
        <w:autoSpaceDE w:val="0"/>
        <w:autoSpaceDN w:val="0"/>
        <w:jc w:val="center"/>
        <w:rPr>
          <w:rFonts w:cs="宋体" w:asciiTheme="minorEastAsia" w:hAnsiTheme="minorEastAsia" w:eastAsiaTheme="minorEastAsia"/>
          <w:b/>
          <w:spacing w:val="6"/>
          <w:sz w:val="32"/>
          <w:szCs w:val="32"/>
          <w:highlight w:val="none"/>
        </w:rPr>
      </w:pPr>
    </w:p>
    <w:p w14:paraId="6429443E">
      <w:pPr>
        <w:autoSpaceDE w:val="0"/>
        <w:autoSpaceDN w:val="0"/>
        <w:jc w:val="center"/>
        <w:rPr>
          <w:rFonts w:cs="宋体" w:asciiTheme="minorEastAsia" w:hAnsiTheme="minorEastAsia" w:eastAsiaTheme="minorEastAsia"/>
          <w:b/>
          <w:spacing w:val="6"/>
          <w:sz w:val="32"/>
          <w:szCs w:val="32"/>
          <w:highlight w:val="none"/>
        </w:rPr>
      </w:pPr>
    </w:p>
    <w:p w14:paraId="2B1551CF">
      <w:pPr>
        <w:autoSpaceDE w:val="0"/>
        <w:autoSpaceDN w:val="0"/>
        <w:jc w:val="center"/>
        <w:rPr>
          <w:rFonts w:cs="宋体" w:asciiTheme="minorEastAsia" w:hAnsiTheme="minorEastAsia" w:eastAsiaTheme="minorEastAsia"/>
          <w:b/>
          <w:spacing w:val="6"/>
          <w:sz w:val="32"/>
          <w:szCs w:val="32"/>
          <w:highlight w:val="none"/>
        </w:rPr>
      </w:pPr>
    </w:p>
    <w:p w14:paraId="172C647A">
      <w:pPr>
        <w:autoSpaceDE w:val="0"/>
        <w:autoSpaceDN w:val="0"/>
        <w:jc w:val="center"/>
        <w:rPr>
          <w:rFonts w:cs="宋体" w:asciiTheme="minorEastAsia" w:hAnsiTheme="minorEastAsia" w:eastAsiaTheme="minorEastAsia"/>
          <w:b/>
          <w:spacing w:val="6"/>
          <w:sz w:val="32"/>
          <w:szCs w:val="32"/>
          <w:highlight w:val="none"/>
        </w:rPr>
      </w:pPr>
    </w:p>
    <w:p w14:paraId="792DC0CB">
      <w:pPr>
        <w:autoSpaceDE w:val="0"/>
        <w:autoSpaceDN w:val="0"/>
        <w:jc w:val="center"/>
        <w:rPr>
          <w:rFonts w:cs="宋体" w:asciiTheme="minorEastAsia" w:hAnsiTheme="minorEastAsia" w:eastAsiaTheme="minorEastAsia"/>
          <w:b/>
          <w:spacing w:val="6"/>
          <w:sz w:val="32"/>
          <w:szCs w:val="32"/>
          <w:highlight w:val="none"/>
        </w:rPr>
      </w:pPr>
    </w:p>
    <w:p w14:paraId="209544E2">
      <w:pPr>
        <w:autoSpaceDE w:val="0"/>
        <w:autoSpaceDN w:val="0"/>
        <w:jc w:val="center"/>
        <w:rPr>
          <w:rFonts w:cs="宋体" w:asciiTheme="minorEastAsia" w:hAnsiTheme="minorEastAsia" w:eastAsiaTheme="minorEastAsia"/>
          <w:b/>
          <w:spacing w:val="6"/>
          <w:sz w:val="32"/>
          <w:szCs w:val="32"/>
          <w:highlight w:val="none"/>
        </w:rPr>
      </w:pPr>
    </w:p>
    <w:p w14:paraId="1AF4C360">
      <w:pPr>
        <w:autoSpaceDE w:val="0"/>
        <w:autoSpaceDN w:val="0"/>
        <w:jc w:val="center"/>
        <w:rPr>
          <w:rFonts w:cs="宋体" w:asciiTheme="minorEastAsia" w:hAnsiTheme="minorEastAsia" w:eastAsiaTheme="minorEastAsia"/>
          <w:b/>
          <w:spacing w:val="6"/>
          <w:sz w:val="32"/>
          <w:szCs w:val="32"/>
          <w:highlight w:val="none"/>
        </w:rPr>
      </w:pPr>
    </w:p>
    <w:p w14:paraId="2C99D4BE">
      <w:pPr>
        <w:autoSpaceDE w:val="0"/>
        <w:autoSpaceDN w:val="0"/>
        <w:jc w:val="center"/>
        <w:rPr>
          <w:rFonts w:cs="宋体" w:asciiTheme="minorEastAsia" w:hAnsiTheme="minorEastAsia" w:eastAsiaTheme="minorEastAsia"/>
          <w:b/>
          <w:spacing w:val="6"/>
          <w:sz w:val="32"/>
          <w:szCs w:val="32"/>
          <w:highlight w:val="none"/>
        </w:rPr>
      </w:pPr>
    </w:p>
    <w:p w14:paraId="17FE6483">
      <w:pPr>
        <w:autoSpaceDE w:val="0"/>
        <w:autoSpaceDN w:val="0"/>
        <w:jc w:val="center"/>
        <w:rPr>
          <w:rFonts w:cs="宋体" w:asciiTheme="minorEastAsia" w:hAnsiTheme="minorEastAsia" w:eastAsiaTheme="minorEastAsia"/>
          <w:b/>
          <w:spacing w:val="6"/>
          <w:sz w:val="32"/>
          <w:szCs w:val="32"/>
          <w:highlight w:val="none"/>
        </w:rPr>
      </w:pPr>
    </w:p>
    <w:p w14:paraId="7814E163">
      <w:pPr>
        <w:autoSpaceDE w:val="0"/>
        <w:autoSpaceDN w:val="0"/>
        <w:jc w:val="center"/>
        <w:rPr>
          <w:rFonts w:cs="宋体" w:asciiTheme="minorEastAsia" w:hAnsiTheme="minorEastAsia" w:eastAsiaTheme="minorEastAsia"/>
          <w:b/>
          <w:spacing w:val="6"/>
          <w:sz w:val="32"/>
          <w:szCs w:val="32"/>
          <w:highlight w:val="none"/>
        </w:rPr>
      </w:pPr>
    </w:p>
    <w:p w14:paraId="2EBCB096">
      <w:pPr>
        <w:autoSpaceDE w:val="0"/>
        <w:autoSpaceDN w:val="0"/>
        <w:jc w:val="center"/>
        <w:rPr>
          <w:rFonts w:cs="宋体" w:asciiTheme="minorEastAsia" w:hAnsiTheme="minorEastAsia" w:eastAsiaTheme="minorEastAsia"/>
          <w:b/>
          <w:spacing w:val="6"/>
          <w:sz w:val="32"/>
          <w:szCs w:val="32"/>
          <w:highlight w:val="none"/>
        </w:rPr>
      </w:pPr>
    </w:p>
    <w:p w14:paraId="1C4D37F3">
      <w:pPr>
        <w:autoSpaceDE w:val="0"/>
        <w:autoSpaceDN w:val="0"/>
        <w:jc w:val="center"/>
        <w:rPr>
          <w:rFonts w:cs="宋体" w:asciiTheme="minorEastAsia" w:hAnsiTheme="minorEastAsia" w:eastAsiaTheme="minorEastAsia"/>
          <w:b/>
          <w:spacing w:val="6"/>
          <w:sz w:val="32"/>
          <w:szCs w:val="32"/>
          <w:highlight w:val="none"/>
        </w:rPr>
      </w:pPr>
    </w:p>
    <w:p w14:paraId="0E041FCF">
      <w:pPr>
        <w:autoSpaceDE w:val="0"/>
        <w:autoSpaceDN w:val="0"/>
        <w:jc w:val="center"/>
        <w:rPr>
          <w:rFonts w:cs="宋体" w:asciiTheme="minorEastAsia" w:hAnsiTheme="minorEastAsia" w:eastAsiaTheme="minorEastAsia"/>
          <w:b/>
          <w:spacing w:val="6"/>
          <w:sz w:val="32"/>
          <w:szCs w:val="32"/>
          <w:highlight w:val="none"/>
        </w:rPr>
      </w:pPr>
    </w:p>
    <w:p w14:paraId="2C569E26">
      <w:pPr>
        <w:autoSpaceDE w:val="0"/>
        <w:autoSpaceDN w:val="0"/>
        <w:jc w:val="center"/>
        <w:rPr>
          <w:rFonts w:cs="宋体" w:asciiTheme="minorEastAsia" w:hAnsiTheme="minorEastAsia" w:eastAsiaTheme="minorEastAsia"/>
          <w:b/>
          <w:spacing w:val="6"/>
          <w:sz w:val="32"/>
          <w:szCs w:val="32"/>
          <w:highlight w:val="none"/>
        </w:rPr>
      </w:pPr>
    </w:p>
    <w:p w14:paraId="39BD9CA9">
      <w:pPr>
        <w:autoSpaceDE w:val="0"/>
        <w:autoSpaceDN w:val="0"/>
        <w:jc w:val="center"/>
        <w:rPr>
          <w:rFonts w:cs="宋体" w:asciiTheme="minorEastAsia" w:hAnsiTheme="minorEastAsia" w:eastAsiaTheme="minorEastAsia"/>
          <w:b/>
          <w:spacing w:val="6"/>
          <w:sz w:val="32"/>
          <w:szCs w:val="32"/>
          <w:highlight w:val="none"/>
        </w:rPr>
      </w:pPr>
    </w:p>
    <w:p w14:paraId="401CCD65">
      <w:pPr>
        <w:autoSpaceDE w:val="0"/>
        <w:autoSpaceDN w:val="0"/>
        <w:jc w:val="center"/>
        <w:rPr>
          <w:rFonts w:cs="宋体" w:asciiTheme="minorEastAsia" w:hAnsiTheme="minorEastAsia" w:eastAsiaTheme="minorEastAsia"/>
          <w:b/>
          <w:spacing w:val="6"/>
          <w:sz w:val="32"/>
          <w:szCs w:val="32"/>
          <w:highlight w:val="none"/>
        </w:rPr>
      </w:pPr>
    </w:p>
    <w:p w14:paraId="57CE79C3">
      <w:pPr>
        <w:autoSpaceDE w:val="0"/>
        <w:autoSpaceDN w:val="0"/>
        <w:jc w:val="center"/>
        <w:rPr>
          <w:rFonts w:cs="宋体" w:asciiTheme="minorEastAsia" w:hAnsiTheme="minorEastAsia" w:eastAsiaTheme="minorEastAsia"/>
          <w:b/>
          <w:spacing w:val="6"/>
          <w:sz w:val="32"/>
          <w:szCs w:val="32"/>
          <w:highlight w:val="none"/>
        </w:rPr>
      </w:pPr>
    </w:p>
    <w:p w14:paraId="2661FC54">
      <w:pPr>
        <w:autoSpaceDE w:val="0"/>
        <w:autoSpaceDN w:val="0"/>
        <w:jc w:val="center"/>
        <w:rPr>
          <w:rFonts w:cs="宋体" w:asciiTheme="minorEastAsia" w:hAnsiTheme="minorEastAsia" w:eastAsiaTheme="minorEastAsia"/>
          <w:b/>
          <w:spacing w:val="6"/>
          <w:sz w:val="32"/>
          <w:szCs w:val="32"/>
          <w:highlight w:val="none"/>
        </w:rPr>
      </w:pPr>
    </w:p>
    <w:p w14:paraId="45DEA3EA">
      <w:pPr>
        <w:autoSpaceDE w:val="0"/>
        <w:autoSpaceDN w:val="0"/>
        <w:jc w:val="center"/>
        <w:rPr>
          <w:rFonts w:cs="宋体" w:asciiTheme="minorEastAsia" w:hAnsiTheme="minorEastAsia" w:eastAsiaTheme="minorEastAsia"/>
          <w:b/>
          <w:spacing w:val="6"/>
          <w:sz w:val="32"/>
          <w:szCs w:val="32"/>
          <w:highlight w:val="none"/>
        </w:rPr>
      </w:pPr>
    </w:p>
    <w:p w14:paraId="5D88F984">
      <w:pPr>
        <w:autoSpaceDE w:val="0"/>
        <w:autoSpaceDN w:val="0"/>
        <w:jc w:val="center"/>
        <w:rPr>
          <w:rFonts w:cs="宋体" w:asciiTheme="minorEastAsia" w:hAnsiTheme="minorEastAsia" w:eastAsiaTheme="minorEastAsia"/>
          <w:b/>
          <w:spacing w:val="6"/>
          <w:sz w:val="32"/>
          <w:szCs w:val="32"/>
          <w:highlight w:val="none"/>
        </w:rPr>
      </w:pPr>
    </w:p>
    <w:p w14:paraId="3B557589">
      <w:pPr>
        <w:autoSpaceDE w:val="0"/>
        <w:autoSpaceDN w:val="0"/>
        <w:jc w:val="center"/>
        <w:rPr>
          <w:rFonts w:cs="宋体" w:asciiTheme="minorEastAsia" w:hAnsiTheme="minorEastAsia" w:eastAsiaTheme="minorEastAsia"/>
          <w:b/>
          <w:spacing w:val="6"/>
          <w:sz w:val="32"/>
          <w:szCs w:val="32"/>
          <w:highlight w:val="none"/>
        </w:rPr>
      </w:pPr>
    </w:p>
    <w:p w14:paraId="53A95310">
      <w:pPr>
        <w:autoSpaceDE w:val="0"/>
        <w:autoSpaceDN w:val="0"/>
        <w:jc w:val="center"/>
        <w:rPr>
          <w:rFonts w:cs="宋体" w:asciiTheme="minorEastAsia" w:hAnsiTheme="minorEastAsia" w:eastAsiaTheme="minorEastAsia"/>
          <w:b/>
          <w:spacing w:val="6"/>
          <w:sz w:val="32"/>
          <w:szCs w:val="32"/>
          <w:highlight w:val="none"/>
        </w:rPr>
      </w:pPr>
    </w:p>
    <w:p w14:paraId="70714F94">
      <w:pPr>
        <w:autoSpaceDE w:val="0"/>
        <w:autoSpaceDN w:val="0"/>
        <w:jc w:val="center"/>
        <w:rPr>
          <w:rFonts w:cs="宋体" w:asciiTheme="minorEastAsia" w:hAnsiTheme="minorEastAsia" w:eastAsiaTheme="minorEastAsia"/>
          <w:b/>
          <w:spacing w:val="6"/>
          <w:sz w:val="32"/>
          <w:szCs w:val="32"/>
          <w:highlight w:val="none"/>
        </w:rPr>
      </w:pPr>
    </w:p>
    <w:p w14:paraId="01DEDF5C">
      <w:pPr>
        <w:snapToGrid w:val="0"/>
        <w:spacing w:line="360" w:lineRule="auto"/>
        <w:ind w:firstLine="3666" w:firstLineChars="1100"/>
        <w:rPr>
          <w:rFonts w:cs="宋体" w:asciiTheme="minorEastAsia" w:hAnsiTheme="minorEastAsia" w:eastAsiaTheme="minorEastAsia"/>
          <w:b/>
          <w:spacing w:val="6"/>
          <w:sz w:val="32"/>
          <w:szCs w:val="32"/>
          <w:highlight w:val="none"/>
        </w:rPr>
      </w:pPr>
    </w:p>
    <w:p w14:paraId="234A8F07">
      <w:pPr>
        <w:widowControl/>
        <w:adjustRightInd/>
        <w:jc w:val="left"/>
        <w:rPr>
          <w:rFonts w:cs="宋体" w:asciiTheme="minorEastAsia" w:hAnsiTheme="minorEastAsia" w:eastAsiaTheme="minorEastAsia"/>
          <w:b/>
          <w:spacing w:val="6"/>
          <w:sz w:val="32"/>
          <w:szCs w:val="32"/>
          <w:highlight w:val="none"/>
        </w:rPr>
      </w:pPr>
      <w:r>
        <w:rPr>
          <w:rFonts w:cs="宋体" w:asciiTheme="minorEastAsia" w:hAnsiTheme="minorEastAsia" w:eastAsiaTheme="minorEastAsia"/>
          <w:b/>
          <w:spacing w:val="6"/>
          <w:sz w:val="32"/>
          <w:szCs w:val="32"/>
          <w:highlight w:val="none"/>
        </w:rPr>
        <w:br w:type="page"/>
      </w:r>
    </w:p>
    <w:p w14:paraId="09B32D9B">
      <w:pPr>
        <w:snapToGrid w:val="0"/>
        <w:spacing w:line="360" w:lineRule="auto"/>
        <w:ind w:firstLine="3666"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6</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rPr>
        <w:t>分包意向协议</w:t>
      </w:r>
    </w:p>
    <w:p w14:paraId="0800B93A">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highlight w:val="none"/>
        </w:rPr>
        <w:t>）</w:t>
      </w:r>
    </w:p>
    <w:p w14:paraId="76795DA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2025年杭州市公安局西湖区分局警网融合智治平台二期采购项目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XHZFCG-2025-G-06</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的中标供应商，将依法采取分包方式履行合同。</w:t>
      </w: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0AE4632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29AB151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3D2BE32F">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05137F9B">
      <w:pPr>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798A0C7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w:t>
      </w:r>
    </w:p>
    <w:p w14:paraId="45C93B3D">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A18A7AD">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4D89B4D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0F0ABFF1">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142C414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5ADCB0C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ABCB9A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8E416EC">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2A6DF5CA">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59F2743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1149118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3AAAA97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C300D3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2AA0D173">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投标人名称(电子签名)：</w:t>
      </w:r>
    </w:p>
    <w:p w14:paraId="67592488">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10FC74EE">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4E344698">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58F0414F">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360AE21F">
      <w:pPr>
        <w:autoSpaceDE w:val="0"/>
        <w:autoSpaceDN w:val="0"/>
        <w:jc w:val="center"/>
        <w:rPr>
          <w:rFonts w:cs="宋体" w:asciiTheme="minorEastAsia" w:hAnsiTheme="minorEastAsia" w:eastAsiaTheme="minorEastAsia"/>
          <w:b/>
          <w:spacing w:val="6"/>
          <w:sz w:val="32"/>
          <w:szCs w:val="32"/>
          <w:highlight w:val="none"/>
        </w:rPr>
      </w:pPr>
    </w:p>
    <w:p w14:paraId="40771313">
      <w:pPr>
        <w:autoSpaceDE w:val="0"/>
        <w:autoSpaceDN w:val="0"/>
        <w:jc w:val="center"/>
        <w:rPr>
          <w:rFonts w:cs="宋体" w:asciiTheme="minorEastAsia" w:hAnsiTheme="minorEastAsia" w:eastAsiaTheme="minorEastAsia"/>
          <w:b/>
          <w:spacing w:val="6"/>
          <w:sz w:val="32"/>
          <w:szCs w:val="32"/>
          <w:highlight w:val="none"/>
        </w:rPr>
      </w:pPr>
    </w:p>
    <w:p w14:paraId="556E0DAA">
      <w:pPr>
        <w:autoSpaceDE w:val="0"/>
        <w:autoSpaceDN w:val="0"/>
        <w:jc w:val="center"/>
        <w:rPr>
          <w:rFonts w:cs="宋体" w:asciiTheme="minorEastAsia" w:hAnsiTheme="minorEastAsia" w:eastAsiaTheme="minorEastAsia"/>
          <w:b/>
          <w:spacing w:val="6"/>
          <w:sz w:val="32"/>
          <w:szCs w:val="32"/>
          <w:highlight w:val="none"/>
        </w:rPr>
      </w:pPr>
    </w:p>
    <w:p w14:paraId="06B1AE8B">
      <w:pPr>
        <w:autoSpaceDE w:val="0"/>
        <w:autoSpaceDN w:val="0"/>
        <w:jc w:val="center"/>
        <w:rPr>
          <w:rFonts w:cs="宋体" w:asciiTheme="minorEastAsia" w:hAnsiTheme="minorEastAsia" w:eastAsiaTheme="minorEastAsia"/>
          <w:b/>
          <w:spacing w:val="6"/>
          <w:sz w:val="32"/>
          <w:szCs w:val="32"/>
          <w:highlight w:val="none"/>
        </w:rPr>
      </w:pPr>
    </w:p>
    <w:p w14:paraId="6DFB1D45">
      <w:pPr>
        <w:autoSpaceDE w:val="0"/>
        <w:autoSpaceDN w:val="0"/>
        <w:jc w:val="center"/>
        <w:rPr>
          <w:rFonts w:cs="宋体" w:asciiTheme="minorEastAsia" w:hAnsiTheme="minorEastAsia" w:eastAsiaTheme="minorEastAsia"/>
          <w:b/>
          <w:spacing w:val="6"/>
          <w:sz w:val="32"/>
          <w:szCs w:val="32"/>
          <w:highlight w:val="none"/>
        </w:rPr>
      </w:pPr>
    </w:p>
    <w:p w14:paraId="541657D3">
      <w:pPr>
        <w:autoSpaceDE w:val="0"/>
        <w:autoSpaceDN w:val="0"/>
        <w:jc w:val="center"/>
        <w:rPr>
          <w:rFonts w:cs="宋体" w:asciiTheme="minorEastAsia" w:hAnsiTheme="minorEastAsia" w:eastAsiaTheme="minorEastAsia"/>
          <w:b/>
          <w:spacing w:val="6"/>
          <w:sz w:val="32"/>
          <w:szCs w:val="32"/>
          <w:highlight w:val="none"/>
        </w:rPr>
      </w:pPr>
    </w:p>
    <w:p w14:paraId="7E988804">
      <w:pPr>
        <w:autoSpaceDE w:val="0"/>
        <w:autoSpaceDN w:val="0"/>
        <w:jc w:val="center"/>
        <w:rPr>
          <w:rFonts w:cs="宋体" w:asciiTheme="minorEastAsia" w:hAnsiTheme="minorEastAsia" w:eastAsiaTheme="minorEastAsia"/>
          <w:b/>
          <w:spacing w:val="6"/>
          <w:sz w:val="32"/>
          <w:szCs w:val="32"/>
          <w:highlight w:val="none"/>
        </w:rPr>
      </w:pPr>
    </w:p>
    <w:p w14:paraId="18FA304D">
      <w:pPr>
        <w:autoSpaceDE w:val="0"/>
        <w:autoSpaceDN w:val="0"/>
        <w:jc w:val="center"/>
        <w:rPr>
          <w:rFonts w:cs="宋体" w:asciiTheme="minorEastAsia" w:hAnsiTheme="minorEastAsia" w:eastAsiaTheme="minorEastAsia"/>
          <w:b/>
          <w:spacing w:val="6"/>
          <w:sz w:val="32"/>
          <w:szCs w:val="32"/>
          <w:highlight w:val="none"/>
        </w:rPr>
      </w:pPr>
    </w:p>
    <w:p w14:paraId="327A6223">
      <w:pPr>
        <w:autoSpaceDE w:val="0"/>
        <w:autoSpaceDN w:val="0"/>
        <w:jc w:val="center"/>
        <w:rPr>
          <w:rFonts w:cs="宋体" w:asciiTheme="minorEastAsia" w:hAnsiTheme="minorEastAsia" w:eastAsiaTheme="minorEastAsia"/>
          <w:b/>
          <w:spacing w:val="6"/>
          <w:sz w:val="32"/>
          <w:szCs w:val="32"/>
          <w:highlight w:val="none"/>
        </w:rPr>
      </w:pPr>
    </w:p>
    <w:p w14:paraId="34000C3D">
      <w:pPr>
        <w:autoSpaceDE w:val="0"/>
        <w:autoSpaceDN w:val="0"/>
        <w:jc w:val="center"/>
        <w:rPr>
          <w:rFonts w:cs="宋体" w:asciiTheme="minorEastAsia" w:hAnsiTheme="minorEastAsia" w:eastAsiaTheme="minorEastAsia"/>
          <w:b/>
          <w:spacing w:val="6"/>
          <w:sz w:val="32"/>
          <w:szCs w:val="32"/>
          <w:highlight w:val="none"/>
        </w:rPr>
      </w:pPr>
    </w:p>
    <w:p w14:paraId="73BC10FD">
      <w:pPr>
        <w:autoSpaceDE w:val="0"/>
        <w:autoSpaceDN w:val="0"/>
        <w:jc w:val="center"/>
        <w:rPr>
          <w:rFonts w:cs="宋体" w:asciiTheme="minorEastAsia" w:hAnsiTheme="minorEastAsia" w:eastAsiaTheme="minorEastAsia"/>
          <w:b/>
          <w:spacing w:val="6"/>
          <w:sz w:val="32"/>
          <w:szCs w:val="32"/>
          <w:highlight w:val="none"/>
        </w:rPr>
      </w:pPr>
    </w:p>
    <w:p w14:paraId="1621677B">
      <w:pPr>
        <w:autoSpaceDE w:val="0"/>
        <w:autoSpaceDN w:val="0"/>
        <w:jc w:val="center"/>
        <w:rPr>
          <w:rFonts w:cs="宋体" w:asciiTheme="minorEastAsia" w:hAnsiTheme="minorEastAsia" w:eastAsiaTheme="minorEastAsia"/>
          <w:b/>
          <w:spacing w:val="6"/>
          <w:sz w:val="32"/>
          <w:szCs w:val="32"/>
          <w:highlight w:val="none"/>
        </w:rPr>
      </w:pPr>
    </w:p>
    <w:p w14:paraId="1BCCC2F0">
      <w:pPr>
        <w:autoSpaceDE w:val="0"/>
        <w:autoSpaceDN w:val="0"/>
        <w:jc w:val="center"/>
        <w:rPr>
          <w:rFonts w:cs="宋体" w:asciiTheme="minorEastAsia" w:hAnsiTheme="minorEastAsia" w:eastAsiaTheme="minorEastAsia"/>
          <w:b/>
          <w:spacing w:val="6"/>
          <w:sz w:val="32"/>
          <w:szCs w:val="32"/>
          <w:highlight w:val="none"/>
        </w:rPr>
      </w:pPr>
    </w:p>
    <w:p w14:paraId="571C112A">
      <w:pPr>
        <w:autoSpaceDE w:val="0"/>
        <w:autoSpaceDN w:val="0"/>
        <w:jc w:val="center"/>
        <w:rPr>
          <w:rFonts w:cs="宋体" w:asciiTheme="minorEastAsia" w:hAnsiTheme="minorEastAsia" w:eastAsiaTheme="minorEastAsia"/>
          <w:b/>
          <w:spacing w:val="6"/>
          <w:sz w:val="32"/>
          <w:szCs w:val="32"/>
          <w:highlight w:val="none"/>
        </w:rPr>
      </w:pPr>
    </w:p>
    <w:p w14:paraId="25DD2F08">
      <w:pPr>
        <w:autoSpaceDE w:val="0"/>
        <w:autoSpaceDN w:val="0"/>
        <w:jc w:val="center"/>
        <w:rPr>
          <w:rFonts w:cs="宋体" w:asciiTheme="minorEastAsia" w:hAnsiTheme="minorEastAsia" w:eastAsiaTheme="minorEastAsia"/>
          <w:b/>
          <w:spacing w:val="6"/>
          <w:sz w:val="32"/>
          <w:szCs w:val="32"/>
          <w:highlight w:val="none"/>
        </w:rPr>
      </w:pPr>
    </w:p>
    <w:p w14:paraId="1B2B32E1">
      <w:pPr>
        <w:autoSpaceDE w:val="0"/>
        <w:autoSpaceDN w:val="0"/>
        <w:jc w:val="center"/>
        <w:rPr>
          <w:rFonts w:cs="宋体" w:asciiTheme="minorEastAsia" w:hAnsiTheme="minorEastAsia" w:eastAsiaTheme="minorEastAsia"/>
          <w:b/>
          <w:spacing w:val="6"/>
          <w:sz w:val="32"/>
          <w:szCs w:val="32"/>
          <w:highlight w:val="none"/>
        </w:rPr>
      </w:pPr>
    </w:p>
    <w:p w14:paraId="2166EA1A">
      <w:pPr>
        <w:autoSpaceDE w:val="0"/>
        <w:autoSpaceDN w:val="0"/>
        <w:jc w:val="center"/>
        <w:rPr>
          <w:rFonts w:cs="宋体" w:asciiTheme="minorEastAsia" w:hAnsiTheme="minorEastAsia" w:eastAsiaTheme="minorEastAsia"/>
          <w:b/>
          <w:spacing w:val="6"/>
          <w:sz w:val="32"/>
          <w:szCs w:val="32"/>
          <w:highlight w:val="none"/>
        </w:rPr>
      </w:pPr>
    </w:p>
    <w:p w14:paraId="7CB3BF8C">
      <w:pPr>
        <w:autoSpaceDE w:val="0"/>
        <w:autoSpaceDN w:val="0"/>
        <w:jc w:val="center"/>
        <w:rPr>
          <w:rFonts w:cs="宋体" w:asciiTheme="minorEastAsia" w:hAnsiTheme="minorEastAsia" w:eastAsiaTheme="minorEastAsia"/>
          <w:b/>
          <w:spacing w:val="6"/>
          <w:sz w:val="32"/>
          <w:szCs w:val="32"/>
          <w:highlight w:val="none"/>
        </w:rPr>
      </w:pPr>
    </w:p>
    <w:p w14:paraId="4F45EB87">
      <w:pPr>
        <w:autoSpaceDE w:val="0"/>
        <w:autoSpaceDN w:val="0"/>
        <w:jc w:val="center"/>
        <w:rPr>
          <w:rFonts w:cs="宋体" w:asciiTheme="minorEastAsia" w:hAnsiTheme="minorEastAsia" w:eastAsiaTheme="minorEastAsia"/>
          <w:b/>
          <w:spacing w:val="6"/>
          <w:sz w:val="32"/>
          <w:szCs w:val="32"/>
          <w:highlight w:val="none"/>
        </w:rPr>
      </w:pPr>
    </w:p>
    <w:p w14:paraId="2442B102">
      <w:pPr>
        <w:autoSpaceDE w:val="0"/>
        <w:autoSpaceDN w:val="0"/>
        <w:jc w:val="center"/>
        <w:rPr>
          <w:rFonts w:cs="宋体" w:asciiTheme="minorEastAsia" w:hAnsiTheme="minorEastAsia" w:eastAsiaTheme="minorEastAsia"/>
          <w:b/>
          <w:spacing w:val="6"/>
          <w:sz w:val="32"/>
          <w:szCs w:val="32"/>
          <w:highlight w:val="none"/>
        </w:rPr>
      </w:pPr>
    </w:p>
    <w:p w14:paraId="723FD5DF">
      <w:pPr>
        <w:autoSpaceDE w:val="0"/>
        <w:autoSpaceDN w:val="0"/>
        <w:jc w:val="center"/>
        <w:rPr>
          <w:rFonts w:cs="宋体" w:asciiTheme="minorEastAsia" w:hAnsiTheme="minorEastAsia" w:eastAsiaTheme="minorEastAsia"/>
          <w:b/>
          <w:spacing w:val="6"/>
          <w:sz w:val="32"/>
          <w:szCs w:val="32"/>
          <w:highlight w:val="none"/>
        </w:rPr>
      </w:pPr>
    </w:p>
    <w:p w14:paraId="2910BEAF">
      <w:pPr>
        <w:autoSpaceDE w:val="0"/>
        <w:autoSpaceDN w:val="0"/>
        <w:jc w:val="center"/>
        <w:rPr>
          <w:rFonts w:cs="宋体" w:asciiTheme="minorEastAsia" w:hAnsiTheme="minorEastAsia" w:eastAsiaTheme="minorEastAsia"/>
          <w:b/>
          <w:spacing w:val="6"/>
          <w:sz w:val="32"/>
          <w:szCs w:val="32"/>
          <w:highlight w:val="none"/>
        </w:rPr>
      </w:pPr>
    </w:p>
    <w:p w14:paraId="77089046">
      <w:pPr>
        <w:autoSpaceDE w:val="0"/>
        <w:autoSpaceDN w:val="0"/>
        <w:jc w:val="center"/>
        <w:rPr>
          <w:rFonts w:cs="宋体" w:asciiTheme="minorEastAsia" w:hAnsiTheme="minorEastAsia" w:eastAsiaTheme="minorEastAsia"/>
          <w:b/>
          <w:spacing w:val="6"/>
          <w:sz w:val="32"/>
          <w:szCs w:val="32"/>
          <w:highlight w:val="none"/>
        </w:rPr>
      </w:pPr>
    </w:p>
    <w:p w14:paraId="4885CC5C">
      <w:pPr>
        <w:autoSpaceDE w:val="0"/>
        <w:autoSpaceDN w:val="0"/>
        <w:jc w:val="center"/>
        <w:rPr>
          <w:rFonts w:cs="宋体" w:asciiTheme="minorEastAsia" w:hAnsiTheme="minorEastAsia" w:eastAsiaTheme="minorEastAsia"/>
          <w:b/>
          <w:spacing w:val="6"/>
          <w:sz w:val="32"/>
          <w:szCs w:val="32"/>
          <w:highlight w:val="none"/>
        </w:rPr>
      </w:pPr>
    </w:p>
    <w:p w14:paraId="0A1735CF">
      <w:pPr>
        <w:autoSpaceDE w:val="0"/>
        <w:autoSpaceDN w:val="0"/>
        <w:jc w:val="center"/>
        <w:rPr>
          <w:rFonts w:cs="宋体" w:asciiTheme="minorEastAsia" w:hAnsiTheme="minorEastAsia" w:eastAsiaTheme="minorEastAsia"/>
          <w:b/>
          <w:spacing w:val="6"/>
          <w:sz w:val="32"/>
          <w:szCs w:val="32"/>
          <w:highlight w:val="none"/>
        </w:rPr>
      </w:pPr>
    </w:p>
    <w:p w14:paraId="5EC8AB5B">
      <w:pPr>
        <w:autoSpaceDE w:val="0"/>
        <w:autoSpaceDN w:val="0"/>
        <w:jc w:val="center"/>
        <w:rPr>
          <w:rFonts w:cs="宋体" w:asciiTheme="minorEastAsia" w:hAnsiTheme="minorEastAsia" w:eastAsiaTheme="minorEastAsia"/>
          <w:b/>
          <w:spacing w:val="6"/>
          <w:sz w:val="32"/>
          <w:szCs w:val="32"/>
          <w:highlight w:val="none"/>
        </w:rPr>
      </w:pPr>
    </w:p>
    <w:p w14:paraId="60E5A353">
      <w:pPr>
        <w:autoSpaceDE w:val="0"/>
        <w:autoSpaceDN w:val="0"/>
        <w:jc w:val="center"/>
        <w:rPr>
          <w:rFonts w:cs="宋体" w:asciiTheme="minorEastAsia" w:hAnsiTheme="minorEastAsia" w:eastAsiaTheme="minorEastAsia"/>
          <w:b/>
          <w:spacing w:val="6"/>
          <w:sz w:val="32"/>
          <w:szCs w:val="32"/>
          <w:highlight w:val="none"/>
        </w:rPr>
      </w:pPr>
    </w:p>
    <w:p w14:paraId="6181A5DA">
      <w:pPr>
        <w:spacing w:line="360" w:lineRule="auto"/>
        <w:jc w:val="left"/>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附件</w:t>
      </w:r>
      <w:r>
        <w:rPr>
          <w:rFonts w:cs="宋体" w:asciiTheme="minorEastAsia" w:hAnsiTheme="minorEastAsia" w:eastAsiaTheme="minorEastAsia"/>
          <w:b/>
          <w:sz w:val="36"/>
          <w:szCs w:val="20"/>
          <w:highlight w:val="none"/>
        </w:rPr>
        <w:t>7</w:t>
      </w:r>
      <w:r>
        <w:rPr>
          <w:rFonts w:hint="eastAsia" w:cs="宋体" w:asciiTheme="minorEastAsia" w:hAnsiTheme="minorEastAsia" w:eastAsiaTheme="minorEastAsia"/>
          <w:b/>
          <w:sz w:val="36"/>
          <w:szCs w:val="20"/>
          <w:highlight w:val="none"/>
        </w:rPr>
        <w:t>：中小企业声明函</w:t>
      </w:r>
    </w:p>
    <w:p w14:paraId="4F206BAB">
      <w:pPr>
        <w:spacing w:line="360" w:lineRule="auto"/>
        <w:jc w:val="center"/>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sz w:val="32"/>
          <w:szCs w:val="32"/>
          <w:highlight w:val="none"/>
        </w:rPr>
        <w:t>中小企业声明函（服务）</w:t>
      </w:r>
    </w:p>
    <w:p w14:paraId="657A27CD">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lang w:eastAsia="zh-CN"/>
        </w:rPr>
        <w:t>杭州市公安局西湖区分局</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2025年杭州市公安局西湖区分局警网融合智治平台二期采购项目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采购活动，服务全部由符合政策要求的中小企业承接。相关企业（含联合体中的中小企业、签订分包意向协议的中小企业）的具体情况如下：</w:t>
      </w:r>
    </w:p>
    <w:p w14:paraId="5E404BF2">
      <w:pPr>
        <w:numPr>
          <w:ilvl w:val="0"/>
          <w:numId w:val="3"/>
        </w:numPr>
        <w:spacing w:line="360" w:lineRule="auto"/>
        <w:ind w:firstLine="480" w:firstLineChars="200"/>
        <w:jc w:val="left"/>
        <w:rPr>
          <w:rFonts w:hint="default"/>
          <w:highlight w:val="none"/>
          <w:lang w:val="en-US"/>
        </w:rPr>
      </w:pPr>
      <w:r>
        <w:rPr>
          <w:rFonts w:hint="eastAsia" w:ascii="宋体" w:hAnsi="宋体" w:cs="宋体"/>
          <w:sz w:val="24"/>
          <w:highlight w:val="none"/>
          <w:u w:val="single"/>
          <w:lang w:eastAsia="zh-CN"/>
        </w:rPr>
        <w:t>2025年杭州市公安局西湖区分局警网融合智治平台二期采购项目</w:t>
      </w:r>
      <w:r>
        <w:rPr>
          <w:rFonts w:hint="eastAsia" w:ascii="宋体" w:hAnsi="宋体" w:cs="宋体"/>
          <w:kern w:val="0"/>
          <w:sz w:val="24"/>
          <w:highlight w:val="none"/>
          <w:u w:val="single"/>
          <w:lang w:val="en-US" w:eastAsia="zh-CN"/>
        </w:rPr>
        <w:t xml:space="preserve"> </w:t>
      </w:r>
      <w:r>
        <w:rPr>
          <w:rFonts w:hint="eastAsia" w:cs="宋体" w:asciiTheme="minorEastAsia" w:hAnsiTheme="minorEastAsia" w:eastAsiaTheme="minorEastAsia"/>
          <w:sz w:val="24"/>
          <w:highlight w:val="none"/>
        </w:rPr>
        <w:t>，属于</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软件和信息技术服务业</w:t>
      </w:r>
      <w:r>
        <w:rPr>
          <w:rFonts w:hint="eastAsia" w:cs="宋体" w:asciiTheme="minorEastAsia" w:hAnsiTheme="minorEastAsia" w:eastAsiaTheme="minorEastAsia"/>
          <w:sz w:val="24"/>
          <w:highlight w:val="none"/>
          <w:u w:val="none"/>
          <w:lang w:val="en-US" w:eastAsia="zh-CN"/>
        </w:rPr>
        <w:t>行业</w:t>
      </w:r>
      <w:r>
        <w:rPr>
          <w:rFonts w:hint="eastAsia" w:cs="宋体" w:asciiTheme="minorEastAsia" w:hAnsiTheme="minorEastAsia" w:eastAsiaTheme="minorEastAsia"/>
          <w:sz w:val="24"/>
          <w:highlight w:val="none"/>
        </w:rPr>
        <w:t xml:space="preserve"> ；承接企业为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08853CA5">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044ECA66">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14B689E4">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投标人名称（电子签名）：</w:t>
      </w:r>
    </w:p>
    <w:p w14:paraId="15139488">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70595101">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5B799FBE">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522D5FF2">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7C64DFA">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汉仪叶叶相思体简">
    <w:altName w:val="宋体"/>
    <w:panose1 w:val="02010509060101010101"/>
    <w:charset w:val="86"/>
    <w:family w:val="auto"/>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Light">
    <w:altName w:val="华文中宋"/>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Noto Sans CJK SC">
    <w:altName w:val="宋体"/>
    <w:panose1 w:val="020B0500000000000000"/>
    <w:charset w:val="86"/>
    <w:family w:val="auto"/>
    <w:pitch w:val="default"/>
    <w:sig w:usb0="00000000" w:usb1="00000000" w:usb2="00000016" w:usb3="00000000" w:csb0="602E0107"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AC8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6AD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751B6E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65F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60D8DEEA">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19FC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B2F1">
    <w:pPr>
      <w:pStyle w:val="41"/>
      <w:framePr w:wrap="around" w:vAnchor="text" w:hAnchor="margin" w:xAlign="right" w:y="1"/>
      <w:rPr>
        <w:rStyle w:val="74"/>
      </w:rPr>
    </w:pPr>
    <w:r>
      <w:fldChar w:fldCharType="begin"/>
    </w:r>
    <w:r>
      <w:rPr>
        <w:rStyle w:val="74"/>
      </w:rPr>
      <w:instrText xml:space="preserve">PAGE  </w:instrText>
    </w:r>
    <w:r>
      <w:fldChar w:fldCharType="end"/>
    </w:r>
  </w:p>
  <w:p w14:paraId="0C8CFE98">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2199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536" w:name="_Toc164085800"/>
    <w:bookmarkStart w:id="537" w:name="_Toc91899912"/>
    <w:bookmarkStart w:id="538" w:name="_Toc131845147"/>
    <w:bookmarkStart w:id="539" w:name="_Toc36110187"/>
    <w:r>
      <w:rPr>
        <w:rFonts w:hint="eastAsia" w:ascii="仿宋_GB2312" w:eastAsia="仿宋_GB2312"/>
        <w:kern w:val="0"/>
        <w:szCs w:val="21"/>
      </w:rPr>
      <w:t xml:space="preserve"> 页</w:t>
    </w:r>
    <w:bookmarkEnd w:id="536"/>
    <w:bookmarkEnd w:id="537"/>
    <w:bookmarkEnd w:id="538"/>
    <w:bookmarkEnd w:id="5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AE8B">
    <w:pPr>
      <w:pStyle w:val="41"/>
      <w:framePr w:wrap="around" w:vAnchor="text" w:hAnchor="margin" w:xAlign="right" w:y="1"/>
      <w:rPr>
        <w:rStyle w:val="74"/>
      </w:rPr>
    </w:pPr>
    <w:r>
      <w:fldChar w:fldCharType="begin"/>
    </w:r>
    <w:r>
      <w:rPr>
        <w:rStyle w:val="74"/>
      </w:rPr>
      <w:instrText xml:space="preserve">PAGE  </w:instrText>
    </w:r>
    <w:r>
      <w:fldChar w:fldCharType="end"/>
    </w:r>
  </w:p>
  <w:p w14:paraId="3DAD38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2B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30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5DA2DF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23D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FBFD17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0FE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6EB19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7C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6EC7FA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4C66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485ABCE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5B5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8604A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A6B5">
    <w:pPr>
      <w:pStyle w:val="42"/>
      <w:pBdr>
        <w:bottom w:val="none" w:color="auto" w:sz="0" w:space="4"/>
      </w:pBdr>
      <w:jc w:val="right"/>
      <w:rPr>
        <w:rFonts w:ascii="仿宋_GB2312" w:eastAsia="仿宋_GB2312"/>
        <w:b w:val="0"/>
        <w:i/>
        <w:sz w:val="18"/>
        <w:u w:val="single"/>
        <w:lang w:val="en-US"/>
      </w:rPr>
    </w:pPr>
    <w:r>
      <w:t></w:t>
    </w:r>
    <w:r>
      <w:rPr>
        <w:rFonts w:hint="eastAsia"/>
      </w:rPr>
      <w:t xml:space="preserve">             </w:t>
    </w:r>
    <w:r>
      <w:rPr>
        <w:rFonts w:hint="eastAsia"/>
        <w:sz w:val="18"/>
        <w:szCs w:val="18"/>
        <w:lang w:val="en-US" w:eastAsia="zh-CN"/>
      </w:rPr>
      <w:t>西湖区</w:t>
    </w:r>
    <w:r>
      <w:rPr>
        <w:sz w:val="18"/>
        <w:szCs w:val="18"/>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B8DE">
    <w:pPr>
      <w:pStyle w:val="42"/>
      <w:jc w:val="right"/>
    </w:pPr>
    <w:r>
      <w:rPr>
        <w:rFonts w:hint="eastAsia"/>
      </w:rPr>
      <w:t xml:space="preserve">                                                                                                        </w:t>
    </w:r>
    <w:r>
      <w:rPr>
        <w:rFonts w:hint="eastAsia"/>
        <w:lang w:eastAsia="zh-CN"/>
      </w:rPr>
      <w:t>西湖区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D9CEE">
    <w:pPr>
      <w:pStyle w:val="42"/>
      <w:jc w:val="right"/>
      <w:rPr>
        <w:rFonts w:ascii="仿宋_GB2312" w:eastAsia="仿宋_GB2312"/>
        <w:b/>
        <w:i/>
        <w:iCs/>
        <w:u w:val="single"/>
      </w:rPr>
    </w:pPr>
    <w:r>
      <w:t></w:t>
    </w:r>
    <w:r>
      <w:rPr>
        <w:rFonts w:hint="eastAsia"/>
        <w:lang w:eastAsia="zh-CN"/>
      </w:rPr>
      <w:t>西湖区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4B6A">
    <w:pPr>
      <w:pStyle w:val="42"/>
    </w:pPr>
    <w:r>
      <w:t></w:t>
    </w:r>
    <w:r>
      <w:rPr>
        <w:rFonts w:hint="eastAsia"/>
      </w:rPr>
      <w:t xml:space="preserve">                                             </w:t>
    </w:r>
    <w:r>
      <w:rPr>
        <w:rFonts w:hint="eastAsia"/>
        <w:lang w:eastAsia="zh-CN"/>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D9BF">
    <w:pPr>
      <w:pStyle w:val="42"/>
      <w:jc w:val="right"/>
      <w:rPr>
        <w:sz w:val="21"/>
        <w:szCs w:val="21"/>
      </w:rPr>
    </w:pPr>
    <w:r>
      <w:rPr>
        <w:rFonts w:hint="eastAsia" w:ascii="宋体" w:hAnsi="宋体" w:eastAsia="宋体" w:cs="宋体"/>
        <w:sz w:val="21"/>
        <w:szCs w:val="21"/>
        <w:lang w:val="en-US" w:eastAsia="zh-CN"/>
      </w:rPr>
      <w:t>西湖区</w:t>
    </w:r>
    <w:r>
      <w:rPr>
        <w:rFonts w:hint="eastAsia" w:ascii="宋体" w:hAnsi="宋体" w:eastAsia="宋体" w:cs="宋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B9A0">
    <w:pPr>
      <w:pStyle w:val="42"/>
      <w:rPr>
        <w:rFonts w:ascii="仿宋_GB2312" w:eastAsia="仿宋_GB2312"/>
        <w:b/>
        <w:i/>
        <w:u w:val="single"/>
      </w:rPr>
    </w:pPr>
    <w:r>
      <w:t></w:t>
    </w:r>
    <w:r>
      <w:rPr>
        <w:rFonts w:hint="eastAsia"/>
      </w:rPr>
      <w:t xml:space="preserve">                                                  </w:t>
    </w:r>
    <w:r>
      <w:t xml:space="preserve">             </w:t>
    </w:r>
    <w:r>
      <w:rPr>
        <w:rFonts w:hint="eastAsia"/>
        <w:lang w:eastAsia="zh-CN"/>
      </w:rPr>
      <w:t>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A2F2">
    <w:pPr>
      <w:pStyle w:val="42"/>
      <w:jc w:val="right"/>
    </w:pPr>
    <w:r>
      <w:t></w:t>
    </w:r>
    <w:r>
      <w:rPr>
        <w:rFonts w:hint="eastAsia"/>
      </w:rPr>
      <w:t xml:space="preserve">  </w:t>
    </w:r>
    <w:r>
      <w:rPr>
        <w:rFonts w:hint="eastAsia"/>
        <w:lang w:eastAsia="zh-CN"/>
      </w:rPr>
      <w:t>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A776">
    <w:pPr>
      <w:pStyle w:val="42"/>
      <w:jc w:val="right"/>
      <w:rPr>
        <w:rFonts w:ascii="仿宋_GB2312"/>
        <w:b/>
        <w:i/>
        <w:u w:val="single"/>
      </w:rPr>
    </w:pPr>
    <w:r>
      <w:t></w:t>
    </w:r>
    <w:r>
      <w:rPr>
        <w:rFonts w:hint="eastAsia"/>
      </w:rPr>
      <w:t xml:space="preserve">                                               西湖区政府采购公开招标文件</w:t>
    </w:r>
  </w:p>
  <w:p w14:paraId="3EA1AAD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F3E26">
    <w:pPr>
      <w:pStyle w:val="42"/>
      <w:jc w:val="both"/>
    </w:pPr>
    <w:r>
      <w:rPr>
        <w:rFonts w:hint="eastAsia"/>
      </w:rPr>
      <w:t xml:space="preserve">       </w:t>
    </w:r>
  </w:p>
  <w:p w14:paraId="2F1E2757">
    <w:pPr>
      <w:pStyle w:val="42"/>
    </w:pPr>
    <w:r>
      <w:rPr>
        <w:rFonts w:hint="eastAsia"/>
      </w:rPr>
      <w:t xml:space="preserve">                                                                  西湖区政府采购公开招标文件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AFB3">
    <w:pPr>
      <w:pStyle w:val="42"/>
      <w:rPr>
        <w:rFonts w:ascii="仿宋_GB2312" w:eastAsia="仿宋_GB2312"/>
        <w:b/>
        <w:i/>
        <w:u w:val="single"/>
      </w:rPr>
    </w:pPr>
    <w:r>
      <w:t></w:t>
    </w:r>
    <w:r>
      <w:rPr>
        <w:rFonts w:hint="eastAsia"/>
      </w:rPr>
      <w:t xml:space="preserve">                                                  </w:t>
    </w:r>
    <w:r>
      <w:rPr>
        <w:rFonts w:hint="eastAsia"/>
        <w:lang w:eastAsia="zh-CN"/>
      </w:rPr>
      <w:t>西湖区</w:t>
    </w:r>
    <w:r>
      <w:t>政府采购公开招标文件</w:t>
    </w:r>
  </w:p>
  <w:p w14:paraId="6789F0B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662D">
    <w:pPr>
      <w:pStyle w:val="42"/>
      <w:jc w:val="right"/>
    </w:pPr>
    <w:r>
      <w:t></w:t>
    </w:r>
    <w:r>
      <w:rPr>
        <w:rFonts w:hint="eastAsia"/>
      </w:rPr>
      <w:t xml:space="preserve">                 </w:t>
    </w:r>
    <w:r>
      <w:t xml:space="preserve">                                </w:t>
    </w:r>
    <w:r>
      <w:rPr>
        <w:rFonts w:hint="eastAsia"/>
      </w:rPr>
      <w:t xml:space="preserve">         </w:t>
    </w:r>
    <w:r>
      <w:rPr>
        <w:rFonts w:hint="eastAsia"/>
        <w:lang w:eastAsia="zh-CN"/>
      </w:rPr>
      <w:t>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E985">
    <w:pPr>
      <w:pStyle w:val="42"/>
      <w:jc w:val="right"/>
      <w:rPr>
        <w:rFonts w:ascii="仿宋_GB2312" w:eastAsia="仿宋_GB2312"/>
        <w:b/>
        <w:i/>
        <w:u w:val="single"/>
      </w:rPr>
    </w:pPr>
    <w:r>
      <w:rPr>
        <w:rFonts w:hint="eastAsia"/>
      </w:rPr>
      <w:t xml:space="preserve">                                  </w:t>
    </w:r>
    <w:r>
      <w:rPr>
        <w:rFonts w:hint="eastAsia"/>
        <w:lang w:eastAsia="zh-CN"/>
      </w:rPr>
      <w:t>西湖区</w:t>
    </w:r>
    <w:r>
      <w:t>政府采购公开招标文件</w:t>
    </w:r>
  </w:p>
  <w:p w14:paraId="5A349F4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63177"/>
    <w:multiLevelType w:val="singleLevel"/>
    <w:tmpl w:val="80D63177"/>
    <w:lvl w:ilvl="0" w:tentative="0">
      <w:start w:val="4"/>
      <w:numFmt w:val="decimal"/>
      <w:lvlText w:val="%1."/>
      <w:lvlJc w:val="left"/>
      <w:pPr>
        <w:tabs>
          <w:tab w:val="left" w:pos="312"/>
        </w:tabs>
      </w:pPr>
    </w:lvl>
  </w:abstractNum>
  <w:abstractNum w:abstractNumId="1">
    <w:nsid w:val="EF7B57CE"/>
    <w:multiLevelType w:val="singleLevel"/>
    <w:tmpl w:val="EF7B57CE"/>
    <w:lvl w:ilvl="0" w:tentative="0">
      <w:start w:val="2"/>
      <w:numFmt w:val="chineseCounting"/>
      <w:suff w:val="nothing"/>
      <w:lvlText w:val="%1、"/>
      <w:lvlJc w:val="left"/>
      <w:rPr>
        <w:rFonts w:hint="eastAsia"/>
      </w:rPr>
    </w:lvl>
  </w:abstractNum>
  <w:abstractNum w:abstractNumId="2">
    <w:nsid w:val="292A329A"/>
    <w:multiLevelType w:val="singleLevel"/>
    <w:tmpl w:val="292A329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4528"/>
    <w:rsid w:val="010651D9"/>
    <w:rsid w:val="011F6449"/>
    <w:rsid w:val="01236AFB"/>
    <w:rsid w:val="019175FE"/>
    <w:rsid w:val="019F7441"/>
    <w:rsid w:val="01B37585"/>
    <w:rsid w:val="01D55165"/>
    <w:rsid w:val="01DF6BF8"/>
    <w:rsid w:val="01E55BFE"/>
    <w:rsid w:val="01EC2C57"/>
    <w:rsid w:val="025F0711"/>
    <w:rsid w:val="026B2E25"/>
    <w:rsid w:val="02824D4D"/>
    <w:rsid w:val="02D47285"/>
    <w:rsid w:val="02DC4B10"/>
    <w:rsid w:val="02DD76CE"/>
    <w:rsid w:val="02F36323"/>
    <w:rsid w:val="02F5619C"/>
    <w:rsid w:val="0326446A"/>
    <w:rsid w:val="032D5555"/>
    <w:rsid w:val="036634D2"/>
    <w:rsid w:val="03DC4A02"/>
    <w:rsid w:val="03DD35E4"/>
    <w:rsid w:val="04076900"/>
    <w:rsid w:val="041A5A3B"/>
    <w:rsid w:val="04222EE7"/>
    <w:rsid w:val="042311BA"/>
    <w:rsid w:val="042B157A"/>
    <w:rsid w:val="048F763B"/>
    <w:rsid w:val="049F330E"/>
    <w:rsid w:val="04AA775C"/>
    <w:rsid w:val="04AF1889"/>
    <w:rsid w:val="04ED7DD8"/>
    <w:rsid w:val="04F66F48"/>
    <w:rsid w:val="0519699F"/>
    <w:rsid w:val="05251E14"/>
    <w:rsid w:val="053026F6"/>
    <w:rsid w:val="05A16594"/>
    <w:rsid w:val="05A7762D"/>
    <w:rsid w:val="060E5941"/>
    <w:rsid w:val="06110FAF"/>
    <w:rsid w:val="06130AF1"/>
    <w:rsid w:val="06493CA7"/>
    <w:rsid w:val="065A6178"/>
    <w:rsid w:val="066F1CF3"/>
    <w:rsid w:val="06930BB8"/>
    <w:rsid w:val="06C13B3D"/>
    <w:rsid w:val="06D1527D"/>
    <w:rsid w:val="07245D42"/>
    <w:rsid w:val="07264C62"/>
    <w:rsid w:val="075E0091"/>
    <w:rsid w:val="0779354C"/>
    <w:rsid w:val="07AC736B"/>
    <w:rsid w:val="08061376"/>
    <w:rsid w:val="08452D77"/>
    <w:rsid w:val="08564ED7"/>
    <w:rsid w:val="086401F8"/>
    <w:rsid w:val="08751CAA"/>
    <w:rsid w:val="087E4C40"/>
    <w:rsid w:val="08A871D0"/>
    <w:rsid w:val="08D66AD6"/>
    <w:rsid w:val="08DA33A3"/>
    <w:rsid w:val="08DB7EA3"/>
    <w:rsid w:val="08E80F13"/>
    <w:rsid w:val="093213F4"/>
    <w:rsid w:val="09335624"/>
    <w:rsid w:val="0944690F"/>
    <w:rsid w:val="09535675"/>
    <w:rsid w:val="095F057D"/>
    <w:rsid w:val="09642282"/>
    <w:rsid w:val="09733572"/>
    <w:rsid w:val="09772C16"/>
    <w:rsid w:val="098353B5"/>
    <w:rsid w:val="09A92330"/>
    <w:rsid w:val="09B06B87"/>
    <w:rsid w:val="09C13146"/>
    <w:rsid w:val="09E04166"/>
    <w:rsid w:val="0A1C0718"/>
    <w:rsid w:val="0A1F7E0D"/>
    <w:rsid w:val="0A3E7710"/>
    <w:rsid w:val="0A4571FF"/>
    <w:rsid w:val="0A5B7E63"/>
    <w:rsid w:val="0AA374A5"/>
    <w:rsid w:val="0AA81B54"/>
    <w:rsid w:val="0AAB7649"/>
    <w:rsid w:val="0ABC5606"/>
    <w:rsid w:val="0B30404E"/>
    <w:rsid w:val="0B4C6C14"/>
    <w:rsid w:val="0B547599"/>
    <w:rsid w:val="0B631A88"/>
    <w:rsid w:val="0B683D45"/>
    <w:rsid w:val="0B7F3F11"/>
    <w:rsid w:val="0B884417"/>
    <w:rsid w:val="0BCB0FBA"/>
    <w:rsid w:val="0BF6188C"/>
    <w:rsid w:val="0BF73C91"/>
    <w:rsid w:val="0C170175"/>
    <w:rsid w:val="0C571A41"/>
    <w:rsid w:val="0C5C1171"/>
    <w:rsid w:val="0C5E1CBC"/>
    <w:rsid w:val="0C615B50"/>
    <w:rsid w:val="0C736AE0"/>
    <w:rsid w:val="0C8445DA"/>
    <w:rsid w:val="0C87121B"/>
    <w:rsid w:val="0CC007F7"/>
    <w:rsid w:val="0CC617AC"/>
    <w:rsid w:val="0CE618DF"/>
    <w:rsid w:val="0CFA1709"/>
    <w:rsid w:val="0CFE707A"/>
    <w:rsid w:val="0D063BDA"/>
    <w:rsid w:val="0D08375F"/>
    <w:rsid w:val="0D08595F"/>
    <w:rsid w:val="0D184CFB"/>
    <w:rsid w:val="0D4A7419"/>
    <w:rsid w:val="0D827401"/>
    <w:rsid w:val="0D84094E"/>
    <w:rsid w:val="0D8A00E9"/>
    <w:rsid w:val="0D8D589E"/>
    <w:rsid w:val="0DA01C73"/>
    <w:rsid w:val="0DD63300"/>
    <w:rsid w:val="0DF50604"/>
    <w:rsid w:val="0DF702FE"/>
    <w:rsid w:val="0E060E51"/>
    <w:rsid w:val="0E5604B2"/>
    <w:rsid w:val="0E5C2424"/>
    <w:rsid w:val="0E6D5D79"/>
    <w:rsid w:val="0E9D0089"/>
    <w:rsid w:val="0EAE3545"/>
    <w:rsid w:val="0EB803EE"/>
    <w:rsid w:val="0EF94D4B"/>
    <w:rsid w:val="0F4958DC"/>
    <w:rsid w:val="0F515DF7"/>
    <w:rsid w:val="0F596BA8"/>
    <w:rsid w:val="0F6248D2"/>
    <w:rsid w:val="0F693536"/>
    <w:rsid w:val="0F7B0511"/>
    <w:rsid w:val="0F7B76D9"/>
    <w:rsid w:val="0F816ACD"/>
    <w:rsid w:val="0F9832DB"/>
    <w:rsid w:val="0FBF3FD2"/>
    <w:rsid w:val="0FBF7FF3"/>
    <w:rsid w:val="105120CC"/>
    <w:rsid w:val="10646583"/>
    <w:rsid w:val="107D4B15"/>
    <w:rsid w:val="108A3C80"/>
    <w:rsid w:val="10C26171"/>
    <w:rsid w:val="10C659A7"/>
    <w:rsid w:val="10F33360"/>
    <w:rsid w:val="10FC16EA"/>
    <w:rsid w:val="110F1D40"/>
    <w:rsid w:val="11266F33"/>
    <w:rsid w:val="118963A1"/>
    <w:rsid w:val="11917F2C"/>
    <w:rsid w:val="11B04EDA"/>
    <w:rsid w:val="11C6522A"/>
    <w:rsid w:val="11E104CC"/>
    <w:rsid w:val="11E20309"/>
    <w:rsid w:val="11EC3A38"/>
    <w:rsid w:val="12255233"/>
    <w:rsid w:val="12530213"/>
    <w:rsid w:val="12647A72"/>
    <w:rsid w:val="127723A9"/>
    <w:rsid w:val="12783358"/>
    <w:rsid w:val="12862074"/>
    <w:rsid w:val="12883966"/>
    <w:rsid w:val="129E45B4"/>
    <w:rsid w:val="12B0506E"/>
    <w:rsid w:val="12D81596"/>
    <w:rsid w:val="13072A44"/>
    <w:rsid w:val="1338504A"/>
    <w:rsid w:val="135F4BE2"/>
    <w:rsid w:val="139B1A0A"/>
    <w:rsid w:val="139D25C7"/>
    <w:rsid w:val="13BF3CE4"/>
    <w:rsid w:val="141008D8"/>
    <w:rsid w:val="14125FE6"/>
    <w:rsid w:val="146D271E"/>
    <w:rsid w:val="147541B9"/>
    <w:rsid w:val="14982588"/>
    <w:rsid w:val="149A5AD9"/>
    <w:rsid w:val="14A7619D"/>
    <w:rsid w:val="14D40EDF"/>
    <w:rsid w:val="150536C3"/>
    <w:rsid w:val="150C1963"/>
    <w:rsid w:val="151447A0"/>
    <w:rsid w:val="1542409B"/>
    <w:rsid w:val="154A6454"/>
    <w:rsid w:val="15762120"/>
    <w:rsid w:val="15842387"/>
    <w:rsid w:val="15BA6705"/>
    <w:rsid w:val="15FF65ED"/>
    <w:rsid w:val="16A8729C"/>
    <w:rsid w:val="16B33777"/>
    <w:rsid w:val="16BC70A7"/>
    <w:rsid w:val="16C6339E"/>
    <w:rsid w:val="16F13FCB"/>
    <w:rsid w:val="171E77F9"/>
    <w:rsid w:val="172F2D79"/>
    <w:rsid w:val="17557BEF"/>
    <w:rsid w:val="17D349C1"/>
    <w:rsid w:val="1830729E"/>
    <w:rsid w:val="1870062C"/>
    <w:rsid w:val="18817102"/>
    <w:rsid w:val="18830A15"/>
    <w:rsid w:val="18852B28"/>
    <w:rsid w:val="188B5321"/>
    <w:rsid w:val="18A30B8F"/>
    <w:rsid w:val="18AD1223"/>
    <w:rsid w:val="18DC773F"/>
    <w:rsid w:val="196B7D23"/>
    <w:rsid w:val="19932372"/>
    <w:rsid w:val="19960E59"/>
    <w:rsid w:val="19A20DD5"/>
    <w:rsid w:val="19AE03F1"/>
    <w:rsid w:val="19C05ED6"/>
    <w:rsid w:val="1A071A03"/>
    <w:rsid w:val="1A1F16AE"/>
    <w:rsid w:val="1A3B5C77"/>
    <w:rsid w:val="1A5B79AD"/>
    <w:rsid w:val="1A984BAD"/>
    <w:rsid w:val="1AB8220E"/>
    <w:rsid w:val="1AC24A97"/>
    <w:rsid w:val="1AE257AE"/>
    <w:rsid w:val="1AE4166C"/>
    <w:rsid w:val="1AF06CFB"/>
    <w:rsid w:val="1AF11B8D"/>
    <w:rsid w:val="1B11359C"/>
    <w:rsid w:val="1B2A271F"/>
    <w:rsid w:val="1B530544"/>
    <w:rsid w:val="1B713184"/>
    <w:rsid w:val="1B7A731F"/>
    <w:rsid w:val="1BA209CF"/>
    <w:rsid w:val="1BA43ED6"/>
    <w:rsid w:val="1BB4777D"/>
    <w:rsid w:val="1BD75AB8"/>
    <w:rsid w:val="1C0459C2"/>
    <w:rsid w:val="1C1B3B4A"/>
    <w:rsid w:val="1C2245B4"/>
    <w:rsid w:val="1C88086E"/>
    <w:rsid w:val="1D266CE1"/>
    <w:rsid w:val="1D2F273E"/>
    <w:rsid w:val="1D3963AF"/>
    <w:rsid w:val="1D530C7D"/>
    <w:rsid w:val="1D6A673C"/>
    <w:rsid w:val="1D85546D"/>
    <w:rsid w:val="1D9247AE"/>
    <w:rsid w:val="1DB567EC"/>
    <w:rsid w:val="1DF51A98"/>
    <w:rsid w:val="1E3D060F"/>
    <w:rsid w:val="1E3F7D2E"/>
    <w:rsid w:val="1E4134E4"/>
    <w:rsid w:val="1E5062B3"/>
    <w:rsid w:val="1E523514"/>
    <w:rsid w:val="1E714A66"/>
    <w:rsid w:val="1E7319D1"/>
    <w:rsid w:val="1E802593"/>
    <w:rsid w:val="1E8B6156"/>
    <w:rsid w:val="1E9B07CA"/>
    <w:rsid w:val="1EA703CC"/>
    <w:rsid w:val="1EB7330C"/>
    <w:rsid w:val="1EC645E1"/>
    <w:rsid w:val="1F0A0FF3"/>
    <w:rsid w:val="1F17155B"/>
    <w:rsid w:val="1F2B4B73"/>
    <w:rsid w:val="1F32070F"/>
    <w:rsid w:val="1F364815"/>
    <w:rsid w:val="1F4629DA"/>
    <w:rsid w:val="1F5771FF"/>
    <w:rsid w:val="1FE868A9"/>
    <w:rsid w:val="20034907"/>
    <w:rsid w:val="20173E4B"/>
    <w:rsid w:val="204E48BC"/>
    <w:rsid w:val="206162AC"/>
    <w:rsid w:val="208921B3"/>
    <w:rsid w:val="20973DEB"/>
    <w:rsid w:val="20B26522"/>
    <w:rsid w:val="20B44310"/>
    <w:rsid w:val="20CA3197"/>
    <w:rsid w:val="20F26836"/>
    <w:rsid w:val="211116EB"/>
    <w:rsid w:val="216133FC"/>
    <w:rsid w:val="21D56769"/>
    <w:rsid w:val="21E52EF3"/>
    <w:rsid w:val="21FB5D7B"/>
    <w:rsid w:val="22015E94"/>
    <w:rsid w:val="220B1C3D"/>
    <w:rsid w:val="221D1D20"/>
    <w:rsid w:val="221D1F36"/>
    <w:rsid w:val="22334A87"/>
    <w:rsid w:val="224D05CF"/>
    <w:rsid w:val="22AB7CC8"/>
    <w:rsid w:val="22BE6801"/>
    <w:rsid w:val="233500BF"/>
    <w:rsid w:val="23377FF7"/>
    <w:rsid w:val="235F2FFB"/>
    <w:rsid w:val="236B425F"/>
    <w:rsid w:val="23836192"/>
    <w:rsid w:val="23901F29"/>
    <w:rsid w:val="239C0061"/>
    <w:rsid w:val="23B908A4"/>
    <w:rsid w:val="23E95BEF"/>
    <w:rsid w:val="23FD0064"/>
    <w:rsid w:val="24131E7D"/>
    <w:rsid w:val="245375B0"/>
    <w:rsid w:val="24642C0A"/>
    <w:rsid w:val="24A21ADF"/>
    <w:rsid w:val="24B22173"/>
    <w:rsid w:val="24B95AD9"/>
    <w:rsid w:val="24BC729A"/>
    <w:rsid w:val="24BE24DA"/>
    <w:rsid w:val="24CF5825"/>
    <w:rsid w:val="24D663E6"/>
    <w:rsid w:val="24D77F2B"/>
    <w:rsid w:val="25007ACF"/>
    <w:rsid w:val="258B00E2"/>
    <w:rsid w:val="259C397C"/>
    <w:rsid w:val="25A917A6"/>
    <w:rsid w:val="25BE27CC"/>
    <w:rsid w:val="25F74A5C"/>
    <w:rsid w:val="2628662C"/>
    <w:rsid w:val="262D45DE"/>
    <w:rsid w:val="264E1102"/>
    <w:rsid w:val="26871DC8"/>
    <w:rsid w:val="26A53EF9"/>
    <w:rsid w:val="26A94201"/>
    <w:rsid w:val="26AC274F"/>
    <w:rsid w:val="26C3139C"/>
    <w:rsid w:val="26C63310"/>
    <w:rsid w:val="26D76657"/>
    <w:rsid w:val="27044A29"/>
    <w:rsid w:val="271D34C8"/>
    <w:rsid w:val="272A5D90"/>
    <w:rsid w:val="276142BF"/>
    <w:rsid w:val="27783712"/>
    <w:rsid w:val="27871DE1"/>
    <w:rsid w:val="27907362"/>
    <w:rsid w:val="28100029"/>
    <w:rsid w:val="28333E1D"/>
    <w:rsid w:val="28454BD6"/>
    <w:rsid w:val="28455253"/>
    <w:rsid w:val="28551971"/>
    <w:rsid w:val="285B1C53"/>
    <w:rsid w:val="288077D2"/>
    <w:rsid w:val="289F7086"/>
    <w:rsid w:val="28C32028"/>
    <w:rsid w:val="28CC490F"/>
    <w:rsid w:val="28DE40AA"/>
    <w:rsid w:val="290A0F1C"/>
    <w:rsid w:val="29345E77"/>
    <w:rsid w:val="294C65AD"/>
    <w:rsid w:val="29641694"/>
    <w:rsid w:val="29806583"/>
    <w:rsid w:val="298B3C4C"/>
    <w:rsid w:val="29F26D24"/>
    <w:rsid w:val="2A15033F"/>
    <w:rsid w:val="2A1662C1"/>
    <w:rsid w:val="2A1C7367"/>
    <w:rsid w:val="2A2815FA"/>
    <w:rsid w:val="2A4E733E"/>
    <w:rsid w:val="2A6D6092"/>
    <w:rsid w:val="2A7D76B4"/>
    <w:rsid w:val="2AB54EB7"/>
    <w:rsid w:val="2B437463"/>
    <w:rsid w:val="2B7807EE"/>
    <w:rsid w:val="2B960569"/>
    <w:rsid w:val="2BA47F56"/>
    <w:rsid w:val="2BA50BF7"/>
    <w:rsid w:val="2BB872A8"/>
    <w:rsid w:val="2BBF00EC"/>
    <w:rsid w:val="2BC171FE"/>
    <w:rsid w:val="2BC37CFD"/>
    <w:rsid w:val="2BD5237F"/>
    <w:rsid w:val="2BE536CE"/>
    <w:rsid w:val="2BE758D9"/>
    <w:rsid w:val="2C066CFF"/>
    <w:rsid w:val="2C09049E"/>
    <w:rsid w:val="2C0A653C"/>
    <w:rsid w:val="2C191F85"/>
    <w:rsid w:val="2C1F33CD"/>
    <w:rsid w:val="2C666469"/>
    <w:rsid w:val="2CAD5E46"/>
    <w:rsid w:val="2CE81574"/>
    <w:rsid w:val="2CE82D6F"/>
    <w:rsid w:val="2D343236"/>
    <w:rsid w:val="2DD15014"/>
    <w:rsid w:val="2DF72DE4"/>
    <w:rsid w:val="2E0220AF"/>
    <w:rsid w:val="2E4B082A"/>
    <w:rsid w:val="2E5D4E86"/>
    <w:rsid w:val="2E5D790B"/>
    <w:rsid w:val="2E9A3C18"/>
    <w:rsid w:val="2EBB0FEE"/>
    <w:rsid w:val="2EC63002"/>
    <w:rsid w:val="2F0A6B38"/>
    <w:rsid w:val="2F0D332E"/>
    <w:rsid w:val="2F5A54F1"/>
    <w:rsid w:val="2F7F6ADC"/>
    <w:rsid w:val="2F946CCB"/>
    <w:rsid w:val="2FD25781"/>
    <w:rsid w:val="2FDC745C"/>
    <w:rsid w:val="2FFD7934"/>
    <w:rsid w:val="30244583"/>
    <w:rsid w:val="3054441E"/>
    <w:rsid w:val="30703D5A"/>
    <w:rsid w:val="30733ACD"/>
    <w:rsid w:val="30752C5C"/>
    <w:rsid w:val="308C3862"/>
    <w:rsid w:val="308C7030"/>
    <w:rsid w:val="309379D8"/>
    <w:rsid w:val="30A270F7"/>
    <w:rsid w:val="30DF1478"/>
    <w:rsid w:val="30E74B8C"/>
    <w:rsid w:val="30EC586F"/>
    <w:rsid w:val="319C6071"/>
    <w:rsid w:val="31AC537E"/>
    <w:rsid w:val="31E3679B"/>
    <w:rsid w:val="31E732FD"/>
    <w:rsid w:val="32517576"/>
    <w:rsid w:val="32530D4D"/>
    <w:rsid w:val="32BE5C2C"/>
    <w:rsid w:val="32D36A47"/>
    <w:rsid w:val="32FB6478"/>
    <w:rsid w:val="33093CCD"/>
    <w:rsid w:val="33263B3F"/>
    <w:rsid w:val="3334147D"/>
    <w:rsid w:val="336963EB"/>
    <w:rsid w:val="33816EEB"/>
    <w:rsid w:val="33CA1BD7"/>
    <w:rsid w:val="33E505BB"/>
    <w:rsid w:val="33E571B5"/>
    <w:rsid w:val="33EB55CD"/>
    <w:rsid w:val="33EC4C02"/>
    <w:rsid w:val="33EF042B"/>
    <w:rsid w:val="340D2360"/>
    <w:rsid w:val="3410665D"/>
    <w:rsid w:val="34211214"/>
    <w:rsid w:val="342E63AB"/>
    <w:rsid w:val="34950E68"/>
    <w:rsid w:val="34986E94"/>
    <w:rsid w:val="34AF62C9"/>
    <w:rsid w:val="34CB4388"/>
    <w:rsid w:val="34FA6E12"/>
    <w:rsid w:val="35096A2F"/>
    <w:rsid w:val="354D7158"/>
    <w:rsid w:val="358D5588"/>
    <w:rsid w:val="363A3B40"/>
    <w:rsid w:val="365302AE"/>
    <w:rsid w:val="36607A0A"/>
    <w:rsid w:val="366E227C"/>
    <w:rsid w:val="366F2E0D"/>
    <w:rsid w:val="367B6A5C"/>
    <w:rsid w:val="36A74ADA"/>
    <w:rsid w:val="36AD60D5"/>
    <w:rsid w:val="36B224F9"/>
    <w:rsid w:val="36E37343"/>
    <w:rsid w:val="36EC0CC9"/>
    <w:rsid w:val="373F410B"/>
    <w:rsid w:val="37441A9D"/>
    <w:rsid w:val="379225B7"/>
    <w:rsid w:val="37ED5AF6"/>
    <w:rsid w:val="37EE7094"/>
    <w:rsid w:val="381F79FE"/>
    <w:rsid w:val="38296C89"/>
    <w:rsid w:val="383002EB"/>
    <w:rsid w:val="38586797"/>
    <w:rsid w:val="38746E9D"/>
    <w:rsid w:val="38BC0149"/>
    <w:rsid w:val="38D87D1C"/>
    <w:rsid w:val="39636459"/>
    <w:rsid w:val="396B7F6C"/>
    <w:rsid w:val="39B417A9"/>
    <w:rsid w:val="39D1447A"/>
    <w:rsid w:val="39FC5695"/>
    <w:rsid w:val="3A006D8E"/>
    <w:rsid w:val="3A3651E5"/>
    <w:rsid w:val="3A740E5B"/>
    <w:rsid w:val="3A744481"/>
    <w:rsid w:val="3A8C7BEF"/>
    <w:rsid w:val="3A906246"/>
    <w:rsid w:val="3B2349B7"/>
    <w:rsid w:val="3B616CFF"/>
    <w:rsid w:val="3B6259F6"/>
    <w:rsid w:val="3B8C414B"/>
    <w:rsid w:val="3B976654"/>
    <w:rsid w:val="3BC01EFC"/>
    <w:rsid w:val="3BC211E2"/>
    <w:rsid w:val="3BCA786A"/>
    <w:rsid w:val="3BD31E2F"/>
    <w:rsid w:val="3BF15831"/>
    <w:rsid w:val="3C105946"/>
    <w:rsid w:val="3C471448"/>
    <w:rsid w:val="3C5F759A"/>
    <w:rsid w:val="3C6C525A"/>
    <w:rsid w:val="3C8A7746"/>
    <w:rsid w:val="3CAF5805"/>
    <w:rsid w:val="3CCE23CB"/>
    <w:rsid w:val="3CD17D17"/>
    <w:rsid w:val="3D30107F"/>
    <w:rsid w:val="3D314871"/>
    <w:rsid w:val="3D3C7F39"/>
    <w:rsid w:val="3D440F09"/>
    <w:rsid w:val="3D4504A0"/>
    <w:rsid w:val="3D8734BB"/>
    <w:rsid w:val="3D9A11D4"/>
    <w:rsid w:val="3DA16D89"/>
    <w:rsid w:val="3DA364BE"/>
    <w:rsid w:val="3DE041CB"/>
    <w:rsid w:val="3E0D48F6"/>
    <w:rsid w:val="3E1868B4"/>
    <w:rsid w:val="3E274DA6"/>
    <w:rsid w:val="3E377251"/>
    <w:rsid w:val="3E42664B"/>
    <w:rsid w:val="3E4548C1"/>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C50BA"/>
    <w:rsid w:val="406E1CAE"/>
    <w:rsid w:val="40A0133A"/>
    <w:rsid w:val="40C31A53"/>
    <w:rsid w:val="40F15913"/>
    <w:rsid w:val="40FF545D"/>
    <w:rsid w:val="410067C8"/>
    <w:rsid w:val="418F0D2A"/>
    <w:rsid w:val="41A87EF3"/>
    <w:rsid w:val="41D01505"/>
    <w:rsid w:val="42210D36"/>
    <w:rsid w:val="42474939"/>
    <w:rsid w:val="424C3C57"/>
    <w:rsid w:val="42613FF3"/>
    <w:rsid w:val="42660D96"/>
    <w:rsid w:val="428667D2"/>
    <w:rsid w:val="42CD1CE0"/>
    <w:rsid w:val="42E1381E"/>
    <w:rsid w:val="42ED6459"/>
    <w:rsid w:val="42FE58DD"/>
    <w:rsid w:val="43174B3D"/>
    <w:rsid w:val="434B790E"/>
    <w:rsid w:val="435F626A"/>
    <w:rsid w:val="4360274F"/>
    <w:rsid w:val="43977AB6"/>
    <w:rsid w:val="43A3342B"/>
    <w:rsid w:val="43C77C27"/>
    <w:rsid w:val="43CB76FE"/>
    <w:rsid w:val="43DE09EE"/>
    <w:rsid w:val="44002FAD"/>
    <w:rsid w:val="449101DD"/>
    <w:rsid w:val="44A65E6D"/>
    <w:rsid w:val="44DE1391"/>
    <w:rsid w:val="451B225C"/>
    <w:rsid w:val="452410C9"/>
    <w:rsid w:val="45317DFB"/>
    <w:rsid w:val="456D3CE4"/>
    <w:rsid w:val="4579042C"/>
    <w:rsid w:val="457F0571"/>
    <w:rsid w:val="45851176"/>
    <w:rsid w:val="45C63B94"/>
    <w:rsid w:val="45D5174C"/>
    <w:rsid w:val="45F10866"/>
    <w:rsid w:val="460E7DA5"/>
    <w:rsid w:val="46422483"/>
    <w:rsid w:val="4659254A"/>
    <w:rsid w:val="465B0637"/>
    <w:rsid w:val="465E3F0D"/>
    <w:rsid w:val="466A16E6"/>
    <w:rsid w:val="46893F2B"/>
    <w:rsid w:val="46903892"/>
    <w:rsid w:val="46C4686E"/>
    <w:rsid w:val="475A2C17"/>
    <w:rsid w:val="477B778F"/>
    <w:rsid w:val="478203EC"/>
    <w:rsid w:val="47B025FA"/>
    <w:rsid w:val="47E63584"/>
    <w:rsid w:val="4809698F"/>
    <w:rsid w:val="4811697D"/>
    <w:rsid w:val="487A3E25"/>
    <w:rsid w:val="488B5503"/>
    <w:rsid w:val="48937E21"/>
    <w:rsid w:val="489A0361"/>
    <w:rsid w:val="48B94FF3"/>
    <w:rsid w:val="48E37AAB"/>
    <w:rsid w:val="48FD4B4C"/>
    <w:rsid w:val="49022B51"/>
    <w:rsid w:val="490A68E0"/>
    <w:rsid w:val="491055FE"/>
    <w:rsid w:val="495F5B3E"/>
    <w:rsid w:val="496F77D7"/>
    <w:rsid w:val="497654FD"/>
    <w:rsid w:val="49B64211"/>
    <w:rsid w:val="49F6167F"/>
    <w:rsid w:val="4A064FA0"/>
    <w:rsid w:val="4A16615C"/>
    <w:rsid w:val="4A4424D7"/>
    <w:rsid w:val="4A93291B"/>
    <w:rsid w:val="4AB82D0F"/>
    <w:rsid w:val="4AEB7664"/>
    <w:rsid w:val="4AF65903"/>
    <w:rsid w:val="4AFD7C19"/>
    <w:rsid w:val="4B0567D1"/>
    <w:rsid w:val="4B236AAE"/>
    <w:rsid w:val="4B707271"/>
    <w:rsid w:val="4B9739F7"/>
    <w:rsid w:val="4BD74D40"/>
    <w:rsid w:val="4BE441DF"/>
    <w:rsid w:val="4BEE2503"/>
    <w:rsid w:val="4BF228BF"/>
    <w:rsid w:val="4C245A30"/>
    <w:rsid w:val="4C61212F"/>
    <w:rsid w:val="4CB6685F"/>
    <w:rsid w:val="4CB81ADC"/>
    <w:rsid w:val="4CC367FE"/>
    <w:rsid w:val="4CEB57C1"/>
    <w:rsid w:val="4D077F3C"/>
    <w:rsid w:val="4D123355"/>
    <w:rsid w:val="4D2A3B31"/>
    <w:rsid w:val="4D312C52"/>
    <w:rsid w:val="4D796C24"/>
    <w:rsid w:val="4D905305"/>
    <w:rsid w:val="4D964A72"/>
    <w:rsid w:val="4D9C1254"/>
    <w:rsid w:val="4E793892"/>
    <w:rsid w:val="4E800872"/>
    <w:rsid w:val="4EC569ED"/>
    <w:rsid w:val="4ED50EA1"/>
    <w:rsid w:val="4EEC050C"/>
    <w:rsid w:val="4F104EC3"/>
    <w:rsid w:val="4F47354A"/>
    <w:rsid w:val="4F911C54"/>
    <w:rsid w:val="4FE625E0"/>
    <w:rsid w:val="5021480F"/>
    <w:rsid w:val="508D243C"/>
    <w:rsid w:val="50962ECB"/>
    <w:rsid w:val="50A42E38"/>
    <w:rsid w:val="50A4577F"/>
    <w:rsid w:val="50B73D1F"/>
    <w:rsid w:val="50BD5BC9"/>
    <w:rsid w:val="50C11EEE"/>
    <w:rsid w:val="50C20F8E"/>
    <w:rsid w:val="50E97CFC"/>
    <w:rsid w:val="50FA4028"/>
    <w:rsid w:val="510119F8"/>
    <w:rsid w:val="510D65B7"/>
    <w:rsid w:val="511157AB"/>
    <w:rsid w:val="5142540C"/>
    <w:rsid w:val="518832C8"/>
    <w:rsid w:val="51971C1E"/>
    <w:rsid w:val="5199078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B6520"/>
    <w:rsid w:val="5397158E"/>
    <w:rsid w:val="54013861"/>
    <w:rsid w:val="541C372E"/>
    <w:rsid w:val="54487265"/>
    <w:rsid w:val="544D6070"/>
    <w:rsid w:val="54605E1E"/>
    <w:rsid w:val="54B3506A"/>
    <w:rsid w:val="54CA0D16"/>
    <w:rsid w:val="54DD4057"/>
    <w:rsid w:val="54E7490F"/>
    <w:rsid w:val="550764A4"/>
    <w:rsid w:val="550B2BF6"/>
    <w:rsid w:val="55214EB5"/>
    <w:rsid w:val="55364EFD"/>
    <w:rsid w:val="555D4828"/>
    <w:rsid w:val="556E3867"/>
    <w:rsid w:val="55721D26"/>
    <w:rsid w:val="557A4C8B"/>
    <w:rsid w:val="558931E1"/>
    <w:rsid w:val="55923347"/>
    <w:rsid w:val="55925180"/>
    <w:rsid w:val="55983B1B"/>
    <w:rsid w:val="55A8376B"/>
    <w:rsid w:val="55DC29B6"/>
    <w:rsid w:val="55DD4241"/>
    <w:rsid w:val="566B6D1E"/>
    <w:rsid w:val="56921A85"/>
    <w:rsid w:val="57032A2C"/>
    <w:rsid w:val="570F5219"/>
    <w:rsid w:val="57177031"/>
    <w:rsid w:val="575D12B5"/>
    <w:rsid w:val="57610A87"/>
    <w:rsid w:val="577B1140"/>
    <w:rsid w:val="577B7F21"/>
    <w:rsid w:val="577F181B"/>
    <w:rsid w:val="57903AA7"/>
    <w:rsid w:val="57921984"/>
    <w:rsid w:val="579737F0"/>
    <w:rsid w:val="57AB7B30"/>
    <w:rsid w:val="57AF5251"/>
    <w:rsid w:val="57B26373"/>
    <w:rsid w:val="57B63F04"/>
    <w:rsid w:val="57CD20C2"/>
    <w:rsid w:val="57D675AB"/>
    <w:rsid w:val="57D95FDD"/>
    <w:rsid w:val="58130B05"/>
    <w:rsid w:val="582B03E3"/>
    <w:rsid w:val="58917D2F"/>
    <w:rsid w:val="5894085C"/>
    <w:rsid w:val="58AE4F0C"/>
    <w:rsid w:val="58B85899"/>
    <w:rsid w:val="58E363A9"/>
    <w:rsid w:val="595E1678"/>
    <w:rsid w:val="596D5BD4"/>
    <w:rsid w:val="597E3DD8"/>
    <w:rsid w:val="59D7A558"/>
    <w:rsid w:val="59E75EE1"/>
    <w:rsid w:val="59F80043"/>
    <w:rsid w:val="5A09252F"/>
    <w:rsid w:val="5A0B2778"/>
    <w:rsid w:val="5A2A7C7B"/>
    <w:rsid w:val="5A3E2560"/>
    <w:rsid w:val="5A5D3B6E"/>
    <w:rsid w:val="5A637A76"/>
    <w:rsid w:val="5A6D33BA"/>
    <w:rsid w:val="5A792B1F"/>
    <w:rsid w:val="5A874767"/>
    <w:rsid w:val="5AA85BE2"/>
    <w:rsid w:val="5AAD6F28"/>
    <w:rsid w:val="5AB41185"/>
    <w:rsid w:val="5AD63A24"/>
    <w:rsid w:val="5B2E1A1D"/>
    <w:rsid w:val="5B843A1C"/>
    <w:rsid w:val="5B873E3F"/>
    <w:rsid w:val="5BDB6621"/>
    <w:rsid w:val="5C02690E"/>
    <w:rsid w:val="5C196DA7"/>
    <w:rsid w:val="5C2A048C"/>
    <w:rsid w:val="5C80234E"/>
    <w:rsid w:val="5C8A680C"/>
    <w:rsid w:val="5D0C4701"/>
    <w:rsid w:val="5D0F0395"/>
    <w:rsid w:val="5D1F7DEB"/>
    <w:rsid w:val="5D221076"/>
    <w:rsid w:val="5D397964"/>
    <w:rsid w:val="5D5A391C"/>
    <w:rsid w:val="5D5C0FB3"/>
    <w:rsid w:val="5D5F10C0"/>
    <w:rsid w:val="5D6972B8"/>
    <w:rsid w:val="5D891B7B"/>
    <w:rsid w:val="5D8D5986"/>
    <w:rsid w:val="5DAD38EE"/>
    <w:rsid w:val="5E006862"/>
    <w:rsid w:val="5E0207B9"/>
    <w:rsid w:val="5E1834A1"/>
    <w:rsid w:val="5E261785"/>
    <w:rsid w:val="5E4A7017"/>
    <w:rsid w:val="5E552BBA"/>
    <w:rsid w:val="5E611C10"/>
    <w:rsid w:val="5E6F316C"/>
    <w:rsid w:val="5E7A0F3F"/>
    <w:rsid w:val="5E8B5B9B"/>
    <w:rsid w:val="5EB904CA"/>
    <w:rsid w:val="5EDE6438"/>
    <w:rsid w:val="5EFC7377"/>
    <w:rsid w:val="5F06174D"/>
    <w:rsid w:val="5F3A3602"/>
    <w:rsid w:val="5F45733B"/>
    <w:rsid w:val="5F6277C6"/>
    <w:rsid w:val="5F6D0B1D"/>
    <w:rsid w:val="5F79358C"/>
    <w:rsid w:val="5F8D0B82"/>
    <w:rsid w:val="5FC26A78"/>
    <w:rsid w:val="5FCC5339"/>
    <w:rsid w:val="5FE34A5B"/>
    <w:rsid w:val="5FFE1E36"/>
    <w:rsid w:val="60232584"/>
    <w:rsid w:val="607330CE"/>
    <w:rsid w:val="60825176"/>
    <w:rsid w:val="609F2AC4"/>
    <w:rsid w:val="60FA2EE8"/>
    <w:rsid w:val="61054A27"/>
    <w:rsid w:val="610A52BC"/>
    <w:rsid w:val="61121C1F"/>
    <w:rsid w:val="611D2366"/>
    <w:rsid w:val="6135328B"/>
    <w:rsid w:val="61421856"/>
    <w:rsid w:val="615227C4"/>
    <w:rsid w:val="61654E3F"/>
    <w:rsid w:val="6182292A"/>
    <w:rsid w:val="619F7F92"/>
    <w:rsid w:val="61F94C26"/>
    <w:rsid w:val="62000E56"/>
    <w:rsid w:val="624F3E49"/>
    <w:rsid w:val="62632286"/>
    <w:rsid w:val="62885958"/>
    <w:rsid w:val="62A44442"/>
    <w:rsid w:val="62F40B65"/>
    <w:rsid w:val="62FC2CFE"/>
    <w:rsid w:val="63024505"/>
    <w:rsid w:val="630B44AB"/>
    <w:rsid w:val="635600A5"/>
    <w:rsid w:val="635B1DB5"/>
    <w:rsid w:val="63711FED"/>
    <w:rsid w:val="63880DDC"/>
    <w:rsid w:val="638D750D"/>
    <w:rsid w:val="63AC6CC0"/>
    <w:rsid w:val="64055776"/>
    <w:rsid w:val="64240056"/>
    <w:rsid w:val="643E143A"/>
    <w:rsid w:val="64491666"/>
    <w:rsid w:val="646E06AF"/>
    <w:rsid w:val="648B6EEF"/>
    <w:rsid w:val="64C158BF"/>
    <w:rsid w:val="64CE2EAA"/>
    <w:rsid w:val="65060BC9"/>
    <w:rsid w:val="653C3090"/>
    <w:rsid w:val="657F7DDE"/>
    <w:rsid w:val="65854376"/>
    <w:rsid w:val="658767BE"/>
    <w:rsid w:val="65892531"/>
    <w:rsid w:val="65DB39F2"/>
    <w:rsid w:val="661563F5"/>
    <w:rsid w:val="66195831"/>
    <w:rsid w:val="662E75B1"/>
    <w:rsid w:val="66342C2E"/>
    <w:rsid w:val="663E784C"/>
    <w:rsid w:val="668B6A45"/>
    <w:rsid w:val="67284557"/>
    <w:rsid w:val="672F3F24"/>
    <w:rsid w:val="673E055F"/>
    <w:rsid w:val="67544B35"/>
    <w:rsid w:val="67551CE3"/>
    <w:rsid w:val="675E13B5"/>
    <w:rsid w:val="67A22552"/>
    <w:rsid w:val="67B22DCC"/>
    <w:rsid w:val="67BE71AA"/>
    <w:rsid w:val="67D90273"/>
    <w:rsid w:val="67DE5875"/>
    <w:rsid w:val="67E55852"/>
    <w:rsid w:val="67EB1AB4"/>
    <w:rsid w:val="67FA1285"/>
    <w:rsid w:val="684A75E9"/>
    <w:rsid w:val="68551F4F"/>
    <w:rsid w:val="687C10C9"/>
    <w:rsid w:val="68840C16"/>
    <w:rsid w:val="68876EFB"/>
    <w:rsid w:val="68884654"/>
    <w:rsid w:val="689F444F"/>
    <w:rsid w:val="68B96DBB"/>
    <w:rsid w:val="68CA2805"/>
    <w:rsid w:val="68E937A3"/>
    <w:rsid w:val="68F14C3B"/>
    <w:rsid w:val="692F0345"/>
    <w:rsid w:val="693E15D3"/>
    <w:rsid w:val="694A760F"/>
    <w:rsid w:val="69627681"/>
    <w:rsid w:val="6977531D"/>
    <w:rsid w:val="69CC2BFF"/>
    <w:rsid w:val="69FD55B8"/>
    <w:rsid w:val="6A0B1C62"/>
    <w:rsid w:val="6A2406C8"/>
    <w:rsid w:val="6ADE0BD1"/>
    <w:rsid w:val="6AE96859"/>
    <w:rsid w:val="6B147746"/>
    <w:rsid w:val="6B1F4979"/>
    <w:rsid w:val="6B24787C"/>
    <w:rsid w:val="6B573233"/>
    <w:rsid w:val="6B5B6274"/>
    <w:rsid w:val="6B935D53"/>
    <w:rsid w:val="6C172D01"/>
    <w:rsid w:val="6C196F71"/>
    <w:rsid w:val="6C226FCB"/>
    <w:rsid w:val="6C31226F"/>
    <w:rsid w:val="6C552F0B"/>
    <w:rsid w:val="6C8C67B7"/>
    <w:rsid w:val="6C8E2897"/>
    <w:rsid w:val="6C9D744C"/>
    <w:rsid w:val="6D167928"/>
    <w:rsid w:val="6D26299B"/>
    <w:rsid w:val="6D4511BA"/>
    <w:rsid w:val="6D4772EC"/>
    <w:rsid w:val="6D5D358C"/>
    <w:rsid w:val="6D5F1819"/>
    <w:rsid w:val="6D9078AF"/>
    <w:rsid w:val="6DAA3FEF"/>
    <w:rsid w:val="6DC0172B"/>
    <w:rsid w:val="6DCB690C"/>
    <w:rsid w:val="6DD41A5B"/>
    <w:rsid w:val="6DEA3EA0"/>
    <w:rsid w:val="6DF434EA"/>
    <w:rsid w:val="6DF43C2E"/>
    <w:rsid w:val="6DF51CA3"/>
    <w:rsid w:val="6E8335BD"/>
    <w:rsid w:val="6E8E12EF"/>
    <w:rsid w:val="6E972936"/>
    <w:rsid w:val="6E9A7FAF"/>
    <w:rsid w:val="6ED446C5"/>
    <w:rsid w:val="6F2A7D94"/>
    <w:rsid w:val="6F8331F1"/>
    <w:rsid w:val="6F885A6B"/>
    <w:rsid w:val="6FAE1A09"/>
    <w:rsid w:val="6FD75BF8"/>
    <w:rsid w:val="6FFE6FA9"/>
    <w:rsid w:val="707723D0"/>
    <w:rsid w:val="70B463CF"/>
    <w:rsid w:val="70F5661B"/>
    <w:rsid w:val="71360107"/>
    <w:rsid w:val="713B688E"/>
    <w:rsid w:val="71D43752"/>
    <w:rsid w:val="71F1796A"/>
    <w:rsid w:val="720415D3"/>
    <w:rsid w:val="72154626"/>
    <w:rsid w:val="72262B5D"/>
    <w:rsid w:val="72283FF7"/>
    <w:rsid w:val="722E7212"/>
    <w:rsid w:val="723A0474"/>
    <w:rsid w:val="725923E4"/>
    <w:rsid w:val="72640322"/>
    <w:rsid w:val="72864BF7"/>
    <w:rsid w:val="729023FC"/>
    <w:rsid w:val="72A23199"/>
    <w:rsid w:val="733F26AF"/>
    <w:rsid w:val="73634D2E"/>
    <w:rsid w:val="738D348E"/>
    <w:rsid w:val="73C0646E"/>
    <w:rsid w:val="73FA770C"/>
    <w:rsid w:val="742222F5"/>
    <w:rsid w:val="742C4E6F"/>
    <w:rsid w:val="74476126"/>
    <w:rsid w:val="74630832"/>
    <w:rsid w:val="74706664"/>
    <w:rsid w:val="747F3682"/>
    <w:rsid w:val="749C4185"/>
    <w:rsid w:val="74B17A6A"/>
    <w:rsid w:val="75067759"/>
    <w:rsid w:val="752E6DCD"/>
    <w:rsid w:val="7551380D"/>
    <w:rsid w:val="75600BE5"/>
    <w:rsid w:val="7564475C"/>
    <w:rsid w:val="7583797F"/>
    <w:rsid w:val="759C6025"/>
    <w:rsid w:val="75A47E64"/>
    <w:rsid w:val="75D20F1D"/>
    <w:rsid w:val="75DA2C18"/>
    <w:rsid w:val="75F54412"/>
    <w:rsid w:val="761D08E0"/>
    <w:rsid w:val="765D347C"/>
    <w:rsid w:val="76826699"/>
    <w:rsid w:val="76A70579"/>
    <w:rsid w:val="76C87133"/>
    <w:rsid w:val="76CD08D5"/>
    <w:rsid w:val="76DB4B92"/>
    <w:rsid w:val="76E7660B"/>
    <w:rsid w:val="77052AA4"/>
    <w:rsid w:val="77136511"/>
    <w:rsid w:val="77164FD3"/>
    <w:rsid w:val="77340A39"/>
    <w:rsid w:val="77351FD0"/>
    <w:rsid w:val="77472422"/>
    <w:rsid w:val="776035B6"/>
    <w:rsid w:val="777F31F2"/>
    <w:rsid w:val="77D1700D"/>
    <w:rsid w:val="77DC4DFE"/>
    <w:rsid w:val="77EC04CC"/>
    <w:rsid w:val="78775729"/>
    <w:rsid w:val="78A42DB0"/>
    <w:rsid w:val="78A656AB"/>
    <w:rsid w:val="78B2245C"/>
    <w:rsid w:val="78E172CC"/>
    <w:rsid w:val="78EA1D1F"/>
    <w:rsid w:val="7904172F"/>
    <w:rsid w:val="790F7E27"/>
    <w:rsid w:val="79261D71"/>
    <w:rsid w:val="792A231A"/>
    <w:rsid w:val="79316829"/>
    <w:rsid w:val="7956383F"/>
    <w:rsid w:val="797E66A9"/>
    <w:rsid w:val="798518A4"/>
    <w:rsid w:val="79A97383"/>
    <w:rsid w:val="79E27E8B"/>
    <w:rsid w:val="79F850CE"/>
    <w:rsid w:val="79FD443C"/>
    <w:rsid w:val="7A1D1975"/>
    <w:rsid w:val="7A1D4AFC"/>
    <w:rsid w:val="7A322ADF"/>
    <w:rsid w:val="7A3E5150"/>
    <w:rsid w:val="7A4670D6"/>
    <w:rsid w:val="7A534B63"/>
    <w:rsid w:val="7A615382"/>
    <w:rsid w:val="7A67303B"/>
    <w:rsid w:val="7AAB1D04"/>
    <w:rsid w:val="7AB3673E"/>
    <w:rsid w:val="7ABA4368"/>
    <w:rsid w:val="7AD05746"/>
    <w:rsid w:val="7B257FFD"/>
    <w:rsid w:val="7B343476"/>
    <w:rsid w:val="7B5A2978"/>
    <w:rsid w:val="7B5A7E4C"/>
    <w:rsid w:val="7B667AF9"/>
    <w:rsid w:val="7B7468F8"/>
    <w:rsid w:val="7B754DD7"/>
    <w:rsid w:val="7BEE0103"/>
    <w:rsid w:val="7C0A0FE4"/>
    <w:rsid w:val="7C254906"/>
    <w:rsid w:val="7C31692C"/>
    <w:rsid w:val="7C590818"/>
    <w:rsid w:val="7C7C10F6"/>
    <w:rsid w:val="7C853BEA"/>
    <w:rsid w:val="7C881368"/>
    <w:rsid w:val="7CE27788"/>
    <w:rsid w:val="7D0C32F1"/>
    <w:rsid w:val="7D0F408D"/>
    <w:rsid w:val="7D12583B"/>
    <w:rsid w:val="7D1868D9"/>
    <w:rsid w:val="7D491C6C"/>
    <w:rsid w:val="7D5429C0"/>
    <w:rsid w:val="7D6E6D43"/>
    <w:rsid w:val="7DB4654D"/>
    <w:rsid w:val="7DB57A34"/>
    <w:rsid w:val="7DE60973"/>
    <w:rsid w:val="7DEF0916"/>
    <w:rsid w:val="7E1E5218"/>
    <w:rsid w:val="7E2B263C"/>
    <w:rsid w:val="7E9A4E1F"/>
    <w:rsid w:val="7EA06A5B"/>
    <w:rsid w:val="7EA64701"/>
    <w:rsid w:val="7EA7723A"/>
    <w:rsid w:val="7EC34424"/>
    <w:rsid w:val="7EF56FBB"/>
    <w:rsid w:val="7F0768EB"/>
    <w:rsid w:val="7F143BEC"/>
    <w:rsid w:val="7F715AF2"/>
    <w:rsid w:val="7F886E69"/>
    <w:rsid w:val="9A762B9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6">
    <w:name w:val="*正文"/>
    <w:basedOn w:val="1"/>
    <w:link w:val="83"/>
    <w:qFormat/>
    <w:uiPriority w:val="0"/>
    <w:pPr>
      <w:snapToGrid w:val="0"/>
      <w:spacing w:line="360" w:lineRule="auto"/>
      <w:ind w:firstLine="482"/>
      <w:jc w:val="left"/>
    </w:pPr>
    <w:rPr>
      <w:rFonts w:ascii="宋体" w:hAnsi="宋体"/>
      <w:kern w:val="0"/>
      <w:sz w:val="24"/>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toa heading"/>
    <w:basedOn w:val="1"/>
    <w:next w:val="1"/>
    <w:semiHidden/>
    <w:qFormat/>
    <w:uiPriority w:val="0"/>
    <w:pPr>
      <w:spacing w:before="120"/>
    </w:pPr>
    <w:rPr>
      <w:rFonts w:ascii="Arial" w:hAnsi="Arial"/>
      <w:b/>
      <w:bCs/>
    </w:r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w:basedOn w:val="25"/>
    <w:next w:val="1"/>
    <w:link w:val="319"/>
    <w:qFormat/>
    <w:uiPriority w:val="0"/>
    <w:pPr>
      <w:ind w:firstLine="420"/>
    </w:pPr>
    <w:rPr>
      <w:rFonts w:hAnsi="Calibri" w:cs="Times New Roman"/>
      <w:snapToGrid/>
      <w:szCs w:val="20"/>
    </w:rPr>
  </w:style>
  <w:style w:type="paragraph" w:styleId="63">
    <w:name w:val="Body Text First Indent 2"/>
    <w:basedOn w:val="26"/>
    <w:link w:val="119"/>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6"/>
    <w:qFormat/>
    <w:locked/>
    <w:uiPriority w:val="0"/>
    <w:rPr>
      <w:rFonts w:ascii="宋体" w:hAnsi="宋体"/>
      <w:sz w:val="24"/>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3"/>
    <w:qFormat/>
    <w:uiPriority w:val="0"/>
    <w:rPr>
      <w:rFonts w:ascii="宋体" w:hAnsi="宋体"/>
      <w:kern w:val="2"/>
      <w:sz w:val="21"/>
      <w:szCs w:val="24"/>
    </w:rPr>
  </w:style>
  <w:style w:type="character" w:customStyle="1" w:styleId="120">
    <w:name w:val="font11"/>
    <w:basedOn w:val="7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1"/>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1"/>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basedOn w:val="7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7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1"/>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1"/>
    <w:qFormat/>
    <w:uiPriority w:val="0"/>
    <w:rPr>
      <w:rFonts w:ascii="Arial" w:hAnsi="Arial" w:eastAsia="黑体" w:cs="Arial"/>
      <w:snapToGrid w:val="0"/>
      <w:kern w:val="0"/>
      <w:szCs w:val="21"/>
    </w:rPr>
  </w:style>
  <w:style w:type="character" w:customStyle="1" w:styleId="430">
    <w:name w:val="hui"/>
    <w:basedOn w:val="71"/>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qFormat/>
    <w:uiPriority w:val="0"/>
    <w:rPr>
      <w:rFonts w:ascii="宋体" w:hAnsi="宋体" w:eastAsia="宋体" w:cs="Times New Roman"/>
      <w:sz w:val="24"/>
      <w:szCs w:val="22"/>
      <w:lang w:val="zh-CN"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A_正文_注释"/>
    <w:basedOn w:val="1"/>
    <w:qFormat/>
    <w:uiPriority w:val="0"/>
    <w:pPr>
      <w:tabs>
        <w:tab w:val="left" w:pos="1547"/>
      </w:tabs>
      <w:ind w:firstLine="600"/>
    </w:pPr>
    <w:rPr>
      <w:rFonts w:ascii="Times New Roman" w:hAnsi="Times New Roman" w:eastAsia="仿宋"/>
      <w:color w:val="0070C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3509</Words>
  <Characters>3958</Characters>
  <Lines>460</Lines>
  <Paragraphs>129</Paragraphs>
  <TotalTime>115</TotalTime>
  <ScaleCrop>false</ScaleCrop>
  <LinksUpToDate>false</LinksUpToDate>
  <CharactersWithSpaces>4315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2023-02-09T14:36:00Z</dcterms:created>
  <dc:creator>玥</dc:creator>
  <cp:lastModifiedBy>邵一成</cp:lastModifiedBy>
  <cp:lastPrinted>2024-10-31T09:58:00Z</cp:lastPrinted>
  <dcterms:modified xsi:type="dcterms:W3CDTF">2025-01-26T06:48:46Z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E5049F61C7A1494898D5CB48A4305494_13</vt:lpwstr>
  </property>
  <property fmtid="{D5CDD505-2E9C-101B-9397-08002B2CF9AE}" pid="5" name="KSOTemplateDocerSaveRecord">
    <vt:lpwstr>eyJoZGlkIjoiZTViOTNlYmFjNWEwY2VhYzNhNGMzYmMyYWI1YTRkOTciLCJ1c2VySWQiOiIxNTUxMTMwNTI2In0=</vt:lpwstr>
  </property>
</Properties>
</file>