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BB5DC">
      <w:pPr>
        <w:spacing w:line="360" w:lineRule="auto"/>
        <w:jc w:val="center"/>
        <w:rPr>
          <w:rFonts w:hint="eastAsia" w:ascii="宋体" w:hAnsi="宋体" w:eastAsia="宋体" w:cs="宋体"/>
          <w:b/>
          <w:sz w:val="24"/>
        </w:rPr>
      </w:pPr>
    </w:p>
    <w:p w14:paraId="3E147DA0">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杭州市十三中教育集团(总校)</w:t>
      </w:r>
      <w:r>
        <w:rPr>
          <w:rFonts w:hint="eastAsia" w:ascii="宋体" w:hAnsi="宋体" w:cs="宋体"/>
          <w:b/>
          <w:bCs/>
          <w:sz w:val="48"/>
          <w:szCs w:val="48"/>
          <w:lang w:val="en-US" w:eastAsia="zh-CN"/>
        </w:rPr>
        <w:t>2025-2026年</w:t>
      </w:r>
      <w:r>
        <w:rPr>
          <w:rFonts w:hint="eastAsia" w:ascii="宋体" w:hAnsi="宋体" w:cs="宋体"/>
          <w:b/>
          <w:bCs/>
          <w:sz w:val="48"/>
          <w:szCs w:val="48"/>
          <w:lang w:eastAsia="zh-CN"/>
        </w:rPr>
        <w:t>保安服务采购项目</w:t>
      </w:r>
    </w:p>
    <w:p w14:paraId="74491480">
      <w:pPr>
        <w:pStyle w:val="4"/>
        <w:rPr>
          <w:rFonts w:hint="eastAsia" w:ascii="宋体" w:hAnsi="宋体" w:eastAsia="宋体" w:cs="宋体"/>
        </w:rPr>
      </w:pPr>
    </w:p>
    <w:p w14:paraId="7C2B356D">
      <w:pPr>
        <w:rPr>
          <w:rFonts w:hint="eastAsia" w:ascii="宋体" w:hAnsi="宋体" w:eastAsia="宋体" w:cs="宋体"/>
        </w:rPr>
      </w:pPr>
    </w:p>
    <w:p w14:paraId="667C9149">
      <w:pPr>
        <w:pStyle w:val="60"/>
        <w:rPr>
          <w:rFonts w:hint="eastAsia" w:ascii="宋体" w:hAnsi="宋体" w:eastAsia="宋体" w:cs="宋体"/>
        </w:rPr>
      </w:pPr>
    </w:p>
    <w:p w14:paraId="1AAB5E19">
      <w:pPr>
        <w:pStyle w:val="50"/>
        <w:rPr>
          <w:rFonts w:hint="eastAsia"/>
        </w:rPr>
      </w:pPr>
    </w:p>
    <w:p w14:paraId="4D609B02">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65BDF295">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69866AD">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XHZFCG-2025-G-04</w:t>
      </w:r>
    </w:p>
    <w:p w14:paraId="1A27124D">
      <w:pPr>
        <w:adjustRightInd/>
        <w:spacing w:line="360" w:lineRule="auto"/>
        <w:rPr>
          <w:rFonts w:hint="eastAsia" w:ascii="宋体" w:hAnsi="宋体" w:eastAsia="宋体" w:cs="宋体"/>
          <w:sz w:val="28"/>
          <w:szCs w:val="20"/>
        </w:rPr>
      </w:pPr>
    </w:p>
    <w:p w14:paraId="6F0094C2">
      <w:pPr>
        <w:pStyle w:val="60"/>
        <w:rPr>
          <w:rFonts w:hint="eastAsia" w:ascii="宋体" w:hAnsi="宋体" w:eastAsia="宋体" w:cs="宋体"/>
          <w:sz w:val="28"/>
          <w:szCs w:val="20"/>
        </w:rPr>
      </w:pPr>
    </w:p>
    <w:p w14:paraId="1C546A30">
      <w:pPr>
        <w:pStyle w:val="50"/>
        <w:rPr>
          <w:rFonts w:hint="eastAsia" w:ascii="宋体" w:hAnsi="宋体" w:eastAsia="宋体" w:cs="宋体"/>
          <w:sz w:val="28"/>
          <w:szCs w:val="20"/>
        </w:rPr>
      </w:pPr>
    </w:p>
    <w:p w14:paraId="4D9B6997">
      <w:pPr>
        <w:rPr>
          <w:rFonts w:hint="eastAsia" w:ascii="宋体" w:hAnsi="宋体" w:eastAsia="宋体" w:cs="宋体"/>
          <w:sz w:val="28"/>
          <w:szCs w:val="20"/>
        </w:rPr>
      </w:pPr>
    </w:p>
    <w:p w14:paraId="25A4C28E">
      <w:pPr>
        <w:pStyle w:val="60"/>
        <w:rPr>
          <w:rFonts w:hint="eastAsia"/>
        </w:rPr>
      </w:pPr>
    </w:p>
    <w:p w14:paraId="2C6A7FF4">
      <w:pPr>
        <w:rPr>
          <w:rFonts w:hint="eastAsia" w:ascii="宋体" w:hAnsi="宋体" w:eastAsia="宋体" w:cs="宋体"/>
          <w:sz w:val="28"/>
          <w:szCs w:val="20"/>
        </w:rPr>
      </w:pPr>
    </w:p>
    <w:p w14:paraId="3CAE1772">
      <w:pPr>
        <w:pStyle w:val="60"/>
        <w:rPr>
          <w:rFonts w:hint="eastAsia" w:ascii="宋体" w:hAnsi="宋体" w:eastAsia="宋体" w:cs="宋体"/>
          <w:sz w:val="28"/>
          <w:szCs w:val="20"/>
        </w:rPr>
      </w:pPr>
    </w:p>
    <w:p w14:paraId="69D78F4E">
      <w:pPr>
        <w:pStyle w:val="50"/>
        <w:rPr>
          <w:rFonts w:hint="eastAsia" w:ascii="宋体" w:hAnsi="宋体" w:eastAsia="宋体" w:cs="宋体"/>
          <w:sz w:val="28"/>
          <w:szCs w:val="20"/>
        </w:rPr>
      </w:pPr>
    </w:p>
    <w:p w14:paraId="2F530DF8">
      <w:pPr>
        <w:rPr>
          <w:rFonts w:hint="eastAsia"/>
        </w:rPr>
      </w:pPr>
    </w:p>
    <w:p w14:paraId="2626E59A">
      <w:pPr>
        <w:spacing w:line="360" w:lineRule="auto"/>
        <w:jc w:val="center"/>
        <w:rPr>
          <w:rFonts w:hint="eastAsia" w:ascii="宋体" w:hAnsi="宋体" w:eastAsia="宋体" w:cs="宋体"/>
          <w:sz w:val="32"/>
          <w:szCs w:val="32"/>
        </w:rPr>
      </w:pPr>
      <w:r>
        <w:rPr>
          <w:rFonts w:hint="eastAsia" w:ascii="宋体" w:hAnsi="宋体" w:eastAsia="宋体" w:cs="宋体"/>
          <w:b/>
          <w:sz w:val="44"/>
          <w:szCs w:val="44"/>
        </w:rPr>
        <w:t xml:space="preserve"> </w:t>
      </w:r>
    </w:p>
    <w:p w14:paraId="5F9F86A6">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杭州市十三中教育集团（总校）</w:t>
      </w:r>
    </w:p>
    <w:p w14:paraId="61A8E4DA">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杭州市西湖区政府采购中心</w:t>
      </w:r>
    </w:p>
    <w:p w14:paraId="356590A0">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cs="宋体"/>
          <w:bCs/>
          <w:sz w:val="32"/>
          <w:szCs w:val="32"/>
          <w:lang w:eastAsia="zh-CN"/>
        </w:rPr>
        <w:t>五</w:t>
      </w:r>
      <w:r>
        <w:rPr>
          <w:rFonts w:hint="eastAsia" w:ascii="宋体" w:hAnsi="宋体" w:eastAsia="宋体" w:cs="宋体"/>
          <w:bCs/>
          <w:sz w:val="32"/>
          <w:szCs w:val="32"/>
        </w:rPr>
        <w:t>年</w:t>
      </w:r>
      <w:r>
        <w:rPr>
          <w:rFonts w:hint="eastAsia" w:ascii="宋体" w:hAnsi="宋体" w:cs="宋体"/>
          <w:bCs/>
          <w:sz w:val="32"/>
          <w:szCs w:val="32"/>
          <w:lang w:eastAsia="zh-CN"/>
        </w:rPr>
        <w:t>一</w:t>
      </w:r>
      <w:r>
        <w:rPr>
          <w:rFonts w:hint="eastAsia" w:ascii="宋体" w:hAnsi="宋体" w:eastAsia="宋体" w:cs="宋体"/>
          <w:bCs/>
          <w:sz w:val="32"/>
          <w:szCs w:val="32"/>
        </w:rPr>
        <w:t>月</w:t>
      </w:r>
      <w:r>
        <w:rPr>
          <w:rFonts w:hint="eastAsia" w:ascii="宋体" w:hAnsi="宋体" w:cs="宋体"/>
          <w:bCs/>
          <w:sz w:val="32"/>
          <w:szCs w:val="32"/>
          <w:lang w:val="en-US" w:eastAsia="zh-CN"/>
        </w:rPr>
        <w:t>二十四</w:t>
      </w:r>
      <w:r>
        <w:rPr>
          <w:rFonts w:hint="eastAsia" w:ascii="宋体" w:hAnsi="宋体" w:eastAsia="宋体" w:cs="宋体"/>
          <w:bCs/>
          <w:sz w:val="32"/>
          <w:szCs w:val="32"/>
        </w:rPr>
        <w:t>日</w:t>
      </w:r>
    </w:p>
    <w:p w14:paraId="1B87AF28">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5BEEDEB9">
      <w:pPr>
        <w:pStyle w:val="636"/>
        <w:rPr>
          <w:rFonts w:hint="eastAsia" w:ascii="宋体" w:hAnsi="宋体" w:eastAsia="宋体" w:cs="宋体"/>
        </w:rPr>
      </w:pPr>
    </w:p>
    <w:p w14:paraId="4A231533">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4D1950EC">
      <w:pPr>
        <w:spacing w:line="360" w:lineRule="auto"/>
        <w:rPr>
          <w:rFonts w:hint="eastAsia" w:ascii="宋体" w:hAnsi="宋体" w:eastAsia="宋体" w:cs="宋体"/>
          <w:sz w:val="32"/>
          <w:szCs w:val="32"/>
        </w:rPr>
      </w:pPr>
    </w:p>
    <w:p w14:paraId="325A38CB">
      <w:pPr>
        <w:spacing w:line="360" w:lineRule="auto"/>
        <w:rPr>
          <w:rFonts w:hint="eastAsia" w:ascii="宋体" w:hAnsi="宋体" w:eastAsia="宋体" w:cs="宋体"/>
          <w:sz w:val="32"/>
          <w:szCs w:val="32"/>
        </w:rPr>
      </w:pPr>
    </w:p>
    <w:p w14:paraId="2A1025D7">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78BC4FA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669BAF5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57B939D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54AF1C3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7010906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078F7214">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79879B2E">
      <w:pPr>
        <w:spacing w:line="360" w:lineRule="auto"/>
        <w:ind w:firstLine="549" w:firstLineChars="229"/>
        <w:rPr>
          <w:rFonts w:hint="eastAsia" w:ascii="宋体" w:hAnsi="宋体" w:eastAsia="宋体" w:cs="宋体"/>
          <w:sz w:val="24"/>
        </w:rPr>
      </w:pPr>
    </w:p>
    <w:p w14:paraId="68D351EB">
      <w:pPr>
        <w:spacing w:line="360" w:lineRule="auto"/>
        <w:ind w:firstLine="549" w:firstLineChars="229"/>
        <w:rPr>
          <w:rFonts w:hint="eastAsia" w:ascii="宋体" w:hAnsi="宋体" w:eastAsia="宋体" w:cs="宋体"/>
          <w:sz w:val="24"/>
        </w:rPr>
      </w:pPr>
    </w:p>
    <w:p w14:paraId="0381C696">
      <w:pPr>
        <w:spacing w:line="360" w:lineRule="auto"/>
        <w:ind w:firstLine="549" w:firstLineChars="229"/>
        <w:rPr>
          <w:rFonts w:hint="eastAsia" w:ascii="宋体" w:hAnsi="宋体" w:eastAsia="宋体" w:cs="宋体"/>
          <w:sz w:val="24"/>
        </w:rPr>
      </w:pPr>
    </w:p>
    <w:p w14:paraId="00465767">
      <w:pPr>
        <w:spacing w:line="360" w:lineRule="auto"/>
        <w:ind w:firstLine="549" w:firstLineChars="229"/>
        <w:rPr>
          <w:rFonts w:hint="eastAsia" w:ascii="宋体" w:hAnsi="宋体" w:eastAsia="宋体" w:cs="宋体"/>
          <w:sz w:val="24"/>
        </w:rPr>
      </w:pPr>
    </w:p>
    <w:p w14:paraId="3D0CB6F7">
      <w:pPr>
        <w:spacing w:line="360" w:lineRule="auto"/>
        <w:ind w:firstLine="549" w:firstLineChars="229"/>
        <w:rPr>
          <w:rFonts w:hint="eastAsia" w:ascii="宋体" w:hAnsi="宋体" w:eastAsia="宋体" w:cs="宋体"/>
          <w:sz w:val="24"/>
        </w:rPr>
      </w:pPr>
    </w:p>
    <w:p w14:paraId="51B618D2">
      <w:pPr>
        <w:spacing w:line="360" w:lineRule="auto"/>
        <w:ind w:firstLine="549" w:firstLineChars="229"/>
        <w:rPr>
          <w:rFonts w:hint="eastAsia" w:ascii="宋体" w:hAnsi="宋体" w:eastAsia="宋体" w:cs="宋体"/>
          <w:sz w:val="24"/>
        </w:rPr>
      </w:pPr>
    </w:p>
    <w:p w14:paraId="730742B9">
      <w:pPr>
        <w:spacing w:line="360" w:lineRule="auto"/>
        <w:ind w:firstLine="549" w:firstLineChars="229"/>
        <w:rPr>
          <w:rFonts w:hint="eastAsia" w:ascii="宋体" w:hAnsi="宋体" w:eastAsia="宋体" w:cs="宋体"/>
          <w:sz w:val="24"/>
        </w:rPr>
      </w:pPr>
    </w:p>
    <w:p w14:paraId="5D5FE454">
      <w:pPr>
        <w:spacing w:line="360" w:lineRule="auto"/>
        <w:ind w:firstLine="549" w:firstLineChars="229"/>
        <w:rPr>
          <w:rFonts w:hint="eastAsia" w:ascii="宋体" w:hAnsi="宋体" w:eastAsia="宋体" w:cs="宋体"/>
          <w:sz w:val="24"/>
        </w:rPr>
      </w:pPr>
    </w:p>
    <w:p w14:paraId="0F24D697">
      <w:pPr>
        <w:spacing w:line="360" w:lineRule="auto"/>
        <w:ind w:firstLine="549" w:firstLineChars="229"/>
        <w:rPr>
          <w:rFonts w:hint="eastAsia" w:ascii="宋体" w:hAnsi="宋体" w:eastAsia="宋体" w:cs="宋体"/>
          <w:sz w:val="24"/>
        </w:rPr>
      </w:pPr>
    </w:p>
    <w:p w14:paraId="0665EEC6">
      <w:pPr>
        <w:spacing w:line="360" w:lineRule="auto"/>
        <w:ind w:firstLine="549" w:firstLineChars="229"/>
        <w:rPr>
          <w:rFonts w:hint="eastAsia" w:ascii="宋体" w:hAnsi="宋体" w:eastAsia="宋体" w:cs="宋体"/>
          <w:sz w:val="24"/>
        </w:rPr>
      </w:pPr>
    </w:p>
    <w:p w14:paraId="2003E78F">
      <w:pPr>
        <w:spacing w:line="360" w:lineRule="auto"/>
        <w:ind w:firstLine="549" w:firstLineChars="229"/>
        <w:rPr>
          <w:rFonts w:hint="eastAsia" w:ascii="宋体" w:hAnsi="宋体" w:eastAsia="宋体" w:cs="宋体"/>
          <w:sz w:val="24"/>
        </w:rPr>
      </w:pPr>
    </w:p>
    <w:p w14:paraId="4DA3D7C1">
      <w:pPr>
        <w:spacing w:line="360" w:lineRule="auto"/>
        <w:ind w:firstLine="549" w:firstLineChars="229"/>
        <w:rPr>
          <w:rFonts w:hint="eastAsia" w:ascii="宋体" w:hAnsi="宋体" w:eastAsia="宋体" w:cs="宋体"/>
          <w:sz w:val="24"/>
        </w:rPr>
      </w:pPr>
    </w:p>
    <w:p w14:paraId="49695E29">
      <w:pPr>
        <w:spacing w:line="360" w:lineRule="auto"/>
        <w:rPr>
          <w:rFonts w:hint="eastAsia" w:ascii="宋体" w:hAnsi="宋体" w:eastAsia="宋体" w:cs="宋体"/>
          <w:sz w:val="24"/>
        </w:rPr>
      </w:pPr>
    </w:p>
    <w:p w14:paraId="4813591E">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064D164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3F8A085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杭州市十三中教育集团(总校)2025-2026年保安服务采购项目</w:t>
      </w:r>
      <w:r>
        <w:rPr>
          <w:rFonts w:hint="eastAsia" w:ascii="宋体" w:hAnsi="宋体" w:eastAsia="宋体" w:cs="宋体"/>
          <w:sz w:val="24"/>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"https://www.zcygov.cn/）获取（下载）招标文件，并于2024年%20月%20日09点30分00秒" </w:instrText>
      </w:r>
      <w:r>
        <w:rPr>
          <w:rFonts w:hint="eastAsia" w:ascii="宋体" w:hAnsi="宋体" w:eastAsia="宋体" w:cs="宋体"/>
        </w:rP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2</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14</w:t>
      </w:r>
      <w:r>
        <w:rPr>
          <w:rStyle w:val="76"/>
          <w:rFonts w:hint="eastAsia" w:ascii="宋体" w:hAnsi="宋体" w:eastAsia="宋体" w:cs="宋体"/>
          <w:snapToGrid/>
          <w:kern w:val="2"/>
          <w:sz w:val="24"/>
          <w:szCs w:val="24"/>
        </w:rPr>
        <w:t>日09点30分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2437B94E">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71D2E3F7">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XHZFCG-2025-G-04</w:t>
      </w:r>
    </w:p>
    <w:p w14:paraId="78A6DAAC">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杭州市十三中教育集团(总校)2025-2026年保安服务采购项目</w:t>
      </w:r>
    </w:p>
    <w:p w14:paraId="4B295651">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w:t>
      </w:r>
      <w:r>
        <w:rPr>
          <w:rFonts w:hint="eastAsia" w:ascii="宋体" w:hAnsi="宋体" w:cs="宋体"/>
          <w:sz w:val="24"/>
          <w:lang w:val="en-US" w:eastAsia="zh-CN"/>
        </w:rPr>
        <w:t>700000</w:t>
      </w:r>
      <w:r>
        <w:rPr>
          <w:rFonts w:hint="eastAsia" w:ascii="宋体" w:hAnsi="宋体" w:eastAsia="宋体" w:cs="宋体"/>
          <w:sz w:val="24"/>
        </w:rPr>
        <w:t>.00</w:t>
      </w:r>
      <w:r>
        <w:rPr>
          <w:rFonts w:hint="eastAsia" w:ascii="宋体" w:hAnsi="宋体" w:eastAsia="宋体" w:cs="宋体"/>
          <w:b/>
          <w:sz w:val="24"/>
        </w:rPr>
        <w:t>元/年</w:t>
      </w:r>
    </w:p>
    <w:p w14:paraId="63071EE4">
      <w:pPr>
        <w:spacing w:line="360" w:lineRule="auto"/>
        <w:ind w:firstLine="480"/>
        <w:rPr>
          <w:rFonts w:hint="eastAsia" w:ascii="宋体" w:hAnsi="宋体" w:eastAsia="宋体" w:cs="宋体"/>
          <w:sz w:val="24"/>
        </w:rPr>
      </w:pPr>
      <w:r>
        <w:rPr>
          <w:rFonts w:hint="eastAsia" w:ascii="宋体" w:hAnsi="宋体" w:eastAsia="宋体" w:cs="宋体"/>
          <w:b/>
          <w:sz w:val="24"/>
        </w:rPr>
        <w:t>最高限价：</w:t>
      </w:r>
      <w:r>
        <w:rPr>
          <w:rFonts w:hint="eastAsia" w:ascii="宋体" w:hAnsi="宋体" w:cs="宋体"/>
          <w:sz w:val="24"/>
          <w:lang w:val="en-US" w:eastAsia="zh-CN"/>
        </w:rPr>
        <w:t>700000</w:t>
      </w:r>
      <w:r>
        <w:rPr>
          <w:rFonts w:hint="eastAsia" w:ascii="宋体" w:hAnsi="宋体" w:eastAsia="宋体" w:cs="宋体"/>
          <w:sz w:val="24"/>
        </w:rPr>
        <w:t>.00</w:t>
      </w:r>
      <w:r>
        <w:rPr>
          <w:rFonts w:hint="eastAsia" w:ascii="宋体" w:hAnsi="宋体" w:eastAsia="宋体" w:cs="宋体"/>
          <w:b/>
          <w:sz w:val="24"/>
        </w:rPr>
        <w:t>元/年</w:t>
      </w:r>
    </w:p>
    <w:p w14:paraId="45047A84">
      <w:pPr>
        <w:pStyle w:val="16"/>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hAnsi="宋体" w:cs="宋体"/>
          <w:bCs/>
          <w:snapToGrid/>
          <w:color w:val="auto"/>
          <w:kern w:val="2"/>
          <w:sz w:val="24"/>
          <w:szCs w:val="24"/>
          <w:lang w:eastAsia="zh-CN"/>
        </w:rPr>
        <w:t>杭州市十三中教育集团(总校)2025-2026年保安服务采购项目</w:t>
      </w:r>
      <w:r>
        <w:rPr>
          <w:rFonts w:hint="eastAsia" w:ascii="宋体" w:hAnsi="宋体" w:eastAsia="宋体" w:cs="宋体"/>
          <w:bCs/>
          <w:snapToGrid/>
          <w:color w:val="auto"/>
          <w:kern w:val="2"/>
          <w:sz w:val="24"/>
          <w:szCs w:val="24"/>
        </w:rPr>
        <w:t>。</w:t>
      </w:r>
      <w:r>
        <w:rPr>
          <w:rFonts w:hint="eastAsia" w:ascii="宋体" w:hAnsi="宋体" w:eastAsia="宋体" w:cs="宋体"/>
          <w:bCs/>
          <w:snapToGrid/>
          <w:color w:val="auto"/>
          <w:kern w:val="2"/>
          <w:sz w:val="24"/>
          <w:szCs w:val="24"/>
          <w:lang w:eastAsia="zh-CN"/>
        </w:rPr>
        <w:t>位于</w:t>
      </w:r>
      <w:r>
        <w:rPr>
          <w:rFonts w:hAnsi="宋体"/>
          <w:sz w:val="24"/>
        </w:rPr>
        <w:t>浙江省杭州市西湖区教工路</w:t>
      </w:r>
      <w:r>
        <w:rPr>
          <w:sz w:val="24"/>
        </w:rPr>
        <w:t>155</w:t>
      </w:r>
      <w:r>
        <w:rPr>
          <w:rFonts w:hAnsi="宋体"/>
          <w:sz w:val="24"/>
        </w:rPr>
        <w:t>号</w:t>
      </w:r>
      <w:r>
        <w:rPr>
          <w:rFonts w:hint="eastAsia" w:ascii="宋体" w:hAnsi="宋体" w:eastAsia="宋体" w:cs="宋体"/>
          <w:sz w:val="24"/>
          <w:lang w:eastAsia="zh-CN"/>
        </w:rPr>
        <w:t>。依据学校安防工作要求和标准，为学校采购保安服务，按当前服务面积、学生数测算，需12名专职保安员。服务内容包括并不限于日常固定岗执勤、巡查、安全防范、消防等。</w:t>
      </w:r>
      <w:r>
        <w:rPr>
          <w:rFonts w:hint="eastAsia" w:ascii="宋体" w:hAnsi="宋体" w:eastAsia="宋体" w:cs="宋体"/>
          <w:bCs/>
          <w:snapToGrid/>
          <w:color w:val="auto"/>
          <w:kern w:val="2"/>
          <w:sz w:val="24"/>
          <w:szCs w:val="24"/>
        </w:rPr>
        <w:t>具体内容和相关要求详见招标文件第三部分采购需求。供应商可点击本公告下方“浏览采购文件”查看采购需求。</w:t>
      </w:r>
    </w:p>
    <w:p w14:paraId="4A21734F">
      <w:pPr>
        <w:pStyle w:val="130"/>
        <w:spacing w:before="0"/>
        <w:ind w:firstLine="482"/>
        <w:outlineLvl w:val="2"/>
        <w:rPr>
          <w:rFonts w:hint="eastAsia" w:ascii="宋体" w:hAnsi="宋体" w:cs="宋体"/>
          <w:b/>
          <w:lang w:eastAsia="zh-CN"/>
        </w:rPr>
      </w:pPr>
      <w:r>
        <w:rPr>
          <w:rFonts w:hint="eastAsia" w:ascii="宋体" w:hAnsi="宋体" w:cs="宋体"/>
          <w:b/>
        </w:rPr>
        <w:t>合同履约期限：自合同签订之日起1年。服务期满并通过验收，绩效评价好、服务对象满意度高的，在预算保障的前提下，可以根据原采购合同的约定续签合同，但原合同和续签合同累计履行期限不超过</w:t>
      </w:r>
      <w:r>
        <w:rPr>
          <w:rFonts w:hint="eastAsia" w:ascii="宋体" w:hAnsi="宋体" w:cs="宋体"/>
          <w:b/>
          <w:lang w:val="en-US" w:eastAsia="zh-CN"/>
        </w:rPr>
        <w:t>2</w:t>
      </w:r>
      <w:r>
        <w:rPr>
          <w:rFonts w:hint="eastAsia" w:ascii="宋体" w:hAnsi="宋体" w:cs="宋体"/>
          <w:b/>
        </w:rPr>
        <w:t>年。合同履行期内若供应商达不到考核要求，采购单位可按有关程序终止下一年度的服务合同，另行招标采购</w:t>
      </w:r>
      <w:r>
        <w:rPr>
          <w:rFonts w:hint="eastAsia" w:ascii="宋体" w:hAnsi="宋体" w:cs="宋体"/>
          <w:b/>
          <w:lang w:eastAsia="zh-CN"/>
        </w:rPr>
        <w:t>。</w:t>
      </w:r>
    </w:p>
    <w:p w14:paraId="5CF08ED3">
      <w:pPr>
        <w:pStyle w:val="130"/>
        <w:spacing w:before="0"/>
        <w:ind w:firstLine="482"/>
        <w:outlineLvl w:val="2"/>
        <w:rPr>
          <w:rFonts w:hint="eastAsia" w:ascii="宋体" w:hAnsi="宋体" w:eastAsia="宋体" w:cs="宋体"/>
          <w:lang w:eastAsia="zh-CN"/>
        </w:rPr>
      </w:pPr>
      <w:r>
        <w:rPr>
          <w:rFonts w:hint="eastAsia" w:ascii="宋体" w:hAnsi="宋体" w:cs="宋体"/>
          <w:b/>
          <w:snapToGrid w:val="0"/>
          <w:color w:val="auto"/>
          <w:lang w:val="zh-CN"/>
        </w:rPr>
        <w:t>特别说明：202</w:t>
      </w:r>
      <w:r>
        <w:rPr>
          <w:rFonts w:hint="eastAsia" w:ascii="宋体" w:hAnsi="宋体" w:cs="宋体"/>
          <w:b/>
          <w:snapToGrid w:val="0"/>
          <w:color w:val="auto"/>
        </w:rPr>
        <w:t>5</w:t>
      </w:r>
      <w:r>
        <w:rPr>
          <w:rFonts w:hint="eastAsia" w:ascii="宋体" w:hAnsi="宋体" w:cs="宋体"/>
          <w:b/>
          <w:snapToGrid w:val="0"/>
          <w:color w:val="auto"/>
          <w:lang w:val="zh-CN"/>
        </w:rPr>
        <w:t>年1月1日至合同签订之日前的空档期物业服务由原供应商承担，费用由中标人按本次</w:t>
      </w:r>
      <w:r>
        <w:rPr>
          <w:rFonts w:hint="eastAsia" w:ascii="宋体" w:hAnsi="宋体" w:cs="宋体"/>
          <w:b/>
          <w:snapToGrid w:val="0"/>
          <w:color w:val="000000"/>
          <w:lang w:val="en-US" w:eastAsia="zh-CN"/>
        </w:rPr>
        <w:t>中标</w:t>
      </w:r>
      <w:r>
        <w:rPr>
          <w:rFonts w:hint="eastAsia" w:ascii="宋体" w:hAnsi="宋体" w:cs="宋体"/>
          <w:b/>
          <w:snapToGrid w:val="0"/>
          <w:color w:val="auto"/>
          <w:lang w:val="zh-CN"/>
        </w:rPr>
        <w:t>价单日金额乘以实际服务天数，与原供应商结算</w:t>
      </w:r>
      <w:r>
        <w:rPr>
          <w:rFonts w:hint="eastAsia" w:hAnsi="宋体" w:cs="宋体"/>
          <w:bCs/>
          <w:color w:val="auto"/>
          <w:szCs w:val="24"/>
        </w:rPr>
        <w:t>。</w:t>
      </w:r>
    </w:p>
    <w:p w14:paraId="624B2C98">
      <w:pPr>
        <w:pStyle w:val="16"/>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6999E85F">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40B51CC3">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E9551AA">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 ；</w:t>
      </w:r>
    </w:p>
    <w:p w14:paraId="6950A886">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5CA6C19D">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r>
        <w:rPr>
          <w:rFonts w:hint="eastAsia" w:ascii="宋体" w:hAnsi="宋体" w:eastAsia="宋体" w:cs="宋体"/>
          <w:snapToGrid w:val="0"/>
          <w:kern w:val="28"/>
          <w:sz w:val="24"/>
          <w:szCs w:val="20"/>
        </w:rPr>
        <w:t>（注：不得限制大中型企业与小微企业组成联合体参与投标）</w:t>
      </w:r>
      <w:r>
        <w:rPr>
          <w:rFonts w:hint="eastAsia" w:ascii="宋体" w:hAnsi="宋体" w:eastAsia="宋体" w:cs="宋体"/>
          <w:sz w:val="24"/>
        </w:rPr>
        <w:t>；</w:t>
      </w:r>
    </w:p>
    <w:p w14:paraId="1EB28D8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70C9AA48">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w:t>
      </w:r>
      <w:r>
        <w:rPr>
          <w:rFonts w:hint="eastAsia" w:ascii="宋体" w:hAnsi="宋体" w:eastAsia="宋体" w:cs="宋体"/>
          <w:b w:val="0"/>
          <w:bCs w:val="0"/>
          <w:sz w:val="24"/>
        </w:rPr>
        <w:t>中小</w:t>
      </w:r>
      <w:r>
        <w:rPr>
          <w:rFonts w:hint="eastAsia" w:ascii="宋体" w:hAnsi="宋体" w:eastAsia="宋体" w:cs="宋体"/>
          <w:sz w:val="24"/>
        </w:rPr>
        <w:t>企业承接，提供中小企业声明函；</w:t>
      </w:r>
    </w:p>
    <w:p w14:paraId="5FE3F81D">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214102535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服务全部由符合政策要求的小微企业承接，提供中小企业声明函；</w:t>
      </w:r>
    </w:p>
    <w:p w14:paraId="2F6A1808">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rPr>
        <w:t>；</w:t>
      </w:r>
    </w:p>
    <w:p w14:paraId="074692A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要求合同分包，提供分包意向协议和中小企业声明函，分包意向协议中中小企业合同金额应当达到达到</w:t>
      </w:r>
      <w:r>
        <w:rPr>
          <w:rFonts w:hint="eastAsia" w:ascii="宋体" w:hAnsi="宋体" w:eastAsia="宋体" w:cs="宋体"/>
          <w:sz w:val="24"/>
          <w:u w:val="single"/>
        </w:rPr>
        <w:t xml:space="preserve">  </w:t>
      </w:r>
      <w:r>
        <w:rPr>
          <w:rFonts w:hint="eastAsia" w:ascii="宋体" w:hAnsi="宋体" w:eastAsia="宋体" w:cs="宋体"/>
          <w:sz w:val="24"/>
        </w:rPr>
        <w:t>% ，小微企业合同金额应当达到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sz w:val="24"/>
        </w:rPr>
        <w:t>；</w:t>
      </w:r>
    </w:p>
    <w:p w14:paraId="7388947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w:t>
      </w:r>
    </w:p>
    <w:p w14:paraId="08BA6279">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sym w:font="Wingdings" w:char="00A8"/>
      </w:r>
      <w:r>
        <w:rPr>
          <w:rFonts w:hint="eastAsia" w:ascii="宋体" w:hAnsi="宋体" w:eastAsia="宋体" w:cs="宋体"/>
          <w:sz w:val="24"/>
        </w:rPr>
        <w:t>无。</w:t>
      </w:r>
    </w:p>
    <w:p w14:paraId="2CB2FF69">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sz w:val="24"/>
        </w:rPr>
        <w:t>有特定资格要求：</w:t>
      </w:r>
      <w:r>
        <w:rPr>
          <w:rFonts w:hint="eastAsia" w:ascii="宋体" w:hAnsi="宋体" w:eastAsia="宋体" w:cs="宋体"/>
          <w:b/>
          <w:bCs/>
          <w:sz w:val="24"/>
          <w:u w:val="single"/>
        </w:rPr>
        <w:t>供应商为保安服务公司的，取得《保安服务许可证》；供应商为自行招用保安员的单位的，承诺自开始保安服务之日起30日内向所在地设区的市级人民政府公安机关备案</w:t>
      </w:r>
      <w:r>
        <w:rPr>
          <w:rFonts w:hint="eastAsia" w:ascii="宋体" w:hAnsi="宋体" w:eastAsia="宋体" w:cs="宋体"/>
          <w:b/>
          <w:bCs/>
          <w:sz w:val="24"/>
        </w:rPr>
        <w:t>；该特定条件的法律法规依据：</w:t>
      </w:r>
      <w:r>
        <w:rPr>
          <w:rFonts w:hint="eastAsia" w:ascii="宋体" w:hAnsi="宋体" w:eastAsia="宋体" w:cs="宋体"/>
          <w:b/>
          <w:bCs/>
          <w:sz w:val="24"/>
          <w:u w:val="single"/>
        </w:rPr>
        <w:t>《保安服务管理条例》</w:t>
      </w:r>
      <w:r>
        <w:rPr>
          <w:rFonts w:hint="eastAsia" w:ascii="宋体" w:hAnsi="宋体" w:eastAsia="宋体" w:cs="宋体"/>
          <w:sz w:val="24"/>
        </w:rPr>
        <w:t>。</w:t>
      </w:r>
    </w:p>
    <w:p w14:paraId="00418F1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72408E">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4933C4A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eastAsia="宋体" w:cs="宋体"/>
          <w:sz w:val="24"/>
        </w:rPr>
        <w:t>，每天上午00:00至12:00 ，下午12:00至23:59（北京时间，线上获取法定节假日均可，线下获取文件法定节假日除外）</w:t>
      </w:r>
    </w:p>
    <w:p w14:paraId="7A50A203">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7F149932">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6003791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37E74858">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5B100A62">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日09点 30分</w:t>
      </w:r>
      <w:r>
        <w:rPr>
          <w:rFonts w:hint="eastAsia" w:ascii="宋体" w:hAnsi="宋体" w:eastAsia="宋体" w:cs="宋体"/>
          <w:bCs/>
          <w:sz w:val="24"/>
          <w:u w:val="single"/>
        </w:rPr>
        <w:t xml:space="preserve"> </w:t>
      </w:r>
      <w:r>
        <w:rPr>
          <w:rFonts w:hint="eastAsia" w:ascii="宋体" w:hAnsi="宋体" w:eastAsia="宋体" w:cs="宋体"/>
          <w:sz w:val="24"/>
        </w:rPr>
        <w:t>（北京时间）</w:t>
      </w:r>
    </w:p>
    <w:p w14:paraId="6ACAEE6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1EC6564A">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 09点30 分</w:t>
      </w:r>
      <w:r>
        <w:rPr>
          <w:rFonts w:hint="eastAsia" w:ascii="宋体" w:hAnsi="宋体" w:eastAsia="宋体" w:cs="宋体"/>
          <w:bCs/>
          <w:sz w:val="24"/>
          <w:u w:val="single"/>
        </w:rPr>
        <w:t xml:space="preserve"> </w:t>
      </w:r>
    </w:p>
    <w:p w14:paraId="10F0389E">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118B6C87">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6F5ED67A">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42BF87D9">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7306DE6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696E99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BF6ABD">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84EE3C">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C5C739">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A93F206">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6771EF65">
      <w:pPr>
        <w:spacing w:line="360" w:lineRule="auto"/>
        <w:rPr>
          <w:rFonts w:hint="eastAsia" w:ascii="宋体" w:hAnsi="宋体" w:eastAsia="宋体" w:cs="宋体"/>
          <w:sz w:val="24"/>
        </w:rPr>
      </w:pPr>
      <w:r>
        <w:rPr>
          <w:rFonts w:hint="eastAsia" w:ascii="宋体" w:hAnsi="宋体" w:eastAsia="宋体" w:cs="宋体"/>
          <w:sz w:val="24"/>
        </w:rPr>
        <w:t xml:space="preserve">    名    称：</w:t>
      </w:r>
      <w:r>
        <w:rPr>
          <w:rFonts w:hint="eastAsia" w:ascii="宋体" w:hAnsi="宋体" w:cs="宋体"/>
          <w:sz w:val="24"/>
          <w:lang w:eastAsia="zh-CN"/>
        </w:rPr>
        <w:t>杭州市十三中教育集团（总校）</w:t>
      </w:r>
      <w:r>
        <w:rPr>
          <w:rFonts w:hint="eastAsia" w:ascii="宋体" w:hAnsi="宋体" w:eastAsia="宋体" w:cs="宋体"/>
          <w:sz w:val="24"/>
        </w:rPr>
        <w:t xml:space="preserve">  </w:t>
      </w:r>
    </w:p>
    <w:p w14:paraId="2ED2FA36">
      <w:pPr>
        <w:spacing w:line="360" w:lineRule="auto"/>
        <w:rPr>
          <w:rFonts w:hint="eastAsia" w:ascii="宋体" w:hAnsi="宋体" w:eastAsia="宋体" w:cs="宋体"/>
          <w:sz w:val="24"/>
        </w:rPr>
      </w:pPr>
      <w:r>
        <w:rPr>
          <w:rFonts w:hint="eastAsia" w:ascii="宋体" w:hAnsi="宋体" w:eastAsia="宋体" w:cs="宋体"/>
          <w:sz w:val="24"/>
        </w:rPr>
        <w:t xml:space="preserve">    地    址： </w:t>
      </w:r>
      <w:r>
        <w:rPr>
          <w:rFonts w:hint="eastAsia" w:ascii="宋体" w:hAnsi="宋体" w:cs="宋体"/>
          <w:sz w:val="24"/>
        </w:rPr>
        <w:t>杭州市西湖区</w:t>
      </w:r>
      <w:r>
        <w:rPr>
          <w:rFonts w:hint="eastAsia" w:ascii="宋体" w:hAnsi="宋体" w:cs="宋体"/>
          <w:sz w:val="24"/>
          <w:lang w:val="en-US" w:eastAsia="zh-CN"/>
        </w:rPr>
        <w:t>教工路155</w:t>
      </w:r>
      <w:r>
        <w:rPr>
          <w:rFonts w:hint="eastAsia" w:ascii="宋体" w:hAnsi="宋体" w:cs="宋体"/>
          <w:sz w:val="24"/>
        </w:rPr>
        <w:t>号</w:t>
      </w:r>
      <w:r>
        <w:rPr>
          <w:rFonts w:hint="eastAsia" w:ascii="宋体" w:hAnsi="宋体" w:eastAsia="宋体" w:cs="宋体"/>
          <w:sz w:val="24"/>
        </w:rPr>
        <w:t xml:space="preserve"> </w:t>
      </w:r>
    </w:p>
    <w:p w14:paraId="5E056800">
      <w:pPr>
        <w:spacing w:line="360" w:lineRule="auto"/>
        <w:ind w:firstLine="480"/>
        <w:rPr>
          <w:rFonts w:hint="eastAsia" w:ascii="宋体" w:hAnsi="宋体" w:eastAsia="宋体" w:cs="宋体"/>
          <w:sz w:val="24"/>
        </w:rPr>
      </w:pPr>
      <w:r>
        <w:rPr>
          <w:rFonts w:hint="eastAsia" w:ascii="宋体" w:hAnsi="宋体" w:eastAsia="宋体" w:cs="宋体"/>
          <w:sz w:val="24"/>
        </w:rPr>
        <w:t>传    真： /</w:t>
      </w:r>
    </w:p>
    <w:p w14:paraId="2900110D">
      <w:pPr>
        <w:spacing w:line="360" w:lineRule="auto"/>
        <w:ind w:firstLine="480"/>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何江楠</w:t>
      </w:r>
    </w:p>
    <w:p w14:paraId="2CC2CC3D">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cs="宋体"/>
          <w:sz w:val="24"/>
          <w:lang w:val="en-US" w:eastAsia="zh-CN"/>
        </w:rPr>
        <w:t>1</w:t>
      </w:r>
      <w:r>
        <w:rPr>
          <w:rFonts w:hint="eastAsia" w:ascii="宋体" w:hAnsi="宋体" w:cs="宋体"/>
          <w:sz w:val="24"/>
        </w:rPr>
        <w:t>5888849373</w:t>
      </w:r>
    </w:p>
    <w:p w14:paraId="3538B476">
      <w:pPr>
        <w:spacing w:line="360" w:lineRule="auto"/>
        <w:rPr>
          <w:rFonts w:hint="eastAsia" w:ascii="宋体" w:hAnsi="宋体" w:eastAsia="宋体" w:cs="宋体"/>
          <w:sz w:val="24"/>
        </w:rPr>
      </w:pPr>
      <w:r>
        <w:rPr>
          <w:rFonts w:hint="eastAsia" w:ascii="宋体" w:hAnsi="宋体" w:eastAsia="宋体" w:cs="宋体"/>
          <w:sz w:val="24"/>
        </w:rPr>
        <w:t xml:space="preserve">    质疑联系人： </w:t>
      </w:r>
      <w:r>
        <w:rPr>
          <w:rFonts w:hint="eastAsia" w:ascii="宋体" w:hAnsi="宋体" w:cs="宋体"/>
          <w:sz w:val="24"/>
        </w:rPr>
        <w:t>周国勇</w:t>
      </w:r>
    </w:p>
    <w:p w14:paraId="0EB9ECDB">
      <w:pPr>
        <w:spacing w:line="360" w:lineRule="auto"/>
        <w:ind w:firstLine="48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cs="宋体"/>
          <w:sz w:val="24"/>
        </w:rPr>
        <w:t>13357194333</w:t>
      </w:r>
    </w:p>
    <w:p w14:paraId="03DFC0A6">
      <w:pPr>
        <w:spacing w:line="360" w:lineRule="auto"/>
        <w:ind w:firstLine="480"/>
        <w:rPr>
          <w:rFonts w:hint="eastAsia" w:ascii="宋体" w:hAnsi="宋体" w:eastAsia="宋体" w:cs="宋体"/>
          <w:sz w:val="24"/>
        </w:rPr>
      </w:pPr>
      <w:r>
        <w:rPr>
          <w:rFonts w:hint="eastAsia" w:ascii="宋体" w:hAnsi="宋体" w:eastAsia="宋体" w:cs="宋体"/>
          <w:sz w:val="24"/>
        </w:rPr>
        <w:t xml:space="preserve">2.采购代理机构信息            </w:t>
      </w:r>
    </w:p>
    <w:p w14:paraId="369A9CC6">
      <w:pPr>
        <w:spacing w:line="360" w:lineRule="auto"/>
        <w:ind w:firstLine="480"/>
        <w:rPr>
          <w:rFonts w:hint="eastAsia" w:ascii="宋体" w:hAnsi="宋体" w:eastAsia="宋体" w:cs="宋体"/>
          <w:sz w:val="24"/>
        </w:rPr>
      </w:pPr>
      <w:r>
        <w:rPr>
          <w:rFonts w:hint="eastAsia" w:ascii="宋体" w:hAnsi="宋体" w:eastAsia="宋体" w:cs="宋体"/>
          <w:sz w:val="24"/>
        </w:rPr>
        <w:t>名    称：杭州市西湖区政府采购中心</w:t>
      </w:r>
    </w:p>
    <w:p w14:paraId="1C9A4E9E">
      <w:pPr>
        <w:spacing w:line="360" w:lineRule="auto"/>
        <w:ind w:firstLine="480"/>
        <w:rPr>
          <w:rFonts w:hint="eastAsia" w:ascii="宋体" w:hAnsi="宋体" w:eastAsia="宋体" w:cs="宋体"/>
          <w:sz w:val="24"/>
        </w:rPr>
      </w:pPr>
      <w:r>
        <w:rPr>
          <w:rFonts w:hint="eastAsia" w:ascii="宋体" w:hAnsi="宋体" w:eastAsia="宋体" w:cs="宋体"/>
          <w:sz w:val="24"/>
        </w:rPr>
        <w:t>地    址：杭州市文一西路858号</w:t>
      </w:r>
    </w:p>
    <w:p w14:paraId="00C226C0">
      <w:pPr>
        <w:spacing w:line="360" w:lineRule="auto"/>
        <w:rPr>
          <w:rFonts w:hint="eastAsia" w:ascii="宋体" w:hAnsi="宋体" w:eastAsia="宋体" w:cs="宋体"/>
          <w:sz w:val="24"/>
        </w:rPr>
      </w:pPr>
      <w:r>
        <w:rPr>
          <w:rFonts w:hint="eastAsia" w:ascii="宋体" w:hAnsi="宋体" w:eastAsia="宋体" w:cs="宋体"/>
          <w:sz w:val="24"/>
        </w:rPr>
        <w:t xml:space="preserve">    传    真：0571-89511006             </w:t>
      </w:r>
    </w:p>
    <w:p w14:paraId="3926E05B">
      <w:pPr>
        <w:spacing w:line="360" w:lineRule="auto"/>
        <w:rPr>
          <w:rFonts w:hint="eastAsia" w:ascii="宋体" w:hAnsi="宋体" w:eastAsia="宋体" w:cs="宋体"/>
          <w:sz w:val="24"/>
        </w:rPr>
      </w:pPr>
      <w:r>
        <w:rPr>
          <w:rFonts w:hint="eastAsia" w:ascii="宋体" w:hAnsi="宋体" w:eastAsia="宋体" w:cs="宋体"/>
          <w:sz w:val="24"/>
        </w:rPr>
        <w:t xml:space="preserve">    项目联系人（询问）：邵一成         </w:t>
      </w:r>
    </w:p>
    <w:p w14:paraId="72CACDC6">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项目联系方式（询问）：0571-89511007</w:t>
      </w:r>
    </w:p>
    <w:p w14:paraId="71A5B1CD">
      <w:pPr>
        <w:spacing w:line="360" w:lineRule="auto"/>
        <w:rPr>
          <w:rFonts w:hint="eastAsia" w:ascii="宋体" w:hAnsi="宋体" w:eastAsia="宋体" w:cs="宋体"/>
          <w:sz w:val="24"/>
        </w:rPr>
      </w:pPr>
      <w:r>
        <w:rPr>
          <w:rFonts w:hint="eastAsia" w:ascii="宋体" w:hAnsi="宋体" w:eastAsia="宋体" w:cs="宋体"/>
          <w:sz w:val="24"/>
        </w:rPr>
        <w:t xml:space="preserve">    质疑联系人：缪新新              </w:t>
      </w:r>
    </w:p>
    <w:p w14:paraId="3F53AC29">
      <w:pPr>
        <w:spacing w:line="360" w:lineRule="auto"/>
        <w:rPr>
          <w:rFonts w:hint="eastAsia" w:ascii="宋体" w:hAnsi="宋体" w:eastAsia="宋体" w:cs="宋体"/>
          <w:sz w:val="24"/>
        </w:rPr>
      </w:pPr>
      <w:r>
        <w:rPr>
          <w:rFonts w:hint="eastAsia" w:ascii="宋体" w:hAnsi="宋体" w:eastAsia="宋体" w:cs="宋体"/>
          <w:sz w:val="24"/>
        </w:rPr>
        <w:t xml:space="preserve">    质疑联系方式：0571-89511561</w:t>
      </w:r>
    </w:p>
    <w:p w14:paraId="5AFFD60C">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71288A8B">
      <w:pPr>
        <w:spacing w:line="360" w:lineRule="auto"/>
        <w:rPr>
          <w:rFonts w:hint="eastAsia" w:ascii="宋体" w:hAnsi="宋体" w:eastAsia="宋体" w:cs="宋体"/>
          <w:sz w:val="24"/>
          <w:highlight w:val="none"/>
        </w:rPr>
      </w:pPr>
      <w:r>
        <w:rPr>
          <w:rFonts w:hint="eastAsia" w:ascii="宋体" w:hAnsi="宋体" w:eastAsia="宋体" w:cs="宋体"/>
          <w:sz w:val="24"/>
        </w:rPr>
        <w:t xml:space="preserve">    </w:t>
      </w:r>
      <w:r>
        <w:rPr>
          <w:rFonts w:hint="eastAsia" w:ascii="宋体" w:hAnsi="宋体" w:eastAsia="宋体" w:cs="宋体"/>
          <w:sz w:val="24"/>
          <w:highlight w:val="none"/>
        </w:rPr>
        <w:t xml:space="preserve">名    称：杭州市西湖区财政局、浙江省政府采购行政裁决服务中心（杭州） </w:t>
      </w:r>
    </w:p>
    <w:p w14:paraId="3F663B14">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地    址：</w:t>
      </w:r>
      <w:r>
        <w:rPr>
          <w:rFonts w:hint="eastAsia" w:ascii="宋体" w:hAnsi="宋体" w:cs="宋体"/>
          <w:sz w:val="24"/>
        </w:rPr>
        <w:t>杭州市上城区清泰街549号城建综合大楼11楼（快递仅限ems或顺丰）</w:t>
      </w:r>
    </w:p>
    <w:p w14:paraId="00FD0E8F">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1AFAA9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：朱女士、王女士    </w:t>
      </w:r>
    </w:p>
    <w:p w14:paraId="73039DB9">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监督投诉电话：</w:t>
      </w:r>
      <w:r>
        <w:rPr>
          <w:rFonts w:hint="eastAsia" w:ascii="宋体" w:hAnsi="宋体" w:cs="宋体"/>
          <w:sz w:val="24"/>
        </w:rPr>
        <w:t>0571-87227671,0571-87800218</w:t>
      </w:r>
      <w:r>
        <w:rPr>
          <w:rFonts w:hint="eastAsia" w:ascii="宋体" w:hAnsi="宋体" w:eastAsia="宋体" w:cs="宋体"/>
          <w:sz w:val="24"/>
        </w:rPr>
        <w:t xml:space="preserve">  </w:t>
      </w:r>
    </w:p>
    <w:p w14:paraId="431CB480">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08D08CD3">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60B5EE5C">
      <w:pPr>
        <w:spacing w:line="360" w:lineRule="auto"/>
        <w:ind w:firstLine="480" w:firstLineChars="200"/>
        <w:rPr>
          <w:rFonts w:hint="eastAsia" w:ascii="宋体" w:hAnsi="宋体" w:eastAsia="宋体" w:cs="宋体"/>
          <w:sz w:val="24"/>
        </w:rPr>
      </w:pPr>
    </w:p>
    <w:p w14:paraId="3ED97EF5">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7838EC31">
      <w:pPr>
        <w:adjustRightInd/>
        <w:spacing w:line="360" w:lineRule="auto"/>
        <w:jc w:val="center"/>
        <w:outlineLvl w:val="0"/>
        <w:rPr>
          <w:rFonts w:hint="eastAsia" w:ascii="宋体" w:hAnsi="宋体" w:eastAsia="宋体" w:cs="宋体"/>
          <w:b/>
          <w:sz w:val="36"/>
          <w:szCs w:val="20"/>
        </w:rPr>
      </w:pPr>
    </w:p>
    <w:p w14:paraId="720A52A4">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14:paraId="5E9A93D9">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87C9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07BED6E">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95E0D51">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77FDB">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7433D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85F5733">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83D21A">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862C4B1">
            <w:pPr>
              <w:spacing w:line="360" w:lineRule="auto"/>
              <w:rPr>
                <w:rFonts w:hint="eastAsia" w:ascii="宋体" w:hAnsi="宋体" w:eastAsia="宋体" w:cs="宋体"/>
                <w:sz w:val="24"/>
              </w:rPr>
            </w:pPr>
            <w:r>
              <w:rPr>
                <w:rFonts w:hint="eastAsia" w:ascii="宋体" w:hAnsi="宋体" w:eastAsia="宋体" w:cs="宋体"/>
                <w:sz w:val="24"/>
              </w:rPr>
              <w:t>服务类。</w:t>
            </w:r>
          </w:p>
        </w:tc>
      </w:tr>
      <w:tr w14:paraId="492EE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1A1C8D3">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2CEEFF">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55EAA0">
            <w:pPr>
              <w:snapToGrid w:val="0"/>
              <w:spacing w:line="360" w:lineRule="auto"/>
              <w:rPr>
                <w:rFonts w:hint="eastAsia" w:ascii="宋体" w:hAnsi="宋体" w:eastAsia="宋体" w:cs="宋体"/>
              </w:rPr>
            </w:pPr>
            <w:r>
              <w:rPr>
                <w:rFonts w:hint="eastAsia" w:ascii="宋体" w:hAnsi="宋体" w:eastAsia="宋体" w:cs="宋体"/>
                <w:kern w:val="0"/>
                <w:sz w:val="24"/>
              </w:rPr>
              <w:t>标的：</w:t>
            </w:r>
            <w:r>
              <w:rPr>
                <w:rFonts w:hint="eastAsia" w:ascii="宋体" w:hAnsi="宋体" w:eastAsia="宋体" w:cs="宋体"/>
                <w:kern w:val="0"/>
                <w:sz w:val="24"/>
                <w:u w:val="single"/>
                <w:lang w:eastAsia="zh-CN"/>
              </w:rPr>
              <w:t>杭州市十三中教育集团(总校)</w:t>
            </w:r>
            <w:r>
              <w:rPr>
                <w:rFonts w:hint="eastAsia" w:ascii="宋体" w:hAnsi="宋体" w:eastAsia="宋体" w:cs="宋体"/>
                <w:kern w:val="0"/>
                <w:sz w:val="24"/>
                <w:u w:val="single"/>
                <w:lang w:val="en-US" w:eastAsia="zh-CN"/>
              </w:rPr>
              <w:t>2025-2026年</w:t>
            </w:r>
            <w:r>
              <w:rPr>
                <w:rFonts w:hint="eastAsia" w:ascii="宋体" w:hAnsi="宋体" w:eastAsia="宋体" w:cs="宋体"/>
                <w:kern w:val="0"/>
                <w:sz w:val="24"/>
                <w:u w:val="single"/>
                <w:lang w:eastAsia="zh-CN"/>
              </w:rPr>
              <w:t>保安服务采购项目</w:t>
            </w:r>
            <w:r>
              <w:rPr>
                <w:rFonts w:hint="eastAsia" w:ascii="宋体" w:hAnsi="宋体" w:eastAsia="宋体" w:cs="宋体"/>
                <w:kern w:val="0"/>
                <w:sz w:val="24"/>
              </w:rPr>
              <w:t>，属于</w:t>
            </w:r>
            <w:r>
              <w:rPr>
                <w:rFonts w:hint="eastAsia" w:ascii="宋体" w:hAnsi="宋体" w:eastAsia="宋体" w:cs="宋体"/>
                <w:kern w:val="0"/>
                <w:sz w:val="24"/>
                <w:lang w:val="en-US" w:eastAsia="zh-CN"/>
              </w:rPr>
              <w:t xml:space="preserve"> </w:t>
            </w:r>
            <w:r>
              <w:rPr>
                <w:rFonts w:hint="eastAsia" w:ascii="宋体" w:hAnsi="宋体" w:eastAsia="宋体" w:cs="宋体"/>
                <w:kern w:val="0"/>
                <w:sz w:val="24"/>
                <w:u w:val="single"/>
              </w:rPr>
              <w:t xml:space="preserve">租赁和商务服务 </w:t>
            </w:r>
            <w:r>
              <w:rPr>
                <w:rFonts w:hint="eastAsia" w:ascii="宋体" w:hAnsi="宋体" w:eastAsia="宋体" w:cs="宋体"/>
                <w:kern w:val="0"/>
                <w:sz w:val="24"/>
              </w:rPr>
              <w:t>行业；</w:t>
            </w:r>
          </w:p>
        </w:tc>
      </w:tr>
      <w:tr w14:paraId="210CF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F0F241E">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572DEBA">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C0738">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764B36AD">
            <w:pPr>
              <w:spacing w:line="360" w:lineRule="auto"/>
              <w:rPr>
                <w:rFonts w:hint="eastAsia" w:ascii="宋体" w:hAnsi="宋体" w:eastAsia="宋体" w:cs="宋体"/>
                <w:kern w:val="0"/>
                <w:sz w:val="24"/>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p w14:paraId="08EF42B8">
            <w:pPr>
              <w:spacing w:line="360" w:lineRule="auto"/>
              <w:rPr>
                <w:rFonts w:hint="eastAsia" w:ascii="宋体" w:hAnsi="宋体" w:eastAsia="宋体" w:cs="宋体"/>
              </w:rPr>
            </w:pPr>
            <w:r>
              <w:rPr>
                <w:rFonts w:hint="eastAsia" w:ascii="宋体" w:hAnsi="宋体" w:eastAsia="宋体" w:cs="宋体"/>
                <w:kern w:val="0"/>
                <w:sz w:val="24"/>
              </w:rPr>
              <w:t>优先采购向我国企业转让技术、与我国企业签订消化吸收再创新方案的供应商的进口产品，详见评分标准。</w:t>
            </w:r>
          </w:p>
        </w:tc>
      </w:tr>
      <w:tr w14:paraId="7553B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96D35A">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AB0C079">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C8CD277">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临时增援    </w:t>
            </w:r>
            <w:r>
              <w:rPr>
                <w:rFonts w:hint="eastAsia" w:ascii="宋体" w:hAnsi="宋体" w:eastAsia="宋体" w:cs="宋体"/>
                <w:sz w:val="24"/>
              </w:rPr>
              <w:t>工作分包。</w:t>
            </w:r>
          </w:p>
          <w:p w14:paraId="5C9E8D08">
            <w:pPr>
              <w:spacing w:line="36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p w14:paraId="0383DCB9">
            <w:pPr>
              <w:spacing w:line="360" w:lineRule="auto"/>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14:paraId="612D9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147EAAD">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8B1369">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191D64">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p w14:paraId="69D4D7DB">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6175D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49F71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F3E3EC">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94D7428">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不要求提供。</w:t>
            </w:r>
          </w:p>
          <w:p w14:paraId="7C1FAEAD">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B要求提供（未提供样品或提供样品不满足采购需求实质性条件的供应商，投标无效）：</w:t>
            </w:r>
          </w:p>
          <w:p w14:paraId="01C47E79">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489110BF">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292E8C8B">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w:t>
            </w:r>
          </w:p>
          <w:p w14:paraId="711A9E65">
            <w:pPr>
              <w:spacing w:line="360" w:lineRule="auto"/>
              <w:ind w:firstLine="240" w:firstLineChars="100"/>
              <w:rPr>
                <w:rFonts w:hint="eastAsia" w:ascii="宋体" w:hAnsi="宋体" w:eastAsia="宋体" w:cs="宋体"/>
                <w:sz w:val="24"/>
              </w:rPr>
            </w:pPr>
            <w:sdt>
              <w:sdtPr>
                <w:rPr>
                  <w:rFonts w:hint="eastAsia" w:ascii="宋体" w:hAnsi="宋体" w:eastAsia="宋体" w:cs="宋体"/>
                  <w:kern w:val="0"/>
                  <w:sz w:val="24"/>
                </w:rPr>
                <w:id w:val="-1350092240"/>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样品分未超过价格分的50%；</w:t>
            </w:r>
          </w:p>
          <w:p w14:paraId="65325636">
            <w:pPr>
              <w:spacing w:line="360" w:lineRule="auto"/>
              <w:ind w:firstLine="240" w:firstLineChars="100"/>
              <w:rPr>
                <w:rFonts w:hint="eastAsia" w:ascii="宋体" w:hAnsi="宋体" w:eastAsia="宋体" w:cs="宋体"/>
                <w:kern w:val="0"/>
                <w:sz w:val="24"/>
              </w:rPr>
            </w:pPr>
            <w:sdt>
              <w:sdtPr>
                <w:rPr>
                  <w:rFonts w:hint="eastAsia" w:ascii="宋体" w:hAnsi="宋体" w:eastAsia="宋体" w:cs="宋体"/>
                  <w:kern w:val="0"/>
                  <w:sz w:val="24"/>
                </w:rPr>
                <w:id w:val="-148554041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样品分超过价格分的50%，理由</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4AC5676A">
            <w:pPr>
              <w:spacing w:line="360" w:lineRule="auto"/>
              <w:ind w:firstLine="240" w:firstLineChars="100"/>
              <w:rPr>
                <w:rFonts w:hint="eastAsia" w:ascii="宋体" w:hAnsi="宋体" w:eastAsia="宋体" w:cs="宋体"/>
                <w:kern w:val="0"/>
                <w:sz w:val="24"/>
              </w:rPr>
            </w:pPr>
            <w:r>
              <w:rPr>
                <w:rFonts w:hint="eastAsia" w:ascii="宋体" w:hAnsi="宋体" w:eastAsia="宋体" w:cs="宋体"/>
                <w:snapToGrid w:val="0"/>
                <w:kern w:val="28"/>
                <w:sz w:val="24"/>
              </w:rPr>
              <w:t>详见招标文件第四部分</w:t>
            </w:r>
            <w:r>
              <w:rPr>
                <w:rFonts w:hint="eastAsia" w:ascii="宋体" w:hAnsi="宋体" w:eastAsia="宋体" w:cs="宋体"/>
                <w:sz w:val="24"/>
                <w:u w:val="single"/>
              </w:rPr>
              <w:t>评标办法</w:t>
            </w:r>
            <w:r>
              <w:rPr>
                <w:rFonts w:hint="eastAsia" w:ascii="宋体" w:hAnsi="宋体" w:eastAsia="宋体" w:cs="宋体"/>
                <w:kern w:val="0"/>
                <w:sz w:val="24"/>
              </w:rPr>
              <w:t xml:space="preserve">。 </w:t>
            </w:r>
          </w:p>
          <w:p w14:paraId="71528514">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6E3BA3BE">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2EE6DBF3">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0ED5937">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097AB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8E1F4AD">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1891942">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B1A05FC">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p w14:paraId="161F3E16">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1889C85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（1）在评标时安排每个投标人进行方案讲解演示。每个投标人时间不超过20分钟，</w:t>
            </w:r>
            <w:r>
              <w:rPr>
                <w:rFonts w:hint="eastAsia" w:ascii="宋体" w:hAnsi="宋体" w:eastAsia="宋体" w:cs="宋体"/>
                <w:b/>
                <w:bCs/>
                <w:kern w:val="0"/>
                <w:sz w:val="24"/>
              </w:rPr>
              <w:t>讲解次序以投标文件解密时间先后次序为准</w:t>
            </w:r>
            <w:r>
              <w:rPr>
                <w:rFonts w:hint="eastAsia" w:ascii="宋体" w:hAnsi="宋体" w:eastAsia="宋体" w:cs="宋体"/>
                <w:kern w:val="0"/>
                <w:sz w:val="24"/>
              </w:rPr>
              <w:t>，讲解演示人员不超过3人。讲解演示结束后按要求解答评标委员会提问。</w:t>
            </w:r>
          </w:p>
          <w:p w14:paraId="56898D5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（2）方案讲解演示方式：</w:t>
            </w:r>
          </w:p>
          <w:p w14:paraId="3E7C548E">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通过政采云平台进行在线讲解演示</w:t>
            </w:r>
            <w:r>
              <w:rPr>
                <w:rFonts w:hint="eastAsia" w:ascii="宋体" w:hAnsi="宋体" w:eastAsia="宋体" w:cs="宋体"/>
                <w:b/>
                <w:bCs/>
                <w:kern w:val="0"/>
                <w:sz w:val="24"/>
              </w:rPr>
              <w:t>或</w:t>
            </w:r>
            <w:r>
              <w:rPr>
                <w:rFonts w:hint="eastAsia" w:ascii="宋体" w:hAnsi="宋体" w:eastAsia="宋体" w:cs="宋体"/>
                <w:kern w:val="0"/>
                <w:sz w:val="24"/>
              </w:rPr>
              <w:t>播放已录制好的演示视频。政采云平台在线讲解需投标人根据政采云平台操作要求做好准备工作</w:t>
            </w:r>
            <w:r>
              <w:rPr>
                <w:rFonts w:hint="eastAsia" w:ascii="宋体" w:hAnsi="宋体" w:eastAsia="宋体" w:cs="宋体"/>
                <w:b/>
                <w:bCs/>
                <w:kern w:val="0"/>
                <w:sz w:val="24"/>
              </w:rPr>
              <w:t>（①提供在线讲解演示，建议使用笔记本和有线/无线蓝牙耳机②播放视频，为避免视频卡顿等情况发生，视频分辨率要求为1280*720）</w:t>
            </w:r>
            <w:r>
              <w:rPr>
                <w:rFonts w:hint="eastAsia" w:ascii="宋体" w:hAnsi="宋体" w:eastAsia="宋体" w:cs="宋体"/>
                <w:kern w:val="0"/>
                <w:sz w:val="24"/>
              </w:rPr>
              <w:t>，请提前完善软硬件配置环境。</w:t>
            </w:r>
          </w:p>
          <w:p w14:paraId="15FAF484">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1A9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7F9918BA">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4CA8BF7">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256F2E">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4B3C702A">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6C371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29" w:type="dxa"/>
            <w:vMerge w:val="continue"/>
            <w:tcBorders>
              <w:left w:val="single" w:color="auto" w:sz="4" w:space="0"/>
              <w:bottom w:val="single" w:color="auto" w:sz="4" w:space="0"/>
              <w:right w:val="single" w:color="auto" w:sz="4" w:space="0"/>
            </w:tcBorders>
            <w:vAlign w:val="center"/>
          </w:tcPr>
          <w:p w14:paraId="6DE73EBC">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0F502A7">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6E6BDF">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1F466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000C60">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5CD7514">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AA29CD">
            <w:pPr>
              <w:spacing w:line="360" w:lineRule="auto"/>
              <w:rPr>
                <w:rFonts w:hint="eastAsia" w:ascii="宋体" w:hAnsi="宋体" w:eastAsia="宋体" w:cs="宋体"/>
                <w:kern w:val="0"/>
                <w:sz w:val="24"/>
                <w:lang w:val="zh-CN"/>
              </w:rPr>
            </w:pPr>
            <w:sdt>
              <w:sdtPr>
                <w:rPr>
                  <w:rFonts w:hint="eastAsia" w:ascii="宋体" w:hAnsi="宋体" w:eastAsia="宋体" w:cs="宋体"/>
                  <w:kern w:val="0"/>
                  <w:sz w:val="24"/>
                </w:rPr>
                <w:id w:val="386232013"/>
                <w14:checkbox>
                  <w14:checked w14:val="0"/>
                  <w14:checkedState w14:val="00FE" w14:font="Wingdings"/>
                  <w14:uncheckedState w14:val="2610" w14:font="MS Gothic"/>
                </w14:checkbox>
              </w:sdtPr>
              <w:sdtEndPr>
                <w:rPr>
                  <w:rFonts w:hint="eastAsia" w:ascii="宋体" w:hAnsi="宋体" w:eastAsia="宋体" w:cs="宋体"/>
                  <w:kern w:val="0"/>
                  <w:sz w:val="24"/>
                  <w:lang w:val="zh-CN"/>
                </w:rPr>
              </w:sdtEndPr>
              <w:sdtContent>
                <w:r>
                  <w:rPr>
                    <w:rFonts w:hint="eastAsia" w:ascii="宋体" w:hAnsi="宋体" w:eastAsia="宋体" w:cs="宋体"/>
                    <w:kern w:val="0"/>
                    <w:sz w:val="24"/>
                    <w:lang w:val="zh-CN"/>
                  </w:rPr>
                  <w:t>☐</w:t>
                </w:r>
              </w:sdtContent>
            </w:sdt>
            <w:r>
              <w:rPr>
                <w:rFonts w:hint="eastAsia" w:ascii="宋体" w:hAnsi="宋体" w:eastAsia="宋体" w:cs="宋体"/>
                <w:kern w:val="0"/>
                <w:sz w:val="24"/>
                <w:lang w:val="zh-CN"/>
              </w:rPr>
              <w:t>依据国家确定的认证机构出具的、处于有效期之内的节能产品认证证书，对获得证书的产品实施政府优先采购或强制采购；</w:t>
            </w:r>
          </w:p>
          <w:p w14:paraId="51038734">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其中，对</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实施政府优先采购，</w:t>
            </w:r>
            <w:r>
              <w:rPr>
                <w:rFonts w:hint="eastAsia" w:ascii="宋体" w:hAnsi="宋体" w:eastAsia="宋体" w:cs="宋体"/>
                <w:kern w:val="0"/>
                <w:sz w:val="24"/>
              </w:rPr>
              <w:t>详</w:t>
            </w:r>
            <w:r>
              <w:rPr>
                <w:rFonts w:hint="eastAsia" w:ascii="宋体" w:hAnsi="宋体" w:eastAsia="宋体" w:cs="宋体"/>
                <w:kern w:val="0"/>
                <w:sz w:val="24"/>
                <w:lang w:val="zh-CN"/>
              </w:rPr>
              <w:t>见</w:t>
            </w:r>
            <w:r>
              <w:rPr>
                <w:rFonts w:hint="eastAsia" w:ascii="宋体" w:hAnsi="宋体" w:eastAsia="宋体" w:cs="宋体"/>
                <w:kern w:val="0"/>
                <w:sz w:val="24"/>
                <w:u w:val="single"/>
                <w:lang w:val="zh-CN"/>
              </w:rPr>
              <w:t>评分标准</w:t>
            </w:r>
            <w:r>
              <w:rPr>
                <w:rFonts w:hint="eastAsia" w:ascii="宋体" w:hAnsi="宋体" w:eastAsia="宋体" w:cs="宋体"/>
                <w:kern w:val="0"/>
                <w:sz w:val="24"/>
                <w:lang w:val="zh-CN"/>
              </w:rPr>
              <w:t>；</w:t>
            </w:r>
          </w:p>
          <w:p w14:paraId="4A2BE886">
            <w:pPr>
              <w:spacing w:line="360" w:lineRule="auto"/>
              <w:rPr>
                <w:rFonts w:hint="eastAsia" w:ascii="宋体" w:hAnsi="宋体" w:eastAsia="宋体" w:cs="宋体"/>
                <w:kern w:val="0"/>
                <w:sz w:val="24"/>
                <w:lang w:val="zh-CN"/>
              </w:rPr>
            </w:pPr>
            <w:r>
              <w:rPr>
                <w:rFonts w:hint="eastAsia" w:ascii="宋体" w:hAnsi="宋体" w:eastAsia="宋体" w:cs="宋体"/>
                <w:sz w:val="24"/>
              </w:rPr>
              <w:t>▲</w:t>
            </w:r>
            <w:r>
              <w:rPr>
                <w:rFonts w:hint="eastAsia" w:ascii="宋体" w:hAnsi="宋体" w:eastAsia="宋体" w:cs="宋体"/>
                <w:kern w:val="0"/>
                <w:sz w:val="24"/>
                <w:lang w:val="zh-CN"/>
              </w:rPr>
              <w:t>对</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实施政府强制采购，</w:t>
            </w:r>
            <w:r>
              <w:rPr>
                <w:rFonts w:hint="eastAsia" w:ascii="宋体" w:hAnsi="宋体" w:eastAsia="宋体" w:cs="宋体"/>
                <w:b/>
                <w:bCs/>
                <w:kern w:val="0"/>
                <w:sz w:val="24"/>
                <w:lang w:val="zh-CN"/>
              </w:rPr>
              <w:t>投标人</w:t>
            </w:r>
            <w:r>
              <w:rPr>
                <w:rFonts w:hint="eastAsia" w:ascii="宋体" w:hAnsi="宋体" w:eastAsia="宋体" w:cs="宋体"/>
                <w:b/>
                <w:bCs/>
                <w:kern w:val="0"/>
                <w:sz w:val="24"/>
              </w:rPr>
              <w:t>就</w:t>
            </w:r>
            <w:r>
              <w:rPr>
                <w:rFonts w:hint="eastAsia" w:ascii="宋体" w:hAnsi="宋体" w:eastAsia="宋体" w:cs="宋体"/>
                <w:b/>
                <w:bCs/>
                <w:kern w:val="0"/>
                <w:sz w:val="24"/>
                <w:lang w:val="zh-CN"/>
              </w:rPr>
              <w:t>相应的投标产品未</w:t>
            </w:r>
            <w:r>
              <w:rPr>
                <w:rFonts w:hint="eastAsia" w:ascii="宋体" w:hAnsi="宋体" w:eastAsia="宋体" w:cs="宋体"/>
                <w:b/>
                <w:bCs/>
                <w:kern w:val="0"/>
                <w:sz w:val="24"/>
              </w:rPr>
              <w:t>提供</w:t>
            </w:r>
            <w:r>
              <w:rPr>
                <w:rFonts w:hint="eastAsia" w:ascii="宋体" w:hAnsi="宋体" w:eastAsia="宋体" w:cs="宋体"/>
                <w:b/>
                <w:bCs/>
                <w:kern w:val="0"/>
                <w:sz w:val="24"/>
                <w:lang w:val="zh-CN"/>
              </w:rPr>
              <w:t>国家确定的认证机构出具的、处于有效期之内的节能产品认证证书的，投标无效</w:t>
            </w:r>
            <w:r>
              <w:rPr>
                <w:rFonts w:hint="eastAsia" w:ascii="宋体" w:hAnsi="宋体" w:eastAsia="宋体" w:cs="宋体"/>
                <w:kern w:val="0"/>
                <w:sz w:val="24"/>
                <w:lang w:val="zh-CN"/>
              </w:rPr>
              <w:t>。</w:t>
            </w:r>
          </w:p>
          <w:p w14:paraId="6AF675C4">
            <w:pPr>
              <w:spacing w:line="360" w:lineRule="auto"/>
              <w:rPr>
                <w:rFonts w:hint="eastAsia" w:ascii="宋体" w:hAnsi="宋体" w:eastAsia="宋体" w:cs="宋体"/>
                <w:kern w:val="0"/>
                <w:sz w:val="24"/>
                <w:lang w:val="zh-CN"/>
              </w:rPr>
            </w:pPr>
            <w:sdt>
              <w:sdtPr>
                <w:rPr>
                  <w:rFonts w:hint="eastAsia" w:ascii="宋体" w:hAnsi="宋体" w:eastAsia="宋体" w:cs="宋体"/>
                  <w:kern w:val="0"/>
                  <w:sz w:val="24"/>
                  <w:lang w:val="zh-CN"/>
                </w:rPr>
                <w:id w:val="93515011"/>
                <w14:checkbox>
                  <w14:checked w14:val="0"/>
                  <w14:checkedState w14:val="00FE" w14:font="Wingdings"/>
                  <w14:uncheckedState w14:val="2610" w14:font="MS Gothic"/>
                </w14:checkbox>
              </w:sdtPr>
              <w:sdtEndPr>
                <w:rPr>
                  <w:rFonts w:hint="eastAsia" w:ascii="宋体" w:hAnsi="宋体" w:eastAsia="宋体" w:cs="宋体"/>
                  <w:kern w:val="0"/>
                  <w:sz w:val="24"/>
                  <w:lang w:val="zh-CN"/>
                </w:rPr>
              </w:sdtEndPr>
              <w:sdtContent>
                <w:r>
                  <w:rPr>
                    <w:rFonts w:hint="eastAsia" w:ascii="宋体" w:hAnsi="宋体" w:eastAsia="宋体" w:cs="宋体"/>
                    <w:kern w:val="0"/>
                    <w:sz w:val="24"/>
                    <w:lang w:val="zh-CN"/>
                  </w:rPr>
                  <w:t>☐</w:t>
                </w:r>
              </w:sdtContent>
            </w:sdt>
            <w:r>
              <w:rPr>
                <w:rFonts w:hint="eastAsia" w:ascii="宋体" w:hAnsi="宋体" w:eastAsia="宋体" w:cs="宋体"/>
                <w:kern w:val="0"/>
                <w:sz w:val="24"/>
                <w:lang w:val="zh-CN"/>
              </w:rPr>
              <w:t>依据国家确定的认证机构出具的、处于有效期之内的环境标志产品认证证书，对获得证书的产品名称</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实施政府优先采购，</w:t>
            </w:r>
            <w:r>
              <w:rPr>
                <w:rFonts w:hint="eastAsia" w:ascii="宋体" w:hAnsi="宋体" w:eastAsia="宋体" w:cs="宋体"/>
                <w:kern w:val="0"/>
                <w:sz w:val="24"/>
              </w:rPr>
              <w:t>详</w:t>
            </w:r>
            <w:r>
              <w:rPr>
                <w:rFonts w:hint="eastAsia" w:ascii="宋体" w:hAnsi="宋体" w:eastAsia="宋体" w:cs="宋体"/>
                <w:kern w:val="0"/>
                <w:sz w:val="24"/>
                <w:lang w:val="zh-CN"/>
              </w:rPr>
              <w:t>见</w:t>
            </w:r>
            <w:r>
              <w:rPr>
                <w:rFonts w:hint="eastAsia" w:ascii="宋体" w:hAnsi="宋体" w:eastAsia="宋体" w:cs="宋体"/>
                <w:kern w:val="0"/>
                <w:sz w:val="24"/>
                <w:u w:val="single"/>
                <w:lang w:val="zh-CN"/>
              </w:rPr>
              <w:t>评分标准</w:t>
            </w:r>
            <w:r>
              <w:rPr>
                <w:rFonts w:hint="eastAsia" w:ascii="宋体" w:hAnsi="宋体" w:eastAsia="宋体" w:cs="宋体"/>
                <w:kern w:val="0"/>
                <w:sz w:val="24"/>
                <w:lang w:val="zh-CN"/>
              </w:rPr>
              <w:t>。</w:t>
            </w:r>
          </w:p>
          <w:p w14:paraId="74B42BDA">
            <w:pPr>
              <w:snapToGrid w:val="0"/>
              <w:spacing w:line="360" w:lineRule="auto"/>
              <w:rPr>
                <w:rFonts w:hint="eastAsia" w:ascii="宋体" w:hAnsi="宋体" w:eastAsia="宋体" w:cs="宋体"/>
              </w:rPr>
            </w:pPr>
            <w:sdt>
              <w:sdtPr>
                <w:rPr>
                  <w:rFonts w:hint="eastAsia" w:ascii="宋体" w:hAnsi="宋体" w:eastAsia="宋体" w:cs="宋体"/>
                  <w:kern w:val="0"/>
                  <w:sz w:val="24"/>
                </w:rPr>
                <w:id w:val="-37800363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无。</w:t>
            </w:r>
          </w:p>
        </w:tc>
      </w:tr>
      <w:tr w14:paraId="1F0F3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2D43BC6">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1A2BBB3">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5B0144">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14:paraId="371C8D18">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5C66FFA4">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1DE9919C">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43E482AC">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报价明显低于其他通过符合性审查投标人的报价，有可能影响产品（服务）质量或者不能诚信履约的，未能按要求提供书面说明或者提交相关证明材料证明其报价合理性的</w:t>
            </w:r>
            <w:r>
              <w:rPr>
                <w:rFonts w:hint="eastAsia" w:ascii="宋体" w:hAnsi="宋体" w:eastAsia="宋体" w:cs="宋体"/>
                <w:b/>
                <w:sz w:val="24"/>
                <w:szCs w:val="21"/>
              </w:rPr>
              <w:t>;</w:t>
            </w:r>
          </w:p>
          <w:p w14:paraId="2D3290A4">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7D135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jc w:val="center"/>
        </w:trPr>
        <w:tc>
          <w:tcPr>
            <w:tcW w:w="629" w:type="dxa"/>
            <w:tcBorders>
              <w:top w:val="single" w:color="auto" w:sz="4" w:space="0"/>
              <w:left w:val="single" w:color="000000" w:sz="8" w:space="0"/>
              <w:right w:val="single" w:color="000000" w:sz="2" w:space="0"/>
            </w:tcBorders>
            <w:vAlign w:val="center"/>
          </w:tcPr>
          <w:p w14:paraId="1F5B7E56">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5ACD810A">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35B6061">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A09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1EBE81F">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6DBA10A">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01782F6">
            <w:pPr>
              <w:pStyle w:val="33"/>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杭州市文一西路858号东3楼329办公室</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0571-89511007</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14:paraId="3089C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4164BF3A">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355D1AE8">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BE66C9E">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27B07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697CE5B1">
            <w:pPr>
              <w:snapToGrid w:val="0"/>
              <w:spacing w:line="360" w:lineRule="auto"/>
              <w:jc w:val="center"/>
              <w:rPr>
                <w:rFonts w:hint="eastAsia" w:ascii="宋体" w:hAnsi="宋体" w:eastAsia="宋体" w:cs="宋体"/>
                <w:sz w:val="24"/>
              </w:rPr>
            </w:pPr>
          </w:p>
        </w:tc>
        <w:tc>
          <w:tcPr>
            <w:tcW w:w="1843" w:type="dxa"/>
            <w:vMerge w:val="continue"/>
            <w:tcBorders>
              <w:left w:val="single" w:color="000000" w:sz="2" w:space="0"/>
              <w:right w:val="single" w:color="000000" w:sz="8" w:space="0"/>
            </w:tcBorders>
            <w:vAlign w:val="center"/>
          </w:tcPr>
          <w:p w14:paraId="7BAF498B">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0006AF2">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181633666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联合体投标的，联合体各方均需按招标文件第四部分评标标准要求提供资信证明文件，否则视为不符合相关要求。招标文件第四部分评标标准有其他要求的，从其要求。</w:t>
            </w:r>
          </w:p>
          <w:p w14:paraId="07D72D32">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23231189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联合体投标的，联合体中有一方或者联合体成员根据分工按招标文件第四部分评标标准要求提供资信证明文件的，视为符合了相关要求。招标文件第四部分评标标准有其他要求的，从其要求。</w:t>
            </w:r>
          </w:p>
        </w:tc>
      </w:tr>
      <w:tr w14:paraId="451A7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14:paraId="020CC01E">
            <w:pPr>
              <w:snapToGrid w:val="0"/>
              <w:spacing w:line="360" w:lineRule="auto"/>
              <w:jc w:val="center"/>
              <w:rPr>
                <w:rFonts w:hint="eastAsia" w:ascii="宋体" w:hAnsi="宋体" w:eastAsia="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30A7D4FB">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0F01AA">
            <w:pPr>
              <w:spacing w:line="360" w:lineRule="auto"/>
              <w:rPr>
                <w:rFonts w:hint="eastAsia" w:ascii="宋体" w:hAnsi="宋体" w:eastAsia="宋体" w:cs="宋体"/>
                <w:kern w:val="0"/>
                <w:sz w:val="24"/>
              </w:rPr>
            </w:pPr>
            <w:r>
              <w:rPr>
                <w:rFonts w:hint="eastAsia" w:ascii="宋体" w:hAnsi="宋体" w:eastAsia="宋体" w:cs="宋体"/>
                <w:kern w:val="0"/>
                <w:sz w:val="24"/>
              </w:rPr>
              <w:t>评审因素对应的要求视为采购需求的一部分。</w:t>
            </w:r>
          </w:p>
        </w:tc>
      </w:tr>
      <w:tr w14:paraId="14798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14:paraId="7FDF5B64">
            <w:pPr>
              <w:snapToGrid w:val="0"/>
              <w:spacing w:line="360" w:lineRule="auto"/>
              <w:jc w:val="center"/>
              <w:rPr>
                <w:rFonts w:hint="eastAsia" w:ascii="宋体" w:hAnsi="宋体" w:eastAsia="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11F28F98">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B7EDEE7">
            <w:pPr>
              <w:spacing w:line="360" w:lineRule="auto"/>
              <w:rPr>
                <w:rFonts w:hint="eastAsia" w:ascii="宋体" w:hAnsi="宋体" w:eastAsia="宋体" w:cs="宋体"/>
                <w:kern w:val="0"/>
                <w:sz w:val="24"/>
              </w:rPr>
            </w:pPr>
            <w:r>
              <w:rPr>
                <w:rFonts w:hint="eastAsia" w:ascii="宋体" w:hAnsi="宋体" w:eastAsia="宋体" w:cs="宋体"/>
                <w:kern w:val="0"/>
                <w:sz w:val="24"/>
              </w:rPr>
              <w:t>本项目评审报告推荐的中标候选人数量：1</w:t>
            </w:r>
          </w:p>
        </w:tc>
      </w:tr>
    </w:tbl>
    <w:p w14:paraId="0F69DFB8">
      <w:pPr>
        <w:snapToGrid w:val="0"/>
        <w:spacing w:line="360" w:lineRule="auto"/>
        <w:jc w:val="center"/>
        <w:rPr>
          <w:rFonts w:hint="eastAsia" w:ascii="宋体" w:hAnsi="宋体" w:eastAsia="宋体" w:cs="宋体"/>
          <w:b/>
          <w:sz w:val="32"/>
          <w:szCs w:val="20"/>
        </w:rPr>
      </w:pPr>
    </w:p>
    <w:bookmarkEnd w:id="10"/>
    <w:p w14:paraId="6FE5C4A5">
      <w:pPr>
        <w:adjustRightInd/>
        <w:spacing w:line="360" w:lineRule="auto"/>
        <w:ind w:firstLine="3845" w:firstLineChars="1197"/>
        <w:outlineLvl w:val="0"/>
        <w:rPr>
          <w:rFonts w:hint="eastAsia" w:ascii="宋体" w:hAnsi="宋体" w:eastAsia="宋体" w:cs="宋体"/>
          <w:b/>
          <w:sz w:val="32"/>
          <w:szCs w:val="20"/>
        </w:rPr>
      </w:pPr>
      <w:bookmarkStart w:id="11" w:name="第三部分"/>
      <w:bookmarkStart w:id="12" w:name="_Toc164416483"/>
      <w:r>
        <w:rPr>
          <w:rFonts w:hint="eastAsia" w:ascii="宋体" w:hAnsi="宋体" w:eastAsia="宋体" w:cs="宋体"/>
          <w:b/>
          <w:sz w:val="32"/>
          <w:szCs w:val="20"/>
        </w:rPr>
        <w:t>一、总则</w:t>
      </w:r>
    </w:p>
    <w:p w14:paraId="1E93014A">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08881F6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7C9B5D1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25011C08">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5A0397F0">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2E2DD32E">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75C331CA">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332A1436">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D4DB9E">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7ABE1692">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7C5BF922">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301FAD16">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56DC2F5B">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01B272A6">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▲采购人拟采购的产品属于政府强制采购的节能产品品目清单范围的，投标人相应的投标产品未获得国家确定的认证机构出具的、处于有效期之内的节能产品认证证书的，投标无效（本项目不适用）。</w:t>
      </w:r>
    </w:p>
    <w:p w14:paraId="722BFCF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2522BC4">
      <w:pPr>
        <w:spacing w:line="360" w:lineRule="auto"/>
        <w:ind w:firstLine="240" w:firstLineChars="1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F23D69">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0745DE77">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A74EB6">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2AF7EF2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66CCD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15AB6DB9">
      <w:pPr>
        <w:spacing w:line="360" w:lineRule="auto"/>
        <w:ind w:firstLine="480" w:firstLineChars="200"/>
        <w:rPr>
          <w:rFonts w:hint="eastAsia" w:ascii="宋体" w:hAnsi="宋体" w:eastAsia="宋体" w:cs="宋体"/>
          <w:sz w:val="24"/>
        </w:rPr>
      </w:pPr>
      <w:r>
        <w:rPr>
          <w:rFonts w:hint="eastAsia" w:ascii="宋体" w:hAnsi="宋体" w:cs="宋体"/>
          <w:sz w:val="24"/>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5E566E10">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1F8FF91E">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059D82">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878442">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73FC7359">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41CEB0EB">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2C281FAD">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7951174">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0FEF7296">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0DBF94D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07B72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3D1EDD0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224AE7">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2B26E216">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030CFA15">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0A7D77C">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73970CBD">
      <w:pPr>
        <w:pStyle w:val="33"/>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787578DC">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3069ABA5">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6CB25AAE">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1B0D25A0">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51F952D2">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054C4F59">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5F23ADD9">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4A492393">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338A2ADB">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53935AAA">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490E74B8">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5A96AFE">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6F6DD0A8">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305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2726586E">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276CE826">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74F3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12B5E809">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51BF970D">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12AAAA95">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4BBD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76670975">
            <w:pPr>
              <w:pStyle w:val="33"/>
              <w:spacing w:line="360" w:lineRule="auto"/>
              <w:jc w:val="center"/>
              <w:rPr>
                <w:rFonts w:ascii="宋体" w:hAnsi="宋体" w:eastAsia="宋体"/>
                <w:color w:val="auto"/>
                <w:sz w:val="24"/>
                <w:highlight w:val="none"/>
              </w:rPr>
            </w:pPr>
          </w:p>
        </w:tc>
        <w:tc>
          <w:tcPr>
            <w:tcW w:w="4536" w:type="dxa"/>
            <w:noWrap w:val="0"/>
            <w:vAlign w:val="center"/>
          </w:tcPr>
          <w:p w14:paraId="67B48FE0">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65A444F2">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76A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1A28C146">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3C774692">
            <w:pPr>
              <w:pStyle w:val="33"/>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6C60A9C9">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2F13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05A51ABA">
            <w:pPr>
              <w:pStyle w:val="33"/>
              <w:spacing w:line="360" w:lineRule="auto"/>
              <w:jc w:val="center"/>
              <w:rPr>
                <w:rFonts w:ascii="宋体" w:hAnsi="宋体" w:eastAsia="宋体"/>
                <w:color w:val="auto"/>
                <w:sz w:val="24"/>
                <w:highlight w:val="none"/>
              </w:rPr>
            </w:pPr>
          </w:p>
        </w:tc>
        <w:tc>
          <w:tcPr>
            <w:tcW w:w="4536" w:type="dxa"/>
            <w:noWrap w:val="0"/>
            <w:vAlign w:val="center"/>
          </w:tcPr>
          <w:p w14:paraId="7ECDD490">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34C18711">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712023D3">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8F2AD1C">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9900DFC">
      <w:pPr>
        <w:pStyle w:val="888"/>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6DD6E5FE">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0ABF406">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2412504">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0598E07">
      <w:pPr>
        <w:pStyle w:val="888"/>
        <w:shd w:val="clear" w:color="auto" w:fill="FFFFFF"/>
        <w:snapToGrid w:val="0"/>
        <w:spacing w:after="240" w:afterAutospacing="0" w:line="360" w:lineRule="auto"/>
        <w:ind w:firstLine="400"/>
        <w:contextualSpacing/>
      </w:pPr>
      <w:r>
        <w:rPr>
          <w:rFonts w:hint="eastAsia"/>
        </w:rPr>
        <w:t>4.4.5浙江省本级、杭州市本级、拱墅区、西湖区、富阳区政府采购项目投诉材料可寄送浙江省政府采购行政裁决服务中心（杭州），地址：</w:t>
      </w:r>
      <w:r>
        <w:rPr>
          <w:rFonts w:hint="eastAsia"/>
          <w:color w:val="auto"/>
          <w:highlight w:val="none"/>
        </w:rPr>
        <w:t>杭州市上城区清泰街549号城建综合大楼11楼（快递仅限ems或顺丰）</w:t>
      </w:r>
      <w:r>
        <w:rPr>
          <w:rFonts w:hint="eastAsia"/>
        </w:rPr>
        <w:t>，收件人：朱女士</w:t>
      </w:r>
      <w:r>
        <w:rPr>
          <w:rFonts w:hint="eastAsia"/>
          <w:lang w:eastAsia="zh-CN"/>
        </w:rPr>
        <w:t>、</w:t>
      </w:r>
      <w:r>
        <w:rPr>
          <w:rFonts w:hint="eastAsia"/>
          <w:lang w:val="en-US" w:eastAsia="zh-CN"/>
        </w:rPr>
        <w:t>王女士，</w:t>
      </w:r>
      <w:r>
        <w:rPr>
          <w:rFonts w:hint="eastAsia"/>
        </w:rPr>
        <w:t>电话</w:t>
      </w:r>
      <w:r>
        <w:rPr>
          <w:rFonts w:hint="eastAsia"/>
          <w:color w:val="auto"/>
          <w:highlight w:val="none"/>
        </w:rPr>
        <w:t>0571-87227671,0571-87800218</w:t>
      </w:r>
      <w:r>
        <w:rPr>
          <w:rFonts w:hint="eastAsia"/>
        </w:rPr>
        <w:t>。</w:t>
      </w:r>
    </w:p>
    <w:p w14:paraId="0A6FE2E1">
      <w:pPr>
        <w:pStyle w:val="888"/>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4004C48">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F9241E2">
      <w:pPr>
        <w:pStyle w:val="888"/>
        <w:shd w:val="clear" w:color="auto" w:fill="FFFFFF"/>
        <w:snapToGrid w:val="0"/>
        <w:spacing w:after="240" w:afterAutospacing="0" w:line="360" w:lineRule="auto"/>
        <w:ind w:firstLine="400"/>
        <w:contextualSpacing/>
        <w:rPr>
          <w:rFonts w:hint="eastAsia" w:ascii="宋体" w:hAnsi="宋体" w:eastAsia="宋体" w:cs="宋体"/>
          <w:sz w:val="18"/>
          <w:szCs w:val="18"/>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459D25AB">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w:t>
      </w:r>
    </w:p>
    <w:p w14:paraId="4120AD68">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09FA1E6D">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3B3CD47C">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54DC9472">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62DB1931">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7BF465EB">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284C821">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65C474EA">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0B720789">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D4A4B6A">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18A6D9C3">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591BFE5">
      <w:pPr>
        <w:pStyle w:val="130"/>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49334CAF">
      <w:pPr>
        <w:pStyle w:val="130"/>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D05191">
      <w:pPr>
        <w:pStyle w:val="24"/>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68A3D022">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1F984E1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225EF321">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25BE9468">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39AAA2A2">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674E210E">
      <w:pPr>
        <w:pStyle w:val="33"/>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45E142FC">
      <w:pPr>
        <w:pStyle w:val="1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C3E240D">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780A8A45">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7828BD05">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796D76B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045A260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248D889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2E28CEB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p>
    <w:p w14:paraId="1C21782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339AD743">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778C262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2728047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3F34E3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3C33C75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69D9D52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14:paraId="47BED9F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14:paraId="006E403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2148DF3D">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52C01B1B">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018AAA6C">
      <w:pPr>
        <w:snapToGrid w:val="0"/>
        <w:spacing w:line="360" w:lineRule="auto"/>
        <w:ind w:firstLine="960" w:firstLineChars="400"/>
        <w:rPr>
          <w:rFonts w:hint="eastAsia" w:ascii="宋体" w:hAnsi="宋体" w:eastAsia="宋体" w:cs="宋体"/>
        </w:rPr>
      </w:pPr>
      <w:r>
        <w:rPr>
          <w:rFonts w:hint="eastAsia" w:ascii="宋体" w:hAnsi="宋体" w:eastAsia="宋体" w:cs="宋体"/>
          <w:sz w:val="24"/>
        </w:rPr>
        <w:t>11.3.1开标一览表（报价表）。</w:t>
      </w:r>
    </w:p>
    <w:p w14:paraId="1560F4AC">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23DA8A14">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3B4C37D6">
      <w:pPr>
        <w:pStyle w:val="130"/>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2AC5AEDB">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D82AF5">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2C7F79">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35E6957A">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4A9A4B2A">
      <w:pPr>
        <w:pStyle w:val="130"/>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5DEBE108">
      <w:pPr>
        <w:pStyle w:val="130"/>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12D6CBC8">
      <w:pPr>
        <w:pStyle w:val="130"/>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759A3DBD">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0B43D9F6">
      <w:pPr>
        <w:pStyle w:val="13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AE8B00">
      <w:pPr>
        <w:pStyle w:val="130"/>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555FA3A">
      <w:pPr>
        <w:pStyle w:val="130"/>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568904BB">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085344DC">
      <w:pPr>
        <w:pStyle w:val="33"/>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64E48DBD">
      <w:pPr>
        <w:pStyle w:val="33"/>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6385860C">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23FC595A">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144C6321">
      <w:pPr>
        <w:pStyle w:val="33"/>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1C1AAAE9">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45167466">
      <w:pPr>
        <w:pStyle w:val="25"/>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3A87ABD6">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3204FDD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4D1288D8">
      <w:pPr>
        <w:pStyle w:val="130"/>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00E35F6D">
      <w:pPr>
        <w:pStyle w:val="130"/>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9963F1F">
      <w:pPr>
        <w:pStyle w:val="130"/>
        <w:spacing w:before="0"/>
        <w:ind w:firstLine="480"/>
        <w:rPr>
          <w:rFonts w:hint="eastAsia" w:ascii="宋体" w:hAnsi="宋体" w:eastAsia="宋体" w:cs="宋体"/>
        </w:rPr>
      </w:pPr>
      <w:r>
        <w:rPr>
          <w:rFonts w:hint="eastAsia" w:ascii="宋体" w:hAnsi="宋体" w:eastAsia="宋体" w:cs="宋体"/>
        </w:rPr>
        <w:t>17.4在投标截止时间起至投标有效期届满，供应商投标文件不可撤销。</w:t>
      </w:r>
    </w:p>
    <w:p w14:paraId="7BAD9393">
      <w:pPr>
        <w:pStyle w:val="130"/>
        <w:spacing w:before="0"/>
        <w:ind w:firstLine="643"/>
        <w:rPr>
          <w:rFonts w:hint="eastAsia" w:ascii="宋体" w:hAnsi="宋体" w:eastAsia="宋体" w:cs="宋体"/>
          <w:b/>
          <w:sz w:val="32"/>
        </w:rPr>
      </w:pPr>
    </w:p>
    <w:p w14:paraId="32A159CD">
      <w:pPr>
        <w:pStyle w:val="130"/>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7B4E5BAD">
      <w:pPr>
        <w:pStyle w:val="55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0A133FDE">
      <w:pPr>
        <w:pStyle w:val="55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5BC64F62">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6C5C9043">
      <w:pPr>
        <w:pStyle w:val="55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2A27F939">
      <w:pPr>
        <w:pStyle w:val="556"/>
        <w:spacing w:before="0" w:line="360" w:lineRule="auto"/>
        <w:ind w:left="0" w:firstLine="241" w:firstLineChars="100"/>
        <w:contextualSpacing/>
        <w:rPr>
          <w:rFonts w:hint="eastAsia" w:ascii="宋体" w:hAnsi="宋体" w:eastAsia="宋体" w:cs="宋体"/>
          <w:b/>
          <w:sz w:val="24"/>
        </w:rPr>
      </w:pPr>
      <w:r>
        <w:rPr>
          <w:rFonts w:hint="eastAsia" w:ascii="宋体" w:hAnsi="宋体" w:eastAsia="宋体" w:cs="宋体"/>
          <w:b/>
          <w:sz w:val="24"/>
        </w:rPr>
        <w:t>19、资格审查</w:t>
      </w:r>
    </w:p>
    <w:p w14:paraId="60799D78">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19.1开标后，采购人将依据法律法规和招标文件的规定，对投标人的资格进行审查。</w:t>
      </w:r>
    </w:p>
    <w:p w14:paraId="0AEABB14">
      <w:pPr>
        <w:pStyle w:val="130"/>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708EDAC8">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3对未通过资格审查的投标人，告知其未通过的原因。</w:t>
      </w:r>
    </w:p>
    <w:p w14:paraId="795FAE14">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658A0C51">
      <w:pPr>
        <w:pStyle w:val="130"/>
        <w:spacing w:before="0"/>
        <w:ind w:firstLine="480"/>
        <w:rPr>
          <w:rFonts w:hint="eastAsia" w:ascii="宋体" w:hAnsi="宋体" w:eastAsia="宋体" w:cs="宋体"/>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ECA2907">
      <w:pPr>
        <w:pStyle w:val="130"/>
        <w:spacing w:before="0"/>
        <w:ind w:firstLine="241" w:firstLineChars="100"/>
        <w:rPr>
          <w:rFonts w:hint="eastAsia" w:ascii="宋体" w:hAnsi="宋体" w:eastAsia="宋体" w:cs="宋体"/>
          <w:b/>
          <w:szCs w:val="24"/>
        </w:rPr>
      </w:pPr>
      <w:r>
        <w:rPr>
          <w:rFonts w:hint="eastAsia" w:ascii="宋体" w:hAnsi="宋体" w:eastAsia="宋体" w:cs="宋体"/>
          <w:b/>
          <w:szCs w:val="24"/>
        </w:rPr>
        <w:t>20、信用信息查询</w:t>
      </w:r>
    </w:p>
    <w:p w14:paraId="136BFD87">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20.1信用信息查询渠道及截止时间：采购机构将在资格审查时通过“信用中国”网站(www.creditchina.gov.cn)、中国政府采购网(www.ccgp.gov.cn)渠道查询投标人接受资格时的信用记录。</w:t>
      </w:r>
    </w:p>
    <w:p w14:paraId="5FD41EB1">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16AA6894">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6041AFD5">
      <w:pPr>
        <w:pStyle w:val="130"/>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0A145CA1">
      <w:pPr>
        <w:pStyle w:val="130"/>
        <w:spacing w:before="0"/>
        <w:ind w:firstLine="0" w:firstLineChars="0"/>
        <w:rPr>
          <w:rFonts w:hint="eastAsia" w:ascii="宋体" w:hAnsi="宋体" w:eastAsia="宋体" w:cs="宋体"/>
          <w:kern w:val="0"/>
          <w:szCs w:val="24"/>
        </w:rPr>
      </w:pPr>
    </w:p>
    <w:p w14:paraId="534BDAAE">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3C139623">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7A069AE9">
      <w:pPr>
        <w:spacing w:line="360" w:lineRule="auto"/>
        <w:rPr>
          <w:rFonts w:hint="eastAsia" w:ascii="宋体" w:hAnsi="宋体" w:eastAsia="宋体" w:cs="宋体"/>
          <w:b/>
          <w:sz w:val="24"/>
        </w:rPr>
      </w:pPr>
    </w:p>
    <w:p w14:paraId="1F75EC11">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210DA5F3">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463D5012">
      <w:pPr>
        <w:pStyle w:val="130"/>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4BF5A7EA">
      <w:pPr>
        <w:pStyle w:val="130"/>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2984FC1B">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028A04C4">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rPr>
        <w:t>资格审查情况、评审专家抽取规则、符合性审查情况、</w:t>
      </w:r>
      <w:bookmarkEnd w:id="14"/>
      <w:r>
        <w:rPr>
          <w:rFonts w:hint="eastAsia" w:ascii="宋体" w:hAnsi="宋体" w:eastAsia="宋体" w:cs="宋体"/>
          <w:sz w:val="24"/>
        </w:rPr>
        <w:t>未中标情况说明、中标公告期限以及评审专家名单、评分汇总及明细。</w:t>
      </w:r>
    </w:p>
    <w:p w14:paraId="194DB814">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25F2DDB5">
      <w:pPr>
        <w:spacing w:line="360" w:lineRule="auto"/>
        <w:rPr>
          <w:rFonts w:hint="eastAsia" w:ascii="宋体" w:hAnsi="宋体" w:eastAsia="宋体" w:cs="宋体"/>
          <w:b/>
          <w:sz w:val="24"/>
        </w:rPr>
      </w:pPr>
    </w:p>
    <w:p w14:paraId="48BBA40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3E3B4125">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1C0A9F7">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45502335">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0F8747">
      <w:pPr>
        <w:pStyle w:val="130"/>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981D978">
      <w:pPr>
        <w:pStyle w:val="130"/>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5B3219B2">
      <w:pPr>
        <w:pStyle w:val="130"/>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3E3AC58B">
      <w:pPr>
        <w:pStyle w:val="130"/>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7D48BD30">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70029B4F">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4ADF8C9">
      <w:pPr>
        <w:pStyle w:val="4"/>
        <w:ind w:left="0" w:firstLine="480" w:firstLineChars="200"/>
        <w:rPr>
          <w:rFonts w:hint="eastAsia" w:ascii="宋体" w:hAnsi="宋体" w:eastAsia="宋体" w:cs="宋体"/>
          <w:b/>
          <w:sz w:val="32"/>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EE90A5C">
      <w:pPr>
        <w:pStyle w:val="4"/>
      </w:pPr>
      <w:r>
        <w:rPr>
          <w:rFonts w:ascii="宋体" w:hAnsi="宋体" w:eastAsia="宋体"/>
          <w:sz w:val="24"/>
          <w:lang w:val="en-US"/>
        </w:rPr>
        <w:t>27.预付款</w:t>
      </w:r>
    </w:p>
    <w:p w14:paraId="0ACE036F">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FB136C2">
      <w:pPr>
        <w:snapToGrid w:val="0"/>
        <w:spacing w:line="360" w:lineRule="auto"/>
        <w:ind w:firstLine="3357" w:firstLineChars="1045"/>
        <w:rPr>
          <w:rFonts w:ascii="宋体" w:hAnsi="宋体" w:cs="宋体"/>
          <w:b/>
          <w:sz w:val="32"/>
        </w:rPr>
      </w:pPr>
    </w:p>
    <w:p w14:paraId="02915A4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3160086">
      <w:pPr>
        <w:pStyle w:val="130"/>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lang w:val="en-US" w:eastAsia="zh-CN"/>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302D9B04">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.1电子交易平台发生故障而无法登录访问的； </w:t>
      </w:r>
    </w:p>
    <w:p w14:paraId="199708CB">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.2电子交易平台应用或数据库出现错误，不能进行正常操作的；</w:t>
      </w:r>
    </w:p>
    <w:p w14:paraId="5DB13143">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.3电子交易平台发现严重安全漏洞，有潜在泄密危险的；</w:t>
      </w:r>
    </w:p>
    <w:p w14:paraId="5C941D7C">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.4病毒发作导致不能进行正常操作的； </w:t>
      </w:r>
    </w:p>
    <w:p w14:paraId="4EC397F0">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.5其他无法保证电子交易的公平、公正和安全的情况。</w:t>
      </w:r>
    </w:p>
    <w:p w14:paraId="3C4F316E">
      <w:pPr>
        <w:pStyle w:val="130"/>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F7C4C8D">
      <w:pPr>
        <w:tabs>
          <w:tab w:val="left" w:pos="0"/>
        </w:tabs>
        <w:spacing w:line="360" w:lineRule="auto"/>
        <w:ind w:firstLine="480"/>
        <w:rPr>
          <w:rFonts w:ascii="宋体" w:hAnsi="宋体" w:cs="宋体"/>
          <w:sz w:val="24"/>
        </w:rPr>
      </w:pPr>
    </w:p>
    <w:p w14:paraId="1C0B868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7BB4CD6">
      <w:pPr>
        <w:pStyle w:val="25"/>
        <w:spacing w:line="360" w:lineRule="auto"/>
        <w:ind w:firstLine="0" w:firstLineChars="0"/>
        <w:rPr>
          <w:rFonts w:cs="宋体"/>
          <w:b/>
        </w:rPr>
      </w:pPr>
      <w:r>
        <w:rPr>
          <w:rFonts w:hint="eastAsia" w:cs="宋体"/>
          <w:b/>
          <w:lang w:val="en-US" w:eastAsia="zh-CN"/>
        </w:rPr>
        <w:t>30</w:t>
      </w:r>
      <w:r>
        <w:rPr>
          <w:rFonts w:hint="eastAsia" w:cs="宋体"/>
          <w:b/>
        </w:rPr>
        <w:t>.验收</w:t>
      </w:r>
    </w:p>
    <w:p w14:paraId="280599B1">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89742E">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1EB42DF9">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5ED66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AD240C">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2C9D12BA">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14665"/>
      <w:bookmarkEnd w:id="16"/>
      <w:bookmarkStart w:id="17" w:name="_Hlt68057669"/>
      <w:bookmarkEnd w:id="17"/>
      <w:bookmarkStart w:id="18" w:name="_Hlt68073093"/>
      <w:bookmarkEnd w:id="18"/>
      <w:bookmarkStart w:id="19" w:name="_Hlt68403820"/>
      <w:bookmarkEnd w:id="19"/>
      <w:bookmarkStart w:id="20" w:name="_Hlt75236011"/>
      <w:bookmarkEnd w:id="20"/>
      <w:bookmarkStart w:id="21" w:name="_Hlt74729768"/>
      <w:bookmarkEnd w:id="21"/>
      <w:bookmarkStart w:id="22" w:name="_Hlt75236290"/>
      <w:bookmarkEnd w:id="22"/>
      <w:bookmarkStart w:id="23" w:name="_Hlt68072990"/>
      <w:bookmarkEnd w:id="23"/>
      <w:bookmarkStart w:id="24" w:name="_Hlt75236101"/>
      <w:bookmarkEnd w:id="24"/>
      <w:bookmarkStart w:id="25" w:name="_Hlt68072998"/>
      <w:bookmarkEnd w:id="25"/>
      <w:bookmarkStart w:id="26" w:name="_Hlt74730295"/>
      <w:bookmarkEnd w:id="26"/>
    </w:p>
    <w:bookmarkEnd w:id="11"/>
    <w:bookmarkEnd w:id="12"/>
    <w:p w14:paraId="66E19C88">
      <w:pPr>
        <w:spacing w:line="360" w:lineRule="auto"/>
        <w:jc w:val="center"/>
        <w:outlineLvl w:val="0"/>
        <w:rPr>
          <w:rFonts w:hint="eastAsia" w:ascii="宋体" w:hAnsi="宋体" w:eastAsia="宋体" w:cs="宋体"/>
          <w:b/>
          <w:sz w:val="36"/>
          <w:szCs w:val="36"/>
        </w:rPr>
      </w:pPr>
      <w:bookmarkStart w:id="27" w:name="第四部分"/>
      <w:r>
        <w:rPr>
          <w:rFonts w:hint="eastAsia" w:ascii="宋体" w:hAnsi="宋体" w:eastAsia="宋体" w:cs="宋体"/>
          <w:b/>
          <w:sz w:val="36"/>
          <w:szCs w:val="36"/>
        </w:rPr>
        <w:t>第三部分   采购需求</w:t>
      </w:r>
    </w:p>
    <w:p w14:paraId="67887B3E">
      <w:pPr>
        <w:adjustRightInd/>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一、项目概况</w:t>
      </w:r>
    </w:p>
    <w:p w14:paraId="1D9A42DC">
      <w:pPr>
        <w:widowControl/>
        <w:adjustRightInd/>
        <w:spacing w:line="360" w:lineRule="auto"/>
        <w:ind w:firstLine="480" w:firstLineChars="200"/>
        <w:rPr>
          <w:rFonts w:hint="eastAsia" w:ascii="宋体" w:hAnsi="宋体" w:eastAsia="宋体" w:cs="宋体"/>
          <w:b w:val="0"/>
          <w:bCs/>
          <w:color w:val="000000"/>
          <w:kern w:val="0"/>
          <w:sz w:val="24"/>
          <w:lang w:val="en-US" w:eastAsia="zh-CN" w:bidi="ar"/>
        </w:rPr>
      </w:pPr>
      <w:r>
        <w:rPr>
          <w:rFonts w:hint="eastAsia" w:hAnsi="宋体" w:cs="宋体"/>
          <w:bCs/>
          <w:snapToGrid/>
          <w:color w:val="auto"/>
          <w:kern w:val="2"/>
          <w:sz w:val="24"/>
          <w:szCs w:val="24"/>
          <w:lang w:eastAsia="zh-CN"/>
        </w:rPr>
        <w:t>杭州市十三中教育集团(总校)2025-2026年保安服务采购项目</w:t>
      </w:r>
      <w:r>
        <w:rPr>
          <w:rFonts w:hint="eastAsia" w:ascii="宋体" w:hAnsi="宋体" w:eastAsia="宋体" w:cs="宋体"/>
          <w:b w:val="0"/>
          <w:bCs/>
          <w:color w:val="000000"/>
          <w:kern w:val="0"/>
          <w:sz w:val="24"/>
          <w:lang w:val="en-US" w:eastAsia="zh-CN" w:bidi="ar"/>
        </w:rPr>
        <w:t>，依据学校安防工作要求和标准，为学校采购保安服务，按当前服务面积、学生数测算，需12名专职保安员。服务内容包括并不限于日常固定岗执勤、巡查、安全防范、消防等</w:t>
      </w:r>
      <w:r>
        <w:rPr>
          <w:rFonts w:hint="eastAsia" w:ascii="宋体" w:hAnsi="宋体" w:cs="宋体"/>
          <w:b w:val="0"/>
          <w:bCs/>
          <w:color w:val="000000"/>
          <w:kern w:val="0"/>
          <w:sz w:val="24"/>
          <w:lang w:val="en-US" w:eastAsia="zh-CN" w:bidi="ar"/>
        </w:rPr>
        <w:t>。</w:t>
      </w:r>
    </w:p>
    <w:p w14:paraId="2B41C449">
      <w:pPr>
        <w:adjustRightInd/>
        <w:spacing w:line="360" w:lineRule="auto"/>
        <w:ind w:firstLine="482" w:firstLineChars="200"/>
        <w:rPr>
          <w:rFonts w:hint="eastAsia" w:ascii="宋体" w:hAnsi="宋体" w:eastAsia="宋体" w:cs="宋体"/>
          <w:b/>
          <w:bCs/>
          <w:sz w:val="24"/>
          <w:lang w:val="en-US" w:eastAsia="zh-Hans"/>
        </w:rPr>
      </w:pPr>
      <w:r>
        <w:rPr>
          <w:rFonts w:hint="eastAsia" w:ascii="宋体" w:hAnsi="宋体" w:eastAsia="宋体" w:cs="宋体"/>
          <w:b/>
          <w:bCs/>
          <w:sz w:val="24"/>
          <w:lang w:val="en-US" w:eastAsia="zh-Hans"/>
        </w:rPr>
        <w:t>（二）服务期限</w:t>
      </w:r>
    </w:p>
    <w:p w14:paraId="3724B266">
      <w:pPr>
        <w:adjustRightInd/>
        <w:spacing w:line="360" w:lineRule="auto"/>
        <w:ind w:firstLine="480" w:firstLineChars="200"/>
        <w:rPr>
          <w:rFonts w:ascii="宋体" w:hAnsi="宋体" w:cs="宋体"/>
          <w:sz w:val="24"/>
          <w:lang w:eastAsia="zh-Hans"/>
        </w:rPr>
      </w:pPr>
      <w:r>
        <w:rPr>
          <w:rFonts w:hint="eastAsia" w:ascii="宋体" w:hAnsi="宋体" w:cs="宋体"/>
          <w:sz w:val="24"/>
          <w:lang w:eastAsia="zh-Hans"/>
        </w:rPr>
        <w:t>自合同签订之日起1年。服务期满并通过验收，绩效评价好、服务对象满意度高的，在预算保障的前提下，可以根据原采购合同的约定续签合同，但原合同和续签合同累计履行期限不超过</w:t>
      </w:r>
      <w:r>
        <w:rPr>
          <w:rFonts w:hint="eastAsia" w:ascii="宋体" w:hAnsi="宋体" w:cs="宋体"/>
          <w:sz w:val="24"/>
          <w:lang w:val="en-US" w:eastAsia="zh-CN"/>
        </w:rPr>
        <w:t>2</w:t>
      </w:r>
      <w:r>
        <w:rPr>
          <w:rFonts w:hint="eastAsia" w:ascii="宋体" w:hAnsi="宋体" w:cs="宋体"/>
          <w:sz w:val="24"/>
          <w:lang w:eastAsia="zh-Hans"/>
        </w:rPr>
        <w:t>年。合同履行期内若供应商达不到考核要求，采购单位可按有关程序终止下一年度的服务合同，另行招标采购。</w:t>
      </w:r>
    </w:p>
    <w:p w14:paraId="30FB53D2">
      <w:pPr>
        <w:keepNext w:val="0"/>
        <w:keepLines w:val="0"/>
        <w:pageBreakBefore w:val="0"/>
        <w:widowControl/>
        <w:kinsoku/>
        <w:wordWrap/>
        <w:overflowPunct/>
        <w:topLinePunct w:val="0"/>
        <w:autoSpaceDE/>
        <w:autoSpaceDN/>
        <w:bidi w:val="0"/>
        <w:adjustRightInd/>
        <w:snapToGrid/>
        <w:spacing w:before="156" w:beforeLines="50" w:line="360" w:lineRule="auto"/>
        <w:ind w:firstLine="482" w:firstLineChars="200"/>
        <w:textAlignment w:val="auto"/>
        <w:outlineLvl w:val="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（三）人员配置要求</w:t>
      </w:r>
    </w:p>
    <w:p w14:paraId="0CCE9B9C">
      <w:pPr>
        <w:pStyle w:val="60"/>
        <w:contextualSpacing/>
        <w:rPr>
          <w:rFonts w:hint="eastAsia" w:ascii="宋体" w:hAnsi="宋体" w:eastAsia="宋体" w:cs="宋体"/>
          <w:kern w:val="0"/>
          <w:sz w:val="24"/>
          <w:szCs w:val="24"/>
          <w:lang w:val="en-US"/>
        </w:rPr>
      </w:pPr>
      <w:r>
        <w:rPr>
          <w:rFonts w:hint="eastAsia" w:ascii="宋体" w:hAnsi="宋体" w:eastAsia="宋体" w:cs="宋体"/>
          <w:sz w:val="24"/>
          <w:szCs w:val="24"/>
        </w:rPr>
        <w:t>▲</w:t>
      </w:r>
      <w:r>
        <w:rPr>
          <w:rFonts w:hint="eastAsia" w:ascii="宋体" w:hAnsi="宋体" w:eastAsia="宋体" w:cs="宋体"/>
          <w:kern w:val="0"/>
          <w:sz w:val="24"/>
          <w:szCs w:val="24"/>
          <w:lang w:val="en-US"/>
        </w:rPr>
        <w:t>1.保安人员配置数量</w:t>
      </w:r>
      <w:r>
        <w:rPr>
          <w:rFonts w:hint="eastAsia" w:ascii="宋体" w:hAnsi="宋体" w:eastAsia="宋体" w:cs="宋体"/>
          <w:kern w:val="0"/>
          <w:sz w:val="24"/>
          <w:szCs w:val="24"/>
          <w:highlight w:val="none"/>
          <w:lang w:val="en-US"/>
        </w:rPr>
        <w:t>不少于12人</w:t>
      </w:r>
      <w:r>
        <w:rPr>
          <w:rFonts w:hint="eastAsia" w:ascii="宋体" w:hAnsi="宋体" w:eastAsia="宋体" w:cs="宋体"/>
          <w:kern w:val="0"/>
          <w:sz w:val="24"/>
          <w:szCs w:val="24"/>
          <w:lang w:val="en-US"/>
        </w:rPr>
        <w:t>，配置人数详见下表。</w:t>
      </w:r>
    </w:p>
    <w:p w14:paraId="646657A9">
      <w:pPr>
        <w:pStyle w:val="50"/>
        <w:spacing w:line="360" w:lineRule="auto"/>
        <w:ind w:left="0" w:leftChars="0"/>
        <w:contextualSpacing/>
        <w:jc w:val="center"/>
        <w:rPr>
          <w:rFonts w:hint="eastAsia" w:ascii="宋体" w:hAnsi="宋体" w:eastAsia="宋体" w:cs="宋体"/>
          <w:b/>
          <w:bCs/>
          <w:sz w:val="24"/>
          <w:szCs w:val="24"/>
        </w:rPr>
      </w:pPr>
      <w:r>
        <w:rPr>
          <w:rFonts w:hint="eastAsia" w:ascii="宋体" w:hAnsi="宋体" w:eastAsia="宋体" w:cs="宋体"/>
          <w:b/>
          <w:bCs/>
          <w:sz w:val="24"/>
          <w:szCs w:val="24"/>
        </w:rPr>
        <w:t>保安人员岗位及人员配置需求表</w:t>
      </w:r>
    </w:p>
    <w:tbl>
      <w:tblPr>
        <w:tblStyle w:val="62"/>
        <w:tblW w:w="9922" w:type="dxa"/>
        <w:jc w:val="center"/>
        <w:tblLayout w:type="fixed"/>
        <w:tblCellMar>
          <w:top w:w="0" w:type="dxa"/>
          <w:left w:w="108" w:type="dxa"/>
          <w:bottom w:w="0" w:type="dxa"/>
          <w:right w:w="108" w:type="dxa"/>
        </w:tblCellMar>
      </w:tblPr>
      <w:tblGrid>
        <w:gridCol w:w="523"/>
        <w:gridCol w:w="1985"/>
        <w:gridCol w:w="1599"/>
        <w:gridCol w:w="1560"/>
        <w:gridCol w:w="1675"/>
        <w:gridCol w:w="2580"/>
      </w:tblGrid>
      <w:tr w14:paraId="52F6717E">
        <w:trPr>
          <w:jc w:val="center"/>
        </w:trPr>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358AEA70">
            <w:pPr>
              <w:widowControl/>
              <w:spacing w:line="360" w:lineRule="auto"/>
              <w:contextualSpacing/>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985" w:type="dxa"/>
            <w:vMerge w:val="restart"/>
            <w:tcBorders>
              <w:top w:val="single" w:color="000000" w:sz="4" w:space="0"/>
              <w:left w:val="single" w:color="000000" w:sz="4" w:space="0"/>
              <w:bottom w:val="single" w:color="000000" w:sz="4" w:space="0"/>
              <w:right w:val="single" w:color="000000" w:sz="4" w:space="0"/>
            </w:tcBorders>
            <w:noWrap/>
            <w:vAlign w:val="center"/>
          </w:tcPr>
          <w:p w14:paraId="03ACCBFB">
            <w:pPr>
              <w:widowControl/>
              <w:spacing w:line="360" w:lineRule="auto"/>
              <w:contextualSpacing/>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单位名称</w:t>
            </w:r>
          </w:p>
        </w:tc>
        <w:tc>
          <w:tcPr>
            <w:tcW w:w="7414" w:type="dxa"/>
            <w:gridSpan w:val="4"/>
            <w:tcBorders>
              <w:top w:val="single" w:color="000000" w:sz="4" w:space="0"/>
              <w:left w:val="single" w:color="000000" w:sz="4" w:space="0"/>
              <w:bottom w:val="single" w:color="000000" w:sz="4" w:space="0"/>
              <w:right w:val="single" w:color="000000" w:sz="4" w:space="0"/>
            </w:tcBorders>
            <w:noWrap/>
            <w:vAlign w:val="center"/>
          </w:tcPr>
          <w:p w14:paraId="7D8A5438">
            <w:pPr>
              <w:widowControl/>
              <w:spacing w:line="360" w:lineRule="auto"/>
              <w:contextualSpacing/>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保安人数配置（最少人数）</w:t>
            </w:r>
          </w:p>
        </w:tc>
      </w:tr>
      <w:tr w14:paraId="54015052">
        <w:tblPrEx>
          <w:tblCellMar>
            <w:top w:w="0" w:type="dxa"/>
            <w:left w:w="108" w:type="dxa"/>
            <w:bottom w:w="0" w:type="dxa"/>
            <w:right w:w="108" w:type="dxa"/>
          </w:tblCellMar>
        </w:tblPrEx>
        <w:trPr>
          <w:jc w:val="center"/>
        </w:trPr>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26C63DCC">
            <w:pPr>
              <w:spacing w:line="360" w:lineRule="auto"/>
              <w:contextualSpacing/>
              <w:jc w:val="center"/>
              <w:rPr>
                <w:rFonts w:hint="eastAsia" w:ascii="宋体" w:hAnsi="宋体" w:eastAsia="宋体" w:cs="宋体"/>
                <w:b/>
                <w:bCs/>
                <w:color w:val="000000"/>
                <w:sz w:val="24"/>
                <w:szCs w:val="24"/>
              </w:rPr>
            </w:pPr>
          </w:p>
        </w:tc>
        <w:tc>
          <w:tcPr>
            <w:tcW w:w="1985" w:type="dxa"/>
            <w:vMerge w:val="continue"/>
            <w:tcBorders>
              <w:top w:val="single" w:color="000000" w:sz="4" w:space="0"/>
              <w:left w:val="single" w:color="000000" w:sz="4" w:space="0"/>
              <w:bottom w:val="single" w:color="000000" w:sz="4" w:space="0"/>
              <w:right w:val="single" w:color="000000" w:sz="4" w:space="0"/>
            </w:tcBorders>
            <w:noWrap/>
            <w:vAlign w:val="center"/>
          </w:tcPr>
          <w:p w14:paraId="419BFD91">
            <w:pPr>
              <w:spacing w:line="360" w:lineRule="auto"/>
              <w:contextualSpacing/>
              <w:jc w:val="center"/>
              <w:rPr>
                <w:rFonts w:hint="eastAsia" w:ascii="宋体" w:hAnsi="宋体" w:eastAsia="宋体" w:cs="宋体"/>
                <w:b/>
                <w:bCs/>
                <w:color w:val="000000"/>
                <w:sz w:val="24"/>
                <w:szCs w:val="24"/>
              </w:rPr>
            </w:pPr>
          </w:p>
        </w:tc>
        <w:tc>
          <w:tcPr>
            <w:tcW w:w="1599" w:type="dxa"/>
            <w:tcBorders>
              <w:top w:val="single" w:color="000000" w:sz="4" w:space="0"/>
              <w:left w:val="single" w:color="000000" w:sz="4" w:space="0"/>
              <w:bottom w:val="single" w:color="000000" w:sz="4" w:space="0"/>
              <w:right w:val="single" w:color="auto" w:sz="4" w:space="0"/>
            </w:tcBorders>
            <w:noWrap w:val="0"/>
            <w:vAlign w:val="center"/>
          </w:tcPr>
          <w:p w14:paraId="2F0A04D7">
            <w:pPr>
              <w:widowControl/>
              <w:spacing w:line="360" w:lineRule="auto"/>
              <w:contextualSpacing/>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保安队长</w:t>
            </w:r>
          </w:p>
        </w:tc>
        <w:tc>
          <w:tcPr>
            <w:tcW w:w="1560" w:type="dxa"/>
            <w:tcBorders>
              <w:top w:val="single" w:color="000000" w:sz="4" w:space="0"/>
              <w:left w:val="single" w:color="auto" w:sz="4" w:space="0"/>
              <w:bottom w:val="single" w:color="000000" w:sz="4" w:space="0"/>
              <w:right w:val="single" w:color="000000" w:sz="4" w:space="0"/>
            </w:tcBorders>
            <w:noWrap w:val="0"/>
            <w:vAlign w:val="center"/>
          </w:tcPr>
          <w:p w14:paraId="43845CF5">
            <w:pPr>
              <w:widowControl/>
              <w:spacing w:line="360" w:lineRule="auto"/>
              <w:contextualSpacing/>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消保人数</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78C0936E">
            <w:pPr>
              <w:widowControl/>
              <w:spacing w:line="360" w:lineRule="auto"/>
              <w:contextualSpacing/>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普保人数</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071F1B2">
            <w:pPr>
              <w:widowControl/>
              <w:spacing w:line="360" w:lineRule="auto"/>
              <w:contextualSpacing/>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合计人数</w:t>
            </w:r>
          </w:p>
        </w:tc>
      </w:tr>
      <w:tr w14:paraId="41552475">
        <w:tblPrEx>
          <w:tblCellMar>
            <w:top w:w="0" w:type="dxa"/>
            <w:left w:w="108" w:type="dxa"/>
            <w:bottom w:w="0" w:type="dxa"/>
            <w:right w:w="108" w:type="dxa"/>
          </w:tblCellMar>
        </w:tblPrEx>
        <w:trPr>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65F82F93">
            <w:pPr>
              <w:widowControl/>
              <w:spacing w:line="360" w:lineRule="auto"/>
              <w:contextualSpacing/>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514EE07">
            <w:pPr>
              <w:widowControl/>
              <w:spacing w:line="360" w:lineRule="auto"/>
              <w:contextualSpacing/>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杭州市十三中教育集团(总校)</w:t>
            </w:r>
          </w:p>
        </w:tc>
        <w:tc>
          <w:tcPr>
            <w:tcW w:w="1599" w:type="dxa"/>
            <w:tcBorders>
              <w:top w:val="single" w:color="000000" w:sz="4" w:space="0"/>
              <w:left w:val="single" w:color="000000" w:sz="4" w:space="0"/>
              <w:bottom w:val="single" w:color="000000" w:sz="4" w:space="0"/>
              <w:right w:val="single" w:color="auto" w:sz="4" w:space="0"/>
            </w:tcBorders>
            <w:noWrap/>
            <w:vAlign w:val="center"/>
          </w:tcPr>
          <w:p w14:paraId="0DEFD6BB">
            <w:pPr>
              <w:widowControl/>
              <w:spacing w:line="360" w:lineRule="auto"/>
              <w:contextualSpacing/>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60" w:type="dxa"/>
            <w:tcBorders>
              <w:top w:val="single" w:color="000000" w:sz="4" w:space="0"/>
              <w:left w:val="single" w:color="auto" w:sz="4" w:space="0"/>
              <w:bottom w:val="single" w:color="000000" w:sz="4" w:space="0"/>
              <w:right w:val="single" w:color="000000" w:sz="4" w:space="0"/>
            </w:tcBorders>
            <w:noWrap w:val="0"/>
            <w:vAlign w:val="center"/>
          </w:tcPr>
          <w:p w14:paraId="70560E48">
            <w:pPr>
              <w:widowControl/>
              <w:spacing w:line="360" w:lineRule="auto"/>
              <w:contextualSpacing/>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50537167">
            <w:pPr>
              <w:widowControl/>
              <w:spacing w:line="360" w:lineRule="auto"/>
              <w:contextualSpacing/>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2A493321">
            <w:pPr>
              <w:widowControl/>
              <w:spacing w:line="360" w:lineRule="auto"/>
              <w:contextualSpacing/>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r>
    </w:tbl>
    <w:p w14:paraId="671F32C2">
      <w:pPr>
        <w:tabs>
          <w:tab w:val="left" w:pos="1571"/>
        </w:tabs>
        <w:spacing w:line="360" w:lineRule="auto"/>
        <w:ind w:firstLine="480" w:firstLineChars="200"/>
        <w:contextualSpacing/>
        <w:rPr>
          <w:rFonts w:hint="eastAsia" w:ascii="宋体" w:hAnsi="宋体" w:cs="宋体"/>
          <w:sz w:val="24"/>
          <w:szCs w:val="24"/>
          <w:lang w:eastAsia="zh-CN"/>
        </w:rPr>
      </w:pPr>
      <w:r>
        <w:rPr>
          <w:rFonts w:hint="eastAsia" w:ascii="宋体" w:hAnsi="宋体" w:eastAsia="宋体" w:cs="宋体"/>
          <w:sz w:val="24"/>
          <w:szCs w:val="24"/>
        </w:rPr>
        <w:t>2.本项目拟派的人员须具有初中以上学历，年龄须在18-55周岁（含）</w:t>
      </w:r>
      <w:r>
        <w:rPr>
          <w:rFonts w:hint="eastAsia" w:ascii="宋体" w:hAnsi="宋体" w:cs="宋体"/>
          <w:sz w:val="24"/>
          <w:szCs w:val="24"/>
          <w:lang w:eastAsia="zh-CN"/>
        </w:rPr>
        <w:t>。</w:t>
      </w:r>
    </w:p>
    <w:p w14:paraId="55FF8472">
      <w:pPr>
        <w:tabs>
          <w:tab w:val="left" w:pos="1571"/>
        </w:tabs>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rPr>
        <w:t>本项目派驻的人员须全部持有保安员证书</w:t>
      </w:r>
      <w:r>
        <w:rPr>
          <w:rFonts w:hint="eastAsia" w:ascii="宋体" w:hAnsi="宋体" w:cs="宋体"/>
          <w:b/>
          <w:bCs/>
          <w:sz w:val="24"/>
          <w:lang w:val="en-US" w:eastAsia="zh-CN"/>
        </w:rPr>
        <w:t>（</w:t>
      </w:r>
      <w:r>
        <w:rPr>
          <w:rFonts w:hint="eastAsia" w:ascii="宋体" w:hAnsi="宋体" w:eastAsia="宋体" w:cs="宋体"/>
          <w:b/>
          <w:bCs/>
          <w:sz w:val="24"/>
          <w:szCs w:val="24"/>
          <w:highlight w:val="none"/>
        </w:rPr>
        <w:t>▲</w:t>
      </w:r>
      <w:r>
        <w:rPr>
          <w:rFonts w:hint="eastAsia" w:ascii="宋体" w:hAnsi="宋体" w:cs="宋体"/>
          <w:b/>
          <w:bCs/>
          <w:sz w:val="24"/>
          <w:lang w:val="en-US" w:eastAsia="zh-CN"/>
        </w:rPr>
        <w:t>提供保安员证书）</w:t>
      </w:r>
      <w:r>
        <w:rPr>
          <w:rFonts w:hint="eastAsia" w:ascii="宋体" w:hAnsi="宋体" w:cs="宋体"/>
          <w:sz w:val="24"/>
        </w:rPr>
        <w:t>，至少有6位保安还要同时持有消防设施操作员证书</w:t>
      </w:r>
      <w:r>
        <w:rPr>
          <w:rFonts w:hint="eastAsia" w:ascii="宋体" w:hAnsi="宋体" w:cs="宋体"/>
          <w:sz w:val="24"/>
          <w:lang w:eastAsia="zh-CN"/>
        </w:rPr>
        <w:t>，</w:t>
      </w:r>
      <w:r>
        <w:rPr>
          <w:rFonts w:hint="eastAsia" w:ascii="宋体" w:hAnsi="宋体" w:cs="宋体"/>
          <w:sz w:val="24"/>
          <w:lang w:val="en-US" w:eastAsia="zh-CN"/>
        </w:rPr>
        <w:t>保证2个消控室，24小时人员在岗</w:t>
      </w:r>
      <w:r>
        <w:rPr>
          <w:rFonts w:hint="eastAsia" w:ascii="宋体" w:hAnsi="宋体" w:cs="宋体"/>
          <w:sz w:val="24"/>
        </w:rPr>
        <w:t>。</w:t>
      </w:r>
    </w:p>
    <w:p w14:paraId="14934B59">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4.品行端正，应知法、懂法、守法，依法办事，热爱保安工作，必须严格遵守保安从业规范，模范遵守安全管理规定。</w:t>
      </w:r>
    </w:p>
    <w:p w14:paraId="51591D2E">
      <w:pPr>
        <w:tabs>
          <w:tab w:val="left" w:pos="1571"/>
        </w:tabs>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▲5.拟派人员均没有违法犯罪记录，需提供书面承诺。</w:t>
      </w:r>
    </w:p>
    <w:p w14:paraId="67BF2159">
      <w:pPr>
        <w:tabs>
          <w:tab w:val="left" w:pos="720"/>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6.本项目拟派的人员身体健康，没有传染病及精神病等不能控制自己行为能力的疾病病史，体貌端正，无纹身，无染发，反应灵敏，具有一定的应变和说服能力，会讲普通话。</w:t>
      </w:r>
    </w:p>
    <w:p w14:paraId="5FF8298B">
      <w:pPr>
        <w:tabs>
          <w:tab w:val="left" w:pos="720"/>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7.本项目拟派的保安人员必须参加保安培训单位组织的岗前培训，经培训合格后方可上岗。拟派的保安人员须熟知采购人的管理规定，严格履行岗位职责，善于发现各类问题，具备一定的管理经验和处理突发事件能力。</w:t>
      </w:r>
    </w:p>
    <w:p w14:paraId="5640B2FC">
      <w:pPr>
        <w:tabs>
          <w:tab w:val="left" w:pos="720"/>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8.拟派的保安人员必须专职为学校服务，不得兼职，如遇特殊情况需借用本项目保安人员，须报请用人学校批准，并保证本项目正常运行。中标人对保安服务人员需要更换的，须提前上报各用人学校，经校方认可后方可更换。</w:t>
      </w:r>
    </w:p>
    <w:p w14:paraId="2461CF21">
      <w:pPr>
        <w:tabs>
          <w:tab w:val="left" w:pos="1571"/>
        </w:tabs>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保安队长需持有具有人力资源和社会保障部门颁发的保安员三级及以上证书和公安消防部门或应急管理部门颁发的建（构）筑物消防员证书或消防设施操作员证书，负责对本项目人员的管理与服务，配合学校加强对保安队伍的日常监督管理。</w:t>
      </w:r>
    </w:p>
    <w:p w14:paraId="63C9FB81">
      <w:pPr>
        <w:tabs>
          <w:tab w:val="left" w:pos="1571"/>
        </w:tabs>
        <w:spacing w:line="360" w:lineRule="auto"/>
        <w:ind w:firstLine="480" w:firstLineChars="200"/>
        <w:contextualSpacing/>
        <w:rPr>
          <w:rFonts w:hint="eastAsia" w:ascii="宋体" w:hAnsi="宋体" w:eastAsia="宋体" w:cs="宋体"/>
          <w:sz w:val="24"/>
          <w:szCs w:val="24"/>
          <w:highlight w:val="yellow"/>
        </w:rPr>
      </w:pPr>
      <w:r>
        <w:rPr>
          <w:rFonts w:hint="eastAsia" w:ascii="宋体" w:hAnsi="宋体" w:eastAsia="宋体" w:cs="宋体"/>
          <w:sz w:val="24"/>
          <w:szCs w:val="24"/>
        </w:rPr>
        <w:t>10.中标人应按照教育部门和公安部门的要求为派往校园的保安员配发保安员制服和安全防卫器械、应急处置装备，其中，每年为每位保安员配备服装夏短袖制式衬衣不少于2套、长袖制式衬衣不少于2件、春秋常服不少于2套、冬装不少于1套等；按保安员人手一套配备以下设备及工具：口哨（1个/人）、防暴头盔（1顶/人）、橡胶棒（1支/人）、钢叉（5把）、防护盾牌（5块）、防刺背心（1件/人）、防割手套（1副/人）、强光手电（1支/人）、催泪喷射器（1支/人）等护卫器械，及服务学校认为需要的其他物品或设备。</w:t>
      </w:r>
    </w:p>
    <w:p w14:paraId="60ED9F05">
      <w:pPr>
        <w:tabs>
          <w:tab w:val="left" w:pos="720"/>
        </w:tabs>
        <w:spacing w:line="360" w:lineRule="auto"/>
        <w:ind w:firstLine="482" w:firstLineChars="200"/>
        <w:contextualSpacing/>
        <w:rPr>
          <w:rFonts w:hint="eastAsia" w:ascii="宋体" w:hAnsi="宋体" w:eastAsia="宋体" w:cs="宋体"/>
          <w:b/>
          <w:sz w:val="24"/>
          <w:szCs w:val="24"/>
        </w:rPr>
      </w:pPr>
      <w:r>
        <w:rPr>
          <w:rFonts w:hint="eastAsia" w:ascii="宋体" w:hAnsi="宋体" w:eastAsia="宋体" w:cs="宋体"/>
          <w:b/>
          <w:sz w:val="24"/>
          <w:szCs w:val="24"/>
        </w:rPr>
        <w:t>（四）保安服务总体要求</w:t>
      </w:r>
    </w:p>
    <w:p w14:paraId="0D271A1E">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 熟悉校园安保工作形势，能根据校园安保工作存在的主要问题，采取本地化、个案化的措施，并制定详细的有针对性的服务方案和安保人员配置方案，以便能够为采购人提供及时、优质的售后服务，包括且不限于更换不合格保安员；应学校要求，在重大活动期间和重点时段增派保安人员；开展针对性的保安员培训等。</w:t>
      </w:r>
    </w:p>
    <w:p w14:paraId="16ADDAE0">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为加强本项目服务点安全防范，减少各种案件和事故的发生，供应商应具有较强的处理突发、应急事件的处理力量和能力，能对突发案件提供高效、优质的报警及处置等服务，能够为采购人提供及时、优质的售后服务。</w:t>
      </w:r>
    </w:p>
    <w:p w14:paraId="27FF1DC4">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供应商应加强保安员的管理，根据国务院《保安服务管理条例》和省市区相关规定，做好培训教育指导工作，派遣足够数量、业务精湛、工作履职能力强的保安员到用人学校提供服务，保持派遣人员队伍的相对稳定，具有人员增补方案，按保安岗位设置表配足，不得擅自减少。</w:t>
      </w:r>
    </w:p>
    <w:p w14:paraId="1EE93946">
      <w:pPr>
        <w:widowControl/>
        <w:adjustRightInd/>
        <w:spacing w:line="360" w:lineRule="auto"/>
        <w:ind w:firstLine="482" w:firstLineChars="200"/>
        <w:contextualSpacing/>
        <w:outlineLvl w:val="0"/>
        <w:rPr>
          <w:rFonts w:hint="eastAsia" w:ascii="宋体" w:hAnsi="宋体" w:eastAsia="宋体" w:cs="宋体"/>
          <w:b/>
          <w:sz w:val="24"/>
          <w:szCs w:val="24"/>
        </w:rPr>
      </w:pPr>
      <w:r>
        <w:rPr>
          <w:rFonts w:hint="eastAsia" w:ascii="宋体" w:hAnsi="宋体" w:eastAsia="宋体" w:cs="宋体"/>
          <w:b/>
          <w:sz w:val="24"/>
          <w:szCs w:val="24"/>
        </w:rPr>
        <w:t>（五）保安服务服务范围</w:t>
      </w:r>
    </w:p>
    <w:p w14:paraId="37FC8FCD">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保安员具体负责学校办公、生活区域的门岗执勤、门口卫生保洁、停车管理、门禁管理、监控管理、安全防范等安保管理服务，维持公共秩序。保安须24小时值班，对外来人员通报、证件检验、出入进行登记，报刊信件等收发，处理学校可能发生的突发性事件。</w:t>
      </w:r>
    </w:p>
    <w:p w14:paraId="77A440E9">
      <w:pPr>
        <w:pStyle w:val="60"/>
        <w:rPr>
          <w:rFonts w:hint="eastAsia" w:ascii="宋体" w:hAnsi="宋体" w:eastAsia="宋体" w:cs="宋体"/>
          <w:sz w:val="24"/>
          <w:szCs w:val="24"/>
        </w:rPr>
      </w:pPr>
      <w:r>
        <w:rPr>
          <w:rFonts w:hint="eastAsia" w:ascii="宋体" w:hAnsi="宋体" w:eastAsia="宋体" w:cs="宋体"/>
          <w:sz w:val="24"/>
          <w:szCs w:val="24"/>
        </w:rPr>
        <w:t>2.保安员负责学校消防器材定期检查工作；积极主动的配合、服从学校及对口管理部门的临时应急调度；负责公共区域防盗门、照明路灯的关与开等工作；负责学校出入口的人员出入管理。</w:t>
      </w:r>
    </w:p>
    <w:p w14:paraId="7B49C4F4">
      <w:pPr>
        <w:pStyle w:val="60"/>
        <w:rPr>
          <w:rFonts w:hint="eastAsia" w:ascii="宋体" w:hAnsi="宋体" w:eastAsia="宋体" w:cs="宋体"/>
          <w:sz w:val="24"/>
          <w:szCs w:val="24"/>
        </w:rPr>
      </w:pPr>
      <w:r>
        <w:rPr>
          <w:rFonts w:hint="eastAsia" w:hAnsi="宋体" w:cs="宋体"/>
          <w:szCs w:val="24"/>
          <w:lang w:val="en-US"/>
        </w:rPr>
        <w:t>3.负责学校两个消控室管理，全天24小时消防中心值班，24小时消防主机监管。出现消防报警时1分钟辨别消防报警的信息，5分钟后到达报警点，及时消除消防安全隐患。</w:t>
      </w:r>
    </w:p>
    <w:p w14:paraId="3EFD81AC">
      <w:pPr>
        <w:widowControl/>
        <w:adjustRightInd/>
        <w:spacing w:line="360" w:lineRule="auto"/>
        <w:ind w:firstLine="482" w:firstLineChars="200"/>
        <w:contextualSpacing/>
        <w:outlineLvl w:val="0"/>
        <w:rPr>
          <w:rFonts w:hint="eastAsia" w:ascii="宋体" w:hAnsi="宋体" w:eastAsia="宋体" w:cs="宋体"/>
          <w:b/>
          <w:sz w:val="24"/>
          <w:szCs w:val="24"/>
        </w:rPr>
      </w:pPr>
      <w:r>
        <w:rPr>
          <w:rFonts w:hint="eastAsia" w:ascii="宋体" w:hAnsi="宋体" w:eastAsia="宋体" w:cs="宋体"/>
          <w:b/>
          <w:sz w:val="24"/>
          <w:szCs w:val="24"/>
        </w:rPr>
        <w:t>（六）保安服务管理标准与服务要求</w:t>
      </w:r>
    </w:p>
    <w:p w14:paraId="7C1DEFDE">
      <w:pPr>
        <w:tabs>
          <w:tab w:val="left" w:pos="1571"/>
        </w:tabs>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1.安全保卫工作要求</w:t>
      </w:r>
    </w:p>
    <w:p w14:paraId="6BE779A5">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（1）管理区域的门岗实行全天24小时执勤，严格按作息时间表进行，如需更改，须征得学校同意。</w:t>
      </w:r>
    </w:p>
    <w:p w14:paraId="5128873C">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（2）保安人员应规定统一着装、仪表仪容整洁端庄并持保安员证上岗，值岗时与师生、访客交谈应使用文明、规范用语，对来访人员的越轨行为及时劝阻、疏导，预防各类治安事件的发生。</w:t>
      </w:r>
    </w:p>
    <w:p w14:paraId="7DD83554">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（3）为保障学校、访客人身财产的安全，保安人员应认真值守，实施正常的学校公共部位安全保卫防范性工作。对突发事件应迅速作出反应，果断作出适当处置，并做好记录。</w:t>
      </w:r>
    </w:p>
    <w:p w14:paraId="036EAE58">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（4）门岗保安人员应熟悉学校单位工作人员及单位车辆状况，并严格实行访客出入登记制度，不准闲杂人员进入管理区域，严格保安纪律，禁止无关人员进入学校。办公及公共场所要控制噪音，制止喧闹现象。</w:t>
      </w:r>
    </w:p>
    <w:p w14:paraId="1430E530">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管理区域内实行全年365天全天候保安巡视服务，对重点区域、重点部位定期进行巡查。为防盗、防火、防灾和维持管理区域的公共秩序，保安人员要按不同方案的巡视路线，确保每次巡逻均能巡遍全部公共区域。</w:t>
      </w:r>
    </w:p>
    <w:p w14:paraId="1B5540FC">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（6）夜间工作期间，学校工作人员下班后保安员应关闭大门，关闭各楼道内不必要的电灯。按时开启、关闭报警及其他有关设施。保安员夜间执勤必须按照规定路线巡逻，做好巡逻记录。</w:t>
      </w:r>
    </w:p>
    <w:p w14:paraId="7B6C7EFA">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7）加强管理，预防重大火灾、刑事和交通事故的发生。对突发事件有应急处理程序和措施，一旦发现事件苗头必须立即报告学校，防止事态进一步恶化。做好应急响应，接到火警、警情后3分钟内到达现场，并报校领导与警方，协助采取有关措施。</w:t>
      </w:r>
    </w:p>
    <w:p w14:paraId="21D14807">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（8）密切观察职责区域安全情况，做到及早发现及早解决。禁止学校范围内出现涉黄涉赌涉毒的不良现象。同时，及时检查校内各项公共设施有无损坏，有情况要及时汇报给学校。</w:t>
      </w:r>
    </w:p>
    <w:p w14:paraId="03E47B0C">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（9）做好交接班工作，有详细完整的交接班记录。保安员在工作期间要接受服务学校的领导和监督，遵守学校的有关规章制度和《保安人员纪律》。</w:t>
      </w:r>
    </w:p>
    <w:p w14:paraId="2B34E846">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（10）完成学校交给的其它与安全保卫有关事项。</w:t>
      </w:r>
    </w:p>
    <w:p w14:paraId="36ACEA87">
      <w:pPr>
        <w:tabs>
          <w:tab w:val="left" w:pos="1571"/>
        </w:tabs>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2.消防管理要求</w:t>
      </w:r>
    </w:p>
    <w:p w14:paraId="400CB61E">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（1）负责用人学校的全部消防设施、设备的使用和管理及火灾的报警和救助工作，并制定较为完善的消防应急方案。</w:t>
      </w:r>
    </w:p>
    <w:p w14:paraId="3D6A7F98">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认真贯彻“安全第一，预防为主”的方针，设立消防组织机构、职责、规章制度和工作程序，落实各级消防责任人。全面熟练掌握消防报警、干式灭火（气体）、湿式灭火（喷淋）、防排烟及消防栓五个系统的作用、位置和操作方法。</w:t>
      </w:r>
    </w:p>
    <w:p w14:paraId="4921C096">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按公共建筑消防管理规定，负责对用人学校消防设备和设施的定期和不定期进行全面检查，确保消防设备和设施随时处于正常工作状态，做好消防维保工作记录，并将记录资料和检测结果提供给采购人备案。办公区域和公共区域配装的各种灭火器材、防毒面具、烟感、喷淋设施以及走道和出口的安全疏散指示、应急照明、通风设施等由保安负责日常检查，如有损坏，第一时间汇报用人学校进行更换。</w:t>
      </w:r>
    </w:p>
    <w:p w14:paraId="14DC1BFB">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（4）全天24小时消防中心值班，24小时消防主机监管。出现消防报警时1分钟辨别消防报警的信息，5分钟后到达报警点。</w:t>
      </w:r>
    </w:p>
    <w:p w14:paraId="13097C8A">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（5）建立义务消防队伍，出现消防事故5分钟内应有3人以上到达现场，进行必要的扑救。</w:t>
      </w:r>
    </w:p>
    <w:p w14:paraId="7C8B5C3C">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每周进行一次全部消防设备、设施巡视检查工作，并做好记录，及时整改火险隐患，监护动火和易燃易爆用品存放情况，保持消防区及走道和出口畅通。重大节日前配合用人学校进行节日消防安全大检查，并按学校要求及时进行整改。</w:t>
      </w:r>
    </w:p>
    <w:p w14:paraId="54ECAD3F">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（7）做好其它防火灭火工作及消防配套设施的维护。</w:t>
      </w:r>
    </w:p>
    <w:p w14:paraId="5C82984C">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8）每位安保人员要求熟练掌握整个消控系统的使用方法和具体的操作流程。中标人对安保人员进行定期的业务培训。如遇消控技术问题，机器故障等情况，第一时间汇报用人学校联系消防维保单位技术人员前来排查检修。</w:t>
      </w:r>
    </w:p>
    <w:p w14:paraId="76354750">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）保安公司保安人员需根据学校实际需求，服从学校的安排，临时做出调整完成相应的工作。</w:t>
      </w:r>
    </w:p>
    <w:p w14:paraId="586040A4">
      <w:pPr>
        <w:widowControl/>
        <w:adjustRightInd/>
        <w:spacing w:line="360" w:lineRule="auto"/>
        <w:ind w:firstLine="482" w:firstLineChars="200"/>
        <w:contextualSpacing/>
        <w:outlineLvl w:val="0"/>
        <w:rPr>
          <w:rFonts w:hint="eastAsia" w:ascii="宋体" w:hAnsi="宋体" w:eastAsia="宋体" w:cs="宋体"/>
          <w:b/>
          <w:sz w:val="24"/>
          <w:szCs w:val="24"/>
        </w:rPr>
      </w:pPr>
      <w:r>
        <w:rPr>
          <w:rFonts w:hint="eastAsia" w:ascii="宋体" w:hAnsi="宋体" w:eastAsia="宋体" w:cs="宋体"/>
          <w:b/>
          <w:sz w:val="24"/>
          <w:szCs w:val="24"/>
        </w:rPr>
        <w:t>（七）其他要求</w:t>
      </w:r>
    </w:p>
    <w:p w14:paraId="6227E543">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中标人应按照国家法律法规给每位员工办理用工手续，应及时足额支付派驻的保安人员的工资、福利、保险、奖金、加班费等一切费用，并按政策规定交纳社会保险，并为其投保较高保额的商业人身意外伤害保险。</w:t>
      </w:r>
    </w:p>
    <w:p w14:paraId="235B7BD1">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2.保安人员在服务期间出现不服从学校管理、产生劳动争议、发生人身伤害、相关纠纷或违反法律法规等情形，与采购人无关，由中标人依照相关法律进行妥善处理。</w:t>
      </w:r>
    </w:p>
    <w:p w14:paraId="2B3EB6BF">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3.学校有权对所有保安人员的工作进行检查、督促、考核，对不称职的保安提出批评、教育，屡教不改者，学校有权随时提出更换，被更换的人员不得再次用于本项目的保安服务。</w:t>
      </w:r>
    </w:p>
    <w:p w14:paraId="1F03F56F">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服务期内中标人的保安队伍自身出现了问题，如缺岗、离岗、与采购单位人员之间出现纠纷等影响采购单位声誉的所有事件，中标人的主要负责人应立即响应，30分钟内到达现场，1个小时内解决问题，现场解决不了的应采取应急措施，应立即阻止事态的发展，确保无任何影响用人学校的事件发生。</w:t>
      </w:r>
    </w:p>
    <w:p w14:paraId="1D1E5187">
      <w:pPr>
        <w:tabs>
          <w:tab w:val="left" w:pos="720"/>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5.中标人与采购人签订合同并生效后，中标人应在服务期开始前安排人员到位，并与原有服务单位做好交接工作，确保能及时满足2024年春季开学校园安保工作的迫切需要。</w:t>
      </w:r>
    </w:p>
    <w:p w14:paraId="484B2D5D">
      <w:pPr>
        <w:tabs>
          <w:tab w:val="left" w:pos="720"/>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6.中标人自开始保安服务之日起30日内向物业所在地设区的区人民政府公安机关办理备案，并于终止保安服务之日起30日内到备案的公安机关撤销备案。</w:t>
      </w:r>
    </w:p>
    <w:p w14:paraId="551B94A7">
      <w:pPr>
        <w:tabs>
          <w:tab w:val="left" w:pos="1571"/>
        </w:tabs>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7.采购人不提供食宿，中标人应妥善解决好保安人员食宿问题。 </w:t>
      </w:r>
    </w:p>
    <w:p w14:paraId="5C11FFC7">
      <w:pPr>
        <w:tabs>
          <w:tab w:val="left" w:pos="720"/>
        </w:tabs>
        <w:spacing w:line="360" w:lineRule="auto"/>
        <w:ind w:firstLine="480" w:firstLineChars="200"/>
        <w:contextualSpacing/>
        <w:rPr>
          <w:rFonts w:hint="eastAsia" w:ascii="宋体" w:hAnsi="宋体" w:eastAsia="宋体" w:cs="宋体"/>
          <w:sz w:val="24"/>
          <w:szCs w:val="24"/>
        </w:rPr>
      </w:pPr>
      <w:bookmarkStart w:id="28" w:name="_Toc401906929"/>
      <w:bookmarkStart w:id="29" w:name="_Toc392230262"/>
      <w:r>
        <w:rPr>
          <w:rFonts w:hint="eastAsia" w:ascii="宋体" w:hAnsi="宋体" w:eastAsia="宋体" w:cs="宋体"/>
          <w:sz w:val="24"/>
          <w:szCs w:val="24"/>
        </w:rPr>
        <w:t>8.投诉处理率100%，且及时、妥善，有完整的记录档案。</w:t>
      </w:r>
    </w:p>
    <w:bookmarkEnd w:id="28"/>
    <w:bookmarkEnd w:id="29"/>
    <w:p w14:paraId="35A250B2">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9.中标人应建立完善的档案管理制度，建立齐全的管理服务档案（包括设备管理档案、日常管理档案等）。用人学校随时抽查档案管理情况，以便日常监督。</w:t>
      </w:r>
    </w:p>
    <w:p w14:paraId="651EBDD1">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10.中标人制定管理内部管理制度和考核制度，并报送用人学校备案。</w:t>
      </w:r>
    </w:p>
    <w:p w14:paraId="43D18884">
      <w:pPr>
        <w:pStyle w:val="60"/>
        <w:ind w:left="0" w:leftChars="0" w:firstLine="482" w:firstLineChars="200"/>
        <w:rPr>
          <w:rFonts w:hint="eastAsia" w:hAnsi="宋体" w:cs="宋体"/>
          <w:b/>
          <w:bCs/>
          <w:sz w:val="24"/>
          <w:szCs w:val="24"/>
          <w:lang w:val="en-US" w:eastAsia="zh-CN"/>
        </w:rPr>
      </w:pPr>
      <w:r>
        <w:rPr>
          <w:rFonts w:hint="eastAsia" w:hAnsi="宋体" w:cs="宋体"/>
          <w:b/>
          <w:bCs/>
          <w:sz w:val="24"/>
          <w:szCs w:val="24"/>
          <w:lang w:val="en-US" w:eastAsia="zh-CN"/>
        </w:rPr>
        <w:t>11.中标人需承诺（格式自拟）：</w:t>
      </w:r>
    </w:p>
    <w:p w14:paraId="2858FC2E">
      <w:pPr>
        <w:keepNext w:val="0"/>
        <w:keepLines w:val="0"/>
        <w:pageBreakBefore w:val="0"/>
        <w:kinsoku/>
        <w:wordWrap/>
        <w:overflowPunct/>
        <w:topLinePunct w:val="0"/>
        <w:bidi w:val="0"/>
        <w:adjustRightInd w:val="0"/>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全年</w:t>
      </w:r>
      <w:r>
        <w:rPr>
          <w:rFonts w:hint="eastAsia" w:ascii="宋体" w:hAnsi="宋体" w:eastAsia="宋体" w:cs="宋体"/>
          <w:b w:val="0"/>
          <w:bCs/>
          <w:color w:val="000000" w:themeColor="text1"/>
          <w:sz w:val="24"/>
          <w:highlight w:val="none"/>
          <w14:textFill>
            <w14:solidFill>
              <w14:schemeClr w14:val="tx1"/>
            </w14:solidFill>
          </w14:textFill>
        </w:rPr>
        <w:t>预算金额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中包含伙食费约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30000元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，此金额作为员工校内就餐费使用，投标人在报价时需做好充分考虑并</w:t>
      </w:r>
      <w:r>
        <w:rPr>
          <w:rFonts w:hint="eastAsia" w:ascii="宋体" w:hAnsi="宋体" w:cs="宋体"/>
          <w:color w:val="000000" w:themeColor="text1"/>
          <w:sz w:val="24"/>
          <w:szCs w:val="24"/>
          <w:highlight w:val="none"/>
          <w:lang w:val="en-US" w:eastAsia="zh-CN"/>
          <w14:textFill>
            <w14:solidFill>
              <w14:schemeClr w14:val="tx1"/>
            </w14:solidFill>
          </w14:textFill>
        </w:rPr>
        <w:t>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3C5E175">
      <w:pPr>
        <w:keepNext w:val="0"/>
        <w:keepLines w:val="0"/>
        <w:pageBreakBefore w:val="0"/>
        <w:kinsoku/>
        <w:wordWrap/>
        <w:overflowPunct/>
        <w:topLinePunct w:val="0"/>
        <w:bidi w:val="0"/>
        <w:adjustRightInd w:val="0"/>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中标单位需为员工提供住宿（三公里内，宿舍容纳1人及以上），此项需在投标文件中做出承诺。</w:t>
      </w:r>
    </w:p>
    <w:p w14:paraId="74046704">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每年需为员工提供平安奖，相关标准为800元/人/年，投标人在报价时需做好充分考虑并承诺。</w:t>
      </w:r>
    </w:p>
    <w:p w14:paraId="491E76F4">
      <w:pPr>
        <w:pStyle w:val="50"/>
        <w:spacing w:line="360" w:lineRule="auto"/>
        <w:ind w:left="0" w:leftChars="0" w:firstLine="480" w:firstLineChars="200"/>
        <w:jc w:val="left"/>
        <w:rPr>
          <w:rFonts w:hint="eastAsia"/>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每年需为员工提供</w:t>
      </w:r>
      <w:r>
        <w:rPr>
          <w:rFonts w:hint="eastAsia" w:ascii="宋体" w:hAnsi="宋体" w:cs="宋体"/>
          <w:color w:val="000000" w:themeColor="text1"/>
          <w:sz w:val="24"/>
          <w:szCs w:val="24"/>
          <w:highlight w:val="none"/>
          <w:lang w:val="en-US" w:eastAsia="zh-CN"/>
          <w14:textFill>
            <w14:solidFill>
              <w14:schemeClr w14:val="tx1"/>
            </w14:solidFill>
          </w14:textFill>
        </w:rPr>
        <w:t>节日慰问</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，相关标准为</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00元/人/年，投标人在报价时需做好充分考虑并承诺</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269D6B50">
      <w:pPr>
        <w:pStyle w:val="50"/>
        <w:rPr>
          <w:rFonts w:hint="default"/>
          <w:lang w:val="en-US" w:eastAsia="zh-CN"/>
        </w:rPr>
      </w:pPr>
    </w:p>
    <w:p w14:paraId="79CB97C0">
      <w:pPr>
        <w:spacing w:line="360" w:lineRule="auto"/>
        <w:contextualSpacing/>
        <w:rPr>
          <w:rFonts w:hint="eastAsia" w:ascii="宋体" w:hAnsi="宋体" w:eastAsia="宋体" w:cs="宋体"/>
          <w:bCs/>
          <w:sz w:val="24"/>
          <w:szCs w:val="24"/>
        </w:rPr>
      </w:pPr>
      <w:r>
        <w:rPr>
          <w:rFonts w:hint="eastAsia" w:ascii="宋体" w:hAnsi="宋体" w:eastAsia="宋体" w:cs="宋体"/>
          <w:bCs/>
          <w:sz w:val="24"/>
          <w:szCs w:val="24"/>
        </w:rPr>
        <w:t>三、检查与考核</w:t>
      </w:r>
    </w:p>
    <w:p w14:paraId="3D4C7182">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中标单位</w:t>
      </w:r>
      <w:r>
        <w:rPr>
          <w:rFonts w:hint="eastAsia" w:ascii="宋体" w:hAnsi="宋体" w:eastAsia="宋体" w:cs="宋体"/>
          <w:kern w:val="0"/>
          <w:sz w:val="24"/>
          <w:szCs w:val="24"/>
        </w:rPr>
        <w:t>应制订具体的质量保证措施及质量保证和相关服务承诺，每月向用人学校提供工作计划、工作总结和详细工资材料帐目清单。中标单位所有的工作除应按中标单位的内部流程实施外，还应接受采购单位、用人学校或第三方的随时检查。中标单位如因质量未达到目标，采购单位和用人学校有权要求其整改，同时</w:t>
      </w:r>
      <w:r>
        <w:rPr>
          <w:rFonts w:hint="eastAsia" w:ascii="宋体" w:hAnsi="宋体" w:eastAsia="宋体" w:cs="宋体"/>
          <w:sz w:val="24"/>
          <w:szCs w:val="24"/>
        </w:rPr>
        <w:t>中标单位</w:t>
      </w:r>
      <w:r>
        <w:rPr>
          <w:rFonts w:hint="eastAsia" w:ascii="宋体" w:hAnsi="宋体" w:eastAsia="宋体" w:cs="宋体"/>
          <w:kern w:val="0"/>
          <w:sz w:val="24"/>
          <w:szCs w:val="24"/>
        </w:rPr>
        <w:t>应承担责任和经济赔偿（扣款或终止合同）。</w:t>
      </w:r>
    </w:p>
    <w:p w14:paraId="5ED31F37">
      <w:pPr>
        <w:pStyle w:val="25"/>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采购单位定期和不定期地对中标单位管理服务进行检查和抽查，检查记录和整改时限反馈</w:t>
      </w:r>
      <w:r>
        <w:rPr>
          <w:rFonts w:hint="eastAsia" w:ascii="宋体" w:hAnsi="宋体" w:eastAsia="宋体" w:cs="宋体"/>
          <w:sz w:val="24"/>
          <w:szCs w:val="24"/>
        </w:rPr>
        <w:t>中标单位</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各用人学校对本校所在的保安员工作履职情况</w:t>
      </w:r>
      <w:r>
        <w:rPr>
          <w:rFonts w:hint="eastAsia" w:ascii="宋体" w:hAnsi="宋体" w:eastAsia="宋体" w:cs="宋体"/>
          <w:kern w:val="0"/>
          <w:sz w:val="24"/>
          <w:szCs w:val="24"/>
          <w:lang w:val="en-US" w:eastAsia="zh-CN"/>
        </w:rPr>
        <w:t>按</w:t>
      </w:r>
      <w:r>
        <w:rPr>
          <w:rFonts w:hint="eastAsia" w:ascii="宋体" w:hAnsi="宋体" w:eastAsia="宋体" w:cs="宋体"/>
          <w:kern w:val="0"/>
          <w:sz w:val="24"/>
          <w:szCs w:val="24"/>
          <w:highlight w:val="none"/>
          <w:lang w:val="en-US" w:eastAsia="zh-CN"/>
        </w:rPr>
        <w:t>付款周期</w:t>
      </w:r>
      <w:r>
        <w:rPr>
          <w:rFonts w:hint="eastAsia" w:ascii="宋体" w:hAnsi="宋体" w:eastAsia="宋体" w:cs="宋体"/>
          <w:kern w:val="0"/>
          <w:sz w:val="24"/>
          <w:szCs w:val="24"/>
          <w:lang w:eastAsia="zh-CN"/>
        </w:rPr>
        <w:t>进行考核，中标</w:t>
      </w:r>
      <w:r>
        <w:rPr>
          <w:rFonts w:hint="eastAsia" w:ascii="宋体" w:hAnsi="宋体" w:eastAsia="宋体" w:cs="宋体"/>
          <w:kern w:val="0"/>
          <w:sz w:val="24"/>
          <w:szCs w:val="24"/>
          <w:lang w:val="en-US" w:eastAsia="zh-CN"/>
        </w:rPr>
        <w:t>单位</w:t>
      </w:r>
      <w:r>
        <w:rPr>
          <w:rFonts w:hint="eastAsia" w:ascii="宋体" w:hAnsi="宋体" w:eastAsia="宋体" w:cs="宋体"/>
          <w:kern w:val="0"/>
          <w:sz w:val="24"/>
          <w:szCs w:val="24"/>
          <w:lang w:eastAsia="zh-CN"/>
        </w:rPr>
        <w:t>应根据考核情况分析并提出改进措施，及时整改落实考核中发现的问题。</w:t>
      </w:r>
    </w:p>
    <w:p w14:paraId="34A09314">
      <w:pPr>
        <w:pStyle w:val="965"/>
        <w:spacing w:before="0" w:after="0" w:line="360" w:lineRule="auto"/>
        <w:contextualSpacing/>
        <w:jc w:val="center"/>
        <w:rPr>
          <w:rFonts w:hint="eastAsia" w:ascii="宋体" w:hAnsi="宋体" w:eastAsia="宋体" w:cs="宋体"/>
          <w:sz w:val="24"/>
          <w:szCs w:val="24"/>
        </w:rPr>
      </w:pPr>
      <w:r>
        <w:rPr>
          <w:rFonts w:hint="eastAsia" w:ascii="宋体" w:hAnsi="宋体" w:eastAsia="宋体" w:cs="宋体"/>
          <w:sz w:val="24"/>
          <w:szCs w:val="24"/>
        </w:rPr>
        <w:t>学校保安员考核用表</w:t>
      </w:r>
    </w:p>
    <w:tbl>
      <w:tblPr>
        <w:tblStyle w:val="62"/>
        <w:tblW w:w="9009" w:type="dxa"/>
        <w:jc w:val="center"/>
        <w:tblLayout w:type="fixed"/>
        <w:tblCellMar>
          <w:top w:w="0" w:type="dxa"/>
          <w:left w:w="108" w:type="dxa"/>
          <w:bottom w:w="0" w:type="dxa"/>
          <w:right w:w="108" w:type="dxa"/>
        </w:tblCellMar>
      </w:tblPr>
      <w:tblGrid>
        <w:gridCol w:w="1080"/>
        <w:gridCol w:w="5381"/>
        <w:gridCol w:w="796"/>
        <w:gridCol w:w="831"/>
        <w:gridCol w:w="921"/>
      </w:tblGrid>
      <w:tr w14:paraId="541F7556">
        <w:tblPrEx>
          <w:tblCellMar>
            <w:top w:w="0" w:type="dxa"/>
            <w:left w:w="108" w:type="dxa"/>
            <w:bottom w:w="0" w:type="dxa"/>
            <w:right w:w="108" w:type="dxa"/>
          </w:tblCellMar>
        </w:tblPrEx>
        <w:trPr>
          <w:trHeight w:val="414" w:hRule="atLeast"/>
          <w:jc w:val="center"/>
        </w:trPr>
        <w:tc>
          <w:tcPr>
            <w:tcW w:w="64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577C6CF">
            <w:pPr>
              <w:widowControl/>
              <w:spacing w:line="360" w:lineRule="auto"/>
              <w:contextualSpacing/>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考核内容</w:t>
            </w:r>
          </w:p>
        </w:tc>
        <w:tc>
          <w:tcPr>
            <w:tcW w:w="1627" w:type="dxa"/>
            <w:gridSpan w:val="2"/>
            <w:tcBorders>
              <w:top w:val="single" w:color="000000" w:sz="4" w:space="0"/>
              <w:left w:val="single" w:color="000000" w:sz="4" w:space="0"/>
              <w:bottom w:val="single" w:color="000000" w:sz="4" w:space="0"/>
              <w:right w:val="single" w:color="000000" w:sz="4" w:space="0"/>
            </w:tcBorders>
            <w:noWrap/>
            <w:vAlign w:val="center"/>
          </w:tcPr>
          <w:p w14:paraId="31CFABB2">
            <w:pPr>
              <w:widowControl/>
              <w:spacing w:line="360" w:lineRule="auto"/>
              <w:contextualSpacing/>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考核分数</w:t>
            </w:r>
          </w:p>
        </w:tc>
        <w:tc>
          <w:tcPr>
            <w:tcW w:w="921" w:type="dxa"/>
            <w:vMerge w:val="restart"/>
            <w:tcBorders>
              <w:top w:val="single" w:color="000000" w:sz="4" w:space="0"/>
              <w:left w:val="single" w:color="000000" w:sz="4" w:space="0"/>
              <w:bottom w:val="single" w:color="000000" w:sz="4" w:space="0"/>
              <w:right w:val="single" w:color="000000" w:sz="4" w:space="0"/>
            </w:tcBorders>
            <w:noWrap/>
            <w:vAlign w:val="center"/>
          </w:tcPr>
          <w:p w14:paraId="4914986C">
            <w:pPr>
              <w:widowControl/>
              <w:spacing w:line="360" w:lineRule="auto"/>
              <w:contextualSpacing/>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备注</w:t>
            </w:r>
          </w:p>
        </w:tc>
      </w:tr>
      <w:tr w14:paraId="5414A79F">
        <w:tblPrEx>
          <w:tblCellMar>
            <w:top w:w="0" w:type="dxa"/>
            <w:left w:w="108" w:type="dxa"/>
            <w:bottom w:w="0" w:type="dxa"/>
            <w:right w:w="108" w:type="dxa"/>
          </w:tblCellMar>
        </w:tblPrEx>
        <w:trPr>
          <w:trHeight w:val="232" w:hRule="atLeast"/>
          <w:jc w:val="center"/>
        </w:trPr>
        <w:tc>
          <w:tcPr>
            <w:tcW w:w="64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0C6A26">
            <w:pPr>
              <w:spacing w:line="360" w:lineRule="auto"/>
              <w:contextualSpacing/>
              <w:jc w:val="center"/>
              <w:rPr>
                <w:rFonts w:hint="eastAsia" w:ascii="宋体" w:hAnsi="宋体" w:eastAsia="宋体" w:cs="宋体"/>
                <w:sz w:val="24"/>
                <w:szCs w:val="24"/>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41761391">
            <w:pPr>
              <w:widowControl/>
              <w:spacing w:line="360" w:lineRule="auto"/>
              <w:contextualSpacing/>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分值</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014A848">
            <w:pPr>
              <w:widowControl/>
              <w:spacing w:line="360" w:lineRule="auto"/>
              <w:contextualSpacing/>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得分</w:t>
            </w:r>
          </w:p>
        </w:tc>
        <w:tc>
          <w:tcPr>
            <w:tcW w:w="921" w:type="dxa"/>
            <w:vMerge w:val="continue"/>
            <w:tcBorders>
              <w:top w:val="single" w:color="000000" w:sz="4" w:space="0"/>
              <w:left w:val="single" w:color="000000" w:sz="4" w:space="0"/>
              <w:bottom w:val="single" w:color="000000" w:sz="4" w:space="0"/>
              <w:right w:val="single" w:color="000000" w:sz="4" w:space="0"/>
            </w:tcBorders>
            <w:noWrap/>
            <w:vAlign w:val="center"/>
          </w:tcPr>
          <w:p w14:paraId="36F42A9B">
            <w:pPr>
              <w:spacing w:line="360" w:lineRule="auto"/>
              <w:contextualSpacing/>
              <w:jc w:val="center"/>
              <w:rPr>
                <w:rFonts w:hint="eastAsia" w:ascii="宋体" w:hAnsi="宋体" w:eastAsia="宋体" w:cs="宋体"/>
                <w:sz w:val="24"/>
                <w:szCs w:val="24"/>
              </w:rPr>
            </w:pPr>
          </w:p>
        </w:tc>
      </w:tr>
      <w:tr w14:paraId="05601A16">
        <w:tblPrEx>
          <w:tblCellMar>
            <w:top w:w="0" w:type="dxa"/>
            <w:left w:w="108" w:type="dxa"/>
            <w:bottom w:w="0" w:type="dxa"/>
            <w:right w:w="108" w:type="dxa"/>
          </w:tblCellMar>
        </w:tblPrEx>
        <w:trPr>
          <w:trHeight w:val="6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0548A1">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一般项</w:t>
            </w: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2F30075C">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持证上岗，听从学校指挥，在岗期间无违法犯罪记录，无家长、教职工投诉。达到得满分，发现1项扣1分，扣完为止。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6650E512">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C4D0AA9">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52BC2330">
            <w:pPr>
              <w:spacing w:line="360" w:lineRule="auto"/>
              <w:contextualSpacing/>
              <w:rPr>
                <w:rFonts w:hint="eastAsia" w:ascii="宋体" w:hAnsi="宋体" w:eastAsia="宋体" w:cs="宋体"/>
                <w:sz w:val="24"/>
                <w:szCs w:val="24"/>
              </w:rPr>
            </w:pPr>
          </w:p>
        </w:tc>
      </w:tr>
      <w:tr w14:paraId="02C41403">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9E738">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51251BF3">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具备校园安保岗位要求的防范知识和基本操作技能，会熟练操作校园“三防”包括视频图像采集设备、来访人员登记查验信息管理系统、一键式紧急报警装置等设备，认真做好测试记录，紧急情况能迅速反应。达到得满分，发现1项扣1分，扣完为止。上级或学校检查发现操作不熟练被通报扣分的，加倍扣分。</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206A22E4">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034AB3F">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2C08397F">
            <w:pPr>
              <w:spacing w:line="360" w:lineRule="auto"/>
              <w:contextualSpacing/>
              <w:rPr>
                <w:rFonts w:hint="eastAsia" w:ascii="宋体" w:hAnsi="宋体" w:eastAsia="宋体" w:cs="宋体"/>
                <w:sz w:val="24"/>
                <w:szCs w:val="24"/>
              </w:rPr>
            </w:pPr>
          </w:p>
        </w:tc>
      </w:tr>
      <w:tr w14:paraId="2066773C">
        <w:tblPrEx>
          <w:tblCellMar>
            <w:top w:w="0" w:type="dxa"/>
            <w:left w:w="108" w:type="dxa"/>
            <w:bottom w:w="0" w:type="dxa"/>
            <w:right w:w="108" w:type="dxa"/>
          </w:tblCellMar>
        </w:tblPrEx>
        <w:trPr>
          <w:trHeight w:val="463"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8A6E2">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09232FA3">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定期组织业务培训，培训有计划、有方案、有考核。达到得满分，发现1项扣1分，扣完为止。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6E625D63">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F2EEC24">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6AB18A8C">
            <w:pPr>
              <w:spacing w:line="360" w:lineRule="auto"/>
              <w:contextualSpacing/>
              <w:rPr>
                <w:rFonts w:hint="eastAsia" w:ascii="宋体" w:hAnsi="宋体" w:eastAsia="宋体" w:cs="宋体"/>
                <w:sz w:val="24"/>
                <w:szCs w:val="24"/>
              </w:rPr>
            </w:pPr>
          </w:p>
        </w:tc>
      </w:tr>
      <w:tr w14:paraId="06659CA2">
        <w:tblPrEx>
          <w:tblCellMar>
            <w:top w:w="0" w:type="dxa"/>
            <w:left w:w="108" w:type="dxa"/>
            <w:bottom w:w="0" w:type="dxa"/>
            <w:right w:w="108" w:type="dxa"/>
          </w:tblCellMar>
        </w:tblPrEx>
        <w:trPr>
          <w:trHeight w:val="4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E2999">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08096056">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掌握保安业务知识，熟悉学校各项安全管理制度。达到得满分，发现1项扣1分，扣满为止。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55BBF847">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409B97E">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2DD19A97">
            <w:pPr>
              <w:spacing w:line="360" w:lineRule="auto"/>
              <w:contextualSpacing/>
              <w:rPr>
                <w:rFonts w:hint="eastAsia" w:ascii="宋体" w:hAnsi="宋体" w:eastAsia="宋体" w:cs="宋体"/>
                <w:sz w:val="24"/>
                <w:szCs w:val="24"/>
              </w:rPr>
            </w:pPr>
          </w:p>
        </w:tc>
      </w:tr>
      <w:tr w14:paraId="45C2F639">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F2F89">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193FC924">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值勤期间按有关规定着制式保安服装，携带必要的安全防卫器械和应急处置装备，并熟悉使用方法。达到得满分，发现1项扣1分，扣完为止。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0334C28">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AAE1145">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0FBC3858">
            <w:pPr>
              <w:spacing w:line="360" w:lineRule="auto"/>
              <w:contextualSpacing/>
              <w:rPr>
                <w:rFonts w:hint="eastAsia" w:ascii="宋体" w:hAnsi="宋体" w:eastAsia="宋体" w:cs="宋体"/>
                <w:sz w:val="24"/>
                <w:szCs w:val="24"/>
              </w:rPr>
            </w:pPr>
          </w:p>
        </w:tc>
      </w:tr>
      <w:tr w14:paraId="22A68396">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115E5">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41D52861">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上下学重点时段，佩戴防护装备在校门口及校门外一定区域上岗执勤，会同学校值日教师、家长志愿者等护校力量，共同开展护校工作。达到得满分，发现1项扣1分，扣完为止。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668DE3B2">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4F39AB9">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1AB5555F">
            <w:pPr>
              <w:spacing w:line="360" w:lineRule="auto"/>
              <w:contextualSpacing/>
              <w:rPr>
                <w:rFonts w:hint="eastAsia" w:ascii="宋体" w:hAnsi="宋体" w:eastAsia="宋体" w:cs="宋体"/>
                <w:sz w:val="24"/>
                <w:szCs w:val="24"/>
              </w:rPr>
            </w:pPr>
          </w:p>
        </w:tc>
      </w:tr>
      <w:tr w14:paraId="6D578A01">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CB9D9">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2A536F3D">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对学校明确的设施设备、场所、重点部位及周边巡查每日不少于5次，一旦发现异常情况，应当及时记录、报告，情况紧急的视情开展先期处置。达到得满分，发现1项扣1分，扣完为止。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5DFF4E92">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DD9DE2C">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42B34262">
            <w:pPr>
              <w:spacing w:line="360" w:lineRule="auto"/>
              <w:contextualSpacing/>
              <w:rPr>
                <w:rFonts w:hint="eastAsia" w:ascii="宋体" w:hAnsi="宋体" w:eastAsia="宋体" w:cs="宋体"/>
                <w:sz w:val="24"/>
                <w:szCs w:val="24"/>
              </w:rPr>
            </w:pPr>
          </w:p>
        </w:tc>
      </w:tr>
      <w:tr w14:paraId="3B57116E">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61D26">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0850B853">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遵守信息保密要求，无擅自拍摄校园涉及师生隐私视频；无未经学校允许随意提供校园内监控视频给他人；无下载、传播学校监控视频信息等行为。达到得满分，发现1项扣1分，扣完为止。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58B22338">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58D11A6">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0B0D0275">
            <w:pPr>
              <w:spacing w:line="360" w:lineRule="auto"/>
              <w:contextualSpacing/>
              <w:rPr>
                <w:rFonts w:hint="eastAsia" w:ascii="宋体" w:hAnsi="宋体" w:eastAsia="宋体" w:cs="宋体"/>
                <w:sz w:val="24"/>
                <w:szCs w:val="24"/>
              </w:rPr>
            </w:pPr>
          </w:p>
        </w:tc>
      </w:tr>
      <w:tr w14:paraId="53AD7301">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17834">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43D6949E">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执行24小时值班制度，无擅自离岗、脱岗，按时交接班并做好交接记录,发现问题及时报告。达到得满分，发现1项扣1分，扣完为止。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7CA61126">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24F87D42">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2DAA5E28">
            <w:pPr>
              <w:spacing w:line="360" w:lineRule="auto"/>
              <w:contextualSpacing/>
              <w:rPr>
                <w:rFonts w:hint="eastAsia" w:ascii="宋体" w:hAnsi="宋体" w:eastAsia="宋体" w:cs="宋体"/>
                <w:sz w:val="24"/>
                <w:szCs w:val="24"/>
              </w:rPr>
            </w:pPr>
          </w:p>
        </w:tc>
      </w:tr>
      <w:tr w14:paraId="4B6055D0">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0ADC6">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4B097887">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配合学校做好校园防火、防盗、防破坏、防地质灾害事故、防交通意外等工作。达到得满分，发现1项扣1分，扣完为止。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1B79C9A8">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7C31932">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5F868400">
            <w:pPr>
              <w:spacing w:line="360" w:lineRule="auto"/>
              <w:contextualSpacing/>
              <w:rPr>
                <w:rFonts w:hint="eastAsia" w:ascii="宋体" w:hAnsi="宋体" w:eastAsia="宋体" w:cs="宋体"/>
                <w:sz w:val="24"/>
                <w:szCs w:val="24"/>
              </w:rPr>
            </w:pPr>
          </w:p>
        </w:tc>
      </w:tr>
      <w:tr w14:paraId="6FCD06DF">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554BF">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6024E554">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及时制止师生各种不安全或易造成伤害的行为，对违反规定或不服从管理者，能严肃、礼貌劝阻并妥善处置。达到得满分，发现1项扣1分，扣完为止。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5B9C3676">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3196B85">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2ECCA844">
            <w:pPr>
              <w:spacing w:line="360" w:lineRule="auto"/>
              <w:contextualSpacing/>
              <w:rPr>
                <w:rFonts w:hint="eastAsia" w:ascii="宋体" w:hAnsi="宋体" w:eastAsia="宋体" w:cs="宋体"/>
                <w:sz w:val="24"/>
                <w:szCs w:val="24"/>
              </w:rPr>
            </w:pPr>
          </w:p>
        </w:tc>
      </w:tr>
      <w:tr w14:paraId="57804DD3">
        <w:tblPrEx>
          <w:tblCellMar>
            <w:top w:w="0" w:type="dxa"/>
            <w:left w:w="108" w:type="dxa"/>
            <w:bottom w:w="0" w:type="dxa"/>
            <w:right w:w="108" w:type="dxa"/>
          </w:tblCellMar>
        </w:tblPrEx>
        <w:trPr>
          <w:trHeight w:val="25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0F872">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77E8C06C">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在岗期间不与无关人员聊天，不干私活，不饮酒，不吸烟，不睡觉。不在门卫室从事与工作无关的活动，不存放或代人存放贵重物品、现金和危险品。达到得满分，发现1项扣1分，扣完为止。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37F612C5">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677ECDC">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05ED99A3">
            <w:pPr>
              <w:spacing w:line="360" w:lineRule="auto"/>
              <w:contextualSpacing/>
              <w:rPr>
                <w:rFonts w:hint="eastAsia" w:ascii="宋体" w:hAnsi="宋体" w:eastAsia="宋体" w:cs="宋体"/>
                <w:sz w:val="24"/>
                <w:szCs w:val="24"/>
              </w:rPr>
            </w:pPr>
          </w:p>
        </w:tc>
      </w:tr>
      <w:tr w14:paraId="3B35C87C">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173BA">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2BC8E574">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遇有火警或其它紧急情况时，能迅速扑救或采取有效措施保护现场，并及时上报。达到得满分，发现1项扣1分，扣完为止。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110BE1EA">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39AEACC">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2EA496A3">
            <w:pPr>
              <w:spacing w:line="360" w:lineRule="auto"/>
              <w:contextualSpacing/>
              <w:rPr>
                <w:rFonts w:hint="eastAsia" w:ascii="宋体" w:hAnsi="宋体" w:eastAsia="宋体" w:cs="宋体"/>
                <w:sz w:val="24"/>
                <w:szCs w:val="24"/>
              </w:rPr>
            </w:pPr>
          </w:p>
        </w:tc>
      </w:tr>
      <w:tr w14:paraId="7E4C006F">
        <w:tblPrEx>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F3DFDE">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一票否决项</w:t>
            </w: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20EC8F12">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派驻保安员有违法犯罪行为或其他严重不良行为的。</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659D6BCF">
            <w:pPr>
              <w:spacing w:line="360" w:lineRule="auto"/>
              <w:contextualSpacing/>
              <w:rPr>
                <w:rFonts w:hint="eastAsia" w:ascii="宋体" w:hAnsi="宋体" w:eastAsia="宋体" w:cs="宋体"/>
                <w:sz w:val="24"/>
                <w:szCs w:val="24"/>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7BB4B5B">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1F699700">
            <w:pPr>
              <w:spacing w:line="360" w:lineRule="auto"/>
              <w:contextualSpacing/>
              <w:rPr>
                <w:rFonts w:hint="eastAsia" w:ascii="宋体" w:hAnsi="宋体" w:eastAsia="宋体" w:cs="宋体"/>
                <w:sz w:val="24"/>
                <w:szCs w:val="24"/>
              </w:rPr>
            </w:pPr>
          </w:p>
        </w:tc>
      </w:tr>
      <w:tr w14:paraId="0F709656">
        <w:tblPrEx>
          <w:tblCellMar>
            <w:top w:w="0" w:type="dxa"/>
            <w:left w:w="108" w:type="dxa"/>
            <w:bottom w:w="0" w:type="dxa"/>
            <w:right w:w="108" w:type="dxa"/>
          </w:tblCellMar>
        </w:tblPrEx>
        <w:trPr>
          <w:trHeight w:val="383"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FE60C">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299DA8CC">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存在未按约定派驻足量合格保安员的。</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16AB2DD8">
            <w:pPr>
              <w:spacing w:line="360" w:lineRule="auto"/>
              <w:contextualSpacing/>
              <w:rPr>
                <w:rFonts w:hint="eastAsia" w:ascii="宋体" w:hAnsi="宋体" w:eastAsia="宋体" w:cs="宋体"/>
                <w:sz w:val="24"/>
                <w:szCs w:val="24"/>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BB8A0BC">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41C8E5F1">
            <w:pPr>
              <w:spacing w:line="360" w:lineRule="auto"/>
              <w:contextualSpacing/>
              <w:rPr>
                <w:rFonts w:hint="eastAsia" w:ascii="宋体" w:hAnsi="宋体" w:eastAsia="宋体" w:cs="宋体"/>
                <w:sz w:val="24"/>
                <w:szCs w:val="24"/>
              </w:rPr>
            </w:pPr>
          </w:p>
        </w:tc>
      </w:tr>
      <w:tr w14:paraId="72BD687B">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8AFDF">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0F028560">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因保安员擅自脱岗、离岗或履职不力、操作不当发生校园事故的。</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1415FA4D">
            <w:pPr>
              <w:spacing w:line="360" w:lineRule="auto"/>
              <w:contextualSpacing/>
              <w:rPr>
                <w:rFonts w:hint="eastAsia" w:ascii="宋体" w:hAnsi="宋体" w:eastAsia="宋体" w:cs="宋体"/>
                <w:sz w:val="24"/>
                <w:szCs w:val="24"/>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7D5D14B">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4AE23EB4">
            <w:pPr>
              <w:spacing w:line="360" w:lineRule="auto"/>
              <w:contextualSpacing/>
              <w:rPr>
                <w:rFonts w:hint="eastAsia" w:ascii="宋体" w:hAnsi="宋体" w:eastAsia="宋体" w:cs="宋体"/>
                <w:sz w:val="24"/>
                <w:szCs w:val="24"/>
              </w:rPr>
            </w:pPr>
          </w:p>
        </w:tc>
      </w:tr>
      <w:tr w14:paraId="07390356">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BEDC7">
            <w:pPr>
              <w:spacing w:line="360" w:lineRule="auto"/>
              <w:contextualSpacing/>
              <w:jc w:val="center"/>
              <w:rPr>
                <w:rFonts w:hint="eastAsia" w:ascii="宋体" w:hAnsi="宋体" w:eastAsia="宋体" w:cs="宋体"/>
                <w:sz w:val="24"/>
                <w:szCs w:val="24"/>
              </w:rPr>
            </w:pPr>
          </w:p>
        </w:tc>
        <w:tc>
          <w:tcPr>
            <w:tcW w:w="5381" w:type="dxa"/>
            <w:tcBorders>
              <w:top w:val="single" w:color="000000" w:sz="4" w:space="0"/>
              <w:left w:val="single" w:color="000000" w:sz="4" w:space="0"/>
              <w:bottom w:val="single" w:color="000000" w:sz="4" w:space="0"/>
              <w:right w:val="single" w:color="000000" w:sz="4" w:space="0"/>
            </w:tcBorders>
            <w:noWrap w:val="0"/>
            <w:vAlign w:val="center"/>
          </w:tcPr>
          <w:p w14:paraId="75452E46">
            <w:pPr>
              <w:widowControl/>
              <w:spacing w:line="360" w:lineRule="auto"/>
              <w:contextualSpacing/>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各级各部门在明查暗访中发现保安员未落实工作要求，被3次及以上通报批评的。</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71886CB1">
            <w:pPr>
              <w:spacing w:line="360" w:lineRule="auto"/>
              <w:contextualSpacing/>
              <w:rPr>
                <w:rFonts w:hint="eastAsia" w:ascii="宋体" w:hAnsi="宋体" w:eastAsia="宋体" w:cs="宋体"/>
                <w:sz w:val="24"/>
                <w:szCs w:val="24"/>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53E4386">
            <w:pPr>
              <w:spacing w:line="360" w:lineRule="auto"/>
              <w:contextualSpacing/>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4FE06900">
            <w:pPr>
              <w:spacing w:line="360" w:lineRule="auto"/>
              <w:contextualSpacing/>
              <w:rPr>
                <w:rFonts w:hint="eastAsia" w:ascii="宋体" w:hAnsi="宋体" w:eastAsia="宋体" w:cs="宋体"/>
                <w:sz w:val="24"/>
                <w:szCs w:val="24"/>
              </w:rPr>
            </w:pPr>
          </w:p>
        </w:tc>
      </w:tr>
      <w:tr w14:paraId="6C2F6B93">
        <w:tblPrEx>
          <w:tblCellMar>
            <w:top w:w="0" w:type="dxa"/>
            <w:left w:w="108" w:type="dxa"/>
            <w:bottom w:w="0" w:type="dxa"/>
            <w:right w:w="108" w:type="dxa"/>
          </w:tblCellMar>
        </w:tblPrEx>
        <w:trPr>
          <w:trHeight w:val="600" w:hRule="atLeast"/>
          <w:jc w:val="center"/>
        </w:trPr>
        <w:tc>
          <w:tcPr>
            <w:tcW w:w="6461" w:type="dxa"/>
            <w:gridSpan w:val="2"/>
            <w:tcBorders>
              <w:top w:val="single" w:color="000000" w:sz="4" w:space="0"/>
              <w:left w:val="single" w:color="000000" w:sz="4" w:space="0"/>
              <w:bottom w:val="single" w:color="000000" w:sz="4" w:space="0"/>
              <w:right w:val="single" w:color="000000" w:sz="4" w:space="0"/>
            </w:tcBorders>
            <w:noWrap/>
            <w:vAlign w:val="center"/>
          </w:tcPr>
          <w:p w14:paraId="52B79BC8">
            <w:pPr>
              <w:widowControl/>
              <w:spacing w:line="360" w:lineRule="auto"/>
              <w:contextualSpacing/>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考核结果（优秀90分及以上、良好80分-89分、合格70分-79分、不合格70分以下）</w:t>
            </w:r>
          </w:p>
        </w:tc>
        <w:tc>
          <w:tcPr>
            <w:tcW w:w="1627" w:type="dxa"/>
            <w:gridSpan w:val="2"/>
            <w:tcBorders>
              <w:top w:val="single" w:color="000000" w:sz="4" w:space="0"/>
              <w:left w:val="single" w:color="000000" w:sz="4" w:space="0"/>
              <w:bottom w:val="single" w:color="000000" w:sz="4" w:space="0"/>
              <w:right w:val="single" w:color="000000" w:sz="4" w:space="0"/>
            </w:tcBorders>
            <w:noWrap/>
            <w:vAlign w:val="bottom"/>
          </w:tcPr>
          <w:p w14:paraId="741EDFAF">
            <w:pPr>
              <w:spacing w:line="360" w:lineRule="auto"/>
              <w:contextualSpacing/>
              <w:jc w:val="center"/>
              <w:rPr>
                <w:rFonts w:hint="eastAsia" w:ascii="宋体" w:hAnsi="宋体" w:eastAsia="宋体" w:cs="宋体"/>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bottom"/>
          </w:tcPr>
          <w:p w14:paraId="0A6987EE">
            <w:pPr>
              <w:spacing w:line="360" w:lineRule="auto"/>
              <w:contextualSpacing/>
              <w:rPr>
                <w:rFonts w:hint="eastAsia" w:ascii="宋体" w:hAnsi="宋体" w:eastAsia="宋体" w:cs="宋体"/>
                <w:sz w:val="24"/>
                <w:szCs w:val="24"/>
              </w:rPr>
            </w:pPr>
          </w:p>
        </w:tc>
      </w:tr>
      <w:tr w14:paraId="08665091">
        <w:tblPrEx>
          <w:tblCellMar>
            <w:top w:w="0" w:type="dxa"/>
            <w:left w:w="108" w:type="dxa"/>
            <w:bottom w:w="0" w:type="dxa"/>
            <w:right w:w="108" w:type="dxa"/>
          </w:tblCellMar>
        </w:tblPrEx>
        <w:trPr>
          <w:trHeight w:val="600" w:hRule="atLeast"/>
          <w:jc w:val="center"/>
        </w:trPr>
        <w:tc>
          <w:tcPr>
            <w:tcW w:w="9009" w:type="dxa"/>
            <w:gridSpan w:val="5"/>
            <w:tcBorders>
              <w:top w:val="single" w:color="000000" w:sz="4" w:space="0"/>
              <w:left w:val="single" w:color="000000" w:sz="4" w:space="0"/>
              <w:bottom w:val="single" w:color="000000" w:sz="4" w:space="0"/>
              <w:right w:val="single" w:color="000000" w:sz="4" w:space="0"/>
            </w:tcBorders>
            <w:noWrap/>
            <w:vAlign w:val="center"/>
          </w:tcPr>
          <w:p w14:paraId="6B5D5007">
            <w:pPr>
              <w:spacing w:line="360" w:lineRule="auto"/>
              <w:contextualSpacing/>
              <w:rPr>
                <w:rFonts w:hint="eastAsia" w:ascii="宋体" w:hAnsi="宋体" w:eastAsia="宋体" w:cs="宋体"/>
                <w:sz w:val="24"/>
                <w:szCs w:val="24"/>
              </w:rPr>
            </w:pPr>
            <w:r>
              <w:rPr>
                <w:rFonts w:hint="eastAsia" w:ascii="宋体" w:hAnsi="宋体" w:eastAsia="宋体" w:cs="宋体"/>
                <w:kern w:val="0"/>
                <w:sz w:val="24"/>
                <w:szCs w:val="24"/>
                <w:lang w:bidi="ar"/>
              </w:rPr>
              <w:t>考核人员（签字）：                                         考核时间：    年  月  日</w:t>
            </w:r>
          </w:p>
        </w:tc>
      </w:tr>
    </w:tbl>
    <w:p w14:paraId="468C6097">
      <w:pPr>
        <w:spacing w:line="360" w:lineRule="auto"/>
        <w:contextualSpacing/>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注：如遇国家或省市区相关政策调整或新规定，或学校实际特殊情况需求，可以对本考核表进行适当调整。</w:t>
      </w:r>
    </w:p>
    <w:p w14:paraId="2222DED9">
      <w:pPr>
        <w:tabs>
          <w:tab w:val="left" w:pos="1571"/>
        </w:tabs>
        <w:adjustRightInd/>
        <w:spacing w:line="360" w:lineRule="auto"/>
        <w:contextualSpacing/>
        <w:rPr>
          <w:rFonts w:hint="eastAsia" w:ascii="宋体" w:hAnsi="宋体" w:eastAsia="宋体" w:cs="宋体"/>
          <w:bCs/>
          <w:sz w:val="24"/>
          <w:szCs w:val="24"/>
        </w:rPr>
      </w:pPr>
    </w:p>
    <w:p w14:paraId="616EBD4E">
      <w:pPr>
        <w:tabs>
          <w:tab w:val="left" w:pos="1571"/>
        </w:tabs>
        <w:adjustRightInd/>
        <w:spacing w:line="360" w:lineRule="auto"/>
        <w:contextualSpacing/>
        <w:rPr>
          <w:rFonts w:hint="eastAsia" w:ascii="宋体" w:hAnsi="宋体" w:eastAsia="宋体" w:cs="宋体"/>
          <w:bCs/>
          <w:sz w:val="24"/>
          <w:szCs w:val="24"/>
        </w:rPr>
      </w:pPr>
      <w:r>
        <w:rPr>
          <w:rFonts w:hint="eastAsia" w:ascii="宋体" w:hAnsi="宋体" w:eastAsia="宋体" w:cs="宋体"/>
          <w:bCs/>
          <w:sz w:val="24"/>
          <w:szCs w:val="24"/>
        </w:rPr>
        <w:t>四、商务需求</w:t>
      </w:r>
    </w:p>
    <w:p w14:paraId="7DC372FE">
      <w:pPr>
        <w:tabs>
          <w:tab w:val="left" w:pos="1571"/>
        </w:tabs>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（一）服务期限</w:t>
      </w:r>
    </w:p>
    <w:p w14:paraId="0B937BE5">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1.本项目服务期为</w:t>
      </w:r>
      <w:r>
        <w:rPr>
          <w:rFonts w:hint="eastAsia" w:ascii="宋体" w:hAnsi="宋体" w:cs="宋体"/>
          <w:sz w:val="24"/>
          <w:szCs w:val="24"/>
          <w:lang w:eastAsia="zh-CN"/>
        </w:rPr>
        <w:t>合同签订之日起</w:t>
      </w:r>
      <w:r>
        <w:rPr>
          <w:rFonts w:hint="eastAsia" w:ascii="宋体" w:hAnsi="宋体" w:cs="宋体"/>
          <w:sz w:val="24"/>
          <w:szCs w:val="24"/>
          <w:lang w:val="en-US" w:eastAsia="zh-CN"/>
        </w:rPr>
        <w:t>1年</w:t>
      </w:r>
      <w:r>
        <w:rPr>
          <w:rFonts w:hint="eastAsia" w:ascii="宋体" w:hAnsi="宋体" w:eastAsia="宋体" w:cs="宋体"/>
          <w:sz w:val="24"/>
          <w:szCs w:val="24"/>
        </w:rPr>
        <w:t>，服务期满并通过验收，绩效评价好、服务对象满意度高的，在预算保障的前提下，可以根据原采购合同的约定续签合同，但原合同和续签合同累计履行期限不超过</w:t>
      </w:r>
      <w:r>
        <w:rPr>
          <w:rFonts w:hint="eastAsia" w:ascii="宋体" w:hAnsi="宋体" w:eastAsia="宋体" w:cs="宋体"/>
          <w:sz w:val="24"/>
          <w:szCs w:val="24"/>
          <w:lang w:val="en-US" w:eastAsia="zh-CN"/>
        </w:rPr>
        <w:t>2</w:t>
      </w:r>
      <w:r>
        <w:rPr>
          <w:rFonts w:hint="eastAsia" w:ascii="宋体" w:hAnsi="宋体" w:eastAsia="宋体" w:cs="宋体"/>
          <w:sz w:val="24"/>
          <w:szCs w:val="24"/>
        </w:rPr>
        <w:t>年。合同期内下列情形之一的，采购人有权提前终止合同，由此造成的一切损失由中标人自行承担。</w:t>
      </w:r>
    </w:p>
    <w:p w14:paraId="5C46B9D0">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（1）因保安公司派遣的保安员履职不力、消极作为或工作不当而导致服务学校出现人身伤亡安全责任事故的；</w:t>
      </w:r>
    </w:p>
    <w:p w14:paraId="7DCE542D">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（2）出现多次的派驻不合格保安员现象，或派驻的保安员不合格，经要求不能整改到位的；</w:t>
      </w:r>
    </w:p>
    <w:p w14:paraId="04980381">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sz w:val="24"/>
          <w:szCs w:val="24"/>
          <w:highlight w:val="none"/>
        </w:rPr>
        <w:t>付款周期</w:t>
      </w:r>
      <w:r>
        <w:rPr>
          <w:rFonts w:hint="eastAsia" w:ascii="宋体" w:hAnsi="宋体" w:eastAsia="宋体" w:cs="宋体"/>
          <w:sz w:val="24"/>
          <w:szCs w:val="24"/>
        </w:rPr>
        <w:t>考核中，出现考核结果为“不合格”的。</w:t>
      </w:r>
    </w:p>
    <w:p w14:paraId="5C67380F">
      <w:pPr>
        <w:tabs>
          <w:tab w:val="left" w:pos="1571"/>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第一年</w:t>
      </w:r>
      <w:r>
        <w:rPr>
          <w:rFonts w:hint="eastAsia" w:ascii="宋体" w:hAnsi="宋体" w:eastAsia="宋体" w:cs="宋体"/>
          <w:sz w:val="24"/>
          <w:szCs w:val="24"/>
        </w:rPr>
        <w:t>服务期满并通过验收，绩效评价好、服务对象满意度高的，在预算保障的前提下，可以根据原采购合同的约定续签合同，但原合同和续签合同累计履行期限不超过</w:t>
      </w:r>
      <w:r>
        <w:rPr>
          <w:rFonts w:hint="eastAsia" w:ascii="宋体" w:hAnsi="宋体" w:eastAsia="宋体" w:cs="宋体"/>
          <w:sz w:val="24"/>
          <w:szCs w:val="24"/>
          <w:lang w:val="en-US" w:eastAsia="zh-CN"/>
        </w:rPr>
        <w:t>2</w:t>
      </w:r>
      <w:r>
        <w:rPr>
          <w:rFonts w:hint="eastAsia" w:ascii="宋体" w:hAnsi="宋体" w:eastAsia="宋体" w:cs="宋体"/>
          <w:sz w:val="24"/>
          <w:szCs w:val="24"/>
        </w:rPr>
        <w:t>年。合同履行期内若供应商达不到考核要求，采购单位可按有关程序终止下一年度的服务合同，另行招标采购</w:t>
      </w:r>
      <w:r>
        <w:rPr>
          <w:rFonts w:hint="eastAsia" w:ascii="宋体" w:hAnsi="宋体" w:eastAsia="宋体" w:cs="宋体"/>
          <w:sz w:val="24"/>
          <w:szCs w:val="24"/>
          <w:lang w:eastAsia="zh-CN"/>
        </w:rPr>
        <w:t>。</w:t>
      </w:r>
      <w:r>
        <w:rPr>
          <w:rFonts w:hint="eastAsia" w:ascii="宋体" w:hAnsi="宋体" w:cs="宋体"/>
          <w:sz w:val="24"/>
          <w:szCs w:val="24"/>
          <w:lang w:eastAsia="zh-CN"/>
        </w:rPr>
        <w:t>第二年服务期满，中标人应根据采购人的要求（如有）延续提供1个月的服务，费用标准按原合同规定执行。</w:t>
      </w:r>
      <w:r>
        <w:rPr>
          <w:rFonts w:hint="eastAsia" w:ascii="宋体" w:hAnsi="宋体" w:eastAsia="宋体" w:cs="宋体"/>
          <w:sz w:val="24"/>
          <w:szCs w:val="24"/>
        </w:rPr>
        <w:t>下一年度重新招标时应配合学校和新中标单位在服务期满前一个月内做好交接工作。</w:t>
      </w:r>
    </w:p>
    <w:p w14:paraId="757D8CF4">
      <w:pPr>
        <w:tabs>
          <w:tab w:val="left" w:pos="1571"/>
        </w:tabs>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（二）付款方式</w:t>
      </w:r>
    </w:p>
    <w:p w14:paraId="08D6F65F">
      <w:pPr>
        <w:tabs>
          <w:tab w:val="left" w:pos="1571"/>
        </w:tabs>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按月支付，每月度乙方服务人数进行结算费用，甲方凭供应商开具的正规发票和甲方认可的各项记录复印件等材料，每月支付一次。因甲方服务需要需对服务人员进行增减，双方按增减后产生的费用按实结算服务。若遇甲方年终结算，支付时间按实际情况顺延</w:t>
      </w:r>
    </w:p>
    <w:p w14:paraId="65AD7103">
      <w:pPr>
        <w:pStyle w:val="60"/>
        <w:ind w:firstLine="480" w:firstLineChars="200"/>
        <w:rPr>
          <w:rFonts w:hAnsi="宋体" w:cs="宋体"/>
          <w:szCs w:val="24"/>
          <w:lang w:val="en-US"/>
        </w:rPr>
      </w:pPr>
      <w:r>
        <w:rPr>
          <w:rFonts w:hAnsi="宋体" w:cs="宋体"/>
          <w:szCs w:val="24"/>
          <w:lang w:val="en-US"/>
        </w:rPr>
        <w:t>2.</w:t>
      </w:r>
      <w:r>
        <w:rPr>
          <w:rFonts w:hint="eastAsia" w:ascii="宋体" w:hAnsi="宋体" w:cs="宋体"/>
          <w:b/>
          <w:bCs/>
          <w:sz w:val="24"/>
          <w:lang w:val="zh-CN"/>
        </w:rPr>
        <w:t>202</w:t>
      </w:r>
      <w:r>
        <w:rPr>
          <w:rFonts w:hint="eastAsia" w:hAnsi="宋体" w:cs="宋体"/>
          <w:b/>
          <w:bCs/>
          <w:sz w:val="24"/>
          <w:lang w:val="en-US" w:eastAsia="zh-CN"/>
        </w:rPr>
        <w:t>5</w:t>
      </w:r>
      <w:r>
        <w:rPr>
          <w:rFonts w:hint="eastAsia" w:ascii="宋体" w:hAnsi="宋体" w:cs="宋体"/>
          <w:b/>
          <w:bCs/>
          <w:sz w:val="24"/>
          <w:lang w:val="zh-CN"/>
        </w:rPr>
        <w:t>年</w:t>
      </w:r>
      <w:r>
        <w:rPr>
          <w:rFonts w:ascii="宋体" w:hAnsi="宋体" w:cs="宋体"/>
          <w:b/>
          <w:bCs/>
          <w:sz w:val="24"/>
        </w:rPr>
        <w:t>1</w:t>
      </w:r>
      <w:r>
        <w:rPr>
          <w:rFonts w:hint="eastAsia" w:ascii="宋体" w:hAnsi="宋体" w:cs="宋体"/>
          <w:b/>
          <w:bCs/>
          <w:sz w:val="24"/>
          <w:lang w:val="zh-CN"/>
        </w:rPr>
        <w:t>月</w:t>
      </w:r>
      <w:r>
        <w:rPr>
          <w:rFonts w:hint="eastAsia" w:ascii="宋体" w:hAnsi="宋体" w:cs="宋体"/>
          <w:b/>
          <w:bCs/>
          <w:sz w:val="24"/>
        </w:rPr>
        <w:t>1</w:t>
      </w:r>
      <w:r>
        <w:rPr>
          <w:rFonts w:hint="eastAsia" w:ascii="宋体" w:hAnsi="宋体" w:cs="宋体"/>
          <w:b/>
          <w:bCs/>
          <w:sz w:val="24"/>
          <w:lang w:val="zh-CN"/>
        </w:rPr>
        <w:t>日起至本项目合同签订之日前的空档期物业服务由原供应商承担，费用由</w:t>
      </w:r>
      <w:r>
        <w:rPr>
          <w:rFonts w:hint="eastAsia" w:ascii="宋体" w:hAnsi="宋体" w:cs="宋体"/>
          <w:b/>
          <w:bCs/>
          <w:sz w:val="24"/>
          <w:lang w:eastAsia="zh-CN"/>
        </w:rPr>
        <w:t>中标供应商</w:t>
      </w:r>
      <w:r>
        <w:rPr>
          <w:rFonts w:hint="eastAsia" w:ascii="宋体" w:hAnsi="宋体" w:cs="宋体"/>
          <w:b/>
          <w:bCs/>
          <w:sz w:val="24"/>
          <w:lang w:val="zh-CN"/>
        </w:rPr>
        <w:t>按</w:t>
      </w:r>
      <w:r>
        <w:rPr>
          <w:rFonts w:hint="eastAsia" w:ascii="宋体" w:hAnsi="宋体" w:cs="宋体"/>
          <w:b/>
          <w:snapToGrid w:val="0"/>
          <w:color w:val="auto"/>
          <w:lang w:val="zh-CN"/>
        </w:rPr>
        <w:t>本次</w:t>
      </w:r>
      <w:r>
        <w:rPr>
          <w:rFonts w:hint="eastAsia" w:ascii="宋体" w:hAnsi="宋体" w:cs="宋体"/>
          <w:b/>
          <w:snapToGrid w:val="0"/>
          <w:color w:val="000000"/>
          <w:lang w:val="en-US" w:eastAsia="zh-CN"/>
        </w:rPr>
        <w:t>中标</w:t>
      </w:r>
      <w:r>
        <w:rPr>
          <w:rFonts w:hint="eastAsia" w:ascii="宋体" w:hAnsi="宋体" w:cs="宋体"/>
          <w:b/>
          <w:bCs/>
          <w:sz w:val="24"/>
          <w:lang w:val="zh-CN"/>
        </w:rPr>
        <w:t>价单日金额乘以实际服务天数，与原供应商结算，</w:t>
      </w:r>
      <w:r>
        <w:rPr>
          <w:rFonts w:hint="eastAsia" w:ascii="宋体" w:hAnsi="宋体" w:cs="宋体"/>
          <w:b/>
          <w:bCs/>
          <w:sz w:val="24"/>
        </w:rPr>
        <w:t>该项费用包含在</w:t>
      </w:r>
      <w:r>
        <w:rPr>
          <w:rFonts w:hint="eastAsia" w:ascii="宋体" w:hAnsi="宋体" w:cs="宋体"/>
          <w:b/>
          <w:bCs/>
          <w:sz w:val="24"/>
          <w:lang w:eastAsia="zh-CN"/>
        </w:rPr>
        <w:t>本次中标</w:t>
      </w:r>
      <w:r>
        <w:rPr>
          <w:rFonts w:hint="eastAsia" w:ascii="宋体" w:hAnsi="宋体" w:cs="宋体"/>
          <w:b/>
          <w:bCs/>
          <w:sz w:val="24"/>
        </w:rPr>
        <w:t>价中</w:t>
      </w:r>
    </w:p>
    <w:p w14:paraId="790B38A3">
      <w:pPr>
        <w:snapToGrid w:val="0"/>
        <w:spacing w:line="360" w:lineRule="auto"/>
        <w:jc w:val="center"/>
        <w:rPr>
          <w:rFonts w:hint="eastAsia" w:ascii="宋体" w:hAnsi="宋体" w:eastAsia="宋体" w:cs="宋体"/>
          <w:b/>
          <w:sz w:val="36"/>
          <w:szCs w:val="36"/>
        </w:rPr>
      </w:pPr>
      <w:r>
        <w:rPr>
          <w:rFonts w:hAnsi="宋体" w:eastAsia="宋体"/>
          <w:sz w:val="24"/>
          <w:highlight w:val="yellow"/>
        </w:rPr>
        <w:br w:type="page"/>
      </w:r>
    </w:p>
    <w:p w14:paraId="7726ED91">
      <w:p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0" w:name="_Toc184314455"/>
      <w:bookmarkEnd w:id="30"/>
      <w:bookmarkStart w:id="31" w:name="_Toc184313246"/>
      <w:bookmarkEnd w:id="31"/>
      <w:bookmarkStart w:id="32" w:name="_Toc184314461"/>
      <w:bookmarkEnd w:id="32"/>
      <w:bookmarkStart w:id="33" w:name="_Toc184312068"/>
      <w:bookmarkEnd w:id="33"/>
      <w:bookmarkStart w:id="34" w:name="_Toc184313288"/>
      <w:bookmarkEnd w:id="34"/>
      <w:bookmarkStart w:id="35" w:name="_Toc184314418"/>
      <w:bookmarkEnd w:id="35"/>
      <w:bookmarkStart w:id="36" w:name="_Toc184314447"/>
      <w:bookmarkEnd w:id="36"/>
      <w:bookmarkStart w:id="37" w:name="_Toc184310284"/>
      <w:bookmarkEnd w:id="37"/>
      <w:bookmarkStart w:id="38" w:name="_Toc184313238"/>
      <w:bookmarkEnd w:id="38"/>
      <w:bookmarkStart w:id="39" w:name="_Toc184312135"/>
      <w:bookmarkEnd w:id="39"/>
      <w:bookmarkStart w:id="40" w:name="_Toc184314471"/>
      <w:bookmarkEnd w:id="40"/>
      <w:bookmarkStart w:id="41" w:name="_Toc184314440"/>
      <w:bookmarkEnd w:id="41"/>
      <w:bookmarkStart w:id="42" w:name="_Toc184308101"/>
      <w:bookmarkEnd w:id="42"/>
      <w:bookmarkStart w:id="43" w:name="_Toc184314430"/>
      <w:bookmarkEnd w:id="43"/>
      <w:bookmarkStart w:id="44" w:name="_Toc184314437"/>
      <w:bookmarkEnd w:id="44"/>
      <w:bookmarkStart w:id="45" w:name="_Toc184310331"/>
      <w:bookmarkEnd w:id="45"/>
      <w:bookmarkStart w:id="46" w:name="_Toc184314460"/>
      <w:bookmarkEnd w:id="46"/>
      <w:bookmarkStart w:id="47" w:name="_Toc184314445"/>
      <w:bookmarkEnd w:id="47"/>
      <w:bookmarkStart w:id="48" w:name="_Toc184310290"/>
      <w:bookmarkEnd w:id="48"/>
      <w:bookmarkStart w:id="49" w:name="_Toc184308058"/>
      <w:bookmarkEnd w:id="49"/>
      <w:bookmarkStart w:id="50" w:name="_Toc184314444"/>
      <w:bookmarkEnd w:id="50"/>
      <w:bookmarkStart w:id="51" w:name="_Toc184312076"/>
      <w:bookmarkEnd w:id="51"/>
      <w:bookmarkStart w:id="52" w:name="_Toc184312120"/>
      <w:bookmarkEnd w:id="52"/>
      <w:bookmarkStart w:id="53" w:name="_Toc184310282"/>
      <w:bookmarkEnd w:id="53"/>
      <w:bookmarkStart w:id="54" w:name="_Toc184308095"/>
      <w:bookmarkEnd w:id="54"/>
      <w:bookmarkStart w:id="55" w:name="_Toc184312100"/>
      <w:bookmarkEnd w:id="55"/>
      <w:bookmarkStart w:id="56" w:name="_Toc184314477"/>
      <w:bookmarkEnd w:id="56"/>
      <w:bookmarkStart w:id="57" w:name="_Toc184313254"/>
      <w:bookmarkEnd w:id="57"/>
      <w:bookmarkStart w:id="58" w:name="_Toc184313302"/>
      <w:bookmarkEnd w:id="58"/>
      <w:bookmarkStart w:id="59" w:name="_Toc184308092"/>
      <w:bookmarkEnd w:id="59"/>
      <w:bookmarkStart w:id="60" w:name="_Toc184310304"/>
      <w:bookmarkEnd w:id="60"/>
      <w:bookmarkStart w:id="61" w:name="_Toc184312108"/>
      <w:bookmarkEnd w:id="61"/>
      <w:bookmarkStart w:id="62" w:name="_Toc184312133"/>
      <w:bookmarkEnd w:id="62"/>
      <w:bookmarkStart w:id="63" w:name="_Toc184310320"/>
      <w:bookmarkEnd w:id="63"/>
      <w:bookmarkStart w:id="64" w:name="_Toc184310314"/>
      <w:bookmarkEnd w:id="64"/>
      <w:bookmarkStart w:id="65" w:name="_Toc184310281"/>
      <w:bookmarkEnd w:id="65"/>
      <w:bookmarkStart w:id="66" w:name="_Toc184313273"/>
      <w:bookmarkEnd w:id="66"/>
      <w:bookmarkStart w:id="67" w:name="_Toc184313265"/>
      <w:bookmarkEnd w:id="67"/>
      <w:bookmarkStart w:id="68" w:name="_Toc184308104"/>
      <w:bookmarkEnd w:id="68"/>
      <w:bookmarkStart w:id="69" w:name="_Toc184308062"/>
      <w:bookmarkEnd w:id="69"/>
      <w:bookmarkStart w:id="70" w:name="_Toc184313241"/>
      <w:bookmarkEnd w:id="70"/>
      <w:bookmarkStart w:id="71" w:name="_Toc184310301"/>
      <w:bookmarkEnd w:id="71"/>
      <w:bookmarkStart w:id="72" w:name="_Toc184312114"/>
      <w:bookmarkEnd w:id="72"/>
      <w:bookmarkStart w:id="73" w:name="_Toc184312096"/>
      <w:bookmarkEnd w:id="73"/>
      <w:bookmarkStart w:id="74" w:name="_Toc184312087"/>
      <w:bookmarkEnd w:id="74"/>
      <w:bookmarkStart w:id="75" w:name="_Toc184313276"/>
      <w:bookmarkEnd w:id="75"/>
      <w:bookmarkStart w:id="76" w:name="_Toc184310277"/>
      <w:bookmarkEnd w:id="76"/>
      <w:bookmarkStart w:id="77" w:name="_Toc184313285"/>
      <w:bookmarkEnd w:id="77"/>
      <w:bookmarkStart w:id="78" w:name="_Toc184308074"/>
      <w:bookmarkEnd w:id="78"/>
      <w:bookmarkStart w:id="79" w:name="_Toc184313274"/>
      <w:bookmarkEnd w:id="79"/>
      <w:bookmarkStart w:id="80" w:name="_Toc184313264"/>
      <w:bookmarkEnd w:id="80"/>
      <w:bookmarkStart w:id="81" w:name="_Toc184312081"/>
      <w:bookmarkEnd w:id="81"/>
      <w:bookmarkStart w:id="82" w:name="_Toc184314482"/>
      <w:bookmarkEnd w:id="82"/>
      <w:bookmarkStart w:id="83" w:name="_Toc184312126"/>
      <w:bookmarkEnd w:id="83"/>
      <w:bookmarkStart w:id="84" w:name="_Toc184313305"/>
      <w:bookmarkEnd w:id="84"/>
      <w:bookmarkStart w:id="85" w:name="_Toc184310274"/>
      <w:bookmarkEnd w:id="85"/>
      <w:bookmarkStart w:id="86" w:name="_Toc184310302"/>
      <w:bookmarkEnd w:id="86"/>
      <w:bookmarkStart w:id="87" w:name="_Toc184308081"/>
      <w:bookmarkEnd w:id="87"/>
      <w:bookmarkStart w:id="88" w:name="_Toc184310336"/>
      <w:bookmarkEnd w:id="88"/>
      <w:bookmarkStart w:id="89" w:name="_Toc184310335"/>
      <w:bookmarkEnd w:id="89"/>
      <w:bookmarkStart w:id="90" w:name="_Toc184312124"/>
      <w:bookmarkEnd w:id="90"/>
      <w:bookmarkStart w:id="91" w:name="_Toc184314448"/>
      <w:bookmarkEnd w:id="91"/>
      <w:bookmarkStart w:id="92" w:name="_Toc184312111"/>
      <w:bookmarkEnd w:id="92"/>
      <w:bookmarkStart w:id="93" w:name="_Toc184314464"/>
      <w:bookmarkEnd w:id="93"/>
      <w:bookmarkStart w:id="94" w:name="_Toc184312104"/>
      <w:bookmarkEnd w:id="94"/>
      <w:bookmarkStart w:id="95" w:name="_Toc184313243"/>
      <w:bookmarkEnd w:id="95"/>
      <w:bookmarkStart w:id="96" w:name="_Toc184313298"/>
      <w:bookmarkEnd w:id="96"/>
      <w:bookmarkStart w:id="97" w:name="_Toc184310280"/>
      <w:bookmarkEnd w:id="97"/>
      <w:bookmarkStart w:id="98" w:name="_Toc184310278"/>
      <w:bookmarkEnd w:id="98"/>
      <w:bookmarkStart w:id="99" w:name="_Toc184308040"/>
      <w:bookmarkEnd w:id="99"/>
      <w:bookmarkStart w:id="100" w:name="_Toc184312094"/>
      <w:bookmarkEnd w:id="100"/>
      <w:bookmarkStart w:id="101" w:name="_Toc184314450"/>
      <w:bookmarkEnd w:id="101"/>
      <w:bookmarkStart w:id="102" w:name="_Toc184314426"/>
      <w:bookmarkEnd w:id="102"/>
      <w:bookmarkStart w:id="103" w:name="_Toc184310315"/>
      <w:bookmarkEnd w:id="103"/>
      <w:bookmarkStart w:id="104" w:name="_Toc184312079"/>
      <w:bookmarkEnd w:id="104"/>
      <w:bookmarkStart w:id="105" w:name="_Toc184308043"/>
      <w:bookmarkEnd w:id="105"/>
      <w:bookmarkStart w:id="106" w:name="_Toc184308068"/>
      <w:bookmarkEnd w:id="106"/>
      <w:bookmarkStart w:id="107" w:name="_Toc184310292"/>
      <w:bookmarkEnd w:id="107"/>
      <w:bookmarkStart w:id="108" w:name="_Toc184313262"/>
      <w:bookmarkEnd w:id="108"/>
      <w:bookmarkStart w:id="109" w:name="_Toc184312082"/>
      <w:bookmarkEnd w:id="109"/>
      <w:bookmarkStart w:id="110" w:name="_Toc184310309"/>
      <w:bookmarkEnd w:id="110"/>
      <w:bookmarkStart w:id="111" w:name="_Toc184314416"/>
      <w:bookmarkEnd w:id="111"/>
      <w:bookmarkStart w:id="112" w:name="_Toc184313247"/>
      <w:bookmarkEnd w:id="112"/>
      <w:bookmarkStart w:id="113" w:name="_Toc184313272"/>
      <w:bookmarkEnd w:id="113"/>
      <w:bookmarkStart w:id="114" w:name="_Toc184314457"/>
      <w:bookmarkEnd w:id="114"/>
      <w:bookmarkStart w:id="115" w:name="_Toc184308044"/>
      <w:bookmarkEnd w:id="115"/>
      <w:bookmarkStart w:id="116" w:name="_Toc184314469"/>
      <w:bookmarkEnd w:id="116"/>
      <w:bookmarkStart w:id="117" w:name="_Toc184313250"/>
      <w:bookmarkEnd w:id="117"/>
      <w:bookmarkStart w:id="118" w:name="_Toc184313266"/>
      <w:bookmarkEnd w:id="118"/>
      <w:bookmarkStart w:id="119" w:name="_Toc184310291"/>
      <w:bookmarkEnd w:id="119"/>
      <w:bookmarkStart w:id="120" w:name="_Toc184310343"/>
      <w:bookmarkEnd w:id="120"/>
      <w:bookmarkStart w:id="121" w:name="_Toc184308059"/>
      <w:bookmarkEnd w:id="121"/>
      <w:bookmarkStart w:id="122" w:name="_Toc184310286"/>
      <w:bookmarkEnd w:id="122"/>
      <w:bookmarkStart w:id="123" w:name="_Toc184314463"/>
      <w:bookmarkEnd w:id="123"/>
      <w:bookmarkStart w:id="124" w:name="_Toc184314466"/>
      <w:bookmarkEnd w:id="124"/>
      <w:bookmarkStart w:id="125" w:name="_Toc184314449"/>
      <w:bookmarkEnd w:id="125"/>
      <w:bookmarkStart w:id="126" w:name="_Toc184312138"/>
      <w:bookmarkEnd w:id="126"/>
      <w:bookmarkStart w:id="127" w:name="_Toc184312122"/>
      <w:bookmarkEnd w:id="127"/>
      <w:bookmarkStart w:id="128" w:name="_Toc184308097"/>
      <w:bookmarkEnd w:id="128"/>
      <w:bookmarkStart w:id="129" w:name="_Toc184308036"/>
      <w:bookmarkEnd w:id="129"/>
      <w:bookmarkStart w:id="130" w:name="_Toc184310321"/>
      <w:bookmarkEnd w:id="130"/>
      <w:bookmarkStart w:id="131" w:name="_Toc184313244"/>
      <w:bookmarkEnd w:id="131"/>
      <w:bookmarkStart w:id="132" w:name="_Toc184314411"/>
      <w:bookmarkEnd w:id="132"/>
      <w:bookmarkStart w:id="133" w:name="_Toc184312102"/>
      <w:bookmarkEnd w:id="133"/>
      <w:bookmarkStart w:id="134" w:name="_Toc184308090"/>
      <w:bookmarkEnd w:id="134"/>
      <w:bookmarkStart w:id="135" w:name="_Toc184314434"/>
      <w:bookmarkEnd w:id="135"/>
      <w:bookmarkStart w:id="136" w:name="_Toc184312137"/>
      <w:bookmarkEnd w:id="136"/>
      <w:bookmarkStart w:id="137" w:name="_Toc184310330"/>
      <w:bookmarkEnd w:id="137"/>
      <w:bookmarkStart w:id="138" w:name="_Toc184310299"/>
      <w:bookmarkEnd w:id="138"/>
      <w:bookmarkStart w:id="139" w:name="_Toc184313306"/>
      <w:bookmarkEnd w:id="139"/>
      <w:bookmarkStart w:id="140" w:name="_Toc184310295"/>
      <w:bookmarkEnd w:id="140"/>
      <w:bookmarkStart w:id="141" w:name="_Toc184314452"/>
      <w:bookmarkEnd w:id="141"/>
      <w:bookmarkStart w:id="142" w:name="_Toc184308085"/>
      <w:bookmarkEnd w:id="142"/>
      <w:bookmarkStart w:id="143" w:name="_Toc184312083"/>
      <w:bookmarkEnd w:id="143"/>
      <w:bookmarkStart w:id="144" w:name="_Toc184310310"/>
      <w:bookmarkEnd w:id="144"/>
      <w:bookmarkStart w:id="145" w:name="_Toc184310272"/>
      <w:bookmarkEnd w:id="145"/>
      <w:bookmarkStart w:id="146" w:name="_Toc184312105"/>
      <w:bookmarkEnd w:id="146"/>
      <w:bookmarkStart w:id="147" w:name="_Toc184310307"/>
      <w:bookmarkEnd w:id="147"/>
      <w:bookmarkStart w:id="148" w:name="_Toc184308083"/>
      <w:bookmarkEnd w:id="148"/>
      <w:bookmarkStart w:id="149" w:name="_Toc184314478"/>
      <w:bookmarkEnd w:id="149"/>
      <w:bookmarkStart w:id="150" w:name="_Toc184308048"/>
      <w:bookmarkEnd w:id="150"/>
      <w:bookmarkStart w:id="151" w:name="_Toc184308098"/>
      <w:bookmarkEnd w:id="151"/>
      <w:bookmarkStart w:id="152" w:name="_Toc184313286"/>
      <w:bookmarkEnd w:id="152"/>
      <w:bookmarkStart w:id="153" w:name="_Toc184313259"/>
      <w:bookmarkEnd w:id="153"/>
      <w:bookmarkStart w:id="154" w:name="_Toc184314479"/>
      <w:bookmarkEnd w:id="154"/>
      <w:bookmarkStart w:id="155" w:name="_Toc184310279"/>
      <w:bookmarkEnd w:id="155"/>
      <w:bookmarkStart w:id="156" w:name="_Toc184313251"/>
      <w:bookmarkEnd w:id="156"/>
      <w:bookmarkStart w:id="157" w:name="_Toc184308046"/>
      <w:bookmarkEnd w:id="157"/>
      <w:bookmarkStart w:id="158" w:name="_Toc184308045"/>
      <w:bookmarkEnd w:id="158"/>
      <w:bookmarkStart w:id="159" w:name="_Toc184308107"/>
      <w:bookmarkEnd w:id="159"/>
      <w:bookmarkStart w:id="160" w:name="_Toc184313283"/>
      <w:bookmarkEnd w:id="160"/>
      <w:bookmarkStart w:id="161" w:name="_Toc184308066"/>
      <w:bookmarkEnd w:id="161"/>
      <w:bookmarkStart w:id="162" w:name="_Toc184308052"/>
      <w:bookmarkEnd w:id="162"/>
      <w:bookmarkStart w:id="163" w:name="_Toc184314468"/>
      <w:bookmarkEnd w:id="163"/>
      <w:bookmarkStart w:id="164" w:name="_Toc184312131"/>
      <w:bookmarkEnd w:id="164"/>
      <w:bookmarkStart w:id="165" w:name="_Toc184313270"/>
      <w:bookmarkEnd w:id="165"/>
      <w:bookmarkStart w:id="166" w:name="_Toc184308065"/>
      <w:bookmarkEnd w:id="166"/>
      <w:bookmarkStart w:id="167" w:name="_Toc184308075"/>
      <w:bookmarkEnd w:id="167"/>
      <w:bookmarkStart w:id="168" w:name="_Toc184313295"/>
      <w:bookmarkEnd w:id="168"/>
      <w:bookmarkStart w:id="169" w:name="_Toc184308060"/>
      <w:bookmarkEnd w:id="169"/>
      <w:bookmarkStart w:id="170" w:name="_Toc184312067"/>
      <w:bookmarkEnd w:id="170"/>
      <w:bookmarkStart w:id="171" w:name="_Toc184314435"/>
      <w:bookmarkEnd w:id="171"/>
      <w:bookmarkStart w:id="172" w:name="_Toc184312069"/>
      <w:bookmarkEnd w:id="172"/>
      <w:bookmarkStart w:id="173" w:name="_Toc184313291"/>
      <w:bookmarkEnd w:id="173"/>
      <w:bookmarkStart w:id="174" w:name="_Toc184314410"/>
      <w:bookmarkEnd w:id="174"/>
      <w:bookmarkStart w:id="175" w:name="_Toc184314476"/>
      <w:bookmarkEnd w:id="175"/>
      <w:bookmarkStart w:id="176" w:name="_Toc184310323"/>
      <w:bookmarkEnd w:id="176"/>
      <w:bookmarkStart w:id="177" w:name="_Toc184312106"/>
      <w:bookmarkEnd w:id="177"/>
      <w:bookmarkStart w:id="178" w:name="_Toc184310300"/>
      <w:bookmarkEnd w:id="178"/>
      <w:bookmarkStart w:id="179" w:name="_Toc184310293"/>
      <w:bookmarkEnd w:id="179"/>
      <w:bookmarkStart w:id="180" w:name="_Toc184314433"/>
      <w:bookmarkEnd w:id="180"/>
      <w:bookmarkStart w:id="181" w:name="_Toc184313279"/>
      <w:bookmarkEnd w:id="181"/>
      <w:bookmarkStart w:id="182" w:name="_Toc184308084"/>
      <w:bookmarkEnd w:id="182"/>
      <w:bookmarkStart w:id="183" w:name="_Toc184312136"/>
      <w:bookmarkEnd w:id="183"/>
      <w:bookmarkStart w:id="184" w:name="_Toc184310298"/>
      <w:bookmarkEnd w:id="184"/>
      <w:bookmarkStart w:id="185" w:name="_Toc184312116"/>
      <w:bookmarkEnd w:id="185"/>
      <w:bookmarkStart w:id="186" w:name="_Toc184314474"/>
      <w:bookmarkEnd w:id="186"/>
      <w:bookmarkStart w:id="187" w:name="_Toc184310289"/>
      <w:bookmarkEnd w:id="187"/>
      <w:bookmarkStart w:id="188" w:name="_Toc184312113"/>
      <w:bookmarkEnd w:id="188"/>
      <w:bookmarkStart w:id="189" w:name="_Toc184314475"/>
      <w:bookmarkEnd w:id="189"/>
      <w:bookmarkStart w:id="190" w:name="_Toc184314442"/>
      <w:bookmarkEnd w:id="190"/>
      <w:bookmarkStart w:id="191" w:name="_Toc184312070"/>
      <w:bookmarkEnd w:id="191"/>
      <w:bookmarkStart w:id="192" w:name="_Toc184310308"/>
      <w:bookmarkEnd w:id="192"/>
      <w:bookmarkStart w:id="193" w:name="_Toc184314428"/>
      <w:bookmarkEnd w:id="193"/>
      <w:bookmarkStart w:id="194" w:name="_Toc184308099"/>
      <w:bookmarkEnd w:id="194"/>
      <w:bookmarkStart w:id="195" w:name="_Toc184310341"/>
      <w:bookmarkEnd w:id="195"/>
      <w:bookmarkStart w:id="196" w:name="_Toc184313249"/>
      <w:bookmarkEnd w:id="196"/>
      <w:bookmarkStart w:id="197" w:name="_Toc184308073"/>
      <w:bookmarkEnd w:id="197"/>
      <w:bookmarkStart w:id="198" w:name="_Toc184312077"/>
      <w:bookmarkEnd w:id="198"/>
      <w:bookmarkStart w:id="199" w:name="_Toc184314470"/>
      <w:bookmarkEnd w:id="199"/>
      <w:bookmarkStart w:id="200" w:name="_Toc184313271"/>
      <w:bookmarkEnd w:id="200"/>
      <w:bookmarkStart w:id="201" w:name="_Toc184314462"/>
      <w:bookmarkEnd w:id="201"/>
      <w:bookmarkStart w:id="202" w:name="_Toc184310333"/>
      <w:bookmarkEnd w:id="202"/>
      <w:bookmarkStart w:id="203" w:name="_Toc184312095"/>
      <w:bookmarkEnd w:id="203"/>
      <w:bookmarkStart w:id="204" w:name="_Toc184313256"/>
      <w:bookmarkEnd w:id="204"/>
      <w:bookmarkStart w:id="205" w:name="_Toc184313289"/>
      <w:bookmarkEnd w:id="205"/>
      <w:bookmarkStart w:id="206" w:name="_Toc184308051"/>
      <w:bookmarkEnd w:id="206"/>
      <w:bookmarkStart w:id="207" w:name="_Toc184313255"/>
      <w:bookmarkEnd w:id="207"/>
      <w:bookmarkStart w:id="208" w:name="_Toc184314423"/>
      <w:bookmarkEnd w:id="208"/>
      <w:bookmarkStart w:id="209" w:name="_Toc184310297"/>
      <w:bookmarkEnd w:id="209"/>
      <w:bookmarkStart w:id="210" w:name="_Toc184308105"/>
      <w:bookmarkEnd w:id="210"/>
      <w:bookmarkStart w:id="211" w:name="_Toc184308103"/>
      <w:bookmarkEnd w:id="211"/>
      <w:bookmarkStart w:id="212" w:name="_Toc184310296"/>
      <w:bookmarkEnd w:id="212"/>
      <w:bookmarkStart w:id="213" w:name="_Toc184314446"/>
      <w:bookmarkEnd w:id="213"/>
      <w:bookmarkStart w:id="214" w:name="_Toc184312125"/>
      <w:bookmarkEnd w:id="214"/>
      <w:bookmarkStart w:id="215" w:name="_Toc184310273"/>
      <w:bookmarkEnd w:id="215"/>
      <w:bookmarkStart w:id="216" w:name="_Toc184313258"/>
      <w:bookmarkEnd w:id="216"/>
      <w:bookmarkStart w:id="217" w:name="_Toc184312128"/>
      <w:bookmarkEnd w:id="217"/>
      <w:bookmarkStart w:id="218" w:name="_Toc184312072"/>
      <w:bookmarkEnd w:id="218"/>
      <w:bookmarkStart w:id="219" w:name="_Toc184312109"/>
      <w:bookmarkEnd w:id="219"/>
      <w:bookmarkStart w:id="220" w:name="_Toc184313269"/>
      <w:bookmarkEnd w:id="220"/>
      <w:bookmarkStart w:id="221" w:name="_Toc184314441"/>
      <w:bookmarkEnd w:id="221"/>
      <w:bookmarkStart w:id="222" w:name="_Toc184310318"/>
      <w:bookmarkEnd w:id="222"/>
      <w:bookmarkStart w:id="223" w:name="_Toc184312097"/>
      <w:bookmarkEnd w:id="223"/>
      <w:bookmarkStart w:id="224" w:name="_Toc184312110"/>
      <w:bookmarkEnd w:id="224"/>
      <w:bookmarkStart w:id="225" w:name="_Toc184308070"/>
      <w:bookmarkEnd w:id="225"/>
      <w:bookmarkStart w:id="226" w:name="_Toc184308088"/>
      <w:bookmarkEnd w:id="226"/>
      <w:bookmarkStart w:id="227" w:name="_Toc184308100"/>
      <w:bookmarkEnd w:id="227"/>
      <w:bookmarkStart w:id="228" w:name="_Toc184313275"/>
      <w:bookmarkEnd w:id="228"/>
      <w:bookmarkStart w:id="229" w:name="_Toc184313303"/>
      <w:bookmarkEnd w:id="229"/>
      <w:bookmarkStart w:id="230" w:name="_Toc184308080"/>
      <w:bookmarkEnd w:id="230"/>
      <w:bookmarkStart w:id="231" w:name="_Toc184313257"/>
      <w:bookmarkEnd w:id="231"/>
      <w:bookmarkStart w:id="232" w:name="_Toc184313284"/>
      <w:bookmarkEnd w:id="232"/>
      <w:bookmarkStart w:id="233" w:name="_Toc184314439"/>
      <w:bookmarkEnd w:id="233"/>
      <w:bookmarkStart w:id="234" w:name="_Toc184312101"/>
      <w:bookmarkEnd w:id="234"/>
      <w:bookmarkStart w:id="235" w:name="_Toc184308042"/>
      <w:bookmarkEnd w:id="235"/>
      <w:bookmarkStart w:id="236" w:name="_Toc184308057"/>
      <w:bookmarkEnd w:id="236"/>
      <w:bookmarkStart w:id="237" w:name="_Toc184314458"/>
      <w:bookmarkEnd w:id="237"/>
      <w:bookmarkStart w:id="238" w:name="_Toc184313277"/>
      <w:bookmarkEnd w:id="238"/>
      <w:bookmarkStart w:id="239" w:name="_Toc184313239"/>
      <w:bookmarkEnd w:id="239"/>
      <w:bookmarkStart w:id="240" w:name="_Toc184312086"/>
      <w:bookmarkEnd w:id="240"/>
      <w:bookmarkStart w:id="241" w:name="_Toc184312130"/>
      <w:bookmarkEnd w:id="241"/>
      <w:bookmarkStart w:id="242" w:name="_Toc184310342"/>
      <w:bookmarkEnd w:id="242"/>
      <w:bookmarkStart w:id="243" w:name="_Toc184314415"/>
      <w:bookmarkEnd w:id="243"/>
      <w:bookmarkStart w:id="244" w:name="_Toc184308055"/>
      <w:bookmarkEnd w:id="244"/>
      <w:bookmarkStart w:id="245" w:name="_Toc184312123"/>
      <w:bookmarkEnd w:id="245"/>
      <w:bookmarkStart w:id="246" w:name="_Toc184314456"/>
      <w:bookmarkEnd w:id="246"/>
      <w:bookmarkStart w:id="247" w:name="_Toc184308078"/>
      <w:bookmarkEnd w:id="247"/>
      <w:bookmarkStart w:id="248" w:name="_Toc184314451"/>
      <w:bookmarkEnd w:id="248"/>
      <w:bookmarkStart w:id="249" w:name="_Toc184308064"/>
      <w:bookmarkEnd w:id="249"/>
      <w:bookmarkStart w:id="250" w:name="_Toc184310287"/>
      <w:bookmarkEnd w:id="250"/>
      <w:bookmarkStart w:id="251" w:name="_Toc184314473"/>
      <w:bookmarkEnd w:id="251"/>
      <w:bookmarkStart w:id="252" w:name="_Toc184313301"/>
      <w:bookmarkEnd w:id="252"/>
      <w:bookmarkStart w:id="253" w:name="_Toc184308049"/>
      <w:bookmarkEnd w:id="253"/>
      <w:bookmarkStart w:id="254" w:name="_Toc184310311"/>
      <w:bookmarkEnd w:id="254"/>
      <w:bookmarkStart w:id="255" w:name="_Toc184310316"/>
      <w:bookmarkEnd w:id="255"/>
      <w:bookmarkStart w:id="256" w:name="_Toc184313281"/>
      <w:bookmarkEnd w:id="256"/>
      <w:bookmarkStart w:id="257" w:name="_Toc184310319"/>
      <w:bookmarkEnd w:id="257"/>
      <w:bookmarkStart w:id="258" w:name="_Toc184308106"/>
      <w:bookmarkEnd w:id="258"/>
      <w:bookmarkStart w:id="259" w:name="_Toc184313252"/>
      <w:bookmarkEnd w:id="259"/>
      <w:bookmarkStart w:id="260" w:name="_Toc184308077"/>
      <w:bookmarkEnd w:id="260"/>
      <w:bookmarkStart w:id="261" w:name="_Toc184308047"/>
      <w:bookmarkEnd w:id="261"/>
      <w:bookmarkStart w:id="262" w:name="_Toc184313292"/>
      <w:bookmarkEnd w:id="262"/>
      <w:bookmarkStart w:id="263" w:name="_Toc184308091"/>
      <w:bookmarkEnd w:id="263"/>
      <w:bookmarkStart w:id="264" w:name="_Toc184314472"/>
      <w:bookmarkEnd w:id="264"/>
      <w:bookmarkStart w:id="265" w:name="_Toc184312118"/>
      <w:bookmarkEnd w:id="265"/>
      <w:bookmarkStart w:id="266" w:name="_Toc184312119"/>
      <w:bookmarkEnd w:id="266"/>
      <w:bookmarkStart w:id="267" w:name="_Toc184312107"/>
      <w:bookmarkEnd w:id="267"/>
      <w:bookmarkStart w:id="268" w:name="_Toc184308050"/>
      <w:bookmarkEnd w:id="268"/>
      <w:bookmarkStart w:id="269" w:name="_Toc184310338"/>
      <w:bookmarkEnd w:id="269"/>
      <w:bookmarkStart w:id="270" w:name="_Toc184308041"/>
      <w:bookmarkEnd w:id="270"/>
      <w:bookmarkStart w:id="271" w:name="_Toc184308087"/>
      <w:bookmarkEnd w:id="271"/>
      <w:bookmarkStart w:id="272" w:name="_Toc184314417"/>
      <w:bookmarkEnd w:id="272"/>
      <w:bookmarkStart w:id="273" w:name="_Toc184313304"/>
      <w:bookmarkEnd w:id="273"/>
      <w:bookmarkStart w:id="274" w:name="_Toc184313290"/>
      <w:bookmarkEnd w:id="274"/>
      <w:bookmarkStart w:id="275" w:name="_Toc184310294"/>
      <w:bookmarkEnd w:id="275"/>
      <w:bookmarkStart w:id="276" w:name="_Toc184308038"/>
      <w:bookmarkEnd w:id="276"/>
      <w:bookmarkStart w:id="277" w:name="_Toc184312121"/>
      <w:bookmarkEnd w:id="277"/>
      <w:bookmarkStart w:id="278" w:name="_Toc184312080"/>
      <w:bookmarkEnd w:id="278"/>
      <w:bookmarkStart w:id="279" w:name="_Toc184313307"/>
      <w:bookmarkEnd w:id="279"/>
      <w:bookmarkStart w:id="280" w:name="_Toc184308094"/>
      <w:bookmarkEnd w:id="280"/>
      <w:bookmarkStart w:id="281" w:name="_Toc184308086"/>
      <w:bookmarkEnd w:id="281"/>
      <w:bookmarkStart w:id="282" w:name="_Toc184314421"/>
      <w:bookmarkEnd w:id="282"/>
      <w:bookmarkStart w:id="283" w:name="_Toc184312093"/>
      <w:bookmarkEnd w:id="283"/>
      <w:bookmarkStart w:id="284" w:name="_Toc184312074"/>
      <w:bookmarkEnd w:id="284"/>
      <w:bookmarkStart w:id="285" w:name="_Toc184313280"/>
      <w:bookmarkEnd w:id="285"/>
      <w:bookmarkStart w:id="286" w:name="_Toc184313308"/>
      <w:bookmarkEnd w:id="286"/>
      <w:bookmarkStart w:id="287" w:name="_Toc184313294"/>
      <w:bookmarkEnd w:id="287"/>
      <w:bookmarkStart w:id="288" w:name="_Toc184308039"/>
      <w:bookmarkEnd w:id="288"/>
      <w:bookmarkStart w:id="289" w:name="_Toc184312127"/>
      <w:bookmarkEnd w:id="289"/>
      <w:bookmarkStart w:id="290" w:name="_Toc184314419"/>
      <w:bookmarkEnd w:id="290"/>
      <w:bookmarkStart w:id="291" w:name="_Toc184310325"/>
      <w:bookmarkEnd w:id="291"/>
      <w:bookmarkStart w:id="292" w:name="_Toc184312085"/>
      <w:bookmarkEnd w:id="292"/>
      <w:bookmarkStart w:id="293" w:name="_Toc184312139"/>
      <w:bookmarkEnd w:id="293"/>
      <w:bookmarkStart w:id="294" w:name="_Toc184308067"/>
      <w:bookmarkEnd w:id="294"/>
      <w:bookmarkStart w:id="295" w:name="_Toc184312075"/>
      <w:bookmarkEnd w:id="295"/>
      <w:bookmarkStart w:id="296" w:name="_Toc184310306"/>
      <w:bookmarkEnd w:id="296"/>
      <w:bookmarkStart w:id="297" w:name="_Toc184314412"/>
      <w:bookmarkEnd w:id="297"/>
      <w:bookmarkStart w:id="298" w:name="_Toc184313310"/>
      <w:bookmarkEnd w:id="298"/>
      <w:bookmarkStart w:id="299" w:name="_Toc184314414"/>
      <w:bookmarkEnd w:id="299"/>
      <w:bookmarkStart w:id="300" w:name="_Toc184314413"/>
      <w:bookmarkEnd w:id="300"/>
      <w:bookmarkStart w:id="301" w:name="_Toc184314467"/>
      <w:bookmarkEnd w:id="301"/>
      <w:bookmarkStart w:id="302" w:name="_Toc184314480"/>
      <w:bookmarkEnd w:id="302"/>
      <w:bookmarkStart w:id="303" w:name="_Toc184308076"/>
      <w:bookmarkEnd w:id="303"/>
      <w:bookmarkStart w:id="304" w:name="_Toc184312112"/>
      <w:bookmarkEnd w:id="304"/>
      <w:bookmarkStart w:id="305" w:name="_Toc184312084"/>
      <w:bookmarkEnd w:id="305"/>
      <w:bookmarkStart w:id="306" w:name="_Toc184313268"/>
      <w:bookmarkEnd w:id="306"/>
      <w:bookmarkStart w:id="307" w:name="_Toc184313253"/>
      <w:bookmarkEnd w:id="307"/>
      <w:bookmarkStart w:id="308" w:name="_Toc184310337"/>
      <w:bookmarkEnd w:id="308"/>
      <w:bookmarkStart w:id="309" w:name="_Toc184313309"/>
      <w:bookmarkEnd w:id="309"/>
      <w:bookmarkStart w:id="310" w:name="_Toc184310329"/>
      <w:bookmarkEnd w:id="310"/>
      <w:bookmarkStart w:id="311" w:name="_Toc184312071"/>
      <w:bookmarkEnd w:id="311"/>
      <w:bookmarkStart w:id="312" w:name="_Toc184314429"/>
      <w:bookmarkEnd w:id="312"/>
      <w:bookmarkStart w:id="313" w:name="_Toc184313240"/>
      <w:bookmarkEnd w:id="313"/>
      <w:bookmarkStart w:id="314" w:name="_Toc184313278"/>
      <w:bookmarkEnd w:id="314"/>
      <w:bookmarkStart w:id="315" w:name="_Toc184313282"/>
      <w:bookmarkEnd w:id="315"/>
      <w:bookmarkStart w:id="316" w:name="_Toc184314420"/>
      <w:bookmarkEnd w:id="316"/>
      <w:bookmarkStart w:id="317" w:name="_Toc184312088"/>
      <w:bookmarkEnd w:id="317"/>
      <w:bookmarkStart w:id="318" w:name="_Toc184312129"/>
      <w:bookmarkEnd w:id="318"/>
      <w:bookmarkStart w:id="319" w:name="_Toc184312103"/>
      <w:bookmarkEnd w:id="319"/>
      <w:bookmarkStart w:id="320" w:name="_Toc184310313"/>
      <w:bookmarkEnd w:id="320"/>
      <w:bookmarkStart w:id="321" w:name="_Toc184310288"/>
      <w:bookmarkEnd w:id="321"/>
      <w:bookmarkStart w:id="322" w:name="_Toc184314443"/>
      <w:bookmarkEnd w:id="322"/>
      <w:bookmarkStart w:id="323" w:name="_Toc184314481"/>
      <w:bookmarkEnd w:id="323"/>
      <w:bookmarkStart w:id="324" w:name="_Toc184314454"/>
      <w:bookmarkEnd w:id="324"/>
      <w:bookmarkStart w:id="325" w:name="_Toc184312134"/>
      <w:bookmarkEnd w:id="325"/>
      <w:bookmarkStart w:id="326" w:name="_Toc184312115"/>
      <w:bookmarkEnd w:id="326"/>
      <w:bookmarkStart w:id="327" w:name="_Toc184312078"/>
      <w:bookmarkEnd w:id="327"/>
      <w:bookmarkStart w:id="328" w:name="_Toc184312091"/>
      <w:bookmarkEnd w:id="328"/>
      <w:bookmarkStart w:id="329" w:name="_Toc184308063"/>
      <w:bookmarkEnd w:id="329"/>
      <w:bookmarkStart w:id="330" w:name="_Toc184310328"/>
      <w:bookmarkEnd w:id="330"/>
      <w:bookmarkStart w:id="331" w:name="_Toc184313299"/>
      <w:bookmarkEnd w:id="331"/>
      <w:bookmarkStart w:id="332" w:name="_Toc184310344"/>
      <w:bookmarkEnd w:id="332"/>
      <w:bookmarkStart w:id="333" w:name="_Toc184310283"/>
      <w:bookmarkEnd w:id="333"/>
      <w:bookmarkStart w:id="334" w:name="_Toc184314465"/>
      <w:bookmarkEnd w:id="334"/>
      <w:bookmarkStart w:id="335" w:name="_Toc184308089"/>
      <w:bookmarkEnd w:id="335"/>
      <w:bookmarkStart w:id="336" w:name="_Toc184310285"/>
      <w:bookmarkEnd w:id="336"/>
      <w:bookmarkStart w:id="337" w:name="_Toc184310276"/>
      <w:bookmarkEnd w:id="337"/>
      <w:bookmarkStart w:id="338" w:name="_Toc184314427"/>
      <w:bookmarkEnd w:id="338"/>
      <w:bookmarkStart w:id="339" w:name="_Toc184310275"/>
      <w:bookmarkEnd w:id="339"/>
      <w:bookmarkStart w:id="340" w:name="_Toc184312098"/>
      <w:bookmarkEnd w:id="340"/>
      <w:bookmarkStart w:id="341" w:name="_Toc184313260"/>
      <w:bookmarkEnd w:id="341"/>
      <w:bookmarkStart w:id="342" w:name="_Toc184312092"/>
      <w:bookmarkEnd w:id="342"/>
      <w:bookmarkStart w:id="343" w:name="_Toc184314432"/>
      <w:bookmarkEnd w:id="343"/>
      <w:bookmarkStart w:id="344" w:name="_Toc184313242"/>
      <w:bookmarkEnd w:id="344"/>
      <w:bookmarkStart w:id="345" w:name="_Toc184314438"/>
      <w:bookmarkEnd w:id="345"/>
      <w:bookmarkStart w:id="346" w:name="_Toc184310332"/>
      <w:bookmarkEnd w:id="346"/>
      <w:bookmarkStart w:id="347" w:name="_Toc184314425"/>
      <w:bookmarkEnd w:id="347"/>
      <w:bookmarkStart w:id="348" w:name="_Toc184308072"/>
      <w:bookmarkEnd w:id="348"/>
      <w:bookmarkStart w:id="349" w:name="_Toc184308061"/>
      <w:bookmarkEnd w:id="349"/>
      <w:bookmarkStart w:id="350" w:name="_Toc184310303"/>
      <w:bookmarkEnd w:id="350"/>
      <w:bookmarkStart w:id="351" w:name="_Toc184313267"/>
      <w:bookmarkEnd w:id="351"/>
      <w:bookmarkStart w:id="352" w:name="_Toc184313293"/>
      <w:bookmarkEnd w:id="352"/>
      <w:bookmarkStart w:id="353" w:name="_Toc184314453"/>
      <w:bookmarkEnd w:id="353"/>
      <w:bookmarkStart w:id="354" w:name="_Toc184314436"/>
      <w:bookmarkEnd w:id="354"/>
      <w:bookmarkStart w:id="355" w:name="_Toc184308056"/>
      <w:bookmarkEnd w:id="355"/>
      <w:bookmarkStart w:id="356" w:name="_Toc184310327"/>
      <w:bookmarkEnd w:id="356"/>
      <w:bookmarkStart w:id="357" w:name="_Toc184312089"/>
      <w:bookmarkEnd w:id="357"/>
      <w:bookmarkStart w:id="358" w:name="_Toc184313297"/>
      <w:bookmarkEnd w:id="358"/>
      <w:bookmarkStart w:id="359" w:name="_Toc184308108"/>
      <w:bookmarkEnd w:id="359"/>
      <w:bookmarkStart w:id="360" w:name="_Toc184312099"/>
      <w:bookmarkEnd w:id="360"/>
      <w:bookmarkStart w:id="361" w:name="_Toc184313296"/>
      <w:bookmarkEnd w:id="361"/>
      <w:bookmarkStart w:id="362" w:name="_Toc184310340"/>
      <w:bookmarkEnd w:id="362"/>
      <w:bookmarkStart w:id="363" w:name="_Toc184310322"/>
      <w:bookmarkEnd w:id="363"/>
      <w:bookmarkStart w:id="364" w:name="_Toc184308071"/>
      <w:bookmarkEnd w:id="364"/>
      <w:bookmarkStart w:id="365" w:name="_Toc184308082"/>
      <w:bookmarkEnd w:id="365"/>
      <w:bookmarkStart w:id="366" w:name="_Toc184313261"/>
      <w:bookmarkEnd w:id="366"/>
      <w:bookmarkStart w:id="367" w:name="_Toc184308069"/>
      <w:bookmarkEnd w:id="367"/>
      <w:bookmarkStart w:id="368" w:name="_Toc184310324"/>
      <w:bookmarkEnd w:id="368"/>
      <w:bookmarkStart w:id="369" w:name="_Toc184308093"/>
      <w:bookmarkEnd w:id="369"/>
      <w:bookmarkStart w:id="370" w:name="_Toc184313248"/>
      <w:bookmarkEnd w:id="370"/>
      <w:bookmarkStart w:id="371" w:name="_Toc184308079"/>
      <w:bookmarkEnd w:id="371"/>
      <w:bookmarkStart w:id="372" w:name="_Toc184308096"/>
      <w:bookmarkEnd w:id="372"/>
      <w:bookmarkStart w:id="373" w:name="_Toc184313263"/>
      <w:bookmarkEnd w:id="373"/>
      <w:bookmarkStart w:id="374" w:name="_Toc184310326"/>
      <w:bookmarkEnd w:id="374"/>
      <w:bookmarkStart w:id="375" w:name="_Toc184310334"/>
      <w:bookmarkEnd w:id="375"/>
      <w:bookmarkStart w:id="376" w:name="_Toc184310317"/>
      <w:bookmarkEnd w:id="376"/>
      <w:bookmarkStart w:id="377" w:name="_Toc184313287"/>
      <w:bookmarkEnd w:id="377"/>
      <w:bookmarkStart w:id="378" w:name="_Toc184312117"/>
      <w:bookmarkEnd w:id="378"/>
      <w:bookmarkStart w:id="379" w:name="_Toc184310312"/>
      <w:bookmarkEnd w:id="379"/>
      <w:bookmarkStart w:id="380" w:name="_Toc184310305"/>
      <w:bookmarkEnd w:id="380"/>
      <w:bookmarkStart w:id="381" w:name="_Toc184314424"/>
      <w:bookmarkEnd w:id="381"/>
      <w:bookmarkStart w:id="382" w:name="_Toc184308054"/>
      <w:bookmarkEnd w:id="382"/>
      <w:bookmarkStart w:id="383" w:name="_Toc184310339"/>
      <w:bookmarkEnd w:id="383"/>
      <w:bookmarkStart w:id="384" w:name="_Toc184314422"/>
      <w:bookmarkEnd w:id="384"/>
      <w:bookmarkStart w:id="385" w:name="_Toc184313245"/>
      <w:bookmarkEnd w:id="385"/>
      <w:bookmarkStart w:id="386" w:name="_Toc184308053"/>
      <w:bookmarkEnd w:id="386"/>
      <w:bookmarkStart w:id="387" w:name="_Toc184308102"/>
      <w:bookmarkEnd w:id="387"/>
      <w:bookmarkStart w:id="388" w:name="_Toc184308037"/>
      <w:bookmarkEnd w:id="388"/>
      <w:bookmarkStart w:id="389" w:name="_Toc184314459"/>
      <w:bookmarkEnd w:id="389"/>
      <w:bookmarkStart w:id="390" w:name="_Toc184314431"/>
      <w:bookmarkEnd w:id="390"/>
      <w:bookmarkStart w:id="391" w:name="_Toc184312090"/>
      <w:bookmarkEnd w:id="391"/>
      <w:bookmarkStart w:id="392" w:name="_Toc184312132"/>
      <w:bookmarkEnd w:id="392"/>
      <w:bookmarkStart w:id="393" w:name="_Toc184312073"/>
      <w:bookmarkEnd w:id="393"/>
      <w:bookmarkStart w:id="394" w:name="_Toc184313300"/>
      <w:bookmarkEnd w:id="394"/>
      <w:r>
        <w:rPr>
          <w:rFonts w:hint="eastAsia" w:ascii="宋体" w:hAnsi="宋体" w:eastAsia="宋体" w:cs="宋体"/>
          <w:b/>
          <w:sz w:val="36"/>
          <w:szCs w:val="36"/>
        </w:rPr>
        <w:t>评标办法</w:t>
      </w:r>
    </w:p>
    <w:p w14:paraId="05C30AB7">
      <w:pPr>
        <w:snapToGrid w:val="0"/>
        <w:spacing w:line="360" w:lineRule="auto"/>
        <w:jc w:val="center"/>
        <w:rPr>
          <w:rFonts w:hint="eastAsia" w:ascii="宋体" w:hAnsi="宋体" w:eastAsia="宋体" w:cs="宋体"/>
        </w:rPr>
      </w:pPr>
      <w:r>
        <w:rPr>
          <w:rFonts w:hint="eastAsia" w:ascii="宋体" w:hAnsi="宋体" w:eastAsia="宋体" w:cs="宋体"/>
          <w:b/>
          <w:sz w:val="32"/>
          <w:szCs w:val="20"/>
        </w:rPr>
        <w:t>评标办法前附表</w:t>
      </w:r>
    </w:p>
    <w:tbl>
      <w:tblPr>
        <w:tblStyle w:val="6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172"/>
        <w:gridCol w:w="500"/>
        <w:gridCol w:w="1425"/>
      </w:tblGrid>
      <w:tr w14:paraId="2D90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14:paraId="31FC0455">
            <w:pPr>
              <w:keepNext w:val="0"/>
              <w:keepLines w:val="0"/>
              <w:pageBreakBefore w:val="0"/>
              <w:kinsoku/>
              <w:wordWrap/>
              <w:overflowPunct/>
              <w:topLinePunct w:val="0"/>
              <w:bidi w:val="0"/>
              <w:snapToGrid/>
              <w:spacing w:line="360" w:lineRule="auto"/>
              <w:jc w:val="both"/>
              <w:textAlignment w:val="auto"/>
              <w:outlineLvl w:val="0"/>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6172" w:type="dxa"/>
            <w:noWrap w:val="0"/>
            <w:vAlign w:val="center"/>
          </w:tcPr>
          <w:p w14:paraId="7116ED23">
            <w:pPr>
              <w:keepNext w:val="0"/>
              <w:keepLines w:val="0"/>
              <w:pageBreakBefore w:val="0"/>
              <w:kinsoku/>
              <w:wordWrap/>
              <w:overflowPunct/>
              <w:topLinePunct w:val="0"/>
              <w:bidi w:val="0"/>
              <w:snapToGrid/>
              <w:spacing w:line="360" w:lineRule="auto"/>
              <w:jc w:val="center"/>
              <w:textAlignment w:val="auto"/>
              <w:outlineLvl w:val="0"/>
              <w:rPr>
                <w:rFonts w:hint="eastAsia" w:ascii="宋体" w:hAnsi="宋体" w:eastAsia="宋体" w:cs="宋体"/>
                <w:b/>
                <w:bCs w:val="0"/>
                <w:sz w:val="24"/>
                <w:szCs w:val="24"/>
              </w:rPr>
            </w:pPr>
            <w:r>
              <w:rPr>
                <w:rFonts w:hint="eastAsia" w:ascii="宋体" w:hAnsi="宋体" w:eastAsia="宋体" w:cs="宋体"/>
                <w:b/>
                <w:bCs w:val="0"/>
                <w:sz w:val="24"/>
                <w:szCs w:val="24"/>
              </w:rPr>
              <w:t>评标标准</w:t>
            </w:r>
          </w:p>
        </w:tc>
        <w:tc>
          <w:tcPr>
            <w:tcW w:w="500" w:type="dxa"/>
            <w:noWrap w:val="0"/>
            <w:vAlign w:val="center"/>
          </w:tcPr>
          <w:p w14:paraId="6CE7658B">
            <w:pPr>
              <w:keepNext w:val="0"/>
              <w:keepLines w:val="0"/>
              <w:pageBreakBefore w:val="0"/>
              <w:kinsoku/>
              <w:wordWrap/>
              <w:overflowPunct/>
              <w:topLinePunct w:val="0"/>
              <w:bidi w:val="0"/>
              <w:snapToGrid/>
              <w:spacing w:line="360" w:lineRule="auto"/>
              <w:jc w:val="center"/>
              <w:textAlignment w:val="auto"/>
              <w:outlineLvl w:val="0"/>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最高分值</w:t>
            </w:r>
          </w:p>
        </w:tc>
        <w:tc>
          <w:tcPr>
            <w:tcW w:w="1425" w:type="dxa"/>
            <w:noWrap w:val="0"/>
            <w:vAlign w:val="top"/>
          </w:tcPr>
          <w:p w14:paraId="773886CE">
            <w:pPr>
              <w:keepNext w:val="0"/>
              <w:keepLines w:val="0"/>
              <w:pageBreakBefore w:val="0"/>
              <w:kinsoku/>
              <w:wordWrap/>
              <w:overflowPunct/>
              <w:topLinePunct w:val="0"/>
              <w:bidi w:val="0"/>
              <w:snapToGrid/>
              <w:spacing w:line="360" w:lineRule="auto"/>
              <w:jc w:val="center"/>
              <w:textAlignment w:val="auto"/>
              <w:outlineLvl w:val="0"/>
              <w:rPr>
                <w:rFonts w:hint="eastAsia" w:ascii="宋体" w:hAnsi="宋体" w:eastAsia="宋体" w:cs="宋体"/>
                <w:b/>
                <w:bCs w:val="0"/>
                <w:sz w:val="24"/>
                <w:szCs w:val="24"/>
              </w:rPr>
            </w:pPr>
            <w:r>
              <w:rPr>
                <w:rFonts w:hint="eastAsia" w:ascii="宋体" w:hAnsi="宋体" w:eastAsia="宋体" w:cs="宋体"/>
                <w:b/>
                <w:bCs w:val="0"/>
                <w:sz w:val="24"/>
                <w:szCs w:val="24"/>
              </w:rPr>
              <w:t>投标文件中评标标准相应的商务技术资料目录</w:t>
            </w:r>
            <w:r>
              <w:rPr>
                <w:rFonts w:hint="eastAsia" w:ascii="宋体" w:hAnsi="宋体" w:eastAsia="宋体" w:cs="宋体"/>
                <w:b/>
                <w:bCs w:val="0"/>
                <w:sz w:val="24"/>
                <w:szCs w:val="24"/>
                <w:shd w:val="clear" w:color="auto" w:fill="FFFFFF"/>
              </w:rPr>
              <w:t> *</w:t>
            </w:r>
          </w:p>
        </w:tc>
      </w:tr>
      <w:tr w14:paraId="2A73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14:paraId="73AB0EF5">
            <w:pPr>
              <w:keepNext w:val="0"/>
              <w:keepLines w:val="0"/>
              <w:widowControl/>
              <w:suppressLineNumbers w:val="0"/>
              <w:spacing w:line="360" w:lineRule="auto"/>
              <w:ind w:firstLine="240" w:firstLineChars="1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172" w:type="dxa"/>
            <w:noWrap w:val="0"/>
            <w:vAlign w:val="center"/>
          </w:tcPr>
          <w:p w14:paraId="64B2A18B">
            <w:pPr>
              <w:widowControl/>
              <w:adjustRightInd/>
              <w:spacing w:line="360" w:lineRule="auto"/>
              <w:jc w:val="left"/>
              <w:rPr>
                <w:rFonts w:ascii="宋体" w:hAnsi="宋体" w:cs="宋体"/>
                <w:color w:val="000000"/>
                <w:kern w:val="0"/>
                <w:sz w:val="24"/>
              </w:rPr>
            </w:pPr>
            <w:r>
              <w:rPr>
                <w:rFonts w:hint="eastAsia" w:ascii="宋体" w:hAnsi="宋体" w:cs="宋体"/>
                <w:color w:val="000000"/>
                <w:kern w:val="0"/>
                <w:sz w:val="24"/>
              </w:rPr>
              <w:t>投标人自202</w:t>
            </w:r>
            <w:r>
              <w:rPr>
                <w:rFonts w:hint="eastAsia" w:ascii="宋体" w:hAnsi="宋体" w:cs="宋体"/>
                <w:color w:val="000000"/>
                <w:kern w:val="0"/>
                <w:sz w:val="24"/>
                <w:lang w:val="en-US" w:eastAsia="zh-CN"/>
              </w:rPr>
              <w:t>2</w:t>
            </w:r>
            <w:r>
              <w:rPr>
                <w:rFonts w:hint="eastAsia" w:ascii="宋体" w:hAnsi="宋体" w:cs="宋体"/>
                <w:color w:val="000000"/>
                <w:kern w:val="0"/>
                <w:sz w:val="24"/>
              </w:rPr>
              <w:t>年1月1日以来完成过类似项目业绩的，每个得0.5分，最高得1分。</w:t>
            </w:r>
          </w:p>
          <w:p w14:paraId="4A9F59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rPr>
              <w:t>证明材料：合同扫描件，日期以合同签订日期为准，不提供不得分。一个单位分年度多次签订的案例，计入1个案例；同一个项目，分两期或以上建设完成的，计入1个案例</w:t>
            </w:r>
          </w:p>
        </w:tc>
        <w:tc>
          <w:tcPr>
            <w:tcW w:w="500" w:type="dxa"/>
            <w:noWrap w:val="0"/>
            <w:vAlign w:val="center"/>
          </w:tcPr>
          <w:p w14:paraId="422074F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p>
        </w:tc>
        <w:tc>
          <w:tcPr>
            <w:tcW w:w="1425" w:type="dxa"/>
            <w:noWrap w:val="0"/>
            <w:vAlign w:val="center"/>
          </w:tcPr>
          <w:p w14:paraId="68424C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投标人业绩情况</w:t>
            </w:r>
          </w:p>
        </w:tc>
      </w:tr>
      <w:tr w14:paraId="3B52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4CB58895">
            <w:pPr>
              <w:keepNext w:val="0"/>
              <w:keepLines w:val="0"/>
              <w:widowControl/>
              <w:suppressLineNumbers w:val="0"/>
              <w:spacing w:line="360" w:lineRule="auto"/>
              <w:ind w:firstLine="240" w:firstLineChars="1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172" w:type="dxa"/>
            <w:noWrap w:val="0"/>
            <w:vAlign w:val="top"/>
          </w:tcPr>
          <w:p w14:paraId="5E69F6DE">
            <w:pPr>
              <w:widowControl/>
              <w:adjustRightInd/>
              <w:spacing w:line="360" w:lineRule="auto"/>
              <w:jc w:val="left"/>
              <w:rPr>
                <w:rFonts w:ascii="宋体" w:hAnsi="宋体" w:cs="宋体"/>
                <w:color w:val="000000"/>
                <w:kern w:val="0"/>
                <w:sz w:val="24"/>
              </w:rPr>
            </w:pPr>
            <w:r>
              <w:rPr>
                <w:rFonts w:hint="eastAsia" w:ascii="宋体" w:hAnsi="宋体" w:cs="宋体"/>
                <w:color w:val="000000"/>
                <w:kern w:val="0"/>
                <w:sz w:val="24"/>
              </w:rPr>
              <w:t>投标人具有有效的职业健康安全管理体系认证证书、环境管理体系认证证书、质量管理体系认证证书，每项得1分，最高得3分。</w:t>
            </w:r>
          </w:p>
          <w:p w14:paraId="395FD43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highlight w:val="none"/>
              </w:rPr>
              <w:t>提供有效证明材料（投标文件中提供证书复印件，以及相关网站（如：中国国家认证认可监督管理委员会(http://www.cnca.gov.cn)查询页的</w:t>
            </w:r>
            <w:r>
              <w:rPr>
                <w:rFonts w:hint="eastAsia" w:ascii="宋体" w:hAnsi="宋体" w:cs="宋体"/>
                <w:sz w:val="24"/>
                <w:highlight w:val="none"/>
                <w:lang w:eastAsia="zh-CN"/>
              </w:rPr>
              <w:t>截图</w:t>
            </w:r>
            <w:r>
              <w:rPr>
                <w:rFonts w:hint="eastAsia" w:ascii="宋体" w:hAnsi="宋体" w:cs="宋体"/>
                <w:sz w:val="24"/>
                <w:highlight w:val="none"/>
              </w:rPr>
              <w:t>，不提供不得分）</w:t>
            </w:r>
          </w:p>
        </w:tc>
        <w:tc>
          <w:tcPr>
            <w:tcW w:w="500" w:type="dxa"/>
            <w:noWrap w:val="0"/>
            <w:vAlign w:val="center"/>
          </w:tcPr>
          <w:p w14:paraId="0B2067E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highlight w:val="none"/>
                <w:lang w:val="en-US" w:eastAsia="zh-CN" w:bidi="ar-SA"/>
              </w:rPr>
              <w:t>3</w:t>
            </w:r>
          </w:p>
        </w:tc>
        <w:tc>
          <w:tcPr>
            <w:tcW w:w="1425" w:type="dxa"/>
            <w:noWrap w:val="0"/>
            <w:vAlign w:val="center"/>
          </w:tcPr>
          <w:p w14:paraId="37C7EF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highlight w:val="none"/>
                <w:lang w:val="en-US" w:eastAsia="zh-CN" w:bidi="ar-SA"/>
              </w:rPr>
              <w:t>企业管理体系</w:t>
            </w:r>
          </w:p>
        </w:tc>
      </w:tr>
      <w:tr w14:paraId="62F9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1E8379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w:t>
            </w:r>
          </w:p>
        </w:tc>
        <w:tc>
          <w:tcPr>
            <w:tcW w:w="6172" w:type="dxa"/>
            <w:noWrap w:val="0"/>
            <w:vAlign w:val="center"/>
          </w:tcPr>
          <w:p w14:paraId="0AFB61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投标人针对本项目制定的校园保安工作职责规划方案：</w:t>
            </w:r>
            <w:r>
              <w:rPr>
                <w:rFonts w:hint="eastAsia" w:ascii="宋体" w:hAnsi="宋体" w:eastAsia="宋体" w:cs="宋体"/>
                <w:color w:val="000000"/>
                <w:kern w:val="0"/>
                <w:sz w:val="24"/>
                <w:szCs w:val="24"/>
                <w:highlight w:val="none"/>
                <w:lang w:val="en-US" w:eastAsia="zh-CN" w:bidi="ar-SA"/>
              </w:rPr>
              <w:t>方案符合招标文件要求，条理清晰，内容详尽完整、合理且科学的得5分；方案条理较清晰，内容较详尽完整、较合理科学的得3分；方案条理欠清晰，内容欠详尽完整、欠合理科学的得1分；方案条理不清晰，内容不详尽完整、不合理科学或未提供本项方案的不得分。</w:t>
            </w:r>
          </w:p>
        </w:tc>
        <w:tc>
          <w:tcPr>
            <w:tcW w:w="500" w:type="dxa"/>
            <w:noWrap w:val="0"/>
            <w:vAlign w:val="center"/>
          </w:tcPr>
          <w:p w14:paraId="6FDD5D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1425" w:type="dxa"/>
            <w:noWrap w:val="0"/>
            <w:vAlign w:val="center"/>
          </w:tcPr>
          <w:p w14:paraId="6CCDF8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职责规划方案</w:t>
            </w:r>
          </w:p>
        </w:tc>
      </w:tr>
      <w:tr w14:paraId="303E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310E0F0B">
            <w:pPr>
              <w:keepNext w:val="0"/>
              <w:keepLines w:val="0"/>
              <w:widowControl/>
              <w:suppressLineNumbers w:val="0"/>
              <w:spacing w:line="360" w:lineRule="auto"/>
              <w:ind w:firstLine="240" w:firstLineChars="1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w:t>
            </w:r>
          </w:p>
        </w:tc>
        <w:tc>
          <w:tcPr>
            <w:tcW w:w="6172" w:type="dxa"/>
            <w:noWrap w:val="0"/>
            <w:vAlign w:val="center"/>
          </w:tcPr>
          <w:p w14:paraId="72B81BEF">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b/>
                <w:bCs/>
                <w:color w:val="000000"/>
                <w:kern w:val="0"/>
                <w:sz w:val="24"/>
              </w:rPr>
              <w:t>投标人应对重大活动或重要接待任务的服务方案：</w:t>
            </w:r>
            <w:r>
              <w:rPr>
                <w:rFonts w:hint="eastAsia" w:ascii="宋体" w:hAnsi="宋体" w:cs="宋体"/>
                <w:color w:val="000000"/>
                <w:kern w:val="0"/>
                <w:sz w:val="24"/>
              </w:rPr>
              <w:t>方案符合招标文件要求，条理清晰，内容详尽完整、合理且科学的得5分；方案条理较清晰，内容较详尽完整、较合理科学的得3分；方案条理欠清晰，内容欠详尽完整、欠合理科学的得1分；方案条理不清晰，内容不详尽完整、不合理科学或未提供本项方案的不得分。</w:t>
            </w:r>
          </w:p>
        </w:tc>
        <w:tc>
          <w:tcPr>
            <w:tcW w:w="500" w:type="dxa"/>
            <w:noWrap w:val="0"/>
            <w:vAlign w:val="center"/>
          </w:tcPr>
          <w:p w14:paraId="215EE5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1425" w:type="dxa"/>
            <w:noWrap w:val="0"/>
            <w:vAlign w:val="center"/>
          </w:tcPr>
          <w:p w14:paraId="17C901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rPr>
              <w:t>应对重大活动或重要接待任务的服务方案</w:t>
            </w:r>
          </w:p>
        </w:tc>
      </w:tr>
      <w:tr w14:paraId="3197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746AA89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6172" w:type="dxa"/>
            <w:noWrap w:val="0"/>
            <w:vAlign w:val="center"/>
          </w:tcPr>
          <w:p w14:paraId="3EAA021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根据对本项目采购需求的理解，对保安工作存在的难点、要点问题分析：</w:t>
            </w:r>
            <w:r>
              <w:rPr>
                <w:rFonts w:hint="eastAsia" w:ascii="宋体" w:hAnsi="宋体" w:eastAsia="宋体" w:cs="宋体"/>
                <w:b w:val="0"/>
                <w:bCs w:val="0"/>
                <w:color w:val="000000"/>
                <w:kern w:val="0"/>
                <w:sz w:val="24"/>
                <w:szCs w:val="24"/>
                <w:highlight w:val="none"/>
                <w:lang w:val="en-US" w:eastAsia="zh-CN" w:bidi="ar-SA"/>
              </w:rPr>
              <w:t>分析准确、条理清晰、内容详尽的得5分；分析较准确、条理较清晰、内容较详尽的得3</w:t>
            </w:r>
            <w:r>
              <w:rPr>
                <w:rFonts w:hint="eastAsia" w:ascii="宋体" w:hAnsi="宋体" w:eastAsia="宋体" w:cs="宋体"/>
                <w:color w:val="000000"/>
                <w:kern w:val="0"/>
                <w:sz w:val="24"/>
                <w:szCs w:val="24"/>
                <w:highlight w:val="none"/>
                <w:lang w:val="en-US" w:eastAsia="zh-CN" w:bidi="ar-SA"/>
              </w:rPr>
              <w:t>分；</w:t>
            </w:r>
            <w:r>
              <w:rPr>
                <w:rFonts w:hint="eastAsia" w:ascii="宋体" w:hAnsi="宋体" w:eastAsia="宋体" w:cs="宋体"/>
                <w:b w:val="0"/>
                <w:bCs w:val="0"/>
                <w:color w:val="000000"/>
                <w:kern w:val="0"/>
                <w:sz w:val="24"/>
                <w:szCs w:val="24"/>
                <w:highlight w:val="none"/>
                <w:lang w:val="en-US" w:eastAsia="zh-CN" w:bidi="ar-SA"/>
              </w:rPr>
              <w:t>分析欠准确、条理欠清晰、内容欠详尽的得1</w:t>
            </w:r>
            <w:r>
              <w:rPr>
                <w:rFonts w:hint="eastAsia" w:ascii="宋体" w:hAnsi="宋体" w:eastAsia="宋体" w:cs="宋体"/>
                <w:color w:val="000000"/>
                <w:kern w:val="0"/>
                <w:sz w:val="24"/>
                <w:szCs w:val="24"/>
                <w:highlight w:val="none"/>
                <w:lang w:val="en-US" w:eastAsia="zh-CN" w:bidi="ar-SA"/>
              </w:rPr>
              <w:t>分；分析不准确、条理不清晰，内容不详尽或未提供本项方案的不得分。</w:t>
            </w:r>
          </w:p>
        </w:tc>
        <w:tc>
          <w:tcPr>
            <w:tcW w:w="500" w:type="dxa"/>
            <w:noWrap w:val="0"/>
            <w:vAlign w:val="center"/>
          </w:tcPr>
          <w:p w14:paraId="388C07F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1425" w:type="dxa"/>
            <w:noWrap w:val="0"/>
            <w:vAlign w:val="center"/>
          </w:tcPr>
          <w:p w14:paraId="759EAB8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重点、难点分析</w:t>
            </w:r>
          </w:p>
        </w:tc>
      </w:tr>
      <w:tr w14:paraId="43AF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4BCD3D0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w:t>
            </w:r>
          </w:p>
        </w:tc>
        <w:tc>
          <w:tcPr>
            <w:tcW w:w="6172" w:type="dxa"/>
            <w:noWrap w:val="0"/>
            <w:vAlign w:val="center"/>
          </w:tcPr>
          <w:p w14:paraId="666874A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投标人针对本项目制定的岗位管理制度</w:t>
            </w:r>
            <w:r>
              <w:rPr>
                <w:rFonts w:hint="eastAsia" w:ascii="宋体" w:hAnsi="宋体" w:eastAsia="宋体" w:cs="宋体"/>
                <w:color w:val="000000"/>
                <w:kern w:val="0"/>
                <w:sz w:val="24"/>
                <w:szCs w:val="24"/>
                <w:highlight w:val="none"/>
                <w:lang w:val="en-US" w:eastAsia="zh-CN" w:bidi="ar-SA"/>
              </w:rPr>
              <w:t>（包括岗位人员职责、交接班制度、例会制度</w:t>
            </w:r>
            <w:r>
              <w:rPr>
                <w:rFonts w:hint="eastAsia" w:ascii="宋体" w:hAnsi="宋体" w:cs="宋体"/>
                <w:color w:val="000000"/>
                <w:kern w:val="0"/>
                <w:sz w:val="24"/>
              </w:rPr>
              <w:t>、义务消防制度</w:t>
            </w:r>
            <w:r>
              <w:rPr>
                <w:rFonts w:hint="eastAsia" w:ascii="宋体" w:hAnsi="宋体" w:eastAsia="宋体" w:cs="宋体"/>
                <w:color w:val="000000"/>
                <w:kern w:val="0"/>
                <w:sz w:val="24"/>
                <w:szCs w:val="24"/>
                <w:highlight w:val="none"/>
                <w:lang w:val="en-US" w:eastAsia="zh-CN" w:bidi="ar-SA"/>
              </w:rPr>
              <w:t>等）：方案符合招标文件要求，条理清晰，内容详尽完整、合理且科学的得</w:t>
            </w:r>
            <w:r>
              <w:rPr>
                <w:rFonts w:hint="eastAsia" w:ascii="宋体" w:hAnsi="宋体" w:cs="宋体"/>
                <w:color w:val="000000"/>
                <w:kern w:val="0"/>
                <w:sz w:val="24"/>
                <w:szCs w:val="24"/>
                <w:highlight w:val="none"/>
                <w:lang w:val="en-US" w:eastAsia="zh-CN" w:bidi="ar-SA"/>
              </w:rPr>
              <w:t>4</w:t>
            </w:r>
            <w:r>
              <w:rPr>
                <w:rFonts w:hint="eastAsia" w:ascii="宋体" w:hAnsi="宋体" w:eastAsia="宋体" w:cs="宋体"/>
                <w:color w:val="000000"/>
                <w:kern w:val="0"/>
                <w:sz w:val="24"/>
                <w:szCs w:val="24"/>
                <w:highlight w:val="none"/>
                <w:lang w:val="en-US" w:eastAsia="zh-CN" w:bidi="ar-SA"/>
              </w:rPr>
              <w:t>分；方案条理较清晰，内容较详尽完整、较合理科学的得</w:t>
            </w:r>
            <w:r>
              <w:rPr>
                <w:rFonts w:hint="eastAsia" w:ascii="宋体" w:hAnsi="宋体" w:cs="宋体"/>
                <w:color w:val="000000"/>
                <w:kern w:val="0"/>
                <w:sz w:val="24"/>
                <w:szCs w:val="24"/>
                <w:highlight w:val="none"/>
                <w:lang w:val="en-US" w:eastAsia="zh-CN" w:bidi="ar-SA"/>
              </w:rPr>
              <w:t>2</w:t>
            </w:r>
            <w:r>
              <w:rPr>
                <w:rFonts w:hint="eastAsia" w:ascii="宋体" w:hAnsi="宋体" w:eastAsia="宋体" w:cs="宋体"/>
                <w:color w:val="000000"/>
                <w:kern w:val="0"/>
                <w:sz w:val="24"/>
                <w:szCs w:val="24"/>
                <w:highlight w:val="none"/>
                <w:lang w:val="en-US" w:eastAsia="zh-CN" w:bidi="ar-SA"/>
              </w:rPr>
              <w:t>分；方案条理欠清晰，内容欠详尽完整、欠合理科学的得1分；方案条理不清晰，内容不详尽完整、不合理科学或未提供本项方案的不得分。</w:t>
            </w:r>
          </w:p>
        </w:tc>
        <w:tc>
          <w:tcPr>
            <w:tcW w:w="500" w:type="dxa"/>
            <w:noWrap w:val="0"/>
            <w:vAlign w:val="center"/>
          </w:tcPr>
          <w:p w14:paraId="2550171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4</w:t>
            </w:r>
          </w:p>
        </w:tc>
        <w:tc>
          <w:tcPr>
            <w:tcW w:w="1425" w:type="dxa"/>
            <w:noWrap w:val="0"/>
            <w:vAlign w:val="center"/>
          </w:tcPr>
          <w:p w14:paraId="4C06060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岗位管理制度</w:t>
            </w:r>
          </w:p>
        </w:tc>
      </w:tr>
      <w:tr w14:paraId="4595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48365A2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w:t>
            </w:r>
          </w:p>
        </w:tc>
        <w:tc>
          <w:tcPr>
            <w:tcW w:w="6172" w:type="dxa"/>
            <w:noWrap w:val="0"/>
            <w:vAlign w:val="center"/>
          </w:tcPr>
          <w:p w14:paraId="3216FEF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投标人针对本项目制定的人事管理制度</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rPr>
              <w:t>包括员工管理、档案管理、人文关怀、员工考核细则、信息化管理等</w:t>
            </w:r>
            <w:r>
              <w:rPr>
                <w:rFonts w:hint="eastAsia" w:ascii="宋体" w:hAnsi="宋体" w:eastAsia="宋体" w:cs="宋体"/>
                <w:color w:val="000000"/>
                <w:kern w:val="0"/>
                <w:sz w:val="24"/>
                <w:szCs w:val="24"/>
                <w:highlight w:val="none"/>
                <w:lang w:val="en-US" w:eastAsia="zh-CN" w:bidi="ar-SA"/>
              </w:rPr>
              <w:t>）：方案符合招标文件要求，条理清晰，内容详尽完整、合理且科学的得5分；方案条理较清晰，内容较详尽完整、较合理科学的得3分；方案条理欠清晰，内容欠详尽完整、欠合理科学的得1分；方案条理不清晰，内容不详尽完整、不合理科学或未提供本项方案的不得分。</w:t>
            </w:r>
          </w:p>
        </w:tc>
        <w:tc>
          <w:tcPr>
            <w:tcW w:w="500" w:type="dxa"/>
            <w:noWrap w:val="0"/>
            <w:vAlign w:val="center"/>
          </w:tcPr>
          <w:p w14:paraId="45B51B6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1425" w:type="dxa"/>
            <w:noWrap w:val="0"/>
            <w:vAlign w:val="center"/>
          </w:tcPr>
          <w:p w14:paraId="61B24D1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人事管理制度</w:t>
            </w:r>
          </w:p>
        </w:tc>
      </w:tr>
      <w:tr w14:paraId="0BDA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582DA2F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w:t>
            </w:r>
          </w:p>
        </w:tc>
        <w:tc>
          <w:tcPr>
            <w:tcW w:w="6172" w:type="dxa"/>
            <w:noWrap w:val="0"/>
            <w:vAlign w:val="center"/>
          </w:tcPr>
          <w:p w14:paraId="7411969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投标人针对本项目制定的服务质量保障方案（</w:t>
            </w:r>
            <w:r>
              <w:rPr>
                <w:rFonts w:hint="eastAsia" w:ascii="宋体" w:hAnsi="宋体" w:eastAsia="宋体" w:cs="宋体"/>
                <w:color w:val="000000"/>
                <w:kern w:val="0"/>
                <w:sz w:val="24"/>
                <w:szCs w:val="24"/>
                <w:highlight w:val="none"/>
                <w:lang w:val="en-US" w:eastAsia="zh-CN" w:bidi="ar-SA"/>
              </w:rPr>
              <w:t>包括管理教育保障、人员供应保障、人员稳定保障等）：方案符合招标文件要求，条理清晰，内容详尽完整、合理且科学的得</w:t>
            </w:r>
            <w:r>
              <w:rPr>
                <w:rFonts w:hint="eastAsia" w:ascii="宋体" w:hAnsi="宋体" w:cs="宋体"/>
                <w:color w:val="000000"/>
                <w:kern w:val="0"/>
                <w:sz w:val="24"/>
                <w:szCs w:val="24"/>
                <w:highlight w:val="none"/>
                <w:lang w:val="en-US" w:eastAsia="zh-CN" w:bidi="ar-SA"/>
              </w:rPr>
              <w:t>3</w:t>
            </w:r>
            <w:r>
              <w:rPr>
                <w:rFonts w:hint="eastAsia" w:ascii="宋体" w:hAnsi="宋体" w:eastAsia="宋体" w:cs="宋体"/>
                <w:color w:val="000000"/>
                <w:kern w:val="0"/>
                <w:sz w:val="24"/>
                <w:szCs w:val="24"/>
                <w:highlight w:val="none"/>
                <w:lang w:val="en-US" w:eastAsia="zh-CN" w:bidi="ar-SA"/>
              </w:rPr>
              <w:t>分；方案条理较清晰，内容较详尽完整、较合理科学的得</w:t>
            </w:r>
            <w:r>
              <w:rPr>
                <w:rFonts w:hint="eastAsia" w:ascii="宋体" w:hAnsi="宋体" w:cs="宋体"/>
                <w:color w:val="000000"/>
                <w:kern w:val="0"/>
                <w:sz w:val="24"/>
                <w:szCs w:val="24"/>
                <w:highlight w:val="none"/>
                <w:lang w:val="en-US" w:eastAsia="zh-CN" w:bidi="ar-SA"/>
              </w:rPr>
              <w:t>2</w:t>
            </w:r>
            <w:r>
              <w:rPr>
                <w:rFonts w:hint="eastAsia" w:ascii="宋体" w:hAnsi="宋体" w:eastAsia="宋体" w:cs="宋体"/>
                <w:color w:val="000000"/>
                <w:kern w:val="0"/>
                <w:sz w:val="24"/>
                <w:szCs w:val="24"/>
                <w:highlight w:val="none"/>
                <w:lang w:val="en-US" w:eastAsia="zh-CN" w:bidi="ar-SA"/>
              </w:rPr>
              <w:t>分；方案条理欠清晰，内容欠详尽完整、欠合理科学的得1分；方案条理不清晰，内容不详尽完整、不合理科学或未提供本项方案的不得分。</w:t>
            </w:r>
          </w:p>
        </w:tc>
        <w:tc>
          <w:tcPr>
            <w:tcW w:w="500" w:type="dxa"/>
            <w:noWrap w:val="0"/>
            <w:vAlign w:val="center"/>
          </w:tcPr>
          <w:p w14:paraId="576CA2D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w:t>
            </w:r>
          </w:p>
        </w:tc>
        <w:tc>
          <w:tcPr>
            <w:tcW w:w="1425" w:type="dxa"/>
            <w:noWrap w:val="0"/>
            <w:vAlign w:val="center"/>
          </w:tcPr>
          <w:p w14:paraId="1AA7227E">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服务质量保障方案</w:t>
            </w:r>
          </w:p>
        </w:tc>
      </w:tr>
      <w:tr w14:paraId="7C40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59755C5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w:t>
            </w:r>
          </w:p>
        </w:tc>
        <w:tc>
          <w:tcPr>
            <w:tcW w:w="6172" w:type="dxa"/>
            <w:noWrap w:val="0"/>
            <w:vAlign w:val="center"/>
          </w:tcPr>
          <w:p w14:paraId="38CFD65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投标人所提供</w:t>
            </w:r>
            <w:r>
              <w:rPr>
                <w:rFonts w:hint="eastAsia" w:ascii="宋体" w:hAnsi="宋体" w:cs="宋体"/>
                <w:b/>
                <w:bCs/>
                <w:color w:val="000000"/>
                <w:kern w:val="0"/>
                <w:sz w:val="24"/>
              </w:rPr>
              <w:t>与原供应商</w:t>
            </w:r>
            <w:r>
              <w:rPr>
                <w:rFonts w:hint="eastAsia" w:ascii="宋体" w:hAnsi="宋体" w:cs="宋体"/>
                <w:b/>
                <w:bCs/>
                <w:color w:val="000000"/>
                <w:kern w:val="0"/>
                <w:sz w:val="24"/>
                <w:lang w:eastAsia="zh-CN"/>
              </w:rPr>
              <w:t>交接</w:t>
            </w:r>
            <w:r>
              <w:rPr>
                <w:rFonts w:hint="eastAsia" w:ascii="宋体" w:hAnsi="宋体" w:eastAsia="宋体" w:cs="宋体"/>
                <w:b/>
                <w:bCs/>
                <w:color w:val="000000"/>
                <w:kern w:val="0"/>
                <w:sz w:val="24"/>
                <w:szCs w:val="24"/>
                <w:highlight w:val="none"/>
                <w:lang w:val="en-US" w:eastAsia="zh-CN" w:bidi="ar-SA"/>
              </w:rPr>
              <w:t>方案</w:t>
            </w:r>
            <w:r>
              <w:rPr>
                <w:rFonts w:hint="eastAsia" w:ascii="宋体" w:hAnsi="宋体" w:eastAsia="宋体" w:cs="宋体"/>
                <w:color w:val="000000"/>
                <w:kern w:val="0"/>
                <w:sz w:val="24"/>
                <w:szCs w:val="24"/>
                <w:highlight w:val="none"/>
                <w:lang w:val="en-US" w:eastAsia="zh-CN" w:bidi="ar-SA"/>
              </w:rPr>
              <w:t>：方案符合招标文件要求，条理清晰，内容详尽完整、交接措施合理且科学的得</w:t>
            </w:r>
            <w:r>
              <w:rPr>
                <w:rFonts w:hint="eastAsia" w:ascii="宋体" w:hAnsi="宋体" w:cs="宋体"/>
                <w:color w:val="000000"/>
                <w:kern w:val="0"/>
                <w:sz w:val="24"/>
                <w:szCs w:val="24"/>
                <w:highlight w:val="none"/>
                <w:lang w:val="en-US" w:eastAsia="zh-CN" w:bidi="ar-SA"/>
              </w:rPr>
              <w:t>5</w:t>
            </w:r>
            <w:r>
              <w:rPr>
                <w:rFonts w:hint="eastAsia" w:ascii="宋体" w:hAnsi="宋体" w:eastAsia="宋体" w:cs="宋体"/>
                <w:color w:val="000000"/>
                <w:kern w:val="0"/>
                <w:sz w:val="24"/>
                <w:szCs w:val="24"/>
                <w:highlight w:val="none"/>
                <w:lang w:val="en-US" w:eastAsia="zh-CN" w:bidi="ar-SA"/>
              </w:rPr>
              <w:t>分；方案条理较清晰，内容较详尽完整、交接措施较合理科学的得</w:t>
            </w:r>
            <w:r>
              <w:rPr>
                <w:rFonts w:hint="eastAsia" w:ascii="宋体" w:hAnsi="宋体" w:cs="宋体"/>
                <w:color w:val="000000"/>
                <w:kern w:val="0"/>
                <w:sz w:val="24"/>
                <w:szCs w:val="24"/>
                <w:highlight w:val="none"/>
                <w:lang w:val="en-US" w:eastAsia="zh-CN" w:bidi="ar-SA"/>
              </w:rPr>
              <w:t>3</w:t>
            </w:r>
            <w:r>
              <w:rPr>
                <w:rFonts w:hint="eastAsia" w:ascii="宋体" w:hAnsi="宋体" w:eastAsia="宋体" w:cs="宋体"/>
                <w:color w:val="000000"/>
                <w:kern w:val="0"/>
                <w:sz w:val="24"/>
                <w:szCs w:val="24"/>
                <w:highlight w:val="none"/>
                <w:lang w:val="en-US" w:eastAsia="zh-CN" w:bidi="ar-SA"/>
              </w:rPr>
              <w:t>分；方案条理欠清晰，内容欠详尽完整、交接措施欠合理科学的得1分；方案条理不清晰，内容不详尽完整、交接措施不合理科学或未提供本项方案的不得分。</w:t>
            </w:r>
          </w:p>
        </w:tc>
        <w:tc>
          <w:tcPr>
            <w:tcW w:w="500" w:type="dxa"/>
            <w:noWrap w:val="0"/>
            <w:vAlign w:val="center"/>
          </w:tcPr>
          <w:p w14:paraId="4FD2C54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5</w:t>
            </w:r>
          </w:p>
        </w:tc>
        <w:tc>
          <w:tcPr>
            <w:tcW w:w="1425" w:type="dxa"/>
            <w:noWrap w:val="0"/>
            <w:vAlign w:val="center"/>
          </w:tcPr>
          <w:p w14:paraId="2B2592B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rPr>
              <w:t>与原供应商交接方案</w:t>
            </w:r>
          </w:p>
        </w:tc>
      </w:tr>
      <w:tr w14:paraId="6367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44B7513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w:t>
            </w:r>
          </w:p>
        </w:tc>
        <w:tc>
          <w:tcPr>
            <w:tcW w:w="6172" w:type="dxa"/>
            <w:noWrap w:val="0"/>
            <w:vAlign w:val="center"/>
          </w:tcPr>
          <w:p w14:paraId="37A6A9C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投标人根据本项目制定的校园保安服务监督考核办法</w:t>
            </w:r>
            <w:r>
              <w:rPr>
                <w:rFonts w:hint="eastAsia" w:ascii="宋体" w:hAnsi="宋体" w:eastAsia="宋体" w:cs="宋体"/>
                <w:color w:val="000000"/>
                <w:kern w:val="0"/>
                <w:sz w:val="24"/>
                <w:szCs w:val="24"/>
                <w:highlight w:val="none"/>
                <w:lang w:val="en-US" w:eastAsia="zh-CN" w:bidi="ar-SA"/>
              </w:rPr>
              <w:t>（包括考核机制、激励机制、监督机制、自我约束机制、信息反馈渠道及处理机制等）方案符合招标文件要求，条理清晰，内容详尽完整、合理且科学的得5分；方案条理较清晰，内容较详尽完整、较合理科学的得3分；方案条理欠清晰，内容欠详尽完整、欠合理科学的得1分；方案条理不清晰，内容不详尽完整、不合理科学或未提供本项方案的不得分。</w:t>
            </w:r>
          </w:p>
        </w:tc>
        <w:tc>
          <w:tcPr>
            <w:tcW w:w="500" w:type="dxa"/>
            <w:noWrap w:val="0"/>
            <w:vAlign w:val="center"/>
          </w:tcPr>
          <w:p w14:paraId="2B6CDE0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1425" w:type="dxa"/>
            <w:noWrap w:val="0"/>
            <w:vAlign w:val="center"/>
          </w:tcPr>
          <w:p w14:paraId="6C008D0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考核办法</w:t>
            </w:r>
          </w:p>
        </w:tc>
      </w:tr>
      <w:tr w14:paraId="1225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4D0B3F4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r>
              <w:rPr>
                <w:rFonts w:hint="eastAsia" w:ascii="宋体" w:hAnsi="宋体" w:cs="宋体"/>
                <w:color w:val="000000"/>
                <w:kern w:val="0"/>
                <w:sz w:val="24"/>
                <w:szCs w:val="24"/>
                <w:highlight w:val="none"/>
                <w:lang w:val="en-US" w:eastAsia="zh-CN" w:bidi="ar-SA"/>
              </w:rPr>
              <w:t>1</w:t>
            </w:r>
          </w:p>
        </w:tc>
        <w:tc>
          <w:tcPr>
            <w:tcW w:w="6172" w:type="dxa"/>
            <w:noWrap w:val="0"/>
            <w:vAlign w:val="center"/>
          </w:tcPr>
          <w:p w14:paraId="0C172052">
            <w:pPr>
              <w:keepNext w:val="0"/>
              <w:keepLines w:val="0"/>
              <w:widowControl/>
              <w:suppressLineNumbers w:val="0"/>
              <w:spacing w:line="360" w:lineRule="auto"/>
              <w:jc w:val="left"/>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拟派</w:t>
            </w:r>
            <w:r>
              <w:rPr>
                <w:rFonts w:hint="eastAsia" w:ascii="宋体" w:hAnsi="宋体" w:eastAsia="宋体" w:cs="宋体"/>
                <w:b/>
                <w:bCs/>
                <w:color w:val="auto"/>
                <w:kern w:val="0"/>
                <w:sz w:val="24"/>
                <w:szCs w:val="24"/>
                <w:highlight w:val="none"/>
                <w:lang w:val="en-US" w:eastAsia="zh-CN" w:bidi="ar-SA"/>
              </w:rPr>
              <w:t>的服务学校项目负责人：</w:t>
            </w:r>
          </w:p>
          <w:p w14:paraId="283CD633">
            <w:pPr>
              <w:keepNext w:val="0"/>
              <w:keepLines w:val="0"/>
              <w:widowControl/>
              <w:suppressLineNumbers w:val="0"/>
              <w:spacing w:line="36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年龄55周岁以下，具有专科及以上学历的得2分，不符合的本项不得分；</w:t>
            </w:r>
          </w:p>
          <w:p w14:paraId="5872D5FF">
            <w:pPr>
              <w:widowControl/>
              <w:spacing w:line="36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kern w:val="0"/>
                <w:sz w:val="24"/>
              </w:rPr>
              <w:t>）具有5年以上相关服务经验得1分，不符合的本项不得分。</w:t>
            </w:r>
          </w:p>
          <w:p w14:paraId="58D5520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证明材料</w:t>
            </w:r>
            <w:r>
              <w:rPr>
                <w:rFonts w:hint="eastAsia" w:ascii="宋体" w:hAnsi="宋体" w:cs="宋体"/>
                <w:color w:val="000000"/>
                <w:kern w:val="0"/>
                <w:sz w:val="24"/>
              </w:rPr>
              <w:t>：提供身份证、</w:t>
            </w:r>
            <w:r>
              <w:rPr>
                <w:rFonts w:hint="eastAsia" w:ascii="宋体" w:hAnsi="宋体" w:cs="宋体"/>
                <w:kern w:val="0"/>
                <w:sz w:val="24"/>
              </w:rPr>
              <w:t>工作经验证明、</w:t>
            </w:r>
            <w:r>
              <w:rPr>
                <w:rFonts w:hint="eastAsia" w:ascii="宋体" w:hAnsi="宋体" w:cs="宋体"/>
                <w:color w:val="000000"/>
                <w:kern w:val="0"/>
                <w:sz w:val="24"/>
              </w:rPr>
              <w:t>相关学历证书及在投标单位缴纳社保的证明文件扫描件，社保证明须在本项目招标文件发布日之后打印，未提供不得分。</w:t>
            </w:r>
          </w:p>
        </w:tc>
        <w:tc>
          <w:tcPr>
            <w:tcW w:w="500" w:type="dxa"/>
            <w:noWrap w:val="0"/>
            <w:vAlign w:val="center"/>
          </w:tcPr>
          <w:p w14:paraId="24CEA8DE">
            <w:pPr>
              <w:pStyle w:val="4"/>
              <w:spacing w:line="360" w:lineRule="auto"/>
              <w:ind w:left="432" w:leftChars="0" w:hanging="432" w:firstLineChars="0"/>
              <w:jc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3</w:t>
            </w:r>
          </w:p>
        </w:tc>
        <w:tc>
          <w:tcPr>
            <w:tcW w:w="1425" w:type="dxa"/>
            <w:noWrap w:val="0"/>
            <w:vAlign w:val="center"/>
          </w:tcPr>
          <w:p w14:paraId="3ADB310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项目人员</w:t>
            </w:r>
          </w:p>
        </w:tc>
      </w:tr>
      <w:tr w14:paraId="4BD3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3AF79F7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r>
              <w:rPr>
                <w:rFonts w:hint="eastAsia" w:ascii="宋体" w:hAnsi="宋体" w:cs="宋体"/>
                <w:color w:val="000000"/>
                <w:kern w:val="0"/>
                <w:sz w:val="24"/>
                <w:szCs w:val="24"/>
                <w:highlight w:val="none"/>
                <w:lang w:val="en-US" w:eastAsia="zh-CN" w:bidi="ar-SA"/>
              </w:rPr>
              <w:t>2</w:t>
            </w:r>
          </w:p>
        </w:tc>
        <w:tc>
          <w:tcPr>
            <w:tcW w:w="6172" w:type="dxa"/>
            <w:noWrap w:val="0"/>
            <w:vAlign w:val="center"/>
          </w:tcPr>
          <w:p w14:paraId="424DB88A">
            <w:pPr>
              <w:keepNext w:val="0"/>
              <w:keepLines w:val="0"/>
              <w:widowControl/>
              <w:numPr>
                <w:ilvl w:val="0"/>
                <w:numId w:val="0"/>
              </w:numPr>
              <w:suppressLineNumbers w:val="0"/>
              <w:spacing w:line="360" w:lineRule="auto"/>
              <w:ind w:left="0" w:leftChars="0" w:firstLine="0" w:firstLineChars="0"/>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b/>
                <w:bCs/>
                <w:kern w:val="0"/>
                <w:sz w:val="24"/>
              </w:rPr>
              <w:t>投标人根据本项目门岗服务方案</w:t>
            </w:r>
            <w:r>
              <w:rPr>
                <w:rFonts w:hint="eastAsia" w:ascii="宋体" w:hAnsi="宋体" w:cs="宋体"/>
                <w:b/>
                <w:bCs/>
                <w:sz w:val="24"/>
                <w:lang w:val="zh-CN"/>
              </w:rPr>
              <w:t>的全面性、合理性进行评审。</w:t>
            </w:r>
            <w:r>
              <w:rPr>
                <w:rFonts w:hint="eastAsia" w:ascii="宋体" w:hAnsi="宋体" w:cs="宋体"/>
                <w:kern w:val="0"/>
                <w:sz w:val="24"/>
              </w:rPr>
              <w:t>内容全面完整、措施科学合理、操作性强的得</w:t>
            </w:r>
            <w:r>
              <w:rPr>
                <w:rFonts w:ascii="宋体" w:hAnsi="宋体" w:cs="宋体"/>
                <w:kern w:val="0"/>
                <w:sz w:val="24"/>
              </w:rPr>
              <w:t>5</w:t>
            </w:r>
            <w:r>
              <w:rPr>
                <w:rFonts w:hint="eastAsia" w:ascii="宋体" w:hAnsi="宋体" w:cs="宋体"/>
                <w:kern w:val="0"/>
                <w:sz w:val="24"/>
              </w:rPr>
              <w:t>分；内容较完整、措施较科学合理、操作性较强的得3分；内容欠完整、措施欠科学合理、操作性欠佳的得1分；内容不完整、措施不科学合理、操作性不强的或未提供本项方案的不得分。</w:t>
            </w:r>
          </w:p>
        </w:tc>
        <w:tc>
          <w:tcPr>
            <w:tcW w:w="500" w:type="dxa"/>
            <w:noWrap w:val="0"/>
            <w:vAlign w:val="center"/>
          </w:tcPr>
          <w:p w14:paraId="65E94E5F">
            <w:pPr>
              <w:keepNext w:val="0"/>
              <w:keepLines w:val="0"/>
              <w:widowControl/>
              <w:numPr>
                <w:ilvl w:val="0"/>
                <w:numId w:val="0"/>
              </w:numPr>
              <w:suppressLineNumbers w:val="0"/>
              <w:spacing w:line="36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1425" w:type="dxa"/>
            <w:noWrap w:val="0"/>
            <w:vAlign w:val="center"/>
          </w:tcPr>
          <w:p w14:paraId="5064AFA7">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门岗服务</w:t>
            </w:r>
          </w:p>
        </w:tc>
      </w:tr>
      <w:tr w14:paraId="2F9B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383AB126">
            <w:pPr>
              <w:keepNext w:val="0"/>
              <w:keepLines w:val="0"/>
              <w:widowControl/>
              <w:numPr>
                <w:ilvl w:val="0"/>
                <w:numId w:val="0"/>
              </w:numPr>
              <w:suppressLineNumbers w:val="0"/>
              <w:spacing w:line="36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r>
              <w:rPr>
                <w:rFonts w:hint="eastAsia" w:ascii="宋体" w:hAnsi="宋体" w:cs="宋体"/>
                <w:color w:val="000000"/>
                <w:kern w:val="0"/>
                <w:sz w:val="24"/>
                <w:szCs w:val="24"/>
                <w:highlight w:val="none"/>
                <w:lang w:val="en-US" w:eastAsia="zh-CN" w:bidi="ar-SA"/>
              </w:rPr>
              <w:t>3</w:t>
            </w:r>
          </w:p>
        </w:tc>
        <w:tc>
          <w:tcPr>
            <w:tcW w:w="6172" w:type="dxa"/>
            <w:noWrap w:val="0"/>
            <w:vAlign w:val="center"/>
          </w:tcPr>
          <w:p w14:paraId="66B07B27">
            <w:pPr>
              <w:keepNext w:val="0"/>
              <w:keepLines w:val="0"/>
              <w:widowControl/>
              <w:numPr>
                <w:ilvl w:val="0"/>
                <w:numId w:val="0"/>
              </w:numPr>
              <w:suppressLineNumbers w:val="0"/>
              <w:spacing w:line="360" w:lineRule="auto"/>
              <w:ind w:left="0" w:leftChars="0" w:firstLine="0" w:firstLineChars="0"/>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b/>
                <w:bCs/>
                <w:kern w:val="0"/>
                <w:sz w:val="24"/>
              </w:rPr>
              <w:t>投标人根据本项目消控岗服务方案</w:t>
            </w:r>
            <w:r>
              <w:rPr>
                <w:rFonts w:hint="eastAsia" w:ascii="宋体" w:hAnsi="宋体" w:cs="宋体"/>
                <w:b/>
                <w:bCs/>
                <w:sz w:val="24"/>
                <w:lang w:val="zh-CN"/>
              </w:rPr>
              <w:t>的全面性、合理性进行评审。</w:t>
            </w:r>
            <w:r>
              <w:rPr>
                <w:rFonts w:hint="eastAsia" w:ascii="宋体" w:hAnsi="宋体" w:cs="宋体"/>
                <w:kern w:val="0"/>
                <w:sz w:val="24"/>
              </w:rPr>
              <w:t>内容全面完整、措施科学合理、操作性强的得</w:t>
            </w:r>
            <w:r>
              <w:rPr>
                <w:rFonts w:ascii="宋体" w:hAnsi="宋体" w:cs="宋体"/>
                <w:kern w:val="0"/>
                <w:sz w:val="24"/>
              </w:rPr>
              <w:t>5</w:t>
            </w:r>
            <w:r>
              <w:rPr>
                <w:rFonts w:hint="eastAsia" w:ascii="宋体" w:hAnsi="宋体" w:cs="宋体"/>
                <w:kern w:val="0"/>
                <w:sz w:val="24"/>
              </w:rPr>
              <w:t>分；内容较完整、措施较科学合理、操作性较强的得3分；内容欠完整、措施欠科学合理、操作性欠强的得1分；内容不完整、措施不科学合理、操作性不强的或未提供本项方案的不得分。</w:t>
            </w:r>
          </w:p>
        </w:tc>
        <w:tc>
          <w:tcPr>
            <w:tcW w:w="500" w:type="dxa"/>
            <w:noWrap w:val="0"/>
            <w:vAlign w:val="center"/>
          </w:tcPr>
          <w:p w14:paraId="55D9438F">
            <w:pPr>
              <w:keepNext w:val="0"/>
              <w:keepLines w:val="0"/>
              <w:widowControl/>
              <w:numPr>
                <w:ilvl w:val="0"/>
                <w:numId w:val="0"/>
              </w:numPr>
              <w:suppressLineNumbers w:val="0"/>
              <w:spacing w:line="36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1425" w:type="dxa"/>
            <w:noWrap w:val="0"/>
            <w:vAlign w:val="center"/>
          </w:tcPr>
          <w:p w14:paraId="253DC6D9">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rPr>
              <w:t>消控岗服务方案</w:t>
            </w:r>
          </w:p>
        </w:tc>
      </w:tr>
      <w:tr w14:paraId="5B59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2A9D2F26">
            <w:pPr>
              <w:keepNext w:val="0"/>
              <w:keepLines w:val="0"/>
              <w:widowControl/>
              <w:numPr>
                <w:ilvl w:val="0"/>
                <w:numId w:val="0"/>
              </w:numPr>
              <w:suppressLineNumbers w:val="0"/>
              <w:spacing w:line="360" w:lineRule="auto"/>
              <w:ind w:left="0" w:leftChars="0" w:firstLine="0" w:firstLineChars="0"/>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r>
              <w:rPr>
                <w:rFonts w:hint="eastAsia" w:ascii="宋体" w:hAnsi="宋体" w:cs="宋体"/>
                <w:color w:val="000000"/>
                <w:kern w:val="0"/>
                <w:sz w:val="24"/>
                <w:szCs w:val="24"/>
                <w:highlight w:val="none"/>
                <w:lang w:val="en-US" w:eastAsia="zh-CN" w:bidi="ar-SA"/>
              </w:rPr>
              <w:t>4</w:t>
            </w:r>
          </w:p>
        </w:tc>
        <w:tc>
          <w:tcPr>
            <w:tcW w:w="6172" w:type="dxa"/>
            <w:noWrap w:val="0"/>
            <w:vAlign w:val="center"/>
          </w:tcPr>
          <w:p w14:paraId="04AB7E5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投标人针对本项目提出的项目人员培训方案</w:t>
            </w:r>
            <w:r>
              <w:rPr>
                <w:rFonts w:hint="eastAsia" w:ascii="宋体" w:hAnsi="宋体" w:eastAsia="宋体" w:cs="宋体"/>
                <w:color w:val="000000"/>
                <w:kern w:val="0"/>
                <w:sz w:val="24"/>
                <w:szCs w:val="24"/>
                <w:highlight w:val="none"/>
                <w:lang w:val="en-US" w:eastAsia="zh-CN" w:bidi="ar-SA"/>
              </w:rPr>
              <w:t>（包含且不限于岗姿岗容、礼貌礼仪、队列训练、交通指挥手势、消防应急演练、防暴反</w:t>
            </w:r>
            <w:r>
              <w:rPr>
                <w:rFonts w:hint="eastAsia" w:ascii="宋体" w:hAnsi="宋体" w:cs="宋体"/>
                <w:color w:val="000000"/>
                <w:kern w:val="0"/>
                <w:sz w:val="24"/>
                <w:szCs w:val="24"/>
                <w:highlight w:val="none"/>
                <w:lang w:val="en-US" w:eastAsia="zh-CN" w:bidi="ar-SA"/>
              </w:rPr>
              <w:t xml:space="preserve">  </w:t>
            </w:r>
            <w:r>
              <w:rPr>
                <w:rFonts w:hint="eastAsia" w:ascii="宋体" w:hAnsi="宋体" w:eastAsia="宋体" w:cs="宋体"/>
                <w:color w:val="000000"/>
                <w:kern w:val="0"/>
                <w:sz w:val="24"/>
                <w:szCs w:val="24"/>
                <w:highlight w:val="none"/>
                <w:lang w:val="en-US" w:eastAsia="zh-CN" w:bidi="ar-SA"/>
              </w:rPr>
              <w:t>恐应急演练等）：内容全面完整、措施科学合理的得</w:t>
            </w:r>
            <w:r>
              <w:rPr>
                <w:rFonts w:hint="eastAsia" w:ascii="宋体" w:hAnsi="宋体" w:cs="宋体"/>
                <w:color w:val="000000"/>
                <w:kern w:val="0"/>
                <w:sz w:val="24"/>
                <w:szCs w:val="24"/>
                <w:highlight w:val="none"/>
                <w:lang w:val="en-US" w:eastAsia="zh-CN" w:bidi="ar-SA"/>
              </w:rPr>
              <w:t>6</w:t>
            </w:r>
            <w:r>
              <w:rPr>
                <w:rFonts w:hint="eastAsia" w:ascii="宋体" w:hAnsi="宋体" w:eastAsia="宋体" w:cs="宋体"/>
                <w:color w:val="000000"/>
                <w:kern w:val="0"/>
                <w:sz w:val="24"/>
                <w:szCs w:val="24"/>
                <w:highlight w:val="none"/>
                <w:lang w:val="en-US" w:eastAsia="zh-CN" w:bidi="ar-SA"/>
              </w:rPr>
              <w:t>分；内容较完整，措施较合理的得</w:t>
            </w:r>
            <w:r>
              <w:rPr>
                <w:rFonts w:hint="eastAsia" w:ascii="宋体" w:hAnsi="宋体" w:cs="宋体"/>
                <w:color w:val="000000"/>
                <w:kern w:val="0"/>
                <w:sz w:val="24"/>
                <w:szCs w:val="24"/>
                <w:highlight w:val="none"/>
                <w:lang w:val="en-US" w:eastAsia="zh-CN" w:bidi="ar-SA"/>
              </w:rPr>
              <w:t>4</w:t>
            </w:r>
            <w:r>
              <w:rPr>
                <w:rFonts w:hint="eastAsia" w:ascii="宋体" w:hAnsi="宋体" w:eastAsia="宋体" w:cs="宋体"/>
                <w:color w:val="000000"/>
                <w:kern w:val="0"/>
                <w:sz w:val="24"/>
                <w:szCs w:val="24"/>
                <w:highlight w:val="none"/>
                <w:lang w:val="en-US" w:eastAsia="zh-CN" w:bidi="ar-SA"/>
              </w:rPr>
              <w:t>分；内容欠完整，措施欠合理的得</w:t>
            </w:r>
            <w:r>
              <w:rPr>
                <w:rFonts w:hint="eastAsia" w:ascii="宋体" w:hAnsi="宋体" w:cs="宋体"/>
                <w:color w:val="000000"/>
                <w:kern w:val="0"/>
                <w:sz w:val="24"/>
                <w:szCs w:val="24"/>
                <w:highlight w:val="none"/>
                <w:lang w:val="en-US" w:eastAsia="zh-CN" w:bidi="ar-SA"/>
              </w:rPr>
              <w:t>2</w:t>
            </w:r>
            <w:r>
              <w:rPr>
                <w:rFonts w:hint="eastAsia" w:ascii="宋体" w:hAnsi="宋体" w:eastAsia="宋体" w:cs="宋体"/>
                <w:color w:val="000000"/>
                <w:kern w:val="0"/>
                <w:sz w:val="24"/>
                <w:szCs w:val="24"/>
                <w:highlight w:val="none"/>
                <w:lang w:val="en-US" w:eastAsia="zh-CN" w:bidi="ar-SA"/>
              </w:rPr>
              <w:t>分；内容不完整，措施不合理的或未提供本项方案的不得分。</w:t>
            </w:r>
          </w:p>
        </w:tc>
        <w:tc>
          <w:tcPr>
            <w:tcW w:w="500" w:type="dxa"/>
            <w:noWrap w:val="0"/>
            <w:vAlign w:val="center"/>
          </w:tcPr>
          <w:p w14:paraId="56D0656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6</w:t>
            </w:r>
          </w:p>
        </w:tc>
        <w:tc>
          <w:tcPr>
            <w:tcW w:w="1425" w:type="dxa"/>
            <w:noWrap w:val="0"/>
            <w:vAlign w:val="center"/>
          </w:tcPr>
          <w:p w14:paraId="403C26C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培训方案</w:t>
            </w:r>
          </w:p>
        </w:tc>
      </w:tr>
      <w:tr w14:paraId="097B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restart"/>
            <w:noWrap w:val="0"/>
            <w:vAlign w:val="center"/>
          </w:tcPr>
          <w:p w14:paraId="18B6A84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r>
              <w:rPr>
                <w:rFonts w:hint="eastAsia" w:ascii="宋体" w:hAnsi="宋体" w:cs="宋体"/>
                <w:color w:val="000000"/>
                <w:kern w:val="0"/>
                <w:sz w:val="24"/>
                <w:szCs w:val="24"/>
                <w:highlight w:val="none"/>
                <w:lang w:val="en-US" w:eastAsia="zh-CN" w:bidi="ar-SA"/>
              </w:rPr>
              <w:t>5</w:t>
            </w:r>
          </w:p>
        </w:tc>
        <w:tc>
          <w:tcPr>
            <w:tcW w:w="6172" w:type="dxa"/>
            <w:noWrap w:val="0"/>
            <w:vAlign w:val="center"/>
          </w:tcPr>
          <w:p w14:paraId="0FB125F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投标人提供的对服务管理区域内出现突发状况</w:t>
            </w:r>
            <w:r>
              <w:rPr>
                <w:rFonts w:hint="eastAsia" w:ascii="宋体" w:hAnsi="宋体" w:eastAsia="宋体" w:cs="宋体"/>
                <w:b/>
                <w:bCs/>
                <w:color w:val="000000"/>
                <w:kern w:val="0"/>
                <w:sz w:val="24"/>
                <w:szCs w:val="24"/>
                <w:highlight w:val="none"/>
                <w:lang w:val="zh-CN" w:eastAsia="zh-CN" w:bidi="ar-SA"/>
              </w:rPr>
              <w:t>（包括台风、</w:t>
            </w:r>
            <w:r>
              <w:rPr>
                <w:rFonts w:hint="eastAsia" w:ascii="宋体" w:hAnsi="宋体" w:eastAsia="宋体" w:cs="宋体"/>
                <w:b/>
                <w:bCs/>
                <w:color w:val="000000"/>
                <w:kern w:val="0"/>
                <w:sz w:val="24"/>
                <w:szCs w:val="24"/>
                <w:highlight w:val="none"/>
                <w:lang w:val="en-US" w:eastAsia="zh-CN" w:bidi="ar-SA"/>
              </w:rPr>
              <w:t>暴雨雪、霜冻</w:t>
            </w:r>
            <w:r>
              <w:rPr>
                <w:rFonts w:hint="eastAsia" w:ascii="宋体" w:hAnsi="宋体" w:eastAsia="宋体" w:cs="宋体"/>
                <w:b/>
                <w:bCs/>
                <w:color w:val="000000"/>
                <w:kern w:val="0"/>
                <w:sz w:val="24"/>
                <w:szCs w:val="24"/>
                <w:highlight w:val="none"/>
                <w:lang w:val="zh-CN" w:eastAsia="zh-CN" w:bidi="ar-SA"/>
              </w:rPr>
              <w:t>等灾害性天气、疫情防控）的</w:t>
            </w:r>
            <w:r>
              <w:rPr>
                <w:rFonts w:hint="eastAsia" w:ascii="宋体" w:hAnsi="宋体" w:eastAsia="宋体" w:cs="宋体"/>
                <w:b/>
                <w:bCs/>
                <w:color w:val="000000"/>
                <w:kern w:val="0"/>
                <w:sz w:val="24"/>
                <w:szCs w:val="24"/>
                <w:highlight w:val="none"/>
                <w:lang w:val="en-US" w:eastAsia="zh-CN" w:bidi="ar-SA"/>
              </w:rPr>
              <w:t>应急预案及措施</w:t>
            </w:r>
            <w:r>
              <w:rPr>
                <w:rFonts w:hint="eastAsia" w:ascii="宋体" w:hAnsi="宋体" w:eastAsia="宋体" w:cs="宋体"/>
                <w:color w:val="000000"/>
                <w:kern w:val="0"/>
                <w:sz w:val="24"/>
                <w:szCs w:val="24"/>
                <w:highlight w:val="none"/>
                <w:lang w:val="en-US" w:eastAsia="zh-CN" w:bidi="ar-SA"/>
              </w:rPr>
              <w:t>：内容全面完整、措施科学合理、操作性强的得4分；内容较完整、措施较科学合理、操作性较强的得2分；内容欠完整、措施欠科学合理、操作性欠强的得1分；内容不完整、措施不科学合理、操作性不强的或未提供本项方案的不得分。</w:t>
            </w:r>
          </w:p>
        </w:tc>
        <w:tc>
          <w:tcPr>
            <w:tcW w:w="500" w:type="dxa"/>
            <w:noWrap w:val="0"/>
            <w:vAlign w:val="center"/>
          </w:tcPr>
          <w:p w14:paraId="08AD507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w:t>
            </w:r>
          </w:p>
        </w:tc>
        <w:tc>
          <w:tcPr>
            <w:tcW w:w="1425" w:type="dxa"/>
            <w:vMerge w:val="restart"/>
            <w:noWrap w:val="0"/>
            <w:vAlign w:val="center"/>
          </w:tcPr>
          <w:p w14:paraId="6CC67EE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Cs/>
                <w:color w:val="auto"/>
                <w:sz w:val="24"/>
                <w:szCs w:val="24"/>
                <w:highlight w:val="none"/>
                <w:lang w:val="en-US" w:eastAsia="zh-CN"/>
              </w:rPr>
              <w:t>突发、应急事件的应急预案及措施</w:t>
            </w:r>
          </w:p>
        </w:tc>
      </w:tr>
      <w:tr w14:paraId="5D09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noWrap w:val="0"/>
            <w:vAlign w:val="center"/>
          </w:tcPr>
          <w:p w14:paraId="6A450B21">
            <w:pPr>
              <w:keepNext w:val="0"/>
              <w:keepLines w:val="0"/>
              <w:pageBreakBefore w:val="0"/>
              <w:widowControl/>
              <w:kinsoku/>
              <w:wordWrap/>
              <w:overflowPunct/>
              <w:topLinePunct w:val="0"/>
              <w:bidi w:val="0"/>
              <w:adjustRightInd/>
              <w:snapToGrid/>
              <w:spacing w:line="360" w:lineRule="auto"/>
              <w:jc w:val="center"/>
              <w:textAlignment w:val="auto"/>
              <w:outlineLvl w:val="0"/>
              <w:rPr>
                <w:rFonts w:hint="eastAsia" w:ascii="宋体" w:hAnsi="宋体" w:eastAsia="宋体" w:cs="宋体"/>
                <w:sz w:val="24"/>
                <w:szCs w:val="24"/>
                <w:highlight w:val="none"/>
                <w:lang w:val="en-US"/>
              </w:rPr>
            </w:pPr>
          </w:p>
        </w:tc>
        <w:tc>
          <w:tcPr>
            <w:tcW w:w="6172" w:type="dxa"/>
            <w:noWrap w:val="0"/>
            <w:vAlign w:val="center"/>
          </w:tcPr>
          <w:p w14:paraId="5052257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b/>
                <w:bCs/>
                <w:color w:val="000000"/>
                <w:kern w:val="0"/>
                <w:sz w:val="24"/>
              </w:rPr>
              <w:t>投标人提供的对有可能发生的消防、重大安全事故、突发事件、重大集聚性事件的应急预案及措施：</w:t>
            </w:r>
            <w:r>
              <w:rPr>
                <w:rFonts w:hint="eastAsia" w:ascii="宋体" w:hAnsi="宋体" w:cs="宋体"/>
                <w:color w:val="000000"/>
                <w:kern w:val="0"/>
                <w:sz w:val="24"/>
              </w:rPr>
              <w:t>内容全面完整、措施科学合理、操作性强的得4分；内容较完整、措施较科学合理、操作性较强的得2分；内容欠完整、措施欠科学合理、操作性欠强的得1分；内容不完整、措施不科学合理、操作性不强的或未提供本项方案的不得分。</w:t>
            </w:r>
          </w:p>
        </w:tc>
        <w:tc>
          <w:tcPr>
            <w:tcW w:w="500" w:type="dxa"/>
            <w:noWrap w:val="0"/>
            <w:vAlign w:val="center"/>
          </w:tcPr>
          <w:p w14:paraId="22061D3A">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w:t>
            </w:r>
          </w:p>
        </w:tc>
        <w:tc>
          <w:tcPr>
            <w:tcW w:w="1425" w:type="dxa"/>
            <w:vMerge w:val="continue"/>
            <w:noWrap w:val="0"/>
            <w:vAlign w:val="center"/>
          </w:tcPr>
          <w:p w14:paraId="77B4E2E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val="en-US" w:eastAsia="zh-CN" w:bidi="ar-SA"/>
              </w:rPr>
            </w:pPr>
          </w:p>
        </w:tc>
      </w:tr>
      <w:tr w14:paraId="6AF8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14D8EBB3">
            <w:pPr>
              <w:keepNext w:val="0"/>
              <w:keepLines w:val="0"/>
              <w:pageBreakBefore w:val="0"/>
              <w:widowControl/>
              <w:kinsoku/>
              <w:wordWrap/>
              <w:overflowPunct/>
              <w:topLinePunct w:val="0"/>
              <w:bidi w:val="0"/>
              <w:adjustRightInd/>
              <w:snapToGrid/>
              <w:spacing w:line="360" w:lineRule="auto"/>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6172" w:type="dxa"/>
            <w:noWrap w:val="0"/>
            <w:vAlign w:val="center"/>
          </w:tcPr>
          <w:p w14:paraId="4DF38872">
            <w:pPr>
              <w:widowControl/>
              <w:spacing w:line="360" w:lineRule="auto"/>
              <w:jc w:val="left"/>
              <w:textAlignment w:val="center"/>
              <w:rPr>
                <w:rFonts w:ascii="宋体" w:hAnsi="宋体" w:cs="宋体"/>
                <w:b/>
                <w:bCs/>
                <w:color w:val="000000"/>
                <w:kern w:val="0"/>
                <w:sz w:val="24"/>
              </w:rPr>
            </w:pPr>
            <w:r>
              <w:rPr>
                <w:rFonts w:hint="eastAsia" w:ascii="宋体" w:hAnsi="宋体" w:cs="宋体"/>
                <w:b/>
                <w:bCs/>
                <w:color w:val="000000"/>
                <w:kern w:val="0"/>
                <w:sz w:val="24"/>
              </w:rPr>
              <w:t>投标人应急响应能力：</w:t>
            </w:r>
          </w:p>
          <w:p w14:paraId="4C9440E0">
            <w:pPr>
              <w:widowControl/>
              <w:spacing w:line="360" w:lineRule="auto"/>
              <w:jc w:val="left"/>
              <w:textAlignment w:val="center"/>
              <w:rPr>
                <w:rFonts w:ascii="宋体" w:hAnsi="宋体" w:cs="宋体"/>
                <w:color w:val="000000"/>
                <w:kern w:val="0"/>
                <w:sz w:val="24"/>
              </w:rPr>
            </w:pPr>
            <w:r>
              <w:rPr>
                <w:rFonts w:hint="eastAsia" w:ascii="宋体" w:hAnsi="宋体" w:cs="宋体"/>
                <w:color w:val="000000"/>
                <w:kern w:val="0"/>
                <w:sz w:val="24"/>
              </w:rPr>
              <w:t>（1）在特殊安保需要时，能迅速派出周边驻点足够数量的有经验的增援人员，投标人对应急处置突发能力进行具体阐述和承诺。提供增援力量来源或可直接调动地点的证明材料。内容全面完整、措施科学合理、操作性强的得4分；内容较完整、措施较科学合理、操作性较强的得2分；内容欠完整、措施欠科学合理、操作性欠强的得1分；内容不完整、措施不科学合理、操作性不强的或未提供本项方案的不得分。</w:t>
            </w:r>
          </w:p>
          <w:p w14:paraId="743E3DF8">
            <w:pPr>
              <w:widowControl/>
              <w:spacing w:line="360" w:lineRule="auto"/>
              <w:jc w:val="left"/>
              <w:textAlignment w:val="center"/>
              <w:rPr>
                <w:rFonts w:ascii="宋体" w:hAnsi="宋体" w:cs="宋体"/>
                <w:color w:val="000000"/>
                <w:kern w:val="0"/>
                <w:sz w:val="24"/>
              </w:rPr>
            </w:pPr>
            <w:r>
              <w:rPr>
                <w:rFonts w:hint="eastAsia" w:ascii="宋体" w:hAnsi="宋体" w:cs="宋体"/>
                <w:color w:val="000000"/>
                <w:kern w:val="0"/>
                <w:sz w:val="24"/>
              </w:rPr>
              <w:t>（2）投标人自有应急专用机动车辆，投标人对运输能力进行具体阐述和承诺。提供拟投入相关车辆证明材料。内容全面完整、措施科学合理、操作性强的得3分；内容较完整、措施较科学合理、操作性较强的得2分；内容欠完整、措施欠科学合理、操作性欠强的得1分；内容不完整、措施不科学合理、操作性不强的或未提供本项方案的不得分.</w:t>
            </w:r>
          </w:p>
          <w:p w14:paraId="1A23B318">
            <w:pPr>
              <w:keepNext w:val="0"/>
              <w:keepLines w:val="0"/>
              <w:widowControl/>
              <w:suppressLineNumbers w:val="0"/>
              <w:spacing w:line="360" w:lineRule="auto"/>
              <w:jc w:val="left"/>
              <w:textAlignment w:val="center"/>
              <w:rPr>
                <w:rFonts w:hint="eastAsia" w:ascii="宋体" w:hAnsi="宋体" w:cs="宋体"/>
                <w:b/>
                <w:bCs/>
                <w:color w:val="000000"/>
                <w:kern w:val="0"/>
                <w:sz w:val="24"/>
              </w:rPr>
            </w:pPr>
            <w:r>
              <w:rPr>
                <w:rFonts w:hint="eastAsia" w:ascii="宋体" w:hAnsi="宋体" w:cs="宋体"/>
                <w:color w:val="000000"/>
                <w:kern w:val="0"/>
                <w:sz w:val="24"/>
              </w:rPr>
              <w:t>（3）与属地派出所、交警、巡特警有联动机制。提供相关证明材料，每满足一个得1分，共3分。</w:t>
            </w:r>
          </w:p>
        </w:tc>
        <w:tc>
          <w:tcPr>
            <w:tcW w:w="500" w:type="dxa"/>
            <w:noWrap w:val="0"/>
            <w:vAlign w:val="center"/>
          </w:tcPr>
          <w:p w14:paraId="43EE7549">
            <w:pPr>
              <w:keepNext w:val="0"/>
              <w:keepLines w:val="0"/>
              <w:widowControl/>
              <w:suppressLineNumbers w:val="0"/>
              <w:spacing w:line="360" w:lineRule="auto"/>
              <w:jc w:val="center"/>
              <w:textAlignment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10</w:t>
            </w:r>
          </w:p>
        </w:tc>
        <w:tc>
          <w:tcPr>
            <w:tcW w:w="1425" w:type="dxa"/>
            <w:noWrap w:val="0"/>
            <w:vAlign w:val="center"/>
          </w:tcPr>
          <w:p w14:paraId="7003FC2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000000"/>
                <w:kern w:val="0"/>
                <w:sz w:val="24"/>
              </w:rPr>
              <w:t>应急响应能力</w:t>
            </w:r>
          </w:p>
        </w:tc>
      </w:tr>
      <w:tr w14:paraId="3FB3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211A9E07">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w:t>
            </w:r>
          </w:p>
        </w:tc>
        <w:tc>
          <w:tcPr>
            <w:tcW w:w="6172" w:type="dxa"/>
            <w:noWrap w:val="0"/>
            <w:vAlign w:val="center"/>
          </w:tcPr>
          <w:p w14:paraId="41B7AD2A">
            <w:pPr>
              <w:keepNext w:val="0"/>
              <w:keepLines w:val="0"/>
              <w:widowControl/>
              <w:suppressLineNumbers w:val="0"/>
              <w:spacing w:line="36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kern w:val="0"/>
                <w:sz w:val="24"/>
              </w:rPr>
              <w:t>投标人承诺协助服务学校完成其他工作，如学校运动场地开放管理、各类会议培训活动等安保服务的，得</w:t>
            </w:r>
            <w:r>
              <w:rPr>
                <w:rFonts w:ascii="宋体" w:hAnsi="宋体" w:cs="宋体"/>
                <w:kern w:val="0"/>
                <w:sz w:val="24"/>
              </w:rPr>
              <w:t>1</w:t>
            </w:r>
            <w:r>
              <w:rPr>
                <w:rFonts w:hint="eastAsia" w:ascii="宋体" w:hAnsi="宋体" w:cs="宋体"/>
                <w:kern w:val="0"/>
                <w:sz w:val="24"/>
              </w:rPr>
              <w:t>分。（注：供应商需自拟承诺格式，承诺内容需满足要求，未提供承诺，或承诺不满足要求的不得分。）</w:t>
            </w:r>
          </w:p>
        </w:tc>
        <w:tc>
          <w:tcPr>
            <w:tcW w:w="500" w:type="dxa"/>
            <w:noWrap w:val="0"/>
            <w:vAlign w:val="center"/>
          </w:tcPr>
          <w:p w14:paraId="046B924D">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yellow"/>
                <w:lang w:val="en-US" w:eastAsia="zh-CN" w:bidi="ar-SA"/>
              </w:rPr>
            </w:pPr>
            <w:r>
              <w:rPr>
                <w:rFonts w:hint="eastAsia" w:ascii="宋体" w:hAnsi="宋体" w:cs="宋体"/>
                <w:color w:val="auto"/>
                <w:kern w:val="0"/>
                <w:sz w:val="24"/>
                <w:szCs w:val="24"/>
                <w:highlight w:val="none"/>
                <w:lang w:val="en-US" w:eastAsia="zh-CN" w:bidi="ar-SA"/>
              </w:rPr>
              <w:t>1</w:t>
            </w:r>
          </w:p>
        </w:tc>
        <w:tc>
          <w:tcPr>
            <w:tcW w:w="1425" w:type="dxa"/>
            <w:noWrap w:val="0"/>
            <w:vAlign w:val="center"/>
          </w:tcPr>
          <w:p w14:paraId="04F6CF27">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服务承诺</w:t>
            </w:r>
          </w:p>
        </w:tc>
      </w:tr>
      <w:tr w14:paraId="3BD2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48B5AE75">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8</w:t>
            </w:r>
          </w:p>
        </w:tc>
        <w:tc>
          <w:tcPr>
            <w:tcW w:w="6172" w:type="dxa"/>
            <w:noWrap w:val="0"/>
            <w:vAlign w:val="center"/>
          </w:tcPr>
          <w:p w14:paraId="457701A1">
            <w:pPr>
              <w:keepNext w:val="0"/>
              <w:keepLines w:val="0"/>
              <w:widowControl/>
              <w:suppressLineNumbers w:val="0"/>
              <w:spacing w:line="36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投标人设置及时处置员工劳务纠纷、工伤处置等预案流程</w:t>
            </w:r>
            <w:r>
              <w:rPr>
                <w:rFonts w:hint="eastAsia" w:ascii="宋体" w:hAnsi="宋体" w:eastAsia="宋体" w:cs="宋体"/>
                <w:color w:val="auto"/>
                <w:kern w:val="0"/>
                <w:sz w:val="24"/>
                <w:szCs w:val="24"/>
                <w:highlight w:val="none"/>
                <w:lang w:val="en-US" w:eastAsia="zh-CN" w:bidi="ar-SA"/>
              </w:rPr>
              <w:t>：方案符合招标文件要求，条理清晰，内容详尽、措施合理的得4分；方案条理较清晰，内容较详尽、措施较合理的得2分；方案条理欠清晰，内容欠详尽、措施欠合理的得1分；方案条理不清晰，内容不详尽、措施不合理的或未提供本项方案的不得分。</w:t>
            </w:r>
          </w:p>
        </w:tc>
        <w:tc>
          <w:tcPr>
            <w:tcW w:w="500" w:type="dxa"/>
            <w:noWrap w:val="0"/>
            <w:vAlign w:val="center"/>
          </w:tcPr>
          <w:p w14:paraId="7E4D9194">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1425" w:type="dxa"/>
            <w:noWrap w:val="0"/>
            <w:vAlign w:val="center"/>
          </w:tcPr>
          <w:p w14:paraId="7BA07C01">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员工权益保障</w:t>
            </w:r>
          </w:p>
        </w:tc>
      </w:tr>
      <w:tr w14:paraId="4052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250A27AC">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19</w:t>
            </w:r>
          </w:p>
        </w:tc>
        <w:tc>
          <w:tcPr>
            <w:tcW w:w="6172" w:type="dxa"/>
            <w:noWrap w:val="0"/>
            <w:vAlign w:val="center"/>
          </w:tcPr>
          <w:p w14:paraId="6DE50001">
            <w:pPr>
              <w:keepNext w:val="0"/>
              <w:keepLines w:val="0"/>
              <w:widowControl/>
              <w:suppressLineNumbers w:val="0"/>
              <w:spacing w:line="36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投标人对项目的合理化建议和做法：</w:t>
            </w:r>
            <w:r>
              <w:rPr>
                <w:rFonts w:hint="eastAsia" w:ascii="宋体" w:hAnsi="宋体" w:eastAsia="宋体" w:cs="宋体"/>
                <w:color w:val="auto"/>
                <w:kern w:val="0"/>
                <w:sz w:val="24"/>
                <w:szCs w:val="24"/>
                <w:highlight w:val="none"/>
                <w:lang w:val="en-US" w:eastAsia="zh-CN" w:bidi="ar-SA"/>
              </w:rPr>
              <w:t>方案条理清晰，逻辑严谨，建议合理科学，具有可操作性和针对性的得4分；方案条理较清晰，逻辑较严谨，建议较合理科学，可操作性和针对性一般的得2分；方案条理欠清晰，逻辑欠严谨，建议欠合理科学，欠可操作性和针对性的得1分；方案条理不清晰，逻辑不严谨，建议不合理科学，无可操作性和针对性的或未提供本项方案的不得分。</w:t>
            </w:r>
          </w:p>
        </w:tc>
        <w:tc>
          <w:tcPr>
            <w:tcW w:w="500" w:type="dxa"/>
            <w:noWrap w:val="0"/>
            <w:vAlign w:val="center"/>
          </w:tcPr>
          <w:p w14:paraId="097FE27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1425" w:type="dxa"/>
            <w:noWrap w:val="0"/>
            <w:vAlign w:val="center"/>
          </w:tcPr>
          <w:p w14:paraId="5D57742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合理化建议</w:t>
            </w:r>
          </w:p>
        </w:tc>
      </w:tr>
      <w:tr w14:paraId="477A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noWrap w:val="0"/>
            <w:vAlign w:val="center"/>
          </w:tcPr>
          <w:p w14:paraId="26F0ED0F">
            <w:pPr>
              <w:keepNext w:val="0"/>
              <w:keepLines w:val="0"/>
              <w:widowControl/>
              <w:suppressLineNumbers w:val="0"/>
              <w:spacing w:line="360" w:lineRule="auto"/>
              <w:jc w:val="center"/>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20</w:t>
            </w:r>
          </w:p>
        </w:tc>
        <w:tc>
          <w:tcPr>
            <w:tcW w:w="6172" w:type="dxa"/>
            <w:noWrap w:val="0"/>
            <w:vAlign w:val="center"/>
          </w:tcPr>
          <w:p w14:paraId="6434B8E5">
            <w:pPr>
              <w:keepNext w:val="0"/>
              <w:keepLines w:val="0"/>
              <w:widowControl/>
              <w:suppressLineNumbers w:val="0"/>
              <w:spacing w:line="360" w:lineRule="auto"/>
              <w:jc w:val="left"/>
              <w:textAlignment w:val="center"/>
              <w:rPr>
                <w:rFonts w:hint="eastAsia" w:ascii="宋体" w:hAnsi="宋体" w:eastAsia="宋体" w:cs="宋体"/>
                <w:b/>
                <w:bCs/>
                <w:color w:val="auto"/>
                <w:kern w:val="0"/>
                <w:sz w:val="24"/>
                <w:szCs w:val="24"/>
                <w:highlight w:val="none"/>
                <w:lang w:val="en-US" w:eastAsia="zh-CN" w:bidi="ar-SA"/>
              </w:rPr>
            </w:pPr>
            <w:bookmarkStart w:id="519" w:name="_GoBack"/>
            <w:r>
              <w:rPr>
                <w:rFonts w:hint="eastAsia" w:ascii="宋体" w:hAnsi="宋体" w:cs="宋体"/>
                <w:b/>
                <w:bCs/>
                <w:kern w:val="0"/>
                <w:sz w:val="24"/>
              </w:rPr>
              <w:t>标人针对本项目的保安人员食宿问题的方案的全面性、合理性进行评审。</w:t>
            </w:r>
            <w:r>
              <w:rPr>
                <w:rFonts w:hint="eastAsia" w:ascii="宋体" w:hAnsi="宋体" w:cs="宋体"/>
                <w:kern w:val="0"/>
                <w:sz w:val="24"/>
              </w:rPr>
              <w:t>方案详尽全面、完整合理的得3分，方案合理，较为完整的得</w:t>
            </w:r>
            <w:r>
              <w:rPr>
                <w:rFonts w:ascii="宋体" w:hAnsi="宋体" w:cs="宋体"/>
                <w:kern w:val="0"/>
                <w:sz w:val="24"/>
              </w:rPr>
              <w:t>1</w:t>
            </w:r>
            <w:r>
              <w:rPr>
                <w:rFonts w:hint="eastAsia" w:ascii="宋体" w:hAnsi="宋体" w:cs="宋体"/>
                <w:kern w:val="0"/>
                <w:sz w:val="24"/>
              </w:rPr>
              <w:t>.5分，方案内容不合理或不提供的不得分。</w:t>
            </w:r>
            <w:bookmarkEnd w:id="519"/>
          </w:p>
        </w:tc>
        <w:tc>
          <w:tcPr>
            <w:tcW w:w="500" w:type="dxa"/>
            <w:noWrap w:val="0"/>
            <w:vAlign w:val="center"/>
          </w:tcPr>
          <w:p w14:paraId="77A49DFF">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c>
          <w:tcPr>
            <w:tcW w:w="1425" w:type="dxa"/>
            <w:noWrap w:val="0"/>
            <w:vAlign w:val="center"/>
          </w:tcPr>
          <w:p w14:paraId="394E2C4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kern w:val="0"/>
                <w:sz w:val="24"/>
              </w:rPr>
              <w:t>保安人员食宿问题的方案</w:t>
            </w:r>
          </w:p>
        </w:tc>
      </w:tr>
      <w:tr w14:paraId="5811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8" w:type="dxa"/>
            <w:noWrap w:val="0"/>
            <w:vAlign w:val="center"/>
          </w:tcPr>
          <w:p w14:paraId="66033D4F">
            <w:pPr>
              <w:keepNext w:val="0"/>
              <w:keepLines w:val="0"/>
              <w:pageBreakBefore w:val="0"/>
              <w:kinsoku/>
              <w:wordWrap/>
              <w:overflowPunct/>
              <w:topLinePunct w:val="0"/>
              <w:bidi w:val="0"/>
              <w:snapToGrid/>
              <w:spacing w:line="360" w:lineRule="auto"/>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w:t>
            </w:r>
          </w:p>
        </w:tc>
        <w:tc>
          <w:tcPr>
            <w:tcW w:w="6172" w:type="dxa"/>
            <w:noWrap w:val="0"/>
            <w:vAlign w:val="top"/>
          </w:tcPr>
          <w:p w14:paraId="0E5B2663">
            <w:pPr>
              <w:snapToGrid w:val="0"/>
              <w:spacing w:line="360" w:lineRule="auto"/>
              <w:outlineLvl w:val="0"/>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14:paraId="783F23AC">
            <w:pPr>
              <w:snapToGrid w:val="0"/>
              <w:spacing w:line="360" w:lineRule="auto"/>
              <w:outlineLvl w:val="0"/>
              <w:rPr>
                <w:rFonts w:hint="eastAsia" w:ascii="宋体" w:hAnsi="宋体" w:cs="宋体"/>
                <w:sz w:val="24"/>
              </w:rPr>
            </w:pPr>
            <w:r>
              <w:rPr>
                <w:rFonts w:hint="eastAsia" w:ascii="宋体" w:hAnsi="宋体" w:cs="宋体"/>
                <w:sz w:val="24"/>
              </w:rPr>
              <w:t>评标过程中，不得去掉报价中的最高报价和最低报价。</w:t>
            </w:r>
          </w:p>
          <w:p w14:paraId="4B151593">
            <w:p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w:t>
            </w:r>
            <w:r>
              <w:rPr>
                <w:rFonts w:hint="eastAsia" w:ascii="宋体" w:hAnsi="宋体" w:cs="宋体"/>
                <w:b/>
                <w:sz w:val="24"/>
                <w:u w:val="single"/>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sz w:val="24"/>
                <w:u w:val="single"/>
              </w:rPr>
              <w:t>6%</w:t>
            </w:r>
            <w:r>
              <w:rPr>
                <w:rFonts w:hint="eastAsia" w:ascii="宋体" w:hAnsi="宋体" w:cs="宋体"/>
                <w:sz w:val="24"/>
              </w:rPr>
              <w:t>的扣除，用扣除后的价格参加评审。</w:t>
            </w:r>
          </w:p>
        </w:tc>
        <w:tc>
          <w:tcPr>
            <w:tcW w:w="500" w:type="dxa"/>
            <w:noWrap w:val="0"/>
            <w:vAlign w:val="center"/>
          </w:tcPr>
          <w:p w14:paraId="6280EED4">
            <w:pPr>
              <w:keepNext w:val="0"/>
              <w:keepLines w:val="0"/>
              <w:pageBreakBefore w:val="0"/>
              <w:kinsoku/>
              <w:wordWrap/>
              <w:overflowPunct/>
              <w:topLinePunct w:val="0"/>
              <w:bidi w:val="0"/>
              <w:snapToGrid/>
              <w:spacing w:line="360" w:lineRule="auto"/>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1425" w:type="dxa"/>
            <w:noWrap w:val="0"/>
            <w:vAlign w:val="center"/>
          </w:tcPr>
          <w:p w14:paraId="49F39DF9">
            <w:pPr>
              <w:keepNext w:val="0"/>
              <w:keepLines w:val="0"/>
              <w:pageBreakBefore w:val="0"/>
              <w:kinsoku/>
              <w:wordWrap/>
              <w:overflowPunct/>
              <w:topLinePunct w:val="0"/>
              <w:bidi w:val="0"/>
              <w:snapToGrid/>
              <w:spacing w:line="360" w:lineRule="auto"/>
              <w:jc w:val="center"/>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bl>
    <w:p w14:paraId="4933F2D9">
      <w:pPr>
        <w:rPr>
          <w:rFonts w:hint="eastAsia" w:ascii="宋体" w:hAnsi="宋体" w:eastAsia="宋体" w:cs="宋体"/>
        </w:rPr>
      </w:pPr>
    </w:p>
    <w:p w14:paraId="0949518A">
      <w:pPr>
        <w:spacing w:line="360" w:lineRule="auto"/>
        <w:jc w:val="center"/>
        <w:outlineLvl w:val="0"/>
        <w:rPr>
          <w:rFonts w:hint="eastAsia" w:ascii="宋体" w:hAnsi="宋体" w:eastAsia="宋体" w:cs="宋体"/>
          <w:b/>
          <w:sz w:val="36"/>
          <w:szCs w:val="36"/>
        </w:rPr>
      </w:pPr>
    </w:p>
    <w:p w14:paraId="5A8823D7">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53D68E04">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3E45C81F">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53AA13F9">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4D250C2C">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24A8658C">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3014CCC4">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23E8013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0742C4E4">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04540186">
      <w:pPr>
        <w:pStyle w:val="130"/>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379DBF53">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6299CEF2">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2A215D30">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5481026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6BFC3179">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59FBD10">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5573CA37">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465C4E1E">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服务）质量或者不能诚信履约的，应当要求其在合理的时间内提供书面说明，必要时提交相关证明材料;投标人不能证明其报价合理性的，评标委员会应当将其作为无效投标处理。</w:t>
      </w:r>
    </w:p>
    <w:p w14:paraId="3DAAC1E0">
      <w:pPr>
        <w:pStyle w:val="130"/>
        <w:spacing w:before="0"/>
        <w:ind w:firstLine="480"/>
        <w:rPr>
          <w:rFonts w:hint="eastAsia" w:ascii="宋体" w:hAnsi="宋体" w:eastAsia="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w:t>
      </w:r>
      <w:r>
        <w:rPr>
          <w:rFonts w:hint="eastAsia" w:ascii="宋体" w:hAnsi="宋体" w:cs="宋体"/>
          <w:color w:val="auto"/>
          <w:sz w:val="24"/>
          <w:highlight w:val="none"/>
        </w:rPr>
        <w:t>的扣除，用扣除后的价格参加评审。</w:t>
      </w:r>
      <w:r>
        <w:rPr>
          <w:rFonts w:hint="eastAsia" w:ascii="宋体" w:hAnsi="宋体" w:cs="宋体"/>
          <w:kern w:val="0"/>
          <w:szCs w:val="24"/>
        </w:rPr>
        <w:t>组成联合体或者接受分包的小微企业与联合体内其他企业、分包企业之间存在直接控股、管理关系的，不享受价格扣除优惠政策</w:t>
      </w:r>
      <w:r>
        <w:rPr>
          <w:rFonts w:hint="eastAsia" w:ascii="宋体" w:hAnsi="宋体" w:eastAsia="宋体" w:cs="宋体"/>
          <w:kern w:val="0"/>
          <w:szCs w:val="24"/>
        </w:rPr>
        <w:t>。</w:t>
      </w:r>
    </w:p>
    <w:p w14:paraId="28789215">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CD2105">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D71693">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F8C4B3">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0D4846AD">
      <w:pPr>
        <w:pStyle w:val="130"/>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97286D">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286F2DC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5E31458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02C1D4C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05C2E3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4BAFC9F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62193FAA">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3712D28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23FA825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4.2.8报价明显低于其他通过符合性审查投标人的报价，有可能影响产品（服务）质量或者不能诚信履约的，未能按要求提供书面说明或者提交相关证明材料，不能证明其报价合理性的;</w:t>
      </w:r>
    </w:p>
    <w:p w14:paraId="2A45460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1A30418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0264FB86">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76622F3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3125AC5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4.2.13投标人未提供样品或提供的样品不满足采购需求实质性条件的，投标无效；</w:t>
      </w:r>
    </w:p>
    <w:p w14:paraId="3A5F911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 投标文件不满足招标文件的其它实质性要求的；</w:t>
      </w:r>
    </w:p>
    <w:p w14:paraId="7F8F04F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4.2.15法律、法规、规章（适用本市的）及省级以上规范性文件（适用本市的）规定的其他无效情形。</w:t>
      </w:r>
    </w:p>
    <w:p w14:paraId="6989DDC3">
      <w:pPr>
        <w:pStyle w:val="25"/>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157E082B">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7F8201CA">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2D3182E4">
      <w:pPr>
        <w:pStyle w:val="25"/>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5B0F05CF">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340C2CDC">
      <w:pPr>
        <w:pStyle w:val="25"/>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704409D5">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7A9FC65">
      <w:pPr>
        <w:pStyle w:val="25"/>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384C90A4">
      <w:pPr>
        <w:pStyle w:val="25"/>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264C50F1">
      <w:pPr>
        <w:pStyle w:val="25"/>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3D549322">
      <w:pPr>
        <w:pStyle w:val="25"/>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76EEAA0B">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54045485">
      <w:pPr>
        <w:pStyle w:val="25"/>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14:paraId="4BA8480E">
      <w:pPr>
        <w:pStyle w:val="25"/>
        <w:snapToGrid w:val="0"/>
        <w:spacing w:line="360" w:lineRule="auto"/>
        <w:ind w:firstLine="0" w:firstLineChars="0"/>
        <w:rPr>
          <w:rFonts w:hint="eastAsia" w:ascii="宋体" w:hAnsi="宋体" w:eastAsia="宋体" w:cs="宋体"/>
        </w:rPr>
      </w:pPr>
    </w:p>
    <w:bookmarkEnd w:id="27"/>
    <w:p w14:paraId="79080C29">
      <w:pPr>
        <w:widowControl/>
        <w:adjustRightInd/>
        <w:jc w:val="left"/>
        <w:rPr>
          <w:rFonts w:hint="eastAsia" w:ascii="宋体" w:hAnsi="宋体" w:eastAsia="宋体" w:cs="宋体"/>
          <w:b/>
          <w:sz w:val="36"/>
          <w:szCs w:val="36"/>
        </w:rPr>
      </w:pPr>
      <w:bookmarkStart w:id="395" w:name="第五部分"/>
      <w:bookmarkStart w:id="396" w:name="_Toc86217003"/>
      <w:r>
        <w:rPr>
          <w:rFonts w:hint="eastAsia" w:ascii="宋体" w:hAnsi="宋体" w:eastAsia="宋体" w:cs="宋体"/>
          <w:b/>
          <w:sz w:val="36"/>
          <w:szCs w:val="36"/>
        </w:rPr>
        <w:br w:type="page"/>
      </w:r>
    </w:p>
    <w:p w14:paraId="0F4D184D">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7E99C141">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78B31EB9">
      <w:pPr>
        <w:spacing w:line="480" w:lineRule="auto"/>
        <w:jc w:val="center"/>
        <w:rPr>
          <w:rFonts w:hint="eastAsia" w:ascii="宋体" w:hAnsi="宋体" w:eastAsia="宋体" w:cs="宋体"/>
          <w:b/>
          <w:sz w:val="28"/>
          <w:szCs w:val="28"/>
        </w:rPr>
      </w:pPr>
    </w:p>
    <w:p w14:paraId="5222B5BE">
      <w:pPr>
        <w:spacing w:line="480" w:lineRule="auto"/>
        <w:jc w:val="center"/>
        <w:rPr>
          <w:rFonts w:hint="eastAsia" w:ascii="宋体" w:hAnsi="宋体" w:eastAsia="宋体" w:cs="宋体"/>
          <w:b/>
          <w:sz w:val="24"/>
        </w:rPr>
      </w:pPr>
    </w:p>
    <w:p w14:paraId="614117E2">
      <w:pPr>
        <w:spacing w:line="480" w:lineRule="auto"/>
        <w:jc w:val="center"/>
        <w:rPr>
          <w:rFonts w:hint="eastAsia" w:ascii="宋体" w:hAnsi="宋体" w:eastAsia="宋体" w:cs="宋体"/>
          <w:b/>
          <w:sz w:val="24"/>
        </w:rPr>
      </w:pPr>
    </w:p>
    <w:p w14:paraId="0DB299E1">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16FF0698">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3CCCDD78">
      <w:pPr>
        <w:pStyle w:val="701"/>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65EADECE">
      <w:pPr>
        <w:spacing w:before="120" w:line="22" w:lineRule="atLeast"/>
        <w:rPr>
          <w:rFonts w:hint="eastAsia" w:ascii="宋体" w:hAnsi="宋体" w:eastAsia="宋体" w:cs="宋体"/>
          <w:sz w:val="24"/>
        </w:rPr>
      </w:pPr>
    </w:p>
    <w:p w14:paraId="2B072908">
      <w:pPr>
        <w:pStyle w:val="4"/>
        <w:rPr>
          <w:rFonts w:hint="eastAsia" w:ascii="宋体" w:hAnsi="宋体" w:eastAsia="宋体" w:cs="宋体"/>
        </w:rPr>
      </w:pPr>
    </w:p>
    <w:p w14:paraId="6EA19BC5">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u w:val="single"/>
          <w:lang w:eastAsia="zh-CN"/>
        </w:rPr>
        <w:t>杭州市十三中教育集团(总校)2025-2026年保安服务采购项目</w:t>
      </w:r>
    </w:p>
    <w:p w14:paraId="4A19FAB5">
      <w:pPr>
        <w:pStyle w:val="598"/>
        <w:spacing w:before="120" w:line="22" w:lineRule="atLeast"/>
        <w:ind w:firstLine="960" w:firstLineChars="400"/>
        <w:rPr>
          <w:rFonts w:hint="eastAsia" w:ascii="宋体" w:hAnsi="宋体" w:eastAsia="宋体" w:cs="宋体"/>
          <w:szCs w:val="24"/>
          <w:u w:val="single"/>
        </w:rPr>
      </w:pPr>
      <w:r>
        <w:rPr>
          <w:rFonts w:hint="eastAsia" w:ascii="宋体" w:hAnsi="宋体" w:eastAsia="宋体" w:cs="宋体"/>
          <w:kern w:val="2"/>
          <w:sz w:val="24"/>
          <w:szCs w:val="24"/>
          <w:lang w:val="en-US" w:eastAsia="zh-CN" w:bidi="ar-SA"/>
        </w:rPr>
        <w:t xml:space="preserve">项目编号: </w:t>
      </w:r>
      <w:r>
        <w:rPr>
          <w:rFonts w:hint="eastAsia" w:ascii="宋体" w:hAnsi="宋体" w:eastAsia="宋体" w:cs="宋体"/>
          <w:kern w:val="2"/>
          <w:sz w:val="24"/>
          <w:szCs w:val="24"/>
          <w:u w:val="single"/>
          <w:lang w:val="en-US" w:eastAsia="zh-CN" w:bidi="ar-SA"/>
        </w:rPr>
        <w:t>XHZFCG-2025-G-04</w:t>
      </w:r>
    </w:p>
    <w:p w14:paraId="6E840E1A">
      <w:pPr>
        <w:pStyle w:val="598"/>
        <w:spacing w:before="120" w:line="22" w:lineRule="atLeast"/>
        <w:rPr>
          <w:rFonts w:hint="eastAsia" w:ascii="宋体" w:hAnsi="宋体" w:eastAsia="宋体" w:cs="宋体"/>
          <w:szCs w:val="24"/>
        </w:rPr>
      </w:pPr>
    </w:p>
    <w:p w14:paraId="332CD82E">
      <w:pPr>
        <w:rPr>
          <w:rFonts w:hint="eastAsia" w:ascii="宋体" w:hAnsi="宋体" w:eastAsia="宋体" w:cs="宋体"/>
          <w:sz w:val="24"/>
        </w:rPr>
      </w:pPr>
    </w:p>
    <w:p w14:paraId="444B93C7">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147A3DE9">
      <w:pPr>
        <w:spacing w:before="120" w:line="22" w:lineRule="atLeast"/>
        <w:rPr>
          <w:rFonts w:hint="eastAsia" w:ascii="宋体" w:hAnsi="宋体" w:eastAsia="宋体" w:cs="宋体"/>
          <w:sz w:val="24"/>
        </w:rPr>
      </w:pPr>
    </w:p>
    <w:p w14:paraId="162E8171">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F90FA36">
      <w:pPr>
        <w:spacing w:before="120" w:line="22" w:lineRule="atLeast"/>
        <w:rPr>
          <w:rFonts w:hint="eastAsia" w:ascii="宋体" w:hAnsi="宋体" w:eastAsia="宋体" w:cs="宋体"/>
          <w:sz w:val="24"/>
        </w:rPr>
      </w:pPr>
    </w:p>
    <w:p w14:paraId="40240B36">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7DFCEDEF">
      <w:pPr>
        <w:spacing w:before="120" w:line="22" w:lineRule="atLeast"/>
        <w:rPr>
          <w:rFonts w:hint="eastAsia" w:ascii="宋体" w:hAnsi="宋体" w:eastAsia="宋体" w:cs="宋体"/>
          <w:sz w:val="24"/>
        </w:rPr>
      </w:pPr>
    </w:p>
    <w:p w14:paraId="3DB7CF4D">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2BA4317">
      <w:pPr>
        <w:widowControl/>
        <w:jc w:val="left"/>
        <w:rPr>
          <w:rFonts w:hint="eastAsia" w:ascii="宋体" w:hAnsi="宋体" w:eastAsia="宋体" w:cs="宋体"/>
          <w:kern w:val="0"/>
          <w:sz w:val="24"/>
        </w:rPr>
        <w:sectPr>
          <w:pgSz w:w="11907" w:h="16840"/>
          <w:pgMar w:top="680" w:right="1417" w:bottom="471" w:left="1417" w:header="851" w:footer="851" w:gutter="0"/>
          <w:cols w:space="720" w:num="1"/>
        </w:sectPr>
      </w:pPr>
    </w:p>
    <w:p w14:paraId="268DBC4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杭州市十三中教育集团（总校）</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公开招标方式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sz w:val="24"/>
          <w:u w:val="single"/>
          <w:lang w:eastAsia="zh-CN"/>
        </w:rPr>
        <w:t>杭州市十三中教育集团(总校)2025-2026年保安服务采购项目</w:t>
      </w:r>
      <w:r>
        <w:rPr>
          <w:rFonts w:hint="eastAsia" w:ascii="宋体" w:hAnsi="宋体" w:cs="宋体"/>
          <w:color w:val="0000FF"/>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14:paraId="02E70BD7">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杭州市十三中教育集团（总校）</w:t>
      </w:r>
      <w:r>
        <w:rPr>
          <w:rFonts w:asciiTheme="minorEastAsia" w:hAnsiTheme="minorEastAsia" w:eastAsiaTheme="minorEastAsia"/>
          <w:color w:val="0000FF"/>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1682D328">
      <w:pPr>
        <w:spacing w:line="560" w:lineRule="exact"/>
        <w:ind w:firstLine="482" w:firstLineChars="200"/>
        <w:outlineLvl w:val="0"/>
        <w:rPr>
          <w:rFonts w:asciiTheme="minorEastAsia" w:hAnsiTheme="minorEastAsia" w:eastAsiaTheme="minorEastAsia"/>
          <w:sz w:val="24"/>
        </w:rPr>
      </w:pPr>
      <w:bookmarkStart w:id="397" w:name="_Toc20421"/>
      <w:bookmarkStart w:id="398" w:name="_Toc22967"/>
      <w:bookmarkStart w:id="399" w:name="_Toc15367"/>
      <w:bookmarkStart w:id="400" w:name="_Toc19273"/>
      <w:bookmarkStart w:id="401" w:name="_Toc28855"/>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7"/>
      <w:bookmarkEnd w:id="398"/>
      <w:bookmarkEnd w:id="399"/>
      <w:bookmarkEnd w:id="400"/>
      <w:bookmarkEnd w:id="401"/>
    </w:p>
    <w:p w14:paraId="49712C98">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702556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4B5405A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28F5747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0441A39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1264ABD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25270412">
      <w:pPr>
        <w:spacing w:line="560" w:lineRule="exact"/>
        <w:ind w:firstLine="482" w:firstLineChars="200"/>
        <w:outlineLvl w:val="0"/>
        <w:rPr>
          <w:rFonts w:asciiTheme="minorEastAsia" w:hAnsiTheme="minorEastAsia" w:eastAsiaTheme="minorEastAsia"/>
          <w:b/>
          <w:sz w:val="24"/>
        </w:rPr>
      </w:pPr>
      <w:bookmarkStart w:id="402" w:name="_Toc2918"/>
      <w:bookmarkStart w:id="403" w:name="_Toc18585"/>
      <w:bookmarkStart w:id="404" w:name="_Toc22185"/>
      <w:bookmarkStart w:id="405" w:name="_Toc6773"/>
      <w:bookmarkStart w:id="406" w:name="_Toc6311"/>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2"/>
      <w:bookmarkEnd w:id="403"/>
      <w:bookmarkEnd w:id="404"/>
      <w:bookmarkEnd w:id="405"/>
      <w:bookmarkEnd w:id="406"/>
    </w:p>
    <w:p w14:paraId="0EB007F9">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0A44C35">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7EE864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478A60E">
      <w:pPr>
        <w:spacing w:line="560" w:lineRule="exact"/>
        <w:ind w:firstLine="482" w:firstLineChars="200"/>
        <w:outlineLvl w:val="0"/>
        <w:rPr>
          <w:rFonts w:asciiTheme="minorEastAsia" w:hAnsiTheme="minorEastAsia" w:eastAsiaTheme="minorEastAsia"/>
          <w:b/>
          <w:sz w:val="24"/>
        </w:rPr>
      </w:pPr>
      <w:bookmarkStart w:id="407" w:name="_Toc21124"/>
      <w:bookmarkStart w:id="408" w:name="_Toc13918"/>
      <w:bookmarkStart w:id="409" w:name="_Toc5635"/>
      <w:bookmarkStart w:id="410" w:name="_Toc4929"/>
      <w:bookmarkStart w:id="411" w:name="_Toc1386"/>
      <w:r>
        <w:rPr>
          <w:rFonts w:asciiTheme="minorEastAsia" w:hAnsiTheme="minorEastAsia" w:eastAsiaTheme="minorEastAsia"/>
          <w:b/>
          <w:sz w:val="24"/>
        </w:rPr>
        <w:t>1.3 价款</w:t>
      </w:r>
      <w:bookmarkEnd w:id="407"/>
      <w:bookmarkEnd w:id="408"/>
      <w:bookmarkEnd w:id="409"/>
      <w:bookmarkEnd w:id="410"/>
      <w:bookmarkEnd w:id="411"/>
    </w:p>
    <w:p w14:paraId="6A01738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20B3A1B1">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5D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D51509">
            <w:pPr>
              <w:pStyle w:val="319"/>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7DFF36F6">
            <w:pPr>
              <w:pStyle w:val="319"/>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3291AF93">
            <w:pPr>
              <w:pStyle w:val="319"/>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1BA0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C7A816">
            <w:pPr>
              <w:pStyle w:val="319"/>
              <w:spacing w:line="560" w:lineRule="exact"/>
              <w:ind w:firstLine="200"/>
              <w:jc w:val="center"/>
              <w:rPr>
                <w:rFonts w:asciiTheme="minorEastAsia" w:hAnsiTheme="minorEastAsia" w:eastAsiaTheme="minorEastAsia"/>
                <w:sz w:val="24"/>
                <w:szCs w:val="24"/>
              </w:rPr>
            </w:pPr>
          </w:p>
        </w:tc>
        <w:tc>
          <w:tcPr>
            <w:tcW w:w="3402" w:type="dxa"/>
            <w:vAlign w:val="center"/>
          </w:tcPr>
          <w:p w14:paraId="5CBAF3A5">
            <w:pPr>
              <w:pStyle w:val="319"/>
              <w:spacing w:line="560" w:lineRule="exact"/>
              <w:ind w:firstLine="200"/>
              <w:jc w:val="center"/>
              <w:rPr>
                <w:rFonts w:asciiTheme="minorEastAsia" w:hAnsiTheme="minorEastAsia" w:eastAsiaTheme="minorEastAsia"/>
                <w:sz w:val="24"/>
                <w:szCs w:val="24"/>
              </w:rPr>
            </w:pPr>
          </w:p>
        </w:tc>
        <w:tc>
          <w:tcPr>
            <w:tcW w:w="2552" w:type="dxa"/>
            <w:vAlign w:val="center"/>
          </w:tcPr>
          <w:p w14:paraId="58C0C832">
            <w:pPr>
              <w:pStyle w:val="319"/>
              <w:spacing w:line="560" w:lineRule="exact"/>
              <w:ind w:firstLine="200"/>
              <w:jc w:val="center"/>
              <w:rPr>
                <w:rFonts w:asciiTheme="minorEastAsia" w:hAnsiTheme="minorEastAsia" w:eastAsiaTheme="minorEastAsia"/>
                <w:sz w:val="24"/>
                <w:szCs w:val="24"/>
              </w:rPr>
            </w:pPr>
          </w:p>
        </w:tc>
      </w:tr>
      <w:tr w14:paraId="3DA8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1C0F81">
            <w:pPr>
              <w:pStyle w:val="319"/>
              <w:spacing w:line="560" w:lineRule="exact"/>
              <w:ind w:firstLine="200"/>
              <w:jc w:val="center"/>
              <w:rPr>
                <w:rFonts w:asciiTheme="minorEastAsia" w:hAnsiTheme="minorEastAsia" w:eastAsiaTheme="minorEastAsia"/>
                <w:sz w:val="24"/>
                <w:szCs w:val="24"/>
              </w:rPr>
            </w:pPr>
          </w:p>
        </w:tc>
        <w:tc>
          <w:tcPr>
            <w:tcW w:w="3402" w:type="dxa"/>
            <w:vAlign w:val="center"/>
          </w:tcPr>
          <w:p w14:paraId="30EA2F80">
            <w:pPr>
              <w:pStyle w:val="319"/>
              <w:spacing w:line="560" w:lineRule="exact"/>
              <w:ind w:firstLine="200"/>
              <w:jc w:val="center"/>
              <w:rPr>
                <w:rFonts w:asciiTheme="minorEastAsia" w:hAnsiTheme="minorEastAsia" w:eastAsiaTheme="minorEastAsia"/>
                <w:sz w:val="24"/>
                <w:szCs w:val="24"/>
              </w:rPr>
            </w:pPr>
          </w:p>
        </w:tc>
        <w:tc>
          <w:tcPr>
            <w:tcW w:w="2552" w:type="dxa"/>
            <w:vAlign w:val="center"/>
          </w:tcPr>
          <w:p w14:paraId="5753A340">
            <w:pPr>
              <w:pStyle w:val="319"/>
              <w:spacing w:line="560" w:lineRule="exact"/>
              <w:ind w:firstLine="200"/>
              <w:jc w:val="center"/>
              <w:rPr>
                <w:rFonts w:asciiTheme="minorEastAsia" w:hAnsiTheme="minorEastAsia" w:eastAsiaTheme="minorEastAsia"/>
                <w:sz w:val="24"/>
                <w:szCs w:val="24"/>
              </w:rPr>
            </w:pPr>
          </w:p>
        </w:tc>
      </w:tr>
      <w:tr w14:paraId="6CD4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BEFEBB">
            <w:pPr>
              <w:pStyle w:val="319"/>
              <w:spacing w:line="560" w:lineRule="exact"/>
              <w:ind w:firstLine="200"/>
              <w:jc w:val="center"/>
              <w:rPr>
                <w:rFonts w:asciiTheme="minorEastAsia" w:hAnsiTheme="minorEastAsia" w:eastAsiaTheme="minorEastAsia"/>
                <w:sz w:val="24"/>
                <w:szCs w:val="24"/>
              </w:rPr>
            </w:pPr>
          </w:p>
        </w:tc>
        <w:tc>
          <w:tcPr>
            <w:tcW w:w="3402" w:type="dxa"/>
            <w:vAlign w:val="center"/>
          </w:tcPr>
          <w:p w14:paraId="42DE14FA">
            <w:pPr>
              <w:pStyle w:val="319"/>
              <w:spacing w:line="560" w:lineRule="exact"/>
              <w:ind w:firstLine="200"/>
              <w:jc w:val="center"/>
              <w:rPr>
                <w:rFonts w:asciiTheme="minorEastAsia" w:hAnsiTheme="minorEastAsia" w:eastAsiaTheme="minorEastAsia"/>
                <w:sz w:val="24"/>
                <w:szCs w:val="24"/>
              </w:rPr>
            </w:pPr>
          </w:p>
        </w:tc>
        <w:tc>
          <w:tcPr>
            <w:tcW w:w="2552" w:type="dxa"/>
            <w:vAlign w:val="center"/>
          </w:tcPr>
          <w:p w14:paraId="140E97A1">
            <w:pPr>
              <w:pStyle w:val="319"/>
              <w:spacing w:line="560" w:lineRule="exact"/>
              <w:ind w:firstLine="200"/>
              <w:jc w:val="center"/>
              <w:rPr>
                <w:rFonts w:asciiTheme="minorEastAsia" w:hAnsiTheme="minorEastAsia" w:eastAsiaTheme="minorEastAsia"/>
                <w:sz w:val="24"/>
                <w:szCs w:val="24"/>
              </w:rPr>
            </w:pPr>
          </w:p>
        </w:tc>
      </w:tr>
      <w:tr w14:paraId="592D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85B7BB">
            <w:pPr>
              <w:pStyle w:val="319"/>
              <w:spacing w:line="560" w:lineRule="exact"/>
              <w:ind w:firstLine="200"/>
              <w:jc w:val="center"/>
              <w:rPr>
                <w:rFonts w:asciiTheme="minorEastAsia" w:hAnsiTheme="minorEastAsia" w:eastAsiaTheme="minorEastAsia"/>
                <w:sz w:val="24"/>
                <w:szCs w:val="24"/>
              </w:rPr>
            </w:pPr>
          </w:p>
        </w:tc>
        <w:tc>
          <w:tcPr>
            <w:tcW w:w="3402" w:type="dxa"/>
            <w:vAlign w:val="center"/>
          </w:tcPr>
          <w:p w14:paraId="72C1DC4D">
            <w:pPr>
              <w:pStyle w:val="319"/>
              <w:spacing w:line="560" w:lineRule="exact"/>
              <w:ind w:firstLine="200"/>
              <w:jc w:val="center"/>
              <w:rPr>
                <w:rFonts w:asciiTheme="minorEastAsia" w:hAnsiTheme="minorEastAsia" w:eastAsiaTheme="minorEastAsia"/>
                <w:sz w:val="24"/>
                <w:szCs w:val="24"/>
              </w:rPr>
            </w:pPr>
          </w:p>
        </w:tc>
        <w:tc>
          <w:tcPr>
            <w:tcW w:w="2552" w:type="dxa"/>
            <w:vAlign w:val="center"/>
          </w:tcPr>
          <w:p w14:paraId="2D017234">
            <w:pPr>
              <w:pStyle w:val="319"/>
              <w:spacing w:line="560" w:lineRule="exact"/>
              <w:ind w:firstLine="200"/>
              <w:jc w:val="center"/>
              <w:rPr>
                <w:rFonts w:asciiTheme="minorEastAsia" w:hAnsiTheme="minorEastAsia" w:eastAsiaTheme="minorEastAsia"/>
                <w:sz w:val="24"/>
                <w:szCs w:val="24"/>
              </w:rPr>
            </w:pPr>
          </w:p>
        </w:tc>
      </w:tr>
      <w:tr w14:paraId="3A9C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081BFD">
            <w:pPr>
              <w:pStyle w:val="319"/>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2BA57FE1">
            <w:pPr>
              <w:pStyle w:val="319"/>
              <w:spacing w:line="560" w:lineRule="exact"/>
              <w:ind w:firstLine="200"/>
              <w:jc w:val="center"/>
              <w:rPr>
                <w:rFonts w:asciiTheme="minorEastAsia" w:hAnsiTheme="minorEastAsia" w:eastAsiaTheme="minorEastAsia"/>
                <w:sz w:val="24"/>
                <w:szCs w:val="24"/>
              </w:rPr>
            </w:pPr>
          </w:p>
        </w:tc>
      </w:tr>
    </w:tbl>
    <w:p w14:paraId="2242BB96">
      <w:pPr>
        <w:spacing w:line="560" w:lineRule="exact"/>
        <w:ind w:firstLine="482" w:firstLineChars="200"/>
        <w:outlineLvl w:val="0"/>
        <w:rPr>
          <w:rFonts w:asciiTheme="minorEastAsia" w:hAnsiTheme="minorEastAsia" w:eastAsiaTheme="minorEastAsia"/>
          <w:b/>
          <w:sz w:val="24"/>
        </w:rPr>
      </w:pPr>
      <w:bookmarkStart w:id="412" w:name="_Toc30506"/>
      <w:bookmarkStart w:id="413" w:name="_Toc26916"/>
      <w:bookmarkStart w:id="414" w:name="_Toc30158"/>
      <w:bookmarkStart w:id="415" w:name="_Toc14993"/>
      <w:bookmarkStart w:id="416" w:name="_Toc3654"/>
      <w:r>
        <w:rPr>
          <w:rFonts w:hint="eastAsia" w:ascii="宋体" w:hAnsi="宋体" w:cs="宋体"/>
          <w:b/>
          <w:bCs/>
          <w:sz w:val="24"/>
        </w:rPr>
        <w:t xml:space="preserve">注： </w:t>
      </w:r>
      <w:r>
        <w:rPr>
          <w:rFonts w:hint="eastAsia" w:ascii="宋体" w:hAnsi="宋体" w:cs="宋体"/>
          <w:b/>
          <w:bCs/>
          <w:sz w:val="24"/>
          <w:lang w:val="zh-CN"/>
        </w:rPr>
        <w:t>202</w:t>
      </w:r>
      <w:r>
        <w:rPr>
          <w:rFonts w:hint="eastAsia" w:ascii="宋体" w:hAnsi="宋体" w:cs="宋体"/>
          <w:b/>
          <w:bCs/>
          <w:sz w:val="24"/>
          <w:lang w:val="en-US" w:eastAsia="zh-CN"/>
        </w:rPr>
        <w:t>5</w:t>
      </w:r>
      <w:r>
        <w:rPr>
          <w:rFonts w:hint="eastAsia" w:ascii="宋体" w:hAnsi="宋体" w:cs="宋体"/>
          <w:b/>
          <w:bCs/>
          <w:sz w:val="24"/>
          <w:lang w:val="zh-CN"/>
        </w:rPr>
        <w:t>年</w:t>
      </w:r>
      <w:r>
        <w:rPr>
          <w:rFonts w:hint="eastAsia" w:ascii="宋体" w:hAnsi="宋体" w:cs="宋体"/>
          <w:b/>
          <w:bCs/>
          <w:sz w:val="24"/>
          <w:lang w:val="en-US" w:eastAsia="zh-CN"/>
        </w:rPr>
        <w:t>1</w:t>
      </w:r>
      <w:r>
        <w:rPr>
          <w:rFonts w:hint="eastAsia" w:ascii="宋体" w:hAnsi="宋体" w:cs="宋体"/>
          <w:b/>
          <w:bCs/>
          <w:sz w:val="24"/>
          <w:lang w:val="zh-CN"/>
        </w:rPr>
        <w:t>月</w:t>
      </w:r>
      <w:r>
        <w:rPr>
          <w:rFonts w:hint="eastAsia" w:ascii="宋体" w:hAnsi="宋体" w:cs="宋体"/>
          <w:b/>
          <w:bCs/>
          <w:sz w:val="24"/>
        </w:rPr>
        <w:t>1</w:t>
      </w:r>
      <w:r>
        <w:rPr>
          <w:rFonts w:hint="eastAsia" w:ascii="宋体" w:hAnsi="宋体" w:cs="宋体"/>
          <w:b/>
          <w:bCs/>
          <w:sz w:val="24"/>
          <w:lang w:val="zh-CN"/>
        </w:rPr>
        <w:t>日至合同签订之日前的空档期物业服务原供应商承担，费用由</w:t>
      </w:r>
      <w:r>
        <w:rPr>
          <w:rFonts w:hint="eastAsia" w:ascii="宋体" w:hAnsi="宋体" w:cs="宋体"/>
          <w:b/>
          <w:bCs/>
          <w:sz w:val="24"/>
        </w:rPr>
        <w:t>乙方</w:t>
      </w:r>
      <w:r>
        <w:rPr>
          <w:rFonts w:hint="eastAsia" w:ascii="宋体" w:hAnsi="宋体" w:cs="宋体"/>
          <w:b/>
          <w:bCs/>
          <w:sz w:val="24"/>
          <w:lang w:val="zh-CN"/>
        </w:rPr>
        <w:t>按本次</w:t>
      </w:r>
      <w:r>
        <w:rPr>
          <w:rFonts w:hint="eastAsia" w:ascii="宋体" w:hAnsi="宋体" w:cs="宋体"/>
          <w:b/>
          <w:bCs/>
          <w:sz w:val="24"/>
          <w:lang w:val="zh-CN" w:eastAsia="zh-CN"/>
        </w:rPr>
        <w:t>中标</w:t>
      </w:r>
      <w:r>
        <w:rPr>
          <w:rFonts w:hint="eastAsia" w:ascii="宋体" w:hAnsi="宋体" w:cs="宋体"/>
          <w:b/>
          <w:bCs/>
          <w:sz w:val="24"/>
          <w:lang w:val="zh-CN"/>
        </w:rPr>
        <w:t>价单日金额乘以实际服务天数，与原供应商结算，</w:t>
      </w:r>
      <w:r>
        <w:rPr>
          <w:rFonts w:hint="eastAsia" w:ascii="宋体" w:hAnsi="宋体" w:cs="宋体"/>
          <w:b/>
          <w:bCs/>
          <w:sz w:val="24"/>
        </w:rPr>
        <w:t>该项费用已包含在合同价中。</w:t>
      </w:r>
    </w:p>
    <w:p w14:paraId="5BA57364">
      <w:pPr>
        <w:spacing w:line="560" w:lineRule="exact"/>
        <w:ind w:firstLine="482" w:firstLineChars="200"/>
        <w:outlineLvl w:val="0"/>
        <w:rPr>
          <w:rFonts w:asciiTheme="minorEastAsia" w:hAnsiTheme="minorEastAsia" w:eastAsiaTheme="minorEastAsia"/>
          <w:b/>
          <w:sz w:val="24"/>
        </w:rPr>
      </w:pPr>
      <w:r>
        <w:rPr>
          <w:rFonts w:asciiTheme="minorEastAsia" w:hAnsiTheme="minorEastAsia" w:eastAsiaTheme="minorEastAsia"/>
          <w:b/>
          <w:sz w:val="24"/>
        </w:rPr>
        <w:t>1.4 付款方式和发票开具方式</w:t>
      </w:r>
      <w:bookmarkEnd w:id="412"/>
      <w:bookmarkEnd w:id="413"/>
      <w:bookmarkEnd w:id="414"/>
      <w:bookmarkEnd w:id="415"/>
      <w:bookmarkEnd w:id="416"/>
    </w:p>
    <w:p w14:paraId="09E59FC7">
      <w:pPr>
        <w:pStyle w:val="959"/>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2A3FABA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18CAA0D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337F323B">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530C9AB">
      <w:pPr>
        <w:spacing w:line="560" w:lineRule="exact"/>
        <w:ind w:firstLine="482" w:firstLineChars="200"/>
        <w:outlineLvl w:val="0"/>
        <w:rPr>
          <w:rFonts w:asciiTheme="minorEastAsia" w:hAnsiTheme="minorEastAsia" w:eastAsiaTheme="minorEastAsia"/>
          <w:b/>
          <w:sz w:val="24"/>
        </w:rPr>
      </w:pPr>
      <w:bookmarkStart w:id="417" w:name="_Toc3625"/>
      <w:bookmarkStart w:id="418" w:name="_Toc8772"/>
      <w:bookmarkStart w:id="419" w:name="_Toc31421"/>
      <w:bookmarkStart w:id="420" w:name="_Toc11108"/>
      <w:bookmarkStart w:id="421" w:name="_Toc4760"/>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7"/>
      <w:bookmarkEnd w:id="418"/>
      <w:bookmarkEnd w:id="419"/>
      <w:bookmarkEnd w:id="420"/>
      <w:bookmarkEnd w:id="421"/>
    </w:p>
    <w:p w14:paraId="414E23AE">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5FE94A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058E04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A41155A">
      <w:pPr>
        <w:spacing w:line="560" w:lineRule="exact"/>
        <w:ind w:firstLine="482" w:firstLineChars="200"/>
        <w:outlineLvl w:val="0"/>
        <w:rPr>
          <w:rFonts w:asciiTheme="minorEastAsia" w:hAnsiTheme="minorEastAsia" w:eastAsiaTheme="minorEastAsia"/>
          <w:sz w:val="24"/>
          <w:u w:val="single"/>
        </w:rPr>
      </w:pPr>
      <w:bookmarkStart w:id="422" w:name="_Toc3079"/>
      <w:bookmarkStart w:id="423" w:name="_Toc24662"/>
      <w:bookmarkStart w:id="424" w:name="_Toc2375"/>
      <w:bookmarkStart w:id="425" w:name="_Toc5698"/>
      <w:bookmarkStart w:id="426"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2"/>
      <w:bookmarkEnd w:id="423"/>
      <w:bookmarkEnd w:id="424"/>
      <w:bookmarkEnd w:id="425"/>
      <w:bookmarkEnd w:id="426"/>
    </w:p>
    <w:p w14:paraId="6163815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7A365B7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605006D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E596F8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0932EC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EA447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35938D99">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459F4644">
      <w:pPr>
        <w:spacing w:line="560" w:lineRule="exact"/>
        <w:ind w:firstLine="482" w:firstLineChars="200"/>
        <w:outlineLvl w:val="0"/>
        <w:rPr>
          <w:rFonts w:asciiTheme="minorEastAsia" w:hAnsiTheme="minorEastAsia" w:eastAsiaTheme="minorEastAsia"/>
          <w:b/>
          <w:sz w:val="24"/>
        </w:rPr>
      </w:pPr>
      <w:bookmarkStart w:id="427" w:name="_Toc32454"/>
      <w:bookmarkStart w:id="428" w:name="_Toc18683"/>
      <w:bookmarkStart w:id="429" w:name="_Toc30329"/>
      <w:bookmarkStart w:id="430" w:name="_Toc9497"/>
      <w:bookmarkStart w:id="431" w:name="_Toc2680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7"/>
      <w:bookmarkEnd w:id="428"/>
      <w:bookmarkEnd w:id="429"/>
      <w:bookmarkEnd w:id="430"/>
      <w:bookmarkEnd w:id="431"/>
    </w:p>
    <w:p w14:paraId="6762347B">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4CDD6BC4">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5ECC92A2">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38347FC0">
      <w:pPr>
        <w:spacing w:line="560" w:lineRule="exact"/>
        <w:ind w:firstLine="241" w:firstLineChars="100"/>
        <w:outlineLvl w:val="0"/>
        <w:rPr>
          <w:rFonts w:asciiTheme="minorEastAsia" w:hAnsiTheme="minorEastAsia" w:eastAsiaTheme="minorEastAsia"/>
          <w:b/>
          <w:sz w:val="24"/>
        </w:rPr>
      </w:pPr>
      <w:bookmarkStart w:id="432" w:name="_Toc12273"/>
      <w:bookmarkStart w:id="433" w:name="_Toc15827"/>
      <w:bookmarkStart w:id="434" w:name="_Toc26227"/>
      <w:bookmarkStart w:id="435" w:name="_Toc16417"/>
      <w:bookmarkStart w:id="436" w:name="_Toc23784"/>
      <w:r>
        <w:rPr>
          <w:rFonts w:asciiTheme="minorEastAsia" w:hAnsiTheme="minorEastAsia" w:eastAsiaTheme="minorEastAsia"/>
          <w:b/>
          <w:sz w:val="24"/>
        </w:rPr>
        <w:t>1.8 合同生效</w:t>
      </w:r>
      <w:bookmarkEnd w:id="432"/>
      <w:bookmarkEnd w:id="433"/>
      <w:bookmarkEnd w:id="434"/>
      <w:bookmarkEnd w:id="435"/>
      <w:bookmarkEnd w:id="436"/>
    </w:p>
    <w:p w14:paraId="3C669122">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6122AC7F">
      <w:pPr>
        <w:autoSpaceDE w:val="0"/>
        <w:autoSpaceDN w:val="0"/>
        <w:spacing w:line="560" w:lineRule="exact"/>
        <w:rPr>
          <w:rFonts w:asciiTheme="minorEastAsia" w:hAnsiTheme="minorEastAsia" w:eastAsiaTheme="minorEastAsia"/>
          <w:sz w:val="24"/>
          <w:lang w:val="zh-CN"/>
        </w:rPr>
      </w:pPr>
    </w:p>
    <w:p w14:paraId="4C2D962B">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0E911AA0">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4702129F">
      <w:pPr>
        <w:autoSpaceDE w:val="0"/>
        <w:autoSpaceDN w:val="0"/>
        <w:spacing w:line="560" w:lineRule="exact"/>
        <w:rPr>
          <w:rFonts w:asciiTheme="minorEastAsia" w:hAnsiTheme="minorEastAsia" w:eastAsiaTheme="minorEastAsia"/>
          <w:sz w:val="24"/>
          <w:lang w:val="zh-CN"/>
        </w:rPr>
      </w:pPr>
    </w:p>
    <w:p w14:paraId="4077FAD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6679FF85">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7E38E605">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5C32E19B">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05378CAC">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7C573E9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34519045">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69FA5DAC">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083C3328">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48CACF54">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6380E4AF">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1A956738">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7D2F930F">
      <w:pPr>
        <w:widowControl/>
        <w:spacing w:line="560" w:lineRule="exact"/>
        <w:jc w:val="left"/>
        <w:rPr>
          <w:rFonts w:asciiTheme="minorEastAsia" w:hAnsiTheme="minorEastAsia" w:eastAsiaTheme="minorEastAsia"/>
          <w:b/>
          <w:sz w:val="24"/>
        </w:rPr>
      </w:pPr>
    </w:p>
    <w:p w14:paraId="45341024">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14:paraId="56E372AB">
      <w:pPr>
        <w:pStyle w:val="701"/>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020DB910">
      <w:pPr>
        <w:spacing w:line="560" w:lineRule="exact"/>
        <w:ind w:firstLine="482" w:firstLineChars="200"/>
        <w:outlineLvl w:val="0"/>
        <w:rPr>
          <w:rFonts w:asciiTheme="minorEastAsia" w:hAnsiTheme="minorEastAsia" w:eastAsiaTheme="minorEastAsia"/>
          <w:b/>
          <w:sz w:val="24"/>
        </w:rPr>
      </w:pPr>
      <w:bookmarkStart w:id="437" w:name="_Toc19680"/>
      <w:bookmarkStart w:id="438" w:name="_Toc14021"/>
      <w:bookmarkStart w:id="439" w:name="_Toc31297"/>
      <w:bookmarkStart w:id="440" w:name="_Toc5228"/>
      <w:bookmarkStart w:id="441" w:name="_Toc25079"/>
      <w:r>
        <w:rPr>
          <w:rFonts w:asciiTheme="minorEastAsia" w:hAnsiTheme="minorEastAsia" w:eastAsiaTheme="minorEastAsia"/>
          <w:b/>
          <w:sz w:val="24"/>
        </w:rPr>
        <w:t>2.1 定义</w:t>
      </w:r>
      <w:bookmarkEnd w:id="437"/>
      <w:bookmarkEnd w:id="438"/>
      <w:bookmarkEnd w:id="439"/>
      <w:bookmarkEnd w:id="440"/>
      <w:bookmarkEnd w:id="441"/>
    </w:p>
    <w:p w14:paraId="7AA6509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61143AF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70867F6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4A2D783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21506E7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02EB685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9F7465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048DCA50">
      <w:pPr>
        <w:spacing w:line="560" w:lineRule="exact"/>
        <w:ind w:firstLine="482" w:firstLineChars="200"/>
        <w:outlineLvl w:val="0"/>
        <w:rPr>
          <w:rFonts w:asciiTheme="minorEastAsia" w:hAnsiTheme="minorEastAsia" w:eastAsiaTheme="minorEastAsia"/>
          <w:b/>
          <w:sz w:val="24"/>
        </w:rPr>
      </w:pPr>
      <w:bookmarkStart w:id="442" w:name="_Toc23289"/>
      <w:bookmarkStart w:id="443" w:name="_Toc16752"/>
      <w:bookmarkStart w:id="444" w:name="_Toc3769"/>
      <w:bookmarkStart w:id="445" w:name="_Toc19539"/>
      <w:bookmarkStart w:id="446" w:name="_Toc31402"/>
      <w:r>
        <w:rPr>
          <w:rFonts w:asciiTheme="minorEastAsia" w:hAnsiTheme="minorEastAsia" w:eastAsiaTheme="minorEastAsia"/>
          <w:b/>
          <w:sz w:val="24"/>
        </w:rPr>
        <w:t>2.2 技术规范</w:t>
      </w:r>
      <w:bookmarkEnd w:id="442"/>
      <w:bookmarkEnd w:id="443"/>
      <w:bookmarkEnd w:id="444"/>
      <w:bookmarkEnd w:id="445"/>
      <w:bookmarkEnd w:id="446"/>
    </w:p>
    <w:p w14:paraId="578B6B4E">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601CF54C">
      <w:pPr>
        <w:spacing w:line="560" w:lineRule="exact"/>
        <w:ind w:firstLine="482" w:firstLineChars="200"/>
        <w:outlineLvl w:val="0"/>
        <w:rPr>
          <w:rFonts w:asciiTheme="minorEastAsia" w:hAnsiTheme="minorEastAsia" w:eastAsiaTheme="minorEastAsia"/>
          <w:b/>
          <w:sz w:val="24"/>
        </w:rPr>
      </w:pPr>
      <w:bookmarkStart w:id="447" w:name="_Toc27945"/>
      <w:bookmarkStart w:id="448" w:name="_Toc12412"/>
      <w:bookmarkStart w:id="449" w:name="_Toc9161"/>
      <w:bookmarkStart w:id="450" w:name="_Toc13673"/>
      <w:bookmarkStart w:id="451" w:name="_Toc4133"/>
      <w:r>
        <w:rPr>
          <w:rFonts w:asciiTheme="minorEastAsia" w:hAnsiTheme="minorEastAsia" w:eastAsiaTheme="minorEastAsia"/>
          <w:b/>
          <w:sz w:val="24"/>
        </w:rPr>
        <w:t>2.3 知识产权</w:t>
      </w:r>
      <w:bookmarkEnd w:id="447"/>
      <w:bookmarkEnd w:id="448"/>
      <w:bookmarkEnd w:id="449"/>
      <w:bookmarkEnd w:id="450"/>
      <w:bookmarkEnd w:id="451"/>
    </w:p>
    <w:p w14:paraId="215C8A1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5E657AE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05A4C6EC">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1C3F803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38D1902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7E381403">
      <w:pPr>
        <w:spacing w:line="560" w:lineRule="exact"/>
        <w:ind w:firstLine="482" w:firstLineChars="200"/>
        <w:outlineLvl w:val="0"/>
        <w:rPr>
          <w:rFonts w:asciiTheme="minorEastAsia" w:hAnsiTheme="minorEastAsia" w:eastAsiaTheme="minorEastAsia"/>
          <w:b/>
          <w:sz w:val="24"/>
        </w:rPr>
      </w:pPr>
      <w:bookmarkStart w:id="452" w:name="_Toc22011"/>
      <w:bookmarkStart w:id="453" w:name="_Toc26555"/>
      <w:bookmarkStart w:id="454" w:name="_Toc32670"/>
      <w:bookmarkStart w:id="455" w:name="_Toc31233"/>
      <w:bookmarkStart w:id="456" w:name="_Toc15447"/>
      <w:r>
        <w:rPr>
          <w:rFonts w:asciiTheme="minorEastAsia" w:hAnsiTheme="minorEastAsia" w:eastAsiaTheme="minorEastAsia"/>
          <w:b/>
          <w:sz w:val="24"/>
        </w:rPr>
        <w:t>2.5 结算方式和付款条件</w:t>
      </w:r>
      <w:bookmarkEnd w:id="452"/>
      <w:bookmarkEnd w:id="453"/>
      <w:bookmarkEnd w:id="454"/>
      <w:bookmarkEnd w:id="455"/>
      <w:bookmarkEnd w:id="456"/>
    </w:p>
    <w:p w14:paraId="111BA30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2DC0521F">
      <w:pPr>
        <w:spacing w:line="560" w:lineRule="exact"/>
        <w:ind w:firstLine="482" w:firstLineChars="200"/>
        <w:outlineLvl w:val="0"/>
        <w:rPr>
          <w:rFonts w:asciiTheme="minorEastAsia" w:hAnsiTheme="minorEastAsia" w:eastAsiaTheme="minorEastAsia"/>
          <w:b/>
          <w:sz w:val="24"/>
        </w:rPr>
      </w:pPr>
      <w:bookmarkStart w:id="457" w:name="_Toc13154"/>
      <w:bookmarkStart w:id="458" w:name="_Toc13467"/>
      <w:bookmarkStart w:id="459" w:name="_Toc30507"/>
      <w:bookmarkStart w:id="460" w:name="_Toc16163"/>
      <w:bookmarkStart w:id="461" w:name="_Toc18990"/>
      <w:r>
        <w:rPr>
          <w:rFonts w:asciiTheme="minorEastAsia" w:hAnsiTheme="minorEastAsia" w:eastAsiaTheme="minorEastAsia"/>
          <w:b/>
          <w:sz w:val="24"/>
        </w:rPr>
        <w:t>2.6 技术资料和保密义务</w:t>
      </w:r>
      <w:bookmarkEnd w:id="457"/>
      <w:bookmarkEnd w:id="458"/>
      <w:bookmarkEnd w:id="459"/>
      <w:bookmarkEnd w:id="460"/>
      <w:bookmarkEnd w:id="461"/>
    </w:p>
    <w:p w14:paraId="65A09CB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069AD25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7D9D0BD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25EC43F7">
      <w:pPr>
        <w:spacing w:line="560" w:lineRule="exact"/>
        <w:ind w:firstLine="482" w:firstLineChars="200"/>
        <w:outlineLvl w:val="0"/>
        <w:rPr>
          <w:rFonts w:asciiTheme="minorEastAsia" w:hAnsiTheme="minorEastAsia" w:eastAsiaTheme="minorEastAsia"/>
          <w:b/>
          <w:sz w:val="24"/>
        </w:rPr>
      </w:pPr>
      <w:bookmarkStart w:id="462"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2"/>
    </w:p>
    <w:p w14:paraId="3EF54FA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7364858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338FF8C3">
      <w:pPr>
        <w:spacing w:line="560" w:lineRule="exact"/>
        <w:ind w:firstLine="482" w:firstLineChars="200"/>
        <w:outlineLvl w:val="0"/>
        <w:rPr>
          <w:rFonts w:asciiTheme="minorEastAsia" w:hAnsiTheme="minorEastAsia" w:eastAsiaTheme="minorEastAsia"/>
          <w:b/>
          <w:sz w:val="24"/>
        </w:rPr>
      </w:pPr>
      <w:bookmarkStart w:id="463"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3"/>
    </w:p>
    <w:p w14:paraId="692C53F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6D13F3B4">
      <w:pPr>
        <w:spacing w:line="560" w:lineRule="exact"/>
        <w:ind w:firstLine="482" w:firstLineChars="200"/>
        <w:outlineLvl w:val="0"/>
        <w:rPr>
          <w:rFonts w:asciiTheme="minorEastAsia" w:hAnsiTheme="minorEastAsia" w:eastAsiaTheme="minorEastAsia"/>
          <w:b/>
          <w:sz w:val="24"/>
        </w:rPr>
      </w:pPr>
      <w:bookmarkStart w:id="464"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4"/>
    </w:p>
    <w:p w14:paraId="719FAECA">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46C330B5">
      <w:pPr>
        <w:spacing w:line="560" w:lineRule="exact"/>
        <w:ind w:firstLine="482" w:firstLineChars="200"/>
        <w:outlineLvl w:val="0"/>
        <w:rPr>
          <w:rFonts w:asciiTheme="minorEastAsia" w:hAnsiTheme="minorEastAsia" w:eastAsiaTheme="minorEastAsia"/>
          <w:b/>
          <w:sz w:val="24"/>
        </w:rPr>
      </w:pPr>
      <w:bookmarkStart w:id="465" w:name="_Toc10663"/>
      <w:bookmarkStart w:id="466" w:name="_Toc42"/>
      <w:bookmarkStart w:id="467" w:name="_Toc21830"/>
      <w:bookmarkStart w:id="468" w:name="_Toc23368"/>
      <w:bookmarkStart w:id="469" w:name="_Toc26689"/>
      <w:r>
        <w:rPr>
          <w:rFonts w:asciiTheme="minorEastAsia" w:hAnsiTheme="minorEastAsia" w:eastAsiaTheme="minorEastAsia"/>
          <w:b/>
          <w:sz w:val="24"/>
        </w:rPr>
        <w:t>2.10 合同转让和分包</w:t>
      </w:r>
      <w:bookmarkEnd w:id="465"/>
      <w:bookmarkEnd w:id="466"/>
      <w:bookmarkEnd w:id="467"/>
      <w:bookmarkEnd w:id="468"/>
      <w:bookmarkEnd w:id="469"/>
    </w:p>
    <w:p w14:paraId="6C42DAA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4075DF85">
      <w:pPr>
        <w:spacing w:line="560" w:lineRule="exact"/>
        <w:ind w:firstLine="482" w:firstLineChars="200"/>
        <w:outlineLvl w:val="0"/>
        <w:rPr>
          <w:rFonts w:asciiTheme="minorEastAsia" w:hAnsiTheme="minorEastAsia" w:eastAsiaTheme="minorEastAsia"/>
          <w:b/>
          <w:sz w:val="24"/>
        </w:rPr>
      </w:pPr>
      <w:bookmarkStart w:id="470" w:name="_Toc4720"/>
      <w:bookmarkStart w:id="471" w:name="_Toc26633"/>
      <w:bookmarkStart w:id="472" w:name="_Toc32494"/>
      <w:bookmarkStart w:id="473" w:name="_Toc14371"/>
      <w:bookmarkStart w:id="474" w:name="_Toc25571"/>
      <w:r>
        <w:rPr>
          <w:rFonts w:asciiTheme="minorEastAsia" w:hAnsiTheme="minorEastAsia" w:eastAsiaTheme="minorEastAsia"/>
          <w:b/>
          <w:sz w:val="24"/>
        </w:rPr>
        <w:t>2.11 不可抗力</w:t>
      </w:r>
      <w:bookmarkEnd w:id="470"/>
      <w:bookmarkEnd w:id="471"/>
      <w:bookmarkEnd w:id="472"/>
      <w:bookmarkEnd w:id="473"/>
      <w:bookmarkEnd w:id="474"/>
    </w:p>
    <w:p w14:paraId="508A2E5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2F674B9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4653D7B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1A754E3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236FB8C3">
      <w:pPr>
        <w:spacing w:line="560" w:lineRule="exact"/>
        <w:ind w:firstLine="482" w:firstLineChars="200"/>
        <w:outlineLvl w:val="0"/>
        <w:rPr>
          <w:rFonts w:asciiTheme="minorEastAsia" w:hAnsiTheme="minorEastAsia" w:eastAsiaTheme="minorEastAsia"/>
          <w:b/>
          <w:sz w:val="24"/>
        </w:rPr>
      </w:pPr>
      <w:bookmarkStart w:id="475" w:name="_Toc14115"/>
      <w:bookmarkStart w:id="476" w:name="_Toc24465"/>
      <w:bookmarkStart w:id="477" w:name="_Toc25783"/>
      <w:bookmarkStart w:id="478" w:name="_Toc3638"/>
      <w:bookmarkStart w:id="479" w:name="_Toc23854"/>
      <w:r>
        <w:rPr>
          <w:rFonts w:asciiTheme="minorEastAsia" w:hAnsiTheme="minorEastAsia" w:eastAsiaTheme="minorEastAsia"/>
          <w:b/>
          <w:sz w:val="24"/>
        </w:rPr>
        <w:t>2.12 税费</w:t>
      </w:r>
      <w:bookmarkEnd w:id="475"/>
      <w:bookmarkEnd w:id="476"/>
      <w:bookmarkEnd w:id="477"/>
      <w:bookmarkEnd w:id="478"/>
      <w:bookmarkEnd w:id="479"/>
    </w:p>
    <w:p w14:paraId="62BBAAD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6CCB1F7B">
      <w:pPr>
        <w:spacing w:line="560" w:lineRule="exact"/>
        <w:ind w:firstLine="482" w:firstLineChars="200"/>
        <w:outlineLvl w:val="0"/>
        <w:rPr>
          <w:rFonts w:asciiTheme="minorEastAsia" w:hAnsiTheme="minorEastAsia" w:eastAsiaTheme="minorEastAsia"/>
          <w:b/>
          <w:sz w:val="24"/>
        </w:rPr>
      </w:pPr>
      <w:bookmarkStart w:id="480" w:name="_Toc26883"/>
      <w:bookmarkStart w:id="481" w:name="_Toc14814"/>
      <w:bookmarkStart w:id="482" w:name="_Toc25525"/>
      <w:bookmarkStart w:id="483" w:name="_Toc30105"/>
      <w:bookmarkStart w:id="484" w:name="_Toc7315"/>
      <w:r>
        <w:rPr>
          <w:rFonts w:asciiTheme="minorEastAsia" w:hAnsiTheme="minorEastAsia" w:eastAsiaTheme="minorEastAsia"/>
          <w:b/>
          <w:sz w:val="24"/>
        </w:rPr>
        <w:t>2.13 乙方破产</w:t>
      </w:r>
      <w:bookmarkEnd w:id="480"/>
      <w:bookmarkEnd w:id="481"/>
      <w:bookmarkEnd w:id="482"/>
      <w:bookmarkEnd w:id="483"/>
      <w:bookmarkEnd w:id="484"/>
    </w:p>
    <w:p w14:paraId="4174816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47F227C6">
      <w:pPr>
        <w:spacing w:line="560" w:lineRule="exact"/>
        <w:ind w:firstLine="482" w:firstLineChars="200"/>
        <w:outlineLvl w:val="0"/>
        <w:rPr>
          <w:rFonts w:asciiTheme="minorEastAsia" w:hAnsiTheme="minorEastAsia" w:eastAsiaTheme="minorEastAsia"/>
          <w:b/>
          <w:sz w:val="24"/>
        </w:rPr>
      </w:pPr>
      <w:bookmarkStart w:id="485" w:name="_Toc23323"/>
      <w:bookmarkStart w:id="486" w:name="_Toc1123"/>
      <w:bookmarkStart w:id="487" w:name="_Toc2016"/>
      <w:r>
        <w:rPr>
          <w:rFonts w:asciiTheme="minorEastAsia" w:hAnsiTheme="minorEastAsia" w:eastAsiaTheme="minorEastAsia"/>
          <w:b/>
          <w:sz w:val="24"/>
        </w:rPr>
        <w:t>2.14 合同中止、终止</w:t>
      </w:r>
      <w:bookmarkEnd w:id="485"/>
      <w:bookmarkEnd w:id="486"/>
      <w:bookmarkEnd w:id="487"/>
    </w:p>
    <w:p w14:paraId="273BD0B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3895D86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0914C513">
      <w:pPr>
        <w:spacing w:line="560" w:lineRule="exact"/>
        <w:ind w:firstLine="482" w:firstLineChars="200"/>
        <w:outlineLvl w:val="0"/>
        <w:rPr>
          <w:rFonts w:asciiTheme="minorEastAsia" w:hAnsiTheme="minorEastAsia" w:eastAsiaTheme="minorEastAsia"/>
          <w:b/>
          <w:sz w:val="24"/>
        </w:rPr>
      </w:pPr>
      <w:bookmarkStart w:id="488" w:name="_Toc17363"/>
      <w:bookmarkStart w:id="489" w:name="_Toc14525"/>
      <w:bookmarkStart w:id="490" w:name="_Toc1969"/>
      <w:r>
        <w:rPr>
          <w:rFonts w:asciiTheme="minorEastAsia" w:hAnsiTheme="minorEastAsia" w:eastAsiaTheme="minorEastAsia"/>
          <w:b/>
          <w:sz w:val="24"/>
        </w:rPr>
        <w:t>2.15 检验和验收</w:t>
      </w:r>
      <w:bookmarkEnd w:id="488"/>
      <w:bookmarkEnd w:id="489"/>
      <w:bookmarkEnd w:id="490"/>
    </w:p>
    <w:p w14:paraId="2FE2A1F6">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02540811">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84D577A">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7F09FFF0">
      <w:pPr>
        <w:spacing w:line="560" w:lineRule="exact"/>
        <w:ind w:firstLine="482" w:firstLineChars="200"/>
        <w:outlineLvl w:val="0"/>
        <w:rPr>
          <w:rFonts w:asciiTheme="minorEastAsia" w:hAnsiTheme="minorEastAsia" w:eastAsiaTheme="minorEastAsia"/>
          <w:b/>
          <w:sz w:val="24"/>
        </w:rPr>
      </w:pPr>
      <w:bookmarkStart w:id="491" w:name="_Toc2308"/>
      <w:bookmarkStart w:id="492" w:name="_Toc31892"/>
      <w:bookmarkStart w:id="493" w:name="_Toc25198"/>
      <w:bookmarkStart w:id="494" w:name="_Toc9808"/>
      <w:bookmarkStart w:id="495" w:name="_Toc12666"/>
      <w:r>
        <w:rPr>
          <w:rFonts w:asciiTheme="minorEastAsia" w:hAnsiTheme="minorEastAsia" w:eastAsiaTheme="minorEastAsia"/>
          <w:b/>
          <w:sz w:val="24"/>
        </w:rPr>
        <w:t>2.16 通知和送达</w:t>
      </w:r>
      <w:bookmarkEnd w:id="491"/>
      <w:bookmarkEnd w:id="492"/>
      <w:bookmarkEnd w:id="493"/>
      <w:bookmarkEnd w:id="494"/>
      <w:bookmarkEnd w:id="495"/>
    </w:p>
    <w:p w14:paraId="178F6354">
      <w:pPr>
        <w:spacing w:line="560" w:lineRule="exact"/>
        <w:ind w:firstLine="480" w:firstLineChars="200"/>
        <w:rPr>
          <w:rFonts w:asciiTheme="minorEastAsia" w:hAnsiTheme="minorEastAsia" w:eastAsiaTheme="minorEastAsia"/>
          <w:sz w:val="24"/>
        </w:rPr>
      </w:pPr>
      <w:bookmarkStart w:id="496" w:name="_Toc18401"/>
      <w:bookmarkStart w:id="497" w:name="_Toc27674"/>
      <w:r>
        <w:rPr>
          <w:rFonts w:asciiTheme="minorEastAsia" w:hAnsiTheme="minorEastAsia" w:eastAsiaTheme="minorEastAsia"/>
          <w:sz w:val="24"/>
        </w:rPr>
        <w:t>2.1</w:t>
      </w:r>
      <w:r>
        <w:rPr>
          <w:rFonts w:hint="eastAsia" w:asciiTheme="minorEastAsia" w:hAnsiTheme="minorEastAsia" w:eastAsiaTheme="minorEastAsia"/>
          <w:sz w:val="24"/>
        </w:rPr>
        <w:t>6</w:t>
      </w:r>
      <w:r>
        <w:rPr>
          <w:rFonts w:asciiTheme="minorEastAsia" w:hAnsiTheme="minorEastAsia" w:eastAsiaTheme="minorEastAsia"/>
          <w:sz w:val="24"/>
        </w:rPr>
        <w:t>.1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6CAC83C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w:t>
      </w:r>
      <w:r>
        <w:rPr>
          <w:rFonts w:hint="eastAsia" w:asciiTheme="minorEastAsia" w:hAnsiTheme="minorEastAsia" w:eastAsiaTheme="minorEastAsia"/>
          <w:sz w:val="24"/>
        </w:rPr>
        <w:t>6</w:t>
      </w:r>
      <w:r>
        <w:rPr>
          <w:rFonts w:asciiTheme="minorEastAsia" w:hAnsiTheme="minorEastAsia" w:eastAsiaTheme="minorEastAsia"/>
          <w:sz w:val="24"/>
        </w:rPr>
        <w:t>.2以当面交付方式送达的，交付之时视为送达；以电子邮件方式送达的，发出电子邮件之时视为送达；以传真方式送达的，发出传真之时视为送达；以邮寄方式送达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6"/>
      <w:bookmarkEnd w:id="497"/>
    </w:p>
    <w:p w14:paraId="4C3BCF4A">
      <w:pPr>
        <w:spacing w:line="560" w:lineRule="exact"/>
        <w:ind w:firstLine="482" w:firstLineChars="200"/>
        <w:outlineLvl w:val="0"/>
        <w:rPr>
          <w:rFonts w:asciiTheme="minorEastAsia" w:hAnsiTheme="minorEastAsia" w:eastAsiaTheme="minorEastAsia"/>
          <w:b/>
          <w:sz w:val="24"/>
        </w:rPr>
      </w:pPr>
      <w:bookmarkStart w:id="498" w:name="_Toc28906"/>
      <w:bookmarkStart w:id="499" w:name="_Toc20808"/>
      <w:bookmarkStart w:id="500" w:name="_Toc27644"/>
      <w:bookmarkStart w:id="501" w:name="_Toc12254"/>
      <w:bookmarkStart w:id="502" w:name="_Toc5063"/>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8"/>
      <w:bookmarkEnd w:id="499"/>
      <w:bookmarkEnd w:id="500"/>
      <w:bookmarkEnd w:id="501"/>
      <w:bookmarkEnd w:id="502"/>
    </w:p>
    <w:p w14:paraId="5D7928D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485D8A3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66A86C6E">
      <w:pPr>
        <w:spacing w:line="560" w:lineRule="exact"/>
        <w:ind w:firstLine="482" w:firstLineChars="200"/>
        <w:outlineLvl w:val="0"/>
        <w:rPr>
          <w:rFonts w:asciiTheme="minorEastAsia" w:hAnsiTheme="minorEastAsia" w:eastAsiaTheme="minorEastAsia"/>
          <w:b/>
          <w:sz w:val="24"/>
        </w:rPr>
      </w:pPr>
      <w:bookmarkStart w:id="503" w:name="_Toc27127"/>
      <w:bookmarkStart w:id="504" w:name="_Toc27403"/>
      <w:bookmarkStart w:id="505" w:name="_Toc1492"/>
      <w:bookmarkStart w:id="506" w:name="_Toc22266"/>
      <w:bookmarkStart w:id="507" w:name="_Toc30096"/>
      <w:r>
        <w:rPr>
          <w:rFonts w:asciiTheme="minorEastAsia" w:hAnsiTheme="minorEastAsia" w:eastAsiaTheme="minorEastAsia"/>
          <w:b/>
          <w:sz w:val="24"/>
        </w:rPr>
        <w:t>2.18 履约保证金</w:t>
      </w:r>
      <w:bookmarkEnd w:id="503"/>
      <w:bookmarkEnd w:id="504"/>
      <w:bookmarkEnd w:id="505"/>
      <w:bookmarkEnd w:id="506"/>
      <w:bookmarkEnd w:id="507"/>
    </w:p>
    <w:p w14:paraId="3886A60A">
      <w:pPr>
        <w:pStyle w:val="959"/>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375EF8D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2A8F38B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7BE77E">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7D4B06AE">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3948FBD0">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5C0F54A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6E04F508">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0AB99051">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5FD5C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7CC77434">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05E4A8F">
            <w:pPr>
              <w:spacing w:line="360" w:lineRule="auto"/>
              <w:jc w:val="center"/>
              <w:rPr>
                <w:rFonts w:ascii="宋体" w:hAnsi="宋体" w:cs="宋体"/>
                <w:b/>
                <w:sz w:val="24"/>
              </w:rPr>
            </w:pPr>
            <w:r>
              <w:rPr>
                <w:rFonts w:hint="eastAsia" w:ascii="宋体" w:hAnsi="宋体" w:cs="宋体"/>
                <w:b/>
                <w:sz w:val="24"/>
              </w:rPr>
              <w:t>约定内容</w:t>
            </w:r>
          </w:p>
        </w:tc>
      </w:tr>
      <w:tr w14:paraId="02F39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D4CC365">
            <w:pPr>
              <w:spacing w:line="360" w:lineRule="auto"/>
              <w:rPr>
                <w:rFonts w:ascii="宋体" w:hAnsi="宋体" w:cs="宋体"/>
                <w:sz w:val="24"/>
              </w:rPr>
            </w:pPr>
            <w:r>
              <w:rPr>
                <w:rFonts w:hint="eastAsia" w:ascii="宋体" w:hAnsi="宋体" w:cs="宋体"/>
                <w:sz w:val="24"/>
              </w:rPr>
              <w:t>1.4.4</w:t>
            </w:r>
          </w:p>
        </w:tc>
        <w:tc>
          <w:tcPr>
            <w:tcW w:w="4534" w:type="pct"/>
            <w:vAlign w:val="center"/>
          </w:tcPr>
          <w:p w14:paraId="54715561">
            <w:pPr>
              <w:spacing w:line="360" w:lineRule="auto"/>
              <w:rPr>
                <w:rFonts w:ascii="宋体" w:hAnsi="宋体" w:cs="宋体"/>
                <w:sz w:val="24"/>
              </w:rPr>
            </w:pPr>
            <w:r>
              <w:rPr>
                <w:rFonts w:hint="eastAsia"/>
                <w:color w:val="auto"/>
                <w:sz w:val="24"/>
              </w:rPr>
              <w:t>按月支付，每月度乙方服务人数进行结算费用，甲方凭供应商开具的正规发票和甲方认可的各项记录复印件等材料，每月支付一次。因甲方服务需要需对服务人员进行增减，双方按增减后产生的费用按实结算服务。若遇甲方年终结算，支付时间按实际情况顺延</w:t>
            </w:r>
          </w:p>
        </w:tc>
      </w:tr>
      <w:tr w14:paraId="59C2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5C051BB">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14:paraId="0E179FD1">
            <w:pPr>
              <w:spacing w:line="360" w:lineRule="auto"/>
              <w:rPr>
                <w:rFonts w:ascii="宋体" w:hAnsi="宋体" w:cs="宋体"/>
                <w:sz w:val="24"/>
              </w:rPr>
            </w:pPr>
            <w:r>
              <w:rPr>
                <w:rFonts w:hint="eastAsia" w:ascii="宋体" w:hAnsi="宋体" w:cs="宋体"/>
                <w:sz w:val="24"/>
              </w:rPr>
              <w:t>服务期限：202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p>
        </w:tc>
      </w:tr>
      <w:tr w14:paraId="2AF4F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967B2E7">
            <w:pPr>
              <w:spacing w:line="360" w:lineRule="auto"/>
              <w:rPr>
                <w:rFonts w:ascii="宋体" w:hAnsi="宋体" w:cs="宋体"/>
                <w:sz w:val="24"/>
              </w:rPr>
            </w:pPr>
            <w:r>
              <w:rPr>
                <w:rFonts w:hint="eastAsia" w:ascii="宋体" w:hAnsi="宋体" w:cs="宋体"/>
                <w:sz w:val="24"/>
              </w:rPr>
              <w:t>1.5.2</w:t>
            </w:r>
          </w:p>
        </w:tc>
        <w:tc>
          <w:tcPr>
            <w:tcW w:w="4534" w:type="pct"/>
            <w:vAlign w:val="center"/>
          </w:tcPr>
          <w:p w14:paraId="5D06B07E">
            <w:pPr>
              <w:spacing w:line="360" w:lineRule="auto"/>
              <w:rPr>
                <w:rFonts w:ascii="宋体" w:hAnsi="宋体" w:cs="宋体"/>
                <w:sz w:val="24"/>
              </w:rPr>
            </w:pPr>
            <w:r>
              <w:rPr>
                <w:rFonts w:hint="eastAsia" w:ascii="宋体" w:hAnsi="宋体" w:cs="宋体"/>
                <w:sz w:val="24"/>
                <w:lang w:eastAsia="zh-CN"/>
              </w:rPr>
              <w:t>杭州市十三中教育集团（总校）</w:t>
            </w:r>
            <w:r>
              <w:rPr>
                <w:rFonts w:hint="eastAsia" w:ascii="宋体" w:hAnsi="宋体" w:cs="宋体"/>
                <w:sz w:val="24"/>
              </w:rPr>
              <w:t>（杭州市西湖区</w:t>
            </w:r>
            <w:r>
              <w:rPr>
                <w:rFonts w:hint="eastAsia" w:ascii="宋体" w:hAnsi="宋体" w:cs="宋体"/>
                <w:sz w:val="24"/>
                <w:lang w:val="en-US" w:eastAsia="zh-CN"/>
              </w:rPr>
              <w:t>教工路155</w:t>
            </w:r>
            <w:r>
              <w:rPr>
                <w:rFonts w:hint="eastAsia" w:ascii="宋体" w:hAnsi="宋体" w:cs="宋体"/>
                <w:sz w:val="24"/>
              </w:rPr>
              <w:t>号）</w:t>
            </w:r>
          </w:p>
        </w:tc>
      </w:tr>
      <w:tr w14:paraId="6D50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3E37752">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14:paraId="4C97EA4A">
            <w:pPr>
              <w:spacing w:line="360" w:lineRule="auto"/>
              <w:rPr>
                <w:rFonts w:ascii="宋体" w:hAnsi="宋体" w:cs="宋体"/>
                <w:sz w:val="24"/>
              </w:rPr>
            </w:pPr>
            <w:r>
              <w:rPr>
                <w:rFonts w:hint="eastAsia" w:ascii="宋体" w:hAnsi="宋体" w:cs="宋体"/>
                <w:sz w:val="24"/>
              </w:rPr>
              <w:t>按物业类项目服务要求提供服务</w:t>
            </w:r>
          </w:p>
        </w:tc>
      </w:tr>
      <w:tr w14:paraId="6E9D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1E8A63">
            <w:pPr>
              <w:spacing w:line="360" w:lineRule="auto"/>
              <w:rPr>
                <w:rFonts w:ascii="宋体" w:hAnsi="宋体" w:cs="宋体"/>
                <w:sz w:val="24"/>
              </w:rPr>
            </w:pPr>
            <w:r>
              <w:rPr>
                <w:rFonts w:hint="eastAsia" w:ascii="宋体" w:hAnsi="宋体" w:cs="宋体"/>
                <w:sz w:val="24"/>
              </w:rPr>
              <w:t>1.6.7</w:t>
            </w:r>
          </w:p>
        </w:tc>
        <w:tc>
          <w:tcPr>
            <w:tcW w:w="4534" w:type="pct"/>
            <w:vAlign w:val="center"/>
          </w:tcPr>
          <w:p w14:paraId="45986812">
            <w:pPr>
              <w:snapToGrid w:val="0"/>
              <w:spacing w:line="360" w:lineRule="auto"/>
              <w:ind w:firstLine="480" w:firstLineChars="200"/>
              <w:jc w:val="left"/>
              <w:rPr>
                <w:rFonts w:ascii="宋体" w:hAnsi="宋体" w:cs="宋体"/>
                <w:sz w:val="24"/>
              </w:rPr>
            </w:pPr>
            <w:r>
              <w:rPr>
                <w:rFonts w:hint="eastAsia" w:ascii="宋体" w:hAnsi="宋体" w:cs="宋体"/>
                <w:sz w:val="24"/>
              </w:rPr>
              <w:t>1、因乙方在服务期内超过两次物业服务综合考评未达标，甲方可以单方面终止合同，且乙方须支付给甲方月度合同服务款二倍金额的违约金。</w:t>
            </w:r>
          </w:p>
          <w:p w14:paraId="2011C1D1">
            <w:pPr>
              <w:snapToGrid w:val="0"/>
              <w:spacing w:line="360" w:lineRule="auto"/>
              <w:ind w:firstLine="480" w:firstLineChars="200"/>
              <w:jc w:val="left"/>
              <w:rPr>
                <w:rFonts w:ascii="宋体" w:hAnsi="宋体" w:cs="宋体"/>
                <w:sz w:val="24"/>
              </w:rPr>
            </w:pPr>
            <w:r>
              <w:rPr>
                <w:rFonts w:hint="eastAsia" w:ascii="宋体" w:hAnsi="宋体" w:cs="宋体"/>
                <w:sz w:val="24"/>
              </w:rPr>
              <w:t>2、如甲方发现乙方出现转租、转让、抵押承包等情况，甲方可以单方面终止合同，且乙方须支付给甲方月度合同服务款二倍金额的违约金。</w:t>
            </w:r>
          </w:p>
          <w:p w14:paraId="64985F27">
            <w:pPr>
              <w:snapToGrid w:val="0"/>
              <w:spacing w:line="360" w:lineRule="auto"/>
              <w:ind w:firstLine="480" w:firstLineChars="200"/>
              <w:jc w:val="left"/>
              <w:rPr>
                <w:rFonts w:ascii="宋体" w:hAnsi="宋体" w:cs="宋体"/>
                <w:sz w:val="24"/>
              </w:rPr>
            </w:pPr>
            <w:r>
              <w:rPr>
                <w:rFonts w:hint="eastAsia" w:ascii="宋体" w:hAnsi="宋体" w:cs="宋体"/>
                <w:sz w:val="24"/>
              </w:rPr>
              <w:t>3、如果乙方在服务期内由于乙方原因造成重大责任事故或安全事故，甲方可以单方面终止合同，且乙方须赔偿给甲方造成的经济损失，并须支付给甲方月度合同服务款五倍金额的违约金。</w:t>
            </w:r>
          </w:p>
          <w:p w14:paraId="3CD6ED7B">
            <w:pPr>
              <w:snapToGrid w:val="0"/>
              <w:spacing w:line="360" w:lineRule="auto"/>
              <w:ind w:firstLine="480" w:firstLineChars="200"/>
              <w:jc w:val="left"/>
              <w:rPr>
                <w:rFonts w:ascii="宋体" w:hAnsi="宋体" w:cs="宋体"/>
                <w:sz w:val="24"/>
              </w:rPr>
            </w:pPr>
            <w:r>
              <w:rPr>
                <w:rFonts w:hint="eastAsia" w:ascii="宋体" w:hAnsi="宋体" w:cs="宋体"/>
                <w:sz w:val="24"/>
              </w:rPr>
              <w:t>4、提前终止合同期早于月底最后一天，应视为月底最后一天期满，此条适用于上述1、2、3项。</w:t>
            </w:r>
          </w:p>
          <w:p w14:paraId="3BF52A06">
            <w:pPr>
              <w:snapToGrid w:val="0"/>
              <w:spacing w:line="360" w:lineRule="auto"/>
              <w:ind w:firstLine="480" w:firstLineChars="200"/>
              <w:jc w:val="left"/>
              <w:rPr>
                <w:rFonts w:ascii="宋体" w:hAnsi="宋体" w:cs="宋体"/>
                <w:sz w:val="24"/>
              </w:rPr>
            </w:pPr>
            <w:r>
              <w:rPr>
                <w:rFonts w:hint="eastAsia" w:ascii="宋体" w:hAnsi="宋体" w:cs="宋体"/>
                <w:sz w:val="24"/>
              </w:rPr>
              <w:t>5、乙方未能履行合同和遵守有关规定，在甲方发出书面警告后一周内乙方仍无采取补救措施，甲方可立即终止合同，且乙方须支付给甲方月度合同服务款二倍金额的违约金。</w:t>
            </w:r>
          </w:p>
          <w:p w14:paraId="27771AB4">
            <w:pPr>
              <w:spacing w:line="360" w:lineRule="auto"/>
              <w:ind w:firstLine="480" w:firstLineChars="200"/>
              <w:jc w:val="left"/>
              <w:rPr>
                <w:rFonts w:ascii="宋体" w:hAnsi="宋体" w:cs="宋体"/>
                <w:sz w:val="24"/>
              </w:rPr>
            </w:pPr>
            <w:r>
              <w:rPr>
                <w:rFonts w:hint="eastAsia" w:ascii="宋体" w:hAnsi="宋体" w:cs="宋体"/>
                <w:sz w:val="24"/>
              </w:rPr>
              <w:t>6、乙方破产清处、重组及兼并等事实发生，或被债权人接管经营，甲方即可终止合同。</w:t>
            </w:r>
          </w:p>
          <w:p w14:paraId="0E35DEF5">
            <w:pPr>
              <w:snapToGrid w:val="0"/>
              <w:spacing w:line="360" w:lineRule="auto"/>
              <w:ind w:firstLine="480" w:firstLineChars="200"/>
              <w:jc w:val="left"/>
              <w:rPr>
                <w:rFonts w:ascii="宋体" w:hAnsi="宋体"/>
                <w:snapToGrid w:val="0"/>
                <w:kern w:val="0"/>
                <w:sz w:val="24"/>
              </w:rPr>
            </w:pPr>
            <w:r>
              <w:rPr>
                <w:rFonts w:hint="eastAsia" w:ascii="宋体" w:hAnsi="宋体" w:cs="宋体"/>
                <w:sz w:val="24"/>
              </w:rPr>
              <w:t>7、</w:t>
            </w:r>
            <w:r>
              <w:rPr>
                <w:rFonts w:hint="eastAsia" w:ascii="宋体" w:hAnsi="宋体"/>
                <w:snapToGrid w:val="0"/>
                <w:kern w:val="0"/>
                <w:sz w:val="24"/>
              </w:rPr>
              <w:t>如遇暴力事件，乙方安保人员有胆怯、退缩行为的，不履行应尽职责的，甲方可立即</w:t>
            </w:r>
            <w:r>
              <w:rPr>
                <w:rFonts w:hint="eastAsia" w:ascii="宋体" w:hAnsi="宋体"/>
                <w:bCs/>
                <w:snapToGrid w:val="0"/>
                <w:kern w:val="0"/>
                <w:sz w:val="24"/>
              </w:rPr>
              <w:t>终</w:t>
            </w:r>
            <w:r>
              <w:rPr>
                <w:rFonts w:hint="eastAsia" w:ascii="宋体" w:hAnsi="宋体"/>
                <w:snapToGrid w:val="0"/>
                <w:kern w:val="0"/>
                <w:sz w:val="24"/>
              </w:rPr>
              <w:t>止本合同</w:t>
            </w:r>
            <w:r>
              <w:rPr>
                <w:rFonts w:hint="eastAsia" w:ascii="宋体" w:hAnsi="宋体" w:cs="宋体"/>
                <w:sz w:val="24"/>
              </w:rPr>
              <w:t>，且乙方须支付给甲方月度合同服务款二倍金额的违约金。</w:t>
            </w:r>
          </w:p>
          <w:p w14:paraId="031B2A08">
            <w:pPr>
              <w:spacing w:line="360" w:lineRule="auto"/>
              <w:ind w:firstLine="480" w:firstLineChars="200"/>
              <w:rPr>
                <w:rFonts w:ascii="宋体" w:hAnsi="宋体" w:cs="宋体"/>
                <w:sz w:val="24"/>
              </w:rPr>
            </w:pPr>
            <w:r>
              <w:rPr>
                <w:rFonts w:hint="eastAsia" w:ascii="宋体" w:hAnsi="宋体"/>
                <w:snapToGrid w:val="0"/>
                <w:kern w:val="0"/>
                <w:sz w:val="24"/>
              </w:rPr>
              <w:t>8、</w:t>
            </w:r>
            <w:r>
              <w:rPr>
                <w:rFonts w:hint="eastAsia" w:ascii="宋体" w:hAnsi="宋体" w:cs="宋体"/>
                <w:sz w:val="24"/>
              </w:rPr>
              <w:t>按招标文件采购需求中其他相关内容执行。</w:t>
            </w:r>
          </w:p>
        </w:tc>
      </w:tr>
      <w:tr w14:paraId="03A1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40D3DE1">
            <w:pPr>
              <w:spacing w:line="360" w:lineRule="auto"/>
              <w:rPr>
                <w:rFonts w:ascii="宋体" w:hAnsi="宋体" w:cs="宋体"/>
                <w:sz w:val="24"/>
              </w:rPr>
            </w:pPr>
            <w:r>
              <w:rPr>
                <w:rFonts w:hint="eastAsia" w:ascii="宋体" w:hAnsi="宋体" w:cs="宋体"/>
                <w:sz w:val="24"/>
              </w:rPr>
              <w:t>1.7</w:t>
            </w:r>
          </w:p>
        </w:tc>
        <w:tc>
          <w:tcPr>
            <w:tcW w:w="4534" w:type="pct"/>
            <w:vAlign w:val="center"/>
          </w:tcPr>
          <w:p w14:paraId="173411B7">
            <w:pPr>
              <w:spacing w:line="360" w:lineRule="auto"/>
              <w:rPr>
                <w:rFonts w:ascii="宋体" w:hAnsi="宋体" w:cs="宋体"/>
                <w:sz w:val="24"/>
              </w:rPr>
            </w:pPr>
            <w:r>
              <w:rPr>
                <w:rFonts w:hint="eastAsia" w:ascii="宋体" w:hAnsi="宋体" w:cs="宋体"/>
                <w:sz w:val="24"/>
              </w:rPr>
              <w:t>1.7.2</w:t>
            </w:r>
          </w:p>
        </w:tc>
      </w:tr>
      <w:tr w14:paraId="626C1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81DC06A">
            <w:pPr>
              <w:spacing w:line="360" w:lineRule="auto"/>
              <w:rPr>
                <w:rFonts w:ascii="宋体" w:hAnsi="宋体" w:cs="宋体"/>
                <w:sz w:val="24"/>
              </w:rPr>
            </w:pPr>
            <w:r>
              <w:rPr>
                <w:rFonts w:hint="eastAsia" w:ascii="宋体" w:hAnsi="宋体" w:cs="宋体"/>
                <w:sz w:val="24"/>
              </w:rPr>
              <w:t>1.7.1</w:t>
            </w:r>
          </w:p>
        </w:tc>
        <w:tc>
          <w:tcPr>
            <w:tcW w:w="4534" w:type="pct"/>
            <w:vAlign w:val="center"/>
          </w:tcPr>
          <w:p w14:paraId="56863ABE">
            <w:pPr>
              <w:spacing w:line="360" w:lineRule="auto"/>
              <w:rPr>
                <w:rFonts w:ascii="宋体" w:hAnsi="宋体" w:cs="宋体"/>
                <w:sz w:val="24"/>
              </w:rPr>
            </w:pPr>
            <w:r>
              <w:rPr>
                <w:rFonts w:hint="eastAsia" w:ascii="宋体" w:hAnsi="宋体" w:cs="宋体"/>
                <w:sz w:val="24"/>
              </w:rPr>
              <w:t>/</w:t>
            </w:r>
          </w:p>
        </w:tc>
      </w:tr>
      <w:tr w14:paraId="531AD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51F58A3">
            <w:pPr>
              <w:spacing w:line="360" w:lineRule="auto"/>
              <w:rPr>
                <w:rFonts w:ascii="宋体" w:hAnsi="宋体" w:cs="宋体"/>
                <w:sz w:val="24"/>
              </w:rPr>
            </w:pPr>
            <w:r>
              <w:rPr>
                <w:rFonts w:hint="eastAsia" w:ascii="宋体" w:hAnsi="宋体" w:cs="宋体"/>
                <w:sz w:val="24"/>
              </w:rPr>
              <w:t>1.7.2</w:t>
            </w:r>
          </w:p>
        </w:tc>
        <w:tc>
          <w:tcPr>
            <w:tcW w:w="4534" w:type="pct"/>
            <w:vAlign w:val="center"/>
          </w:tcPr>
          <w:p w14:paraId="4E080F07">
            <w:pPr>
              <w:spacing w:line="360" w:lineRule="auto"/>
              <w:rPr>
                <w:rFonts w:ascii="宋体" w:hAnsi="宋体" w:cs="宋体"/>
                <w:sz w:val="24"/>
              </w:rPr>
            </w:pPr>
            <w:r>
              <w:rPr>
                <w:rFonts w:hint="eastAsia" w:ascii="宋体" w:hAnsi="宋体" w:cs="宋体"/>
                <w:sz w:val="24"/>
              </w:rPr>
              <w:t>甲方住所地</w:t>
            </w:r>
          </w:p>
        </w:tc>
      </w:tr>
      <w:tr w14:paraId="373F6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8E6F17A">
            <w:pPr>
              <w:spacing w:line="360" w:lineRule="auto"/>
              <w:rPr>
                <w:rFonts w:ascii="宋体" w:hAnsi="宋体" w:cs="宋体"/>
                <w:sz w:val="24"/>
              </w:rPr>
            </w:pPr>
            <w:r>
              <w:rPr>
                <w:rFonts w:hint="eastAsia" w:ascii="宋体" w:hAnsi="宋体" w:cs="宋体"/>
                <w:sz w:val="24"/>
              </w:rPr>
              <w:t>2.3.2</w:t>
            </w:r>
          </w:p>
        </w:tc>
        <w:tc>
          <w:tcPr>
            <w:tcW w:w="4534" w:type="pct"/>
            <w:vAlign w:val="center"/>
          </w:tcPr>
          <w:p w14:paraId="3B3CC8B2">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627E9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2FB6D0">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4" w:type="pct"/>
            <w:vAlign w:val="center"/>
          </w:tcPr>
          <w:p w14:paraId="7E6F95F2">
            <w:pPr>
              <w:spacing w:line="360" w:lineRule="auto"/>
              <w:ind w:left="-420" w:leftChars="-200" w:right="-420" w:rightChars="-200" w:firstLine="480" w:firstLineChars="200"/>
              <w:rPr>
                <w:rFonts w:ascii="宋体" w:hAnsi="宋体" w:cs="宋体"/>
                <w:sz w:val="24"/>
              </w:rPr>
            </w:pPr>
            <w:r>
              <w:rPr>
                <w:rFonts w:hint="eastAsia" w:ascii="宋体" w:hAnsi="宋体" w:cs="宋体"/>
                <w:sz w:val="24"/>
              </w:rPr>
              <w:t>同1.4.4</w:t>
            </w:r>
          </w:p>
        </w:tc>
      </w:tr>
      <w:tr w14:paraId="4AB75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0BB14D4">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4" w:type="pct"/>
            <w:vAlign w:val="center"/>
          </w:tcPr>
          <w:p w14:paraId="28ECBA9C">
            <w:pPr>
              <w:spacing w:line="360" w:lineRule="auto"/>
              <w:rPr>
                <w:rFonts w:ascii="宋体" w:hAnsi="宋体" w:cs="宋体"/>
                <w:sz w:val="24"/>
              </w:rPr>
            </w:pPr>
            <w:r>
              <w:rPr>
                <w:rFonts w:hint="eastAsia" w:ascii="宋体" w:hAnsi="宋体" w:cs="宋体"/>
                <w:snapToGrid w:val="0"/>
                <w:kern w:val="0"/>
                <w:sz w:val="24"/>
              </w:rPr>
              <w:t>因不可抗力致使合同有变更必要的，双方当事人应在</w:t>
            </w:r>
            <w:r>
              <w:rPr>
                <w:rFonts w:hint="eastAsia" w:ascii="宋体" w:hAnsi="宋体" w:cs="宋体"/>
                <w:snapToGrid w:val="0"/>
                <w:kern w:val="0"/>
                <w:sz w:val="24"/>
                <w:u w:val="single"/>
              </w:rPr>
              <w:t>30日</w:t>
            </w:r>
            <w:r>
              <w:rPr>
                <w:rFonts w:hint="eastAsia" w:ascii="宋体" w:hAnsi="宋体" w:cs="宋体"/>
                <w:snapToGrid w:val="0"/>
                <w:kern w:val="0"/>
                <w:sz w:val="24"/>
              </w:rPr>
              <w:t>内以书面形式变更合同</w:t>
            </w:r>
          </w:p>
        </w:tc>
      </w:tr>
      <w:tr w14:paraId="0E3FF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56EF31D6">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4" w:type="pct"/>
          </w:tcPr>
          <w:p w14:paraId="35ECA1BB">
            <w:pPr>
              <w:spacing w:line="360" w:lineRule="auto"/>
              <w:rPr>
                <w:rFonts w:ascii="宋体" w:hAnsi="宋体" w:cs="宋体"/>
                <w:sz w:val="24"/>
              </w:rPr>
            </w:pPr>
            <w:r>
              <w:rPr>
                <w:rFonts w:hint="eastAsia" w:ascii="宋体" w:hAnsi="宋体" w:cs="宋体"/>
                <w:snapToGrid w:val="0"/>
                <w:kern w:val="0"/>
                <w:sz w:val="24"/>
              </w:rPr>
              <w:t>受不可抗力影响的一方在不可抗力发生后，应在</w:t>
            </w:r>
            <w:r>
              <w:rPr>
                <w:rFonts w:hint="eastAsia" w:ascii="宋体" w:hAnsi="宋体" w:cs="宋体"/>
                <w:snapToGrid w:val="0"/>
                <w:kern w:val="0"/>
                <w:sz w:val="24"/>
                <w:u w:val="single"/>
              </w:rPr>
              <w:t>15日</w:t>
            </w:r>
            <w:r>
              <w:rPr>
                <w:rFonts w:hint="eastAsia" w:ascii="宋体" w:hAnsi="宋体" w:cs="宋体"/>
                <w:snapToGrid w:val="0"/>
                <w:kern w:val="0"/>
                <w:sz w:val="24"/>
              </w:rPr>
              <w:t>内以书面形式通知对方当事人，并在</w:t>
            </w:r>
            <w:r>
              <w:rPr>
                <w:rFonts w:hint="eastAsia" w:ascii="宋体" w:hAnsi="宋体" w:cs="宋体"/>
                <w:snapToGrid w:val="0"/>
                <w:kern w:val="0"/>
                <w:sz w:val="24"/>
                <w:u w:val="single"/>
              </w:rPr>
              <w:t>15日</w:t>
            </w:r>
            <w:r>
              <w:rPr>
                <w:rFonts w:hint="eastAsia" w:ascii="宋体" w:hAnsi="宋体" w:cs="宋体"/>
                <w:snapToGrid w:val="0"/>
                <w:kern w:val="0"/>
                <w:sz w:val="24"/>
              </w:rPr>
              <w:t>内，将有关部门出具的证明文件送达对方当事人。</w:t>
            </w:r>
          </w:p>
        </w:tc>
      </w:tr>
      <w:tr w14:paraId="52E20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503EA0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4" w:type="pct"/>
            <w:vAlign w:val="center"/>
          </w:tcPr>
          <w:p w14:paraId="712D18C0">
            <w:pPr>
              <w:spacing w:line="360" w:lineRule="auto"/>
              <w:rPr>
                <w:rFonts w:ascii="宋体" w:hAnsi="宋体" w:cs="宋体"/>
                <w:sz w:val="24"/>
              </w:rPr>
            </w:pPr>
            <w:r>
              <w:rPr>
                <w:rFonts w:hint="eastAsia" w:ascii="宋体" w:hAnsi="宋体" w:cs="宋体"/>
                <w:sz w:val="24"/>
              </w:rPr>
              <w:t>乙方按照</w:t>
            </w:r>
            <w:r>
              <w:rPr>
                <w:rFonts w:hint="eastAsia" w:ascii="宋体" w:hAnsi="宋体" w:cs="宋体"/>
                <w:b/>
                <w:sz w:val="24"/>
                <w:u w:val="single"/>
              </w:rPr>
              <w:t>双方确定的服务考核办法</w:t>
            </w:r>
            <w:r>
              <w:rPr>
                <w:rFonts w:hint="eastAsia" w:ascii="宋体" w:hAnsi="宋体" w:cs="宋体"/>
                <w:sz w:val="24"/>
              </w:rPr>
              <w:t>的约定，定期提交服务报告，甲方按照</w:t>
            </w:r>
            <w:r>
              <w:rPr>
                <w:rFonts w:hint="eastAsia" w:ascii="宋体" w:hAnsi="宋体" w:cs="宋体"/>
                <w:b/>
                <w:sz w:val="24"/>
                <w:u w:val="single"/>
              </w:rPr>
              <w:t>服务考核办法</w:t>
            </w:r>
            <w:r>
              <w:rPr>
                <w:rFonts w:hint="eastAsia" w:ascii="宋体" w:hAnsi="宋体" w:cs="宋体"/>
                <w:sz w:val="24"/>
              </w:rPr>
              <w:t>的约定进行定期验收</w:t>
            </w:r>
          </w:p>
        </w:tc>
      </w:tr>
      <w:tr w14:paraId="56F9A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B8EB1C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4" w:type="pct"/>
            <w:vAlign w:val="center"/>
          </w:tcPr>
          <w:p w14:paraId="0A36F3FF">
            <w:pPr>
              <w:spacing w:line="360" w:lineRule="auto"/>
              <w:rPr>
                <w:rFonts w:ascii="宋体" w:hAnsi="宋体" w:cs="宋体"/>
                <w:sz w:val="24"/>
              </w:rPr>
            </w:pPr>
            <w:r>
              <w:rPr>
                <w:rFonts w:hint="eastAsia" w:ascii="宋体" w:hAnsi="宋体" w:cs="宋体"/>
                <w:sz w:val="24"/>
              </w:rPr>
              <w:t>服务考核办法及招标文件中记载的采购需求</w:t>
            </w:r>
          </w:p>
        </w:tc>
      </w:tr>
      <w:tr w14:paraId="5214F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85ED342">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4" w:type="pct"/>
            <w:vAlign w:val="center"/>
          </w:tcPr>
          <w:p w14:paraId="45A7B8FA">
            <w:pPr>
              <w:spacing w:line="276" w:lineRule="auto"/>
              <w:ind w:right="141" w:rightChars="67"/>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履约保证金：</w:t>
            </w:r>
            <w:r>
              <w:rPr>
                <w:rFonts w:hint="eastAsia" w:asciiTheme="minorEastAsia" w:hAnsiTheme="minorEastAsia" w:eastAsiaTheme="minorEastAsia"/>
                <w:b/>
                <w:sz w:val="24"/>
                <w:u w:val="single"/>
              </w:rPr>
              <w:t>合同款的1%</w:t>
            </w:r>
          </w:p>
          <w:p w14:paraId="6ED8D2F8">
            <w:pPr>
              <w:spacing w:line="360" w:lineRule="auto"/>
              <w:rPr>
                <w:rFonts w:ascii="宋体" w:hAnsi="宋体" w:cs="宋体"/>
                <w:sz w:val="24"/>
              </w:rPr>
            </w:pPr>
            <w:r>
              <w:rPr>
                <w:rFonts w:hint="eastAsia" w:cs="宋体" w:asciiTheme="minorEastAsia" w:hAnsiTheme="minorEastAsia" w:eastAsiaTheme="minorEastAsia"/>
                <w:kern w:val="0"/>
                <w:sz w:val="24"/>
              </w:rPr>
              <w:t>支付方式：</w:t>
            </w:r>
            <w:r>
              <w:rPr>
                <w:rFonts w:hint="eastAsia" w:asciiTheme="minorEastAsia" w:hAnsiTheme="minorEastAsia" w:eastAsiaTheme="minorEastAsia"/>
                <w:b/>
                <w:sz w:val="24"/>
                <w:u w:val="single"/>
              </w:rPr>
              <w:t>以转账、汇款、支票、汇票、本票或者金融机构、担保机构出具的保函等非现金形式提交，鼓励和支持乙方以银行、保险公司出具的保函形式提供履约保证。</w:t>
            </w:r>
          </w:p>
        </w:tc>
      </w:tr>
      <w:tr w14:paraId="2EBC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76F888DA">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4" w:type="pct"/>
            <w:vAlign w:val="center"/>
          </w:tcPr>
          <w:p w14:paraId="6E4D1464">
            <w:pPr>
              <w:spacing w:line="360" w:lineRule="auto"/>
              <w:rPr>
                <w:rFonts w:ascii="宋体" w:hAnsi="宋体" w:cs="宋体"/>
                <w:sz w:val="24"/>
              </w:rPr>
            </w:pPr>
            <w:r>
              <w:rPr>
                <w:rFonts w:hint="eastAsia" w:ascii="宋体" w:hAnsi="宋体" w:cs="宋体"/>
                <w:sz w:val="24"/>
              </w:rPr>
              <w:t>5个工作日</w:t>
            </w:r>
          </w:p>
        </w:tc>
      </w:tr>
      <w:tr w14:paraId="1BDE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6B56AF58">
            <w:pPr>
              <w:spacing w:line="360" w:lineRule="auto"/>
              <w:rPr>
                <w:rFonts w:ascii="宋体" w:hAnsi="宋体" w:cs="宋体"/>
                <w:sz w:val="24"/>
              </w:rPr>
            </w:pPr>
            <w:r>
              <w:rPr>
                <w:rFonts w:hint="eastAsia" w:ascii="宋体" w:hAnsi="宋体" w:cs="宋体"/>
                <w:sz w:val="24"/>
              </w:rPr>
              <w:t>2.20</w:t>
            </w:r>
          </w:p>
        </w:tc>
        <w:tc>
          <w:tcPr>
            <w:tcW w:w="4534" w:type="pct"/>
          </w:tcPr>
          <w:p w14:paraId="689D3CAD">
            <w:pPr>
              <w:spacing w:line="360" w:lineRule="auto"/>
              <w:rPr>
                <w:rFonts w:hint="eastAsia" w:ascii="宋体" w:hAnsi="宋体" w:eastAsia="宋体" w:cs="宋体"/>
                <w:sz w:val="24"/>
                <w:lang w:eastAsia="zh-CN"/>
              </w:rPr>
            </w:pPr>
            <w:r>
              <w:rPr>
                <w:rFonts w:hint="eastAsia" w:ascii="宋体" w:hAnsi="宋体" w:cs="宋体"/>
                <w:sz w:val="24"/>
              </w:rPr>
              <w:t>壹式陆份，甲方执肆份，乙方执贰份</w:t>
            </w:r>
            <w:r>
              <w:rPr>
                <w:rFonts w:hint="eastAsia" w:ascii="宋体" w:hAnsi="宋体" w:cs="宋体"/>
                <w:sz w:val="24"/>
                <w:lang w:eastAsia="zh-CN"/>
              </w:rPr>
              <w:t>，采购中心执壹份</w:t>
            </w:r>
          </w:p>
        </w:tc>
      </w:tr>
    </w:tbl>
    <w:p w14:paraId="5E9D7F32">
      <w:pPr>
        <w:spacing w:line="360" w:lineRule="auto"/>
        <w:ind w:left="-420" w:leftChars="-200" w:right="-420" w:rightChars="-200"/>
        <w:rPr>
          <w:rFonts w:hint="eastAsia" w:ascii="宋体" w:hAnsi="宋体" w:eastAsia="宋体" w:cs="宋体"/>
          <w:sz w:val="24"/>
        </w:rPr>
      </w:pPr>
    </w:p>
    <w:p w14:paraId="13DB1F26">
      <w:pPr>
        <w:spacing w:line="360" w:lineRule="auto"/>
        <w:ind w:left="-420" w:leftChars="-200" w:right="-420" w:rightChars="-200" w:firstLine="480" w:firstLineChars="200"/>
        <w:jc w:val="center"/>
        <w:outlineLvl w:val="0"/>
        <w:rPr>
          <w:rFonts w:hint="eastAsia" w:ascii="宋体" w:hAnsi="宋体" w:eastAsia="宋体" w:cs="宋体"/>
          <w:sz w:val="24"/>
        </w:rPr>
      </w:pPr>
    </w:p>
    <w:p w14:paraId="3058A37F">
      <w:pPr>
        <w:spacing w:line="360" w:lineRule="auto"/>
        <w:ind w:left="-420" w:leftChars="-200" w:right="-420" w:rightChars="-200" w:firstLine="480" w:firstLineChars="200"/>
        <w:jc w:val="center"/>
        <w:outlineLvl w:val="0"/>
        <w:rPr>
          <w:rFonts w:hint="eastAsia" w:ascii="宋体" w:hAnsi="宋体" w:eastAsia="宋体" w:cs="宋体"/>
          <w:sz w:val="24"/>
        </w:rPr>
      </w:pPr>
    </w:p>
    <w:p w14:paraId="3AE6F24F">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60EF6C02">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5"/>
      <w:r>
        <w:rPr>
          <w:rFonts w:hint="eastAsia" w:ascii="宋体" w:hAnsi="宋体" w:eastAsia="宋体" w:cs="宋体"/>
          <w:b/>
          <w:sz w:val="36"/>
          <w:szCs w:val="20"/>
        </w:rPr>
        <w:t xml:space="preserve"> </w:t>
      </w:r>
      <w:bookmarkEnd w:id="396"/>
      <w:r>
        <w:rPr>
          <w:rFonts w:hint="eastAsia" w:ascii="宋体" w:hAnsi="宋体" w:eastAsia="宋体" w:cs="宋体"/>
          <w:b/>
          <w:sz w:val="36"/>
          <w:szCs w:val="20"/>
        </w:rPr>
        <w:t>应提交的有关格式范例</w:t>
      </w:r>
    </w:p>
    <w:p w14:paraId="1526DC7E">
      <w:pPr>
        <w:spacing w:line="360" w:lineRule="auto"/>
        <w:jc w:val="center"/>
        <w:outlineLvl w:val="0"/>
        <w:rPr>
          <w:rFonts w:hint="eastAsia" w:ascii="宋体" w:hAnsi="宋体" w:eastAsia="宋体" w:cs="宋体"/>
          <w:b/>
          <w:kern w:val="0"/>
          <w:sz w:val="36"/>
          <w:szCs w:val="36"/>
        </w:rPr>
      </w:pPr>
    </w:p>
    <w:p w14:paraId="114C284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3E808BD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3D91B58B">
      <w:pPr>
        <w:spacing w:line="360" w:lineRule="auto"/>
        <w:jc w:val="center"/>
        <w:outlineLvl w:val="0"/>
        <w:rPr>
          <w:rFonts w:hint="eastAsia" w:ascii="宋体" w:hAnsi="宋体" w:eastAsia="宋体" w:cs="宋体"/>
          <w:b/>
          <w:kern w:val="0"/>
          <w:sz w:val="36"/>
          <w:szCs w:val="36"/>
        </w:rPr>
      </w:pPr>
    </w:p>
    <w:p w14:paraId="0C1439CA">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092E3290">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53BDB6BD">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63DE1C20">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1EC96156">
      <w:pPr>
        <w:snapToGrid w:val="0"/>
        <w:spacing w:line="360" w:lineRule="auto"/>
        <w:ind w:firstLine="480" w:firstLineChars="200"/>
        <w:rPr>
          <w:rFonts w:hint="eastAsia" w:ascii="宋体" w:hAnsi="宋体" w:eastAsia="宋体" w:cs="宋体"/>
          <w:sz w:val="24"/>
        </w:rPr>
      </w:pPr>
    </w:p>
    <w:p w14:paraId="2AFC4649">
      <w:pPr>
        <w:spacing w:line="360" w:lineRule="auto"/>
        <w:ind w:firstLine="480" w:firstLineChars="200"/>
        <w:rPr>
          <w:rFonts w:hint="eastAsia" w:ascii="宋体" w:hAnsi="宋体" w:eastAsia="宋体" w:cs="宋体"/>
          <w:sz w:val="24"/>
        </w:rPr>
      </w:pPr>
    </w:p>
    <w:p w14:paraId="3E7BBA30">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5FD2D90D">
      <w:pPr>
        <w:snapToGrid w:val="0"/>
        <w:spacing w:line="360" w:lineRule="auto"/>
        <w:rPr>
          <w:rFonts w:hint="eastAsia" w:ascii="宋体" w:hAnsi="宋体" w:eastAsia="宋体" w:cs="宋体"/>
          <w:sz w:val="24"/>
        </w:rPr>
      </w:pPr>
      <w:r>
        <w:rPr>
          <w:rFonts w:hint="eastAsia" w:ascii="宋体" w:hAnsi="宋体" w:cs="宋体"/>
          <w:sz w:val="24"/>
          <w:lang w:eastAsia="zh-CN"/>
        </w:rPr>
        <w:t>杭州市十三中教育集团（总校）</w:t>
      </w:r>
      <w:r>
        <w:rPr>
          <w:rFonts w:hint="eastAsia" w:ascii="宋体" w:hAnsi="宋体" w:eastAsia="宋体" w:cs="宋体"/>
          <w:sz w:val="24"/>
        </w:rPr>
        <w:t>、杭州市西湖区政府采购中心：</w:t>
      </w:r>
    </w:p>
    <w:p w14:paraId="27B1290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杭州市十三中教育集团(总校)2025-2026年保安服务采购项目</w:t>
      </w:r>
      <w:r>
        <w:rPr>
          <w:rFonts w:hint="eastAsia" w:ascii="宋体" w:hAnsi="宋体" w:eastAsia="宋体" w:cs="宋体"/>
          <w:sz w:val="24"/>
        </w:rPr>
        <w:t>【招标编号：</w:t>
      </w:r>
      <w:r>
        <w:rPr>
          <w:rFonts w:hint="eastAsia" w:ascii="宋体" w:hAnsi="宋体" w:cs="宋体"/>
          <w:sz w:val="24"/>
          <w:lang w:eastAsia="zh-CN"/>
        </w:rPr>
        <w:t>XHZFCG-2025-G-04</w:t>
      </w:r>
      <w:r>
        <w:rPr>
          <w:rFonts w:hint="eastAsia" w:ascii="宋体" w:hAnsi="宋体" w:eastAsia="宋体" w:cs="宋体"/>
          <w:sz w:val="24"/>
        </w:rPr>
        <w:t>】政府采购活动，郑重承诺：</w:t>
      </w:r>
    </w:p>
    <w:p w14:paraId="026947F6">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57F3079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312ECE3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7B7CB96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642679A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5837E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62C6B04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11E2D37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1C5EAA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534DD6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335BD3E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1070EBC">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500F1E0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0502B161">
      <w:pPr>
        <w:snapToGrid w:val="0"/>
        <w:spacing w:line="360" w:lineRule="auto"/>
        <w:ind w:right="480"/>
        <w:rPr>
          <w:rFonts w:hint="eastAsia" w:ascii="宋体" w:hAnsi="宋体" w:eastAsia="宋体" w:cs="宋体"/>
          <w:b/>
          <w:kern w:val="0"/>
          <w:sz w:val="32"/>
          <w:szCs w:val="32"/>
        </w:rPr>
      </w:pPr>
      <w:r>
        <w:rPr>
          <w:rFonts w:hint="eastAsia" w:ascii="宋体" w:hAnsi="宋体" w:eastAsia="宋体" w:cs="宋体"/>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EFD8B55">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6030813">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256796C1">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17FA92EA">
      <w:pPr>
        <w:snapToGrid w:val="0"/>
        <w:spacing w:line="360" w:lineRule="auto"/>
        <w:ind w:right="480"/>
        <w:jc w:val="center"/>
        <w:rPr>
          <w:rFonts w:hint="eastAsia" w:ascii="宋体" w:hAnsi="宋体" w:eastAsia="宋体" w:cs="宋体"/>
          <w:b/>
          <w:kern w:val="0"/>
          <w:sz w:val="32"/>
          <w:szCs w:val="32"/>
        </w:rPr>
      </w:pPr>
    </w:p>
    <w:p w14:paraId="2358FD4F">
      <w:pPr>
        <w:snapToGrid w:val="0"/>
        <w:spacing w:line="360" w:lineRule="auto"/>
        <w:ind w:right="480"/>
        <w:jc w:val="center"/>
        <w:rPr>
          <w:rFonts w:hint="eastAsia" w:ascii="宋体" w:hAnsi="宋体" w:eastAsia="宋体" w:cs="宋体"/>
          <w:b/>
          <w:kern w:val="0"/>
          <w:sz w:val="32"/>
          <w:szCs w:val="32"/>
        </w:rPr>
      </w:pPr>
    </w:p>
    <w:p w14:paraId="1BC0B0F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1D074AE9">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7A820A47">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本项目面向中小企业，服务全部由符合政策要求的中小企业承接，提供中小企业声明函（附件7）</w:t>
      </w:r>
    </w:p>
    <w:p w14:paraId="199F9036">
      <w:pPr>
        <w:rPr>
          <w:rFonts w:hint="eastAsia" w:ascii="宋体" w:hAnsi="宋体" w:eastAsia="宋体" w:cs="宋体"/>
        </w:rPr>
      </w:pPr>
    </w:p>
    <w:p w14:paraId="1ED1E152">
      <w:pPr>
        <w:rPr>
          <w:rFonts w:hint="eastAsia" w:ascii="宋体" w:hAnsi="宋体" w:eastAsia="宋体" w:cs="宋体"/>
        </w:rPr>
      </w:pPr>
    </w:p>
    <w:p w14:paraId="6FEF8A8F">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03F689BB">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3273FD71">
      <w:pPr>
        <w:rPr>
          <w:rFonts w:hint="eastAsia" w:ascii="宋体" w:hAnsi="宋体" w:eastAsia="宋体" w:cs="宋体"/>
        </w:rPr>
      </w:pPr>
    </w:p>
    <w:p w14:paraId="52BC319D">
      <w:pPr>
        <w:snapToGrid w:val="0"/>
        <w:spacing w:line="360" w:lineRule="auto"/>
        <w:ind w:right="480"/>
        <w:jc w:val="center"/>
        <w:rPr>
          <w:rFonts w:hint="eastAsia" w:ascii="宋体" w:hAnsi="宋体" w:eastAsia="宋体" w:cs="宋体"/>
          <w:b/>
          <w:kern w:val="0"/>
          <w:sz w:val="32"/>
          <w:szCs w:val="32"/>
        </w:rPr>
      </w:pPr>
    </w:p>
    <w:p w14:paraId="14E3BFE6">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6FF9D99B">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1DE13E66">
      <w:pPr>
        <w:spacing w:line="360" w:lineRule="auto"/>
        <w:jc w:val="center"/>
        <w:outlineLvl w:val="0"/>
        <w:rPr>
          <w:rFonts w:hint="eastAsia" w:ascii="宋体" w:hAnsi="宋体" w:eastAsia="宋体" w:cs="宋体"/>
          <w:b/>
          <w:kern w:val="0"/>
          <w:sz w:val="24"/>
        </w:rPr>
      </w:pPr>
    </w:p>
    <w:p w14:paraId="7183A889">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00EACB61">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3BA5A4B9">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54BCA0CE">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4902AFAA">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…………………………………………………………………………（页码）</w:t>
      </w:r>
      <w:r>
        <w:rPr>
          <w:rFonts w:hint="eastAsia" w:ascii="宋体" w:hAnsi="宋体" w:eastAsia="宋体" w:cs="宋体"/>
          <w:sz w:val="24"/>
        </w:rPr>
        <w:t>（7）商务技术偏离表</w:t>
      </w:r>
      <w:r>
        <w:rPr>
          <w:rFonts w:hint="eastAsia" w:ascii="宋体" w:hAnsi="宋体" w:eastAsia="宋体" w:cs="宋体"/>
        </w:rPr>
        <w:t>………………………………………………………………………（页码）</w:t>
      </w:r>
    </w:p>
    <w:p w14:paraId="4D82FC05">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41013D81">
      <w:pPr>
        <w:snapToGrid w:val="0"/>
        <w:spacing w:line="360" w:lineRule="auto"/>
        <w:jc w:val="center"/>
        <w:rPr>
          <w:rFonts w:hint="eastAsia" w:ascii="宋体" w:hAnsi="宋体" w:eastAsia="宋体" w:cs="宋体"/>
          <w:b/>
          <w:kern w:val="0"/>
          <w:sz w:val="32"/>
          <w:szCs w:val="32"/>
          <w:lang w:val="zh-CN"/>
        </w:rPr>
      </w:pPr>
    </w:p>
    <w:p w14:paraId="2A37E4C5">
      <w:pPr>
        <w:snapToGrid w:val="0"/>
        <w:spacing w:line="360" w:lineRule="auto"/>
        <w:jc w:val="center"/>
        <w:rPr>
          <w:rFonts w:hint="eastAsia" w:ascii="宋体" w:hAnsi="宋体" w:eastAsia="宋体" w:cs="宋体"/>
          <w:b/>
          <w:kern w:val="0"/>
          <w:sz w:val="32"/>
          <w:szCs w:val="32"/>
          <w:lang w:val="zh-CN"/>
        </w:rPr>
      </w:pPr>
    </w:p>
    <w:p w14:paraId="7DEEDD6D">
      <w:pPr>
        <w:snapToGrid w:val="0"/>
        <w:spacing w:line="360" w:lineRule="auto"/>
        <w:jc w:val="center"/>
        <w:rPr>
          <w:rFonts w:hint="eastAsia" w:ascii="宋体" w:hAnsi="宋体" w:eastAsia="宋体" w:cs="宋体"/>
          <w:b/>
          <w:kern w:val="0"/>
          <w:sz w:val="32"/>
          <w:szCs w:val="32"/>
          <w:lang w:val="zh-CN"/>
        </w:rPr>
      </w:pPr>
    </w:p>
    <w:p w14:paraId="56116670">
      <w:pPr>
        <w:snapToGrid w:val="0"/>
        <w:spacing w:line="360" w:lineRule="auto"/>
        <w:jc w:val="center"/>
        <w:rPr>
          <w:rFonts w:hint="eastAsia" w:ascii="宋体" w:hAnsi="宋体" w:eastAsia="宋体" w:cs="宋体"/>
          <w:b/>
          <w:kern w:val="0"/>
          <w:sz w:val="32"/>
          <w:szCs w:val="32"/>
          <w:lang w:val="zh-CN"/>
        </w:rPr>
      </w:pPr>
    </w:p>
    <w:p w14:paraId="49958653">
      <w:pPr>
        <w:snapToGrid w:val="0"/>
        <w:spacing w:line="360" w:lineRule="auto"/>
        <w:jc w:val="center"/>
        <w:rPr>
          <w:rFonts w:hint="eastAsia" w:ascii="宋体" w:hAnsi="宋体" w:eastAsia="宋体" w:cs="宋体"/>
          <w:b/>
          <w:kern w:val="0"/>
          <w:sz w:val="32"/>
          <w:szCs w:val="32"/>
          <w:lang w:val="zh-CN"/>
        </w:rPr>
      </w:pPr>
    </w:p>
    <w:p w14:paraId="2FB1D094">
      <w:pPr>
        <w:snapToGrid w:val="0"/>
        <w:spacing w:line="360" w:lineRule="auto"/>
        <w:jc w:val="center"/>
        <w:rPr>
          <w:rFonts w:hint="eastAsia" w:ascii="宋体" w:hAnsi="宋体" w:eastAsia="宋体" w:cs="宋体"/>
          <w:b/>
          <w:kern w:val="0"/>
          <w:sz w:val="32"/>
          <w:szCs w:val="32"/>
          <w:lang w:val="zh-CN"/>
        </w:rPr>
      </w:pPr>
    </w:p>
    <w:p w14:paraId="0B1D51B3">
      <w:pPr>
        <w:snapToGrid w:val="0"/>
        <w:spacing w:line="360" w:lineRule="auto"/>
        <w:jc w:val="center"/>
        <w:rPr>
          <w:rFonts w:hint="eastAsia" w:ascii="宋体" w:hAnsi="宋体" w:eastAsia="宋体" w:cs="宋体"/>
          <w:b/>
          <w:kern w:val="0"/>
          <w:sz w:val="32"/>
          <w:szCs w:val="32"/>
          <w:lang w:val="zh-CN"/>
        </w:rPr>
      </w:pPr>
    </w:p>
    <w:p w14:paraId="360F7295">
      <w:pPr>
        <w:snapToGrid w:val="0"/>
        <w:spacing w:line="360" w:lineRule="auto"/>
        <w:jc w:val="center"/>
        <w:rPr>
          <w:rFonts w:hint="eastAsia" w:ascii="宋体" w:hAnsi="宋体" w:eastAsia="宋体" w:cs="宋体"/>
          <w:b/>
          <w:kern w:val="0"/>
          <w:sz w:val="32"/>
          <w:szCs w:val="32"/>
          <w:lang w:val="zh-CN"/>
        </w:rPr>
      </w:pPr>
    </w:p>
    <w:p w14:paraId="012C7E44">
      <w:pPr>
        <w:snapToGrid w:val="0"/>
        <w:spacing w:line="360" w:lineRule="auto"/>
        <w:jc w:val="center"/>
        <w:rPr>
          <w:rFonts w:hint="eastAsia" w:ascii="宋体" w:hAnsi="宋体" w:eastAsia="宋体" w:cs="宋体"/>
          <w:b/>
          <w:kern w:val="0"/>
          <w:sz w:val="32"/>
          <w:szCs w:val="32"/>
          <w:lang w:val="zh-CN"/>
        </w:rPr>
      </w:pPr>
    </w:p>
    <w:p w14:paraId="12614E97">
      <w:pPr>
        <w:snapToGrid w:val="0"/>
        <w:spacing w:line="360" w:lineRule="auto"/>
        <w:jc w:val="center"/>
        <w:rPr>
          <w:rFonts w:hint="eastAsia" w:ascii="宋体" w:hAnsi="宋体" w:eastAsia="宋体" w:cs="宋体"/>
          <w:b/>
          <w:kern w:val="0"/>
          <w:sz w:val="32"/>
          <w:szCs w:val="32"/>
          <w:lang w:val="zh-CN"/>
        </w:rPr>
      </w:pPr>
    </w:p>
    <w:p w14:paraId="7A60B255">
      <w:pPr>
        <w:snapToGrid w:val="0"/>
        <w:spacing w:line="360" w:lineRule="auto"/>
        <w:jc w:val="center"/>
        <w:rPr>
          <w:rFonts w:hint="eastAsia" w:ascii="宋体" w:hAnsi="宋体" w:eastAsia="宋体" w:cs="宋体"/>
          <w:b/>
          <w:kern w:val="0"/>
          <w:sz w:val="32"/>
          <w:szCs w:val="32"/>
          <w:lang w:val="zh-CN"/>
        </w:rPr>
      </w:pPr>
    </w:p>
    <w:p w14:paraId="4030832F">
      <w:pPr>
        <w:snapToGrid w:val="0"/>
        <w:spacing w:line="360" w:lineRule="auto"/>
        <w:jc w:val="center"/>
        <w:rPr>
          <w:rFonts w:hint="eastAsia" w:ascii="宋体" w:hAnsi="宋体" w:eastAsia="宋体" w:cs="宋体"/>
          <w:b/>
          <w:kern w:val="0"/>
          <w:sz w:val="32"/>
          <w:szCs w:val="32"/>
          <w:lang w:val="zh-CN"/>
        </w:rPr>
      </w:pPr>
    </w:p>
    <w:p w14:paraId="063A09EE">
      <w:pPr>
        <w:rPr>
          <w:rFonts w:hint="eastAsia" w:ascii="宋体" w:hAnsi="宋体" w:eastAsia="宋体" w:cs="宋体"/>
          <w:b/>
          <w:kern w:val="0"/>
          <w:sz w:val="32"/>
          <w:szCs w:val="32"/>
          <w:lang w:val="zh-CN"/>
        </w:rPr>
      </w:pPr>
    </w:p>
    <w:p w14:paraId="2D9C28FE">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61230B7">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CCA1606">
      <w:pPr>
        <w:snapToGrid w:val="0"/>
        <w:spacing w:line="360" w:lineRule="auto"/>
        <w:rPr>
          <w:rFonts w:hint="eastAsia" w:ascii="宋体" w:hAnsi="宋体" w:eastAsia="宋体" w:cs="宋体"/>
          <w:sz w:val="24"/>
        </w:rPr>
      </w:pPr>
      <w:r>
        <w:rPr>
          <w:rFonts w:hint="eastAsia" w:ascii="宋体" w:hAnsi="宋体" w:cs="宋体"/>
          <w:sz w:val="24"/>
          <w:lang w:eastAsia="zh-CN"/>
        </w:rPr>
        <w:t>杭州市十三中教育集团（总校）</w:t>
      </w:r>
      <w:r>
        <w:rPr>
          <w:rFonts w:hint="eastAsia" w:ascii="宋体" w:hAnsi="宋体" w:eastAsia="宋体" w:cs="宋体"/>
          <w:sz w:val="24"/>
        </w:rPr>
        <w:t>、杭州市西湖区政府采购中心：</w:t>
      </w:r>
    </w:p>
    <w:p w14:paraId="440BFD0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杭州市十三中教育集团(总校)2025-2026年保安服务采购项目</w:t>
      </w:r>
      <w:r>
        <w:rPr>
          <w:rFonts w:hint="eastAsia" w:ascii="宋体" w:hAnsi="宋体" w:eastAsia="宋体" w:cs="宋体"/>
          <w:sz w:val="24"/>
        </w:rPr>
        <w:t>【招标编号：</w:t>
      </w:r>
      <w:r>
        <w:rPr>
          <w:rFonts w:hint="eastAsia" w:ascii="宋体" w:hAnsi="宋体" w:cs="宋体"/>
          <w:sz w:val="24"/>
          <w:lang w:eastAsia="zh-CN"/>
        </w:rPr>
        <w:t>XHZFCG-2025-G-04</w:t>
      </w:r>
      <w:r>
        <w:rPr>
          <w:rFonts w:hint="eastAsia" w:ascii="宋体" w:hAnsi="宋体" w:eastAsia="宋体" w:cs="宋体"/>
          <w:sz w:val="24"/>
        </w:rPr>
        <w:t>】招标的有关活动，并对此项目进行投标。为此：</w:t>
      </w:r>
    </w:p>
    <w:p w14:paraId="3EE430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183907A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2DA1398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6515DDC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3F6A3CE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509" w:name="_Hlk101257010"/>
      <w:r>
        <w:rPr>
          <w:rFonts w:hint="eastAsia" w:ascii="宋体" w:hAnsi="宋体" w:eastAsia="宋体" w:cs="宋体"/>
          <w:sz w:val="24"/>
        </w:rPr>
        <w:t>（如果有)</w:t>
      </w:r>
      <w:bookmarkEnd w:id="509"/>
      <w:r>
        <w:rPr>
          <w:rFonts w:hint="eastAsia" w:ascii="宋体" w:hAnsi="宋体" w:eastAsia="宋体" w:cs="宋体"/>
          <w:snapToGrid w:val="0"/>
          <w:kern w:val="28"/>
          <w:sz w:val="24"/>
          <w:szCs w:val="20"/>
        </w:rPr>
        <w:t>；</w:t>
      </w:r>
    </w:p>
    <w:p w14:paraId="7192AAA7">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w:t>
      </w:r>
    </w:p>
    <w:p w14:paraId="3ECBFB9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50836C4E">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2B3A53E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F682E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EC442F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6D2429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51BFCD4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4978E38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14:paraId="3437D37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207457BD">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79A07DC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27C4A918">
      <w:pPr>
        <w:snapToGrid w:val="0"/>
        <w:spacing w:line="360" w:lineRule="auto"/>
        <w:ind w:left="420" w:leftChars="200" w:firstLine="480" w:firstLineChars="200"/>
        <w:rPr>
          <w:rFonts w:hint="eastAsia" w:ascii="宋体" w:hAnsi="宋体" w:eastAsia="宋体" w:cs="宋体"/>
        </w:rPr>
      </w:pPr>
      <w:r>
        <w:rPr>
          <w:rFonts w:hint="eastAsia" w:ascii="宋体" w:hAnsi="宋体" w:eastAsia="宋体" w:cs="宋体"/>
          <w:sz w:val="24"/>
        </w:rPr>
        <w:t>2.3.1开标一览表（报价表）。</w:t>
      </w:r>
    </w:p>
    <w:p w14:paraId="347FBBD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14A5FD2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7FFFF4E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67E684A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6C7F4D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AF8F5E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6D7395CA">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8733472">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38092D70">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1B1A0A3">
      <w:pPr>
        <w:snapToGrid w:val="0"/>
        <w:spacing w:line="360" w:lineRule="auto"/>
        <w:ind w:left="420" w:leftChars="200" w:firstLine="4200" w:firstLineChars="1750"/>
        <w:rPr>
          <w:rFonts w:hint="eastAsia" w:ascii="宋体" w:hAnsi="宋体" w:eastAsia="宋体" w:cs="宋体"/>
          <w:kern w:val="0"/>
          <w:sz w:val="24"/>
          <w:u w:val="single"/>
        </w:rPr>
      </w:pPr>
    </w:p>
    <w:p w14:paraId="55AC517E">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51094D1">
      <w:pPr>
        <w:snapToGrid w:val="0"/>
        <w:spacing w:line="360" w:lineRule="auto"/>
        <w:jc w:val="center"/>
        <w:rPr>
          <w:rFonts w:hint="eastAsia" w:ascii="宋体" w:hAnsi="宋体" w:eastAsia="宋体" w:cs="宋体"/>
          <w:b/>
          <w:kern w:val="0"/>
          <w:sz w:val="32"/>
          <w:szCs w:val="32"/>
        </w:rPr>
      </w:pPr>
    </w:p>
    <w:p w14:paraId="7825A02D">
      <w:pPr>
        <w:snapToGrid w:val="0"/>
        <w:spacing w:line="360" w:lineRule="auto"/>
        <w:rPr>
          <w:rFonts w:hint="eastAsia" w:ascii="宋体" w:hAnsi="宋体" w:eastAsia="宋体" w:cs="宋体"/>
          <w:sz w:val="24"/>
        </w:rPr>
      </w:pPr>
    </w:p>
    <w:p w14:paraId="3BC4ECDA">
      <w:pPr>
        <w:jc w:val="center"/>
        <w:rPr>
          <w:rFonts w:hint="eastAsia" w:ascii="宋体" w:hAnsi="宋体" w:eastAsia="宋体" w:cs="宋体"/>
          <w:b/>
          <w:kern w:val="0"/>
          <w:sz w:val="32"/>
          <w:szCs w:val="32"/>
        </w:rPr>
      </w:pPr>
    </w:p>
    <w:p w14:paraId="0BD231D2">
      <w:pPr>
        <w:jc w:val="center"/>
        <w:rPr>
          <w:rFonts w:hint="eastAsia" w:ascii="宋体" w:hAnsi="宋体" w:eastAsia="宋体" w:cs="宋体"/>
          <w:b/>
          <w:kern w:val="0"/>
          <w:sz w:val="32"/>
          <w:szCs w:val="32"/>
        </w:rPr>
      </w:pPr>
    </w:p>
    <w:p w14:paraId="58C82B7C">
      <w:pPr>
        <w:jc w:val="center"/>
        <w:rPr>
          <w:rFonts w:hint="eastAsia" w:ascii="宋体" w:hAnsi="宋体" w:eastAsia="宋体" w:cs="宋体"/>
          <w:b/>
          <w:kern w:val="0"/>
          <w:sz w:val="32"/>
          <w:szCs w:val="32"/>
        </w:rPr>
      </w:pPr>
    </w:p>
    <w:p w14:paraId="3E3E48CF">
      <w:pPr>
        <w:jc w:val="center"/>
        <w:rPr>
          <w:rFonts w:hint="eastAsia" w:ascii="宋体" w:hAnsi="宋体" w:eastAsia="宋体" w:cs="宋体"/>
          <w:b/>
          <w:kern w:val="0"/>
          <w:sz w:val="32"/>
          <w:szCs w:val="32"/>
        </w:rPr>
      </w:pPr>
    </w:p>
    <w:p w14:paraId="4457D449">
      <w:pPr>
        <w:jc w:val="center"/>
        <w:rPr>
          <w:rFonts w:hint="eastAsia" w:ascii="宋体" w:hAnsi="宋体" w:eastAsia="宋体" w:cs="宋体"/>
          <w:b/>
          <w:kern w:val="0"/>
          <w:sz w:val="32"/>
          <w:szCs w:val="32"/>
        </w:rPr>
      </w:pPr>
    </w:p>
    <w:p w14:paraId="04130B77">
      <w:pPr>
        <w:jc w:val="center"/>
        <w:rPr>
          <w:rFonts w:hint="eastAsia" w:ascii="宋体" w:hAnsi="宋体" w:eastAsia="宋体" w:cs="宋体"/>
          <w:b/>
          <w:kern w:val="0"/>
          <w:sz w:val="32"/>
          <w:szCs w:val="32"/>
        </w:rPr>
      </w:pPr>
    </w:p>
    <w:p w14:paraId="2F44C344">
      <w:pPr>
        <w:jc w:val="center"/>
        <w:rPr>
          <w:rFonts w:hint="eastAsia" w:ascii="宋体" w:hAnsi="宋体" w:eastAsia="宋体" w:cs="宋体"/>
          <w:b/>
          <w:kern w:val="0"/>
          <w:sz w:val="32"/>
          <w:szCs w:val="32"/>
        </w:rPr>
      </w:pPr>
    </w:p>
    <w:p w14:paraId="13CBD725">
      <w:pPr>
        <w:jc w:val="center"/>
        <w:rPr>
          <w:rFonts w:hint="eastAsia" w:ascii="宋体" w:hAnsi="宋体" w:eastAsia="宋体" w:cs="宋体"/>
          <w:b/>
          <w:kern w:val="0"/>
          <w:sz w:val="32"/>
          <w:szCs w:val="32"/>
        </w:rPr>
      </w:pPr>
    </w:p>
    <w:p w14:paraId="72E90B1B">
      <w:pPr>
        <w:jc w:val="center"/>
        <w:rPr>
          <w:rFonts w:hint="eastAsia" w:ascii="宋体" w:hAnsi="宋体" w:eastAsia="宋体" w:cs="宋体"/>
          <w:b/>
          <w:kern w:val="0"/>
          <w:sz w:val="32"/>
          <w:szCs w:val="32"/>
        </w:rPr>
      </w:pPr>
    </w:p>
    <w:p w14:paraId="53D17C7A">
      <w:pPr>
        <w:jc w:val="center"/>
        <w:rPr>
          <w:rFonts w:hint="eastAsia" w:ascii="宋体" w:hAnsi="宋体" w:eastAsia="宋体" w:cs="宋体"/>
          <w:b/>
          <w:kern w:val="0"/>
          <w:sz w:val="32"/>
          <w:szCs w:val="32"/>
        </w:rPr>
      </w:pPr>
    </w:p>
    <w:p w14:paraId="20520054">
      <w:pPr>
        <w:jc w:val="center"/>
        <w:rPr>
          <w:rFonts w:hint="eastAsia" w:ascii="宋体" w:hAnsi="宋体" w:eastAsia="宋体" w:cs="宋体"/>
          <w:b/>
          <w:kern w:val="0"/>
          <w:sz w:val="32"/>
          <w:szCs w:val="32"/>
        </w:rPr>
      </w:pPr>
    </w:p>
    <w:p w14:paraId="2DD00C10">
      <w:pPr>
        <w:jc w:val="center"/>
        <w:rPr>
          <w:rFonts w:hint="eastAsia" w:ascii="宋体" w:hAnsi="宋体" w:eastAsia="宋体" w:cs="宋体"/>
          <w:b/>
          <w:kern w:val="0"/>
          <w:sz w:val="32"/>
          <w:szCs w:val="32"/>
        </w:rPr>
      </w:pPr>
    </w:p>
    <w:p w14:paraId="6B0C7984">
      <w:pPr>
        <w:jc w:val="center"/>
        <w:rPr>
          <w:rFonts w:hint="eastAsia" w:ascii="宋体" w:hAnsi="宋体" w:eastAsia="宋体" w:cs="宋体"/>
          <w:b/>
          <w:kern w:val="0"/>
          <w:sz w:val="32"/>
          <w:szCs w:val="32"/>
        </w:rPr>
      </w:pPr>
    </w:p>
    <w:p w14:paraId="5A24E79F">
      <w:pPr>
        <w:jc w:val="center"/>
        <w:rPr>
          <w:rFonts w:hint="eastAsia" w:ascii="宋体" w:hAnsi="宋体" w:eastAsia="宋体" w:cs="宋体"/>
          <w:b/>
          <w:kern w:val="0"/>
          <w:sz w:val="32"/>
          <w:szCs w:val="32"/>
        </w:rPr>
      </w:pPr>
    </w:p>
    <w:p w14:paraId="0FB91D16">
      <w:pPr>
        <w:jc w:val="center"/>
        <w:rPr>
          <w:rFonts w:hint="eastAsia" w:ascii="宋体" w:hAnsi="宋体" w:eastAsia="宋体" w:cs="宋体"/>
          <w:b/>
          <w:kern w:val="0"/>
          <w:sz w:val="32"/>
          <w:szCs w:val="32"/>
        </w:rPr>
      </w:pPr>
    </w:p>
    <w:p w14:paraId="2CE90608">
      <w:pPr>
        <w:jc w:val="center"/>
        <w:rPr>
          <w:rFonts w:hint="eastAsia" w:ascii="宋体" w:hAnsi="宋体" w:eastAsia="宋体" w:cs="宋体"/>
          <w:b/>
          <w:kern w:val="0"/>
          <w:sz w:val="32"/>
          <w:szCs w:val="32"/>
        </w:rPr>
      </w:pPr>
    </w:p>
    <w:p w14:paraId="6DDCF81B">
      <w:pPr>
        <w:jc w:val="center"/>
        <w:rPr>
          <w:rFonts w:hint="eastAsia" w:ascii="宋体" w:hAnsi="宋体" w:eastAsia="宋体" w:cs="宋体"/>
          <w:b/>
          <w:kern w:val="0"/>
          <w:sz w:val="32"/>
          <w:szCs w:val="32"/>
        </w:rPr>
      </w:pPr>
    </w:p>
    <w:p w14:paraId="7C726AFC">
      <w:pPr>
        <w:jc w:val="center"/>
        <w:rPr>
          <w:rFonts w:hint="eastAsia" w:ascii="宋体" w:hAnsi="宋体" w:eastAsia="宋体" w:cs="宋体"/>
          <w:b/>
          <w:kern w:val="0"/>
          <w:sz w:val="32"/>
          <w:szCs w:val="32"/>
        </w:rPr>
      </w:pPr>
    </w:p>
    <w:p w14:paraId="1C6C73FB">
      <w:pPr>
        <w:jc w:val="center"/>
        <w:rPr>
          <w:rFonts w:hint="eastAsia" w:ascii="宋体" w:hAnsi="宋体" w:eastAsia="宋体" w:cs="宋体"/>
          <w:b/>
          <w:kern w:val="0"/>
          <w:sz w:val="32"/>
          <w:szCs w:val="32"/>
        </w:rPr>
      </w:pPr>
    </w:p>
    <w:p w14:paraId="57A642F5">
      <w:pPr>
        <w:jc w:val="center"/>
        <w:rPr>
          <w:rFonts w:hint="eastAsia" w:ascii="宋体" w:hAnsi="宋体" w:eastAsia="宋体" w:cs="宋体"/>
          <w:b/>
          <w:kern w:val="0"/>
          <w:sz w:val="32"/>
          <w:szCs w:val="32"/>
        </w:rPr>
      </w:pPr>
    </w:p>
    <w:p w14:paraId="0A5D89D2">
      <w:pPr>
        <w:pStyle w:val="4"/>
        <w:rPr>
          <w:rFonts w:hint="eastAsia" w:ascii="宋体" w:hAnsi="宋体" w:eastAsia="宋体" w:cs="宋体"/>
          <w:lang w:val="en-US"/>
        </w:rPr>
      </w:pPr>
    </w:p>
    <w:p w14:paraId="128BEB6C">
      <w:pPr>
        <w:jc w:val="center"/>
        <w:rPr>
          <w:rFonts w:hint="eastAsia" w:ascii="宋体" w:hAnsi="宋体" w:eastAsia="宋体" w:cs="宋体"/>
          <w:b/>
          <w:kern w:val="0"/>
          <w:sz w:val="32"/>
          <w:szCs w:val="32"/>
        </w:rPr>
      </w:pPr>
    </w:p>
    <w:p w14:paraId="2D970583">
      <w:pPr>
        <w:jc w:val="center"/>
        <w:rPr>
          <w:rFonts w:hint="eastAsia" w:ascii="宋体" w:hAnsi="宋体" w:eastAsia="宋体" w:cs="宋体"/>
          <w:b/>
          <w:kern w:val="0"/>
          <w:sz w:val="32"/>
          <w:szCs w:val="32"/>
        </w:rPr>
      </w:pPr>
    </w:p>
    <w:p w14:paraId="4738E4F4">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34BF4B4">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502B769A">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628F587B">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7D0D3236">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杭州市十三中教育集团（总校）</w:t>
      </w:r>
      <w:r>
        <w:rPr>
          <w:rFonts w:hint="eastAsia" w:ascii="宋体" w:hAnsi="宋体" w:eastAsia="宋体" w:cs="宋体"/>
          <w:sz w:val="24"/>
        </w:rPr>
        <w:t>、杭州市西湖区政府采购中心</w:t>
      </w:r>
      <w:r>
        <w:rPr>
          <w:rFonts w:hint="eastAsia" w:ascii="宋体" w:hAnsi="宋体" w:eastAsia="宋体" w:cs="宋体"/>
          <w:kern w:val="0"/>
          <w:sz w:val="24"/>
          <w:lang w:val="zh-CN"/>
        </w:rPr>
        <w:t>：</w:t>
      </w:r>
    </w:p>
    <w:p w14:paraId="07A15AC9">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杭州市十三中教育集团(总校)2025-2026年保安服务采购项目</w:t>
      </w:r>
      <w:r>
        <w:rPr>
          <w:rFonts w:hint="eastAsia" w:ascii="宋体" w:hAnsi="宋体" w:eastAsia="宋体" w:cs="宋体"/>
          <w:sz w:val="24"/>
        </w:rPr>
        <w:t>【招标编号：</w:t>
      </w:r>
      <w:r>
        <w:rPr>
          <w:rFonts w:hint="eastAsia" w:ascii="宋体" w:hAnsi="宋体" w:cs="宋体"/>
          <w:sz w:val="24"/>
          <w:lang w:eastAsia="zh-CN"/>
        </w:rPr>
        <w:t>XHZFCG-2025-G-04</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77B27A8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10F0F40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57AC1FB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77AC5F59">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6F422646">
      <w:pPr>
        <w:snapToGrid w:val="0"/>
        <w:spacing w:line="360" w:lineRule="auto"/>
        <w:rPr>
          <w:rFonts w:hint="eastAsia" w:ascii="宋体" w:hAnsi="宋体" w:eastAsia="宋体" w:cs="宋体"/>
          <w:sz w:val="24"/>
        </w:rPr>
      </w:pPr>
    </w:p>
    <w:p w14:paraId="1C247EFC">
      <w:p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20094D49">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杭州市十三中教育集团（总校）</w:t>
      </w:r>
      <w:r>
        <w:rPr>
          <w:rFonts w:hint="eastAsia" w:ascii="宋体" w:hAnsi="宋体" w:eastAsia="宋体" w:cs="宋体"/>
          <w:sz w:val="24"/>
        </w:rPr>
        <w:t>、杭州市西湖区政府采购中心</w:t>
      </w:r>
      <w:r>
        <w:rPr>
          <w:rFonts w:hint="eastAsia" w:ascii="宋体" w:hAnsi="宋体" w:eastAsia="宋体" w:cs="宋体"/>
          <w:kern w:val="0"/>
          <w:sz w:val="24"/>
          <w:lang w:val="zh-CN"/>
        </w:rPr>
        <w:t>：</w:t>
      </w:r>
    </w:p>
    <w:p w14:paraId="6351F6F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杭州市十三中教育集团(总校)2025-2026年保安服务采购项目</w:t>
      </w:r>
      <w:r>
        <w:rPr>
          <w:rFonts w:hint="eastAsia" w:ascii="宋体" w:hAnsi="宋体" w:eastAsia="宋体" w:cs="宋体"/>
          <w:sz w:val="24"/>
        </w:rPr>
        <w:t>【招标编号：</w:t>
      </w:r>
      <w:r>
        <w:rPr>
          <w:rFonts w:hint="eastAsia" w:ascii="宋体" w:hAnsi="宋体" w:cs="宋体"/>
          <w:sz w:val="24"/>
          <w:lang w:eastAsia="zh-CN"/>
        </w:rPr>
        <w:t>XHZFCG-2025-G-04</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715944C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0E5DCBFB">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0DA0585">
      <w:pPr>
        <w:rPr>
          <w:rFonts w:hint="eastAsia" w:ascii="宋体" w:hAnsi="宋体" w:eastAsia="宋体" w:cs="宋体"/>
        </w:rPr>
      </w:pPr>
    </w:p>
    <w:p w14:paraId="7D85EAC7">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313063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4F92195">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30149069">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A61B02E">
      <w:pPr>
        <w:autoSpaceDE w:val="0"/>
        <w:autoSpaceDN w:val="0"/>
        <w:spacing w:line="360" w:lineRule="auto"/>
        <w:jc w:val="left"/>
        <w:rPr>
          <w:rFonts w:hint="eastAsia" w:ascii="宋体" w:hAnsi="宋体" w:eastAsia="宋体" w:cs="宋体"/>
          <w:b/>
          <w:kern w:val="0"/>
          <w:sz w:val="32"/>
          <w:szCs w:val="32"/>
          <w:u w:val="single"/>
          <w:lang w:val="zh-CN"/>
        </w:rPr>
      </w:pPr>
      <w:r>
        <w:rPr>
          <w:rFonts w:hint="eastAsia" w:ascii="宋体" w:hAnsi="宋体" w:eastAsia="宋体" w:cs="宋体"/>
          <w:b/>
          <w:kern w:val="0"/>
          <w:sz w:val="24"/>
          <w:u w:val="single"/>
          <w:lang w:val="zh-CN"/>
        </w:rPr>
        <w:t>注：▲供应商委派不在本单位缴纳社保的人员作为授权代表（代理人）的，应当在投标（响应）文件中，说明具体原因、授权代表缴纳社保的单位，并附列该授权代表缴纳社保清单。</w:t>
      </w:r>
    </w:p>
    <w:p w14:paraId="3B403351">
      <w:pPr>
        <w:autoSpaceDE w:val="0"/>
        <w:autoSpaceDN w:val="0"/>
        <w:spacing w:line="360" w:lineRule="auto"/>
        <w:jc w:val="center"/>
        <w:rPr>
          <w:rFonts w:hint="eastAsia" w:ascii="宋体" w:hAnsi="宋体" w:eastAsia="宋体" w:cs="宋体"/>
          <w:b/>
          <w:kern w:val="0"/>
          <w:sz w:val="32"/>
          <w:szCs w:val="32"/>
          <w:lang w:val="zh-CN"/>
        </w:rPr>
      </w:pPr>
    </w:p>
    <w:p w14:paraId="3A3B9DFC">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049409F2">
      <w:pPr>
        <w:pStyle w:val="148"/>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A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B920F9">
            <w:pPr>
              <w:pStyle w:val="14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63301A2C">
            <w:pPr>
              <w:pStyle w:val="148"/>
              <w:adjustRightInd w:val="0"/>
              <w:spacing w:line="360" w:lineRule="auto"/>
              <w:rPr>
                <w:rFonts w:hint="eastAsia" w:ascii="宋体" w:hAnsi="宋体" w:eastAsia="宋体" w:cs="宋体"/>
                <w:bCs/>
                <w:sz w:val="24"/>
              </w:rPr>
            </w:pPr>
          </w:p>
        </w:tc>
      </w:tr>
    </w:tbl>
    <w:p w14:paraId="73EF09D2">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595E6F7C">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21E1E662">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0F937F9">
      <w:pPr>
        <w:jc w:val="center"/>
        <w:rPr>
          <w:rFonts w:hint="eastAsia" w:ascii="宋体" w:hAnsi="宋体" w:eastAsia="宋体" w:cs="宋体"/>
          <w:b/>
          <w:kern w:val="0"/>
          <w:sz w:val="32"/>
          <w:szCs w:val="32"/>
        </w:rPr>
      </w:pPr>
    </w:p>
    <w:p w14:paraId="49EC8E2B">
      <w:pPr>
        <w:jc w:val="center"/>
        <w:rPr>
          <w:rFonts w:hint="eastAsia" w:ascii="宋体" w:hAnsi="宋体" w:eastAsia="宋体" w:cs="宋体"/>
          <w:b/>
          <w:kern w:val="0"/>
          <w:sz w:val="32"/>
          <w:szCs w:val="32"/>
        </w:rPr>
      </w:pPr>
    </w:p>
    <w:p w14:paraId="7CD24493">
      <w:pPr>
        <w:jc w:val="center"/>
        <w:rPr>
          <w:rFonts w:hint="eastAsia" w:ascii="宋体" w:hAnsi="宋体" w:eastAsia="宋体" w:cs="宋体"/>
          <w:b/>
          <w:kern w:val="0"/>
          <w:sz w:val="32"/>
          <w:szCs w:val="32"/>
        </w:rPr>
      </w:pPr>
    </w:p>
    <w:p w14:paraId="3AF8102E">
      <w:pPr>
        <w:jc w:val="center"/>
        <w:rPr>
          <w:rFonts w:hint="eastAsia" w:ascii="宋体" w:hAnsi="宋体" w:eastAsia="宋体" w:cs="宋体"/>
          <w:b/>
          <w:kern w:val="0"/>
          <w:sz w:val="32"/>
          <w:szCs w:val="32"/>
        </w:rPr>
      </w:pPr>
    </w:p>
    <w:p w14:paraId="34F2DC27">
      <w:pPr>
        <w:jc w:val="center"/>
        <w:rPr>
          <w:rFonts w:hint="eastAsia" w:ascii="宋体" w:hAnsi="宋体" w:eastAsia="宋体" w:cs="宋体"/>
          <w:b/>
          <w:kern w:val="0"/>
          <w:sz w:val="32"/>
          <w:szCs w:val="32"/>
        </w:rPr>
      </w:pPr>
    </w:p>
    <w:p w14:paraId="610FC8F2">
      <w:pPr>
        <w:jc w:val="center"/>
        <w:rPr>
          <w:rFonts w:hint="eastAsia" w:ascii="宋体" w:hAnsi="宋体" w:eastAsia="宋体" w:cs="宋体"/>
          <w:b/>
          <w:kern w:val="0"/>
          <w:sz w:val="32"/>
          <w:szCs w:val="32"/>
        </w:rPr>
      </w:pPr>
    </w:p>
    <w:p w14:paraId="1E390D98">
      <w:pPr>
        <w:jc w:val="center"/>
        <w:rPr>
          <w:rFonts w:hint="eastAsia" w:ascii="宋体" w:hAnsi="宋体" w:eastAsia="宋体" w:cs="宋体"/>
          <w:b/>
          <w:kern w:val="0"/>
          <w:sz w:val="32"/>
          <w:szCs w:val="32"/>
        </w:rPr>
      </w:pPr>
    </w:p>
    <w:p w14:paraId="6FF01794">
      <w:pPr>
        <w:jc w:val="center"/>
        <w:rPr>
          <w:rFonts w:hint="eastAsia" w:ascii="宋体" w:hAnsi="宋体" w:eastAsia="宋体" w:cs="宋体"/>
          <w:b/>
          <w:kern w:val="0"/>
          <w:sz w:val="32"/>
          <w:szCs w:val="32"/>
        </w:rPr>
      </w:pPr>
    </w:p>
    <w:p w14:paraId="59A869C3">
      <w:pPr>
        <w:jc w:val="center"/>
        <w:rPr>
          <w:rFonts w:hint="eastAsia" w:ascii="宋体" w:hAnsi="宋体" w:eastAsia="宋体" w:cs="宋体"/>
          <w:b/>
          <w:kern w:val="0"/>
          <w:sz w:val="32"/>
          <w:szCs w:val="32"/>
        </w:rPr>
      </w:pPr>
    </w:p>
    <w:p w14:paraId="436DAD7C">
      <w:pPr>
        <w:jc w:val="center"/>
        <w:rPr>
          <w:rFonts w:hint="eastAsia" w:ascii="宋体" w:hAnsi="宋体" w:eastAsia="宋体" w:cs="宋体"/>
          <w:b/>
          <w:kern w:val="0"/>
          <w:sz w:val="32"/>
          <w:szCs w:val="32"/>
        </w:rPr>
      </w:pPr>
    </w:p>
    <w:p w14:paraId="1504B458">
      <w:pPr>
        <w:snapToGrid w:val="0"/>
        <w:spacing w:line="360" w:lineRule="auto"/>
        <w:ind w:right="480"/>
        <w:rPr>
          <w:rFonts w:hint="eastAsia" w:ascii="宋体" w:hAnsi="宋体" w:eastAsia="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53C2038">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10385268">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p w14:paraId="3377923F">
      <w:pPr>
        <w:snapToGrid w:val="0"/>
        <w:spacing w:line="360" w:lineRule="auto"/>
        <w:rPr>
          <w:rFonts w:hint="eastAsia" w:ascii="宋体" w:hAnsi="宋体" w:eastAsia="宋体" w:cs="宋体"/>
          <w:kern w:val="0"/>
          <w:sz w:val="24"/>
        </w:rPr>
      </w:pPr>
    </w:p>
    <w:p w14:paraId="126A13DC">
      <w:pPr>
        <w:jc w:val="center"/>
        <w:rPr>
          <w:rFonts w:hint="eastAsia" w:ascii="宋体" w:hAnsi="宋体" w:eastAsia="宋体" w:cs="宋体"/>
          <w:b/>
          <w:kern w:val="0"/>
          <w:sz w:val="32"/>
          <w:szCs w:val="32"/>
        </w:rPr>
      </w:pPr>
    </w:p>
    <w:p w14:paraId="62B8D6C9">
      <w:pPr>
        <w:jc w:val="center"/>
        <w:rPr>
          <w:rFonts w:hint="eastAsia" w:ascii="宋体" w:hAnsi="宋体" w:eastAsia="宋体" w:cs="宋体"/>
          <w:b/>
          <w:kern w:val="0"/>
          <w:sz w:val="32"/>
          <w:szCs w:val="32"/>
        </w:rPr>
      </w:pPr>
    </w:p>
    <w:p w14:paraId="498805AC">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4E624B6A">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C6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C713D0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472C8A48">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6AAB8F4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2E75ACE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296BAA3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EA1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336BC9">
            <w:pPr>
              <w:jc w:val="center"/>
              <w:rPr>
                <w:rFonts w:hint="eastAsia" w:ascii="宋体" w:hAnsi="宋体" w:eastAsia="宋体" w:cs="宋体"/>
                <w:sz w:val="24"/>
              </w:rPr>
            </w:pPr>
            <w:r>
              <w:rPr>
                <w:rFonts w:hint="eastAsia" w:ascii="宋体" w:hAnsi="宋体" w:eastAsia="宋体" w:cs="宋体"/>
                <w:sz w:val="24"/>
              </w:rPr>
              <w:t>1</w:t>
            </w:r>
          </w:p>
        </w:tc>
        <w:tc>
          <w:tcPr>
            <w:tcW w:w="4991" w:type="dxa"/>
            <w:vAlign w:val="center"/>
          </w:tcPr>
          <w:p w14:paraId="1547F2A7">
            <w:pPr>
              <w:spacing w:line="360" w:lineRule="auto"/>
              <w:jc w:val="center"/>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7C3D4FEB">
            <w:pPr>
              <w:jc w:val="cente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center"/>
          </w:tcPr>
          <w:p w14:paraId="7BAA09E0">
            <w:pPr>
              <w:jc w:val="center"/>
              <w:rPr>
                <w:rFonts w:hint="eastAsia" w:ascii="宋体" w:hAnsi="宋体" w:eastAsia="宋体" w:cs="宋体"/>
                <w:sz w:val="24"/>
              </w:rPr>
            </w:pPr>
          </w:p>
          <w:p w14:paraId="53C4E39D">
            <w:pPr>
              <w:jc w:val="center"/>
              <w:rPr>
                <w:rFonts w:hint="eastAsia" w:ascii="宋体" w:hAnsi="宋体" w:eastAsia="宋体" w:cs="宋体"/>
                <w:sz w:val="24"/>
              </w:rPr>
            </w:pPr>
            <w:r>
              <w:rPr>
                <w:rFonts w:hint="eastAsia" w:ascii="宋体" w:hAnsi="宋体" w:eastAsia="宋体" w:cs="宋体"/>
                <w:sz w:val="24"/>
              </w:rPr>
              <w:t>见投标文件</w:t>
            </w:r>
          </w:p>
          <w:p w14:paraId="17C993C1">
            <w:pPr>
              <w:jc w:val="cente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503D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887E2C">
            <w:pPr>
              <w:jc w:val="center"/>
              <w:rPr>
                <w:rFonts w:hint="eastAsia" w:ascii="宋体" w:hAnsi="宋体" w:eastAsia="宋体" w:cs="宋体"/>
                <w:sz w:val="24"/>
              </w:rPr>
            </w:pPr>
            <w:r>
              <w:rPr>
                <w:rFonts w:hint="eastAsia" w:ascii="宋体" w:hAnsi="宋体" w:eastAsia="宋体" w:cs="宋体"/>
                <w:sz w:val="24"/>
              </w:rPr>
              <w:t>2</w:t>
            </w:r>
          </w:p>
        </w:tc>
        <w:tc>
          <w:tcPr>
            <w:tcW w:w="4991" w:type="dxa"/>
            <w:vAlign w:val="center"/>
          </w:tcPr>
          <w:p w14:paraId="57B37C2C">
            <w:pPr>
              <w:spacing w:line="360" w:lineRule="auto"/>
              <w:jc w:val="center"/>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22DA169E">
            <w:pPr>
              <w:jc w:val="center"/>
              <w:rPr>
                <w:rFonts w:hint="eastAsia" w:ascii="宋体" w:hAnsi="宋体" w:eastAsia="宋体" w:cs="宋体"/>
                <w:sz w:val="24"/>
              </w:rPr>
            </w:pPr>
            <w:r>
              <w:rPr>
                <w:rFonts w:hint="eastAsia" w:ascii="宋体" w:hAnsi="宋体" w:eastAsia="宋体" w:cs="宋体"/>
                <w:sz w:val="24"/>
              </w:rPr>
              <w:t>投标函</w:t>
            </w:r>
          </w:p>
        </w:tc>
        <w:tc>
          <w:tcPr>
            <w:tcW w:w="1418" w:type="dxa"/>
            <w:vAlign w:val="center"/>
          </w:tcPr>
          <w:p w14:paraId="56919199">
            <w:pPr>
              <w:jc w:val="cente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7DD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6DD93E">
            <w:pPr>
              <w:jc w:val="center"/>
              <w:rPr>
                <w:rFonts w:hint="eastAsia" w:ascii="宋体" w:hAnsi="宋体" w:eastAsia="宋体" w:cs="宋体"/>
                <w:sz w:val="24"/>
              </w:rPr>
            </w:pPr>
            <w:r>
              <w:rPr>
                <w:rFonts w:hint="eastAsia" w:ascii="宋体" w:hAnsi="宋体" w:eastAsia="宋体" w:cs="宋体"/>
                <w:sz w:val="24"/>
              </w:rPr>
              <w:t>3</w:t>
            </w:r>
          </w:p>
        </w:tc>
        <w:tc>
          <w:tcPr>
            <w:tcW w:w="4991" w:type="dxa"/>
            <w:vAlign w:val="center"/>
          </w:tcPr>
          <w:p w14:paraId="1CBF7094">
            <w:pPr>
              <w:spacing w:line="360" w:lineRule="auto"/>
              <w:jc w:val="center"/>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303A8EB2">
            <w:pPr>
              <w:jc w:val="cente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vAlign w:val="center"/>
          </w:tcPr>
          <w:p w14:paraId="19D45A82">
            <w:pPr>
              <w:jc w:val="cente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44D5A82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ED4B9DA">
      <w:pPr>
        <w:jc w:val="center"/>
        <w:rPr>
          <w:rFonts w:hint="eastAsia" w:ascii="宋体" w:hAnsi="宋体" w:eastAsia="宋体" w:cs="宋体"/>
          <w:b/>
          <w:kern w:val="0"/>
          <w:sz w:val="32"/>
          <w:szCs w:val="32"/>
        </w:rPr>
      </w:pPr>
    </w:p>
    <w:p w14:paraId="211854C0">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33D9695D">
      <w:pPr>
        <w:jc w:val="center"/>
        <w:rPr>
          <w:rFonts w:hint="eastAsia" w:ascii="宋体" w:hAnsi="宋体" w:eastAsia="宋体" w:cs="宋体"/>
          <w:b/>
          <w:kern w:val="0"/>
          <w:sz w:val="32"/>
          <w:szCs w:val="32"/>
        </w:rPr>
      </w:pPr>
    </w:p>
    <w:p w14:paraId="559ACED8">
      <w:pPr>
        <w:jc w:val="center"/>
        <w:rPr>
          <w:rFonts w:hint="eastAsia" w:ascii="宋体" w:hAnsi="宋体" w:eastAsia="宋体" w:cs="宋体"/>
          <w:b/>
          <w:kern w:val="0"/>
          <w:sz w:val="32"/>
          <w:szCs w:val="32"/>
        </w:rPr>
      </w:pPr>
    </w:p>
    <w:p w14:paraId="333F8D16">
      <w:pPr>
        <w:jc w:val="center"/>
        <w:rPr>
          <w:rFonts w:hint="eastAsia" w:ascii="宋体" w:hAnsi="宋体" w:eastAsia="宋体" w:cs="宋体"/>
          <w:b/>
          <w:kern w:val="0"/>
          <w:sz w:val="32"/>
          <w:szCs w:val="32"/>
        </w:rPr>
      </w:pPr>
    </w:p>
    <w:p w14:paraId="4A1DE062">
      <w:pPr>
        <w:jc w:val="center"/>
        <w:rPr>
          <w:rFonts w:hint="eastAsia" w:ascii="宋体" w:hAnsi="宋体" w:eastAsia="宋体" w:cs="宋体"/>
          <w:b/>
          <w:kern w:val="0"/>
          <w:sz w:val="32"/>
          <w:szCs w:val="32"/>
        </w:rPr>
      </w:pPr>
    </w:p>
    <w:p w14:paraId="1DDABB9A">
      <w:pPr>
        <w:jc w:val="center"/>
        <w:rPr>
          <w:rFonts w:hint="eastAsia" w:ascii="宋体" w:hAnsi="宋体" w:eastAsia="宋体" w:cs="宋体"/>
          <w:b/>
          <w:kern w:val="0"/>
          <w:sz w:val="32"/>
          <w:szCs w:val="32"/>
        </w:rPr>
      </w:pPr>
    </w:p>
    <w:p w14:paraId="64F2FEDD">
      <w:pPr>
        <w:jc w:val="center"/>
        <w:rPr>
          <w:rFonts w:hint="eastAsia" w:ascii="宋体" w:hAnsi="宋体" w:eastAsia="宋体" w:cs="宋体"/>
          <w:b/>
          <w:kern w:val="0"/>
          <w:sz w:val="32"/>
          <w:szCs w:val="32"/>
        </w:rPr>
      </w:pPr>
    </w:p>
    <w:p w14:paraId="222DA30B">
      <w:pPr>
        <w:jc w:val="center"/>
        <w:rPr>
          <w:rFonts w:hint="eastAsia" w:ascii="宋体" w:hAnsi="宋体" w:eastAsia="宋体" w:cs="宋体"/>
          <w:b/>
          <w:kern w:val="0"/>
          <w:sz w:val="32"/>
          <w:szCs w:val="32"/>
        </w:rPr>
      </w:pPr>
    </w:p>
    <w:p w14:paraId="14980C43">
      <w:pPr>
        <w:jc w:val="center"/>
        <w:rPr>
          <w:rFonts w:hint="eastAsia" w:ascii="宋体" w:hAnsi="宋体" w:eastAsia="宋体" w:cs="宋体"/>
          <w:b/>
          <w:kern w:val="0"/>
          <w:sz w:val="32"/>
          <w:szCs w:val="32"/>
        </w:rPr>
      </w:pPr>
    </w:p>
    <w:p w14:paraId="4C3D7CBD">
      <w:pPr>
        <w:jc w:val="center"/>
        <w:rPr>
          <w:rFonts w:hint="eastAsia" w:ascii="宋体" w:hAnsi="宋体" w:eastAsia="宋体" w:cs="宋体"/>
          <w:b/>
          <w:kern w:val="0"/>
          <w:sz w:val="32"/>
          <w:szCs w:val="32"/>
        </w:rPr>
      </w:pPr>
    </w:p>
    <w:p w14:paraId="6D00335C">
      <w:pPr>
        <w:jc w:val="center"/>
        <w:rPr>
          <w:rFonts w:hint="eastAsia" w:ascii="宋体" w:hAnsi="宋体" w:eastAsia="宋体" w:cs="宋体"/>
          <w:b/>
          <w:kern w:val="0"/>
          <w:sz w:val="32"/>
          <w:szCs w:val="32"/>
        </w:rPr>
      </w:pPr>
    </w:p>
    <w:p w14:paraId="34CCA538">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3D2BB597">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0F4A89F0">
      <w:pPr>
        <w:jc w:val="center"/>
        <w:rPr>
          <w:rFonts w:hint="eastAsia" w:ascii="宋体" w:hAnsi="宋体" w:eastAsia="宋体" w:cs="宋体"/>
          <w:b/>
          <w:kern w:val="0"/>
          <w:sz w:val="32"/>
          <w:szCs w:val="32"/>
        </w:rPr>
      </w:pPr>
    </w:p>
    <w:p w14:paraId="4C0DE983">
      <w:pPr>
        <w:jc w:val="center"/>
        <w:rPr>
          <w:rFonts w:hint="eastAsia" w:ascii="宋体" w:hAnsi="宋体" w:eastAsia="宋体" w:cs="宋体"/>
          <w:b/>
          <w:kern w:val="0"/>
          <w:sz w:val="32"/>
          <w:szCs w:val="32"/>
        </w:rPr>
      </w:pPr>
    </w:p>
    <w:p w14:paraId="58494C76">
      <w:pPr>
        <w:jc w:val="center"/>
        <w:rPr>
          <w:rFonts w:hint="eastAsia" w:ascii="宋体" w:hAnsi="宋体" w:eastAsia="宋体" w:cs="宋体"/>
          <w:b/>
          <w:kern w:val="0"/>
          <w:sz w:val="32"/>
          <w:szCs w:val="32"/>
        </w:rPr>
      </w:pPr>
    </w:p>
    <w:p w14:paraId="7E06BED2">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80F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18F82C">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D6D0956">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CC75942">
            <w:pPr>
              <w:spacing w:line="360" w:lineRule="auto"/>
              <w:jc w:val="center"/>
              <w:rPr>
                <w:rFonts w:hint="eastAsia" w:ascii="宋体" w:hAnsi="宋体" w:eastAsia="宋体" w:cs="宋体"/>
                <w:b/>
                <w:sz w:val="24"/>
              </w:rPr>
            </w:pPr>
          </w:p>
          <w:p w14:paraId="53889274">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61B5CC2">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4D9025E">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04AD9C0">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A7DE730">
            <w:pPr>
              <w:spacing w:line="360" w:lineRule="auto"/>
              <w:jc w:val="center"/>
              <w:rPr>
                <w:rFonts w:hint="eastAsia" w:ascii="宋体" w:hAnsi="宋体" w:eastAsia="宋体" w:cs="宋体"/>
                <w:b/>
                <w:sz w:val="24"/>
              </w:rPr>
            </w:pPr>
          </w:p>
          <w:p w14:paraId="43A87F4B">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07085C91">
            <w:pPr>
              <w:spacing w:line="360" w:lineRule="auto"/>
              <w:jc w:val="center"/>
              <w:rPr>
                <w:rFonts w:hint="eastAsia" w:ascii="宋体" w:hAnsi="宋体" w:eastAsia="宋体" w:cs="宋体"/>
                <w:b/>
                <w:sz w:val="24"/>
              </w:rPr>
            </w:pPr>
          </w:p>
        </w:tc>
      </w:tr>
      <w:tr w14:paraId="7C71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1B156C">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757843C">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BB23C2">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9D0E94">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4F6BD9">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377922">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AC098FF">
            <w:pPr>
              <w:spacing w:line="360" w:lineRule="auto"/>
              <w:jc w:val="center"/>
              <w:rPr>
                <w:rFonts w:hint="eastAsia" w:ascii="宋体" w:hAnsi="宋体" w:eastAsia="宋体" w:cs="宋体"/>
                <w:sz w:val="24"/>
              </w:rPr>
            </w:pPr>
          </w:p>
        </w:tc>
      </w:tr>
      <w:tr w14:paraId="54AF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3F34D1">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C20663">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9EE5245">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346855">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59E6D0">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FB7617">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BAAE6B">
            <w:pPr>
              <w:spacing w:line="360" w:lineRule="auto"/>
              <w:jc w:val="center"/>
              <w:rPr>
                <w:rFonts w:hint="eastAsia" w:ascii="宋体" w:hAnsi="宋体" w:eastAsia="宋体" w:cs="宋体"/>
                <w:sz w:val="24"/>
              </w:rPr>
            </w:pPr>
          </w:p>
        </w:tc>
      </w:tr>
      <w:tr w14:paraId="3197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0D865D">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F6F13F0">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09AA47">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4B0262">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BFAB62">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54DDE06">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A230B2B">
            <w:pPr>
              <w:spacing w:line="360" w:lineRule="auto"/>
              <w:jc w:val="center"/>
              <w:rPr>
                <w:rFonts w:hint="eastAsia" w:ascii="宋体" w:hAnsi="宋体" w:eastAsia="宋体" w:cs="宋体"/>
                <w:sz w:val="24"/>
              </w:rPr>
            </w:pPr>
          </w:p>
        </w:tc>
      </w:tr>
    </w:tbl>
    <w:p w14:paraId="46312E7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633387D">
      <w:pPr>
        <w:jc w:val="center"/>
        <w:rPr>
          <w:rFonts w:hint="eastAsia" w:ascii="宋体" w:hAnsi="宋体" w:eastAsia="宋体" w:cs="宋体"/>
          <w:b/>
          <w:kern w:val="0"/>
          <w:sz w:val="32"/>
          <w:szCs w:val="32"/>
        </w:rPr>
      </w:pPr>
    </w:p>
    <w:p w14:paraId="2CC29A74">
      <w:pPr>
        <w:jc w:val="center"/>
        <w:rPr>
          <w:rFonts w:hint="eastAsia" w:ascii="宋体" w:hAnsi="宋体" w:eastAsia="宋体" w:cs="宋体"/>
          <w:b/>
          <w:kern w:val="0"/>
          <w:sz w:val="32"/>
          <w:szCs w:val="32"/>
        </w:rPr>
      </w:pPr>
    </w:p>
    <w:p w14:paraId="04F553BC">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458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24FF635">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54E78707">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775DF746">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6F7A0277">
            <w:pPr>
              <w:jc w:val="center"/>
              <w:rPr>
                <w:rFonts w:hint="eastAsia" w:ascii="宋体" w:hAnsi="宋体" w:eastAsia="宋体" w:cs="宋体"/>
                <w:b/>
                <w:bCs/>
                <w:sz w:val="24"/>
              </w:rPr>
            </w:pPr>
            <w:r>
              <w:rPr>
                <w:rFonts w:hint="eastAsia" w:ascii="宋体" w:hAnsi="宋体" w:eastAsia="宋体" w:cs="宋体"/>
                <w:b/>
                <w:bCs/>
                <w:sz w:val="24"/>
              </w:rPr>
              <w:t>偏离说明</w:t>
            </w:r>
          </w:p>
        </w:tc>
      </w:tr>
      <w:tr w14:paraId="7DE5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EA9ED2">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5FB0CEE8">
            <w:pPr>
              <w:jc w:val="center"/>
              <w:rPr>
                <w:rFonts w:hint="eastAsia" w:ascii="宋体" w:hAnsi="宋体" w:eastAsia="宋体" w:cs="宋体"/>
                <w:b/>
                <w:kern w:val="0"/>
                <w:sz w:val="32"/>
                <w:szCs w:val="32"/>
              </w:rPr>
            </w:pPr>
          </w:p>
        </w:tc>
        <w:tc>
          <w:tcPr>
            <w:tcW w:w="3546" w:type="dxa"/>
          </w:tcPr>
          <w:p w14:paraId="3CFC849D">
            <w:pPr>
              <w:jc w:val="center"/>
              <w:rPr>
                <w:rFonts w:hint="eastAsia" w:ascii="宋体" w:hAnsi="宋体" w:eastAsia="宋体" w:cs="宋体"/>
                <w:b/>
                <w:kern w:val="0"/>
                <w:sz w:val="32"/>
                <w:szCs w:val="32"/>
              </w:rPr>
            </w:pPr>
          </w:p>
        </w:tc>
        <w:tc>
          <w:tcPr>
            <w:tcW w:w="1276" w:type="dxa"/>
          </w:tcPr>
          <w:p w14:paraId="46E5E5E2">
            <w:pPr>
              <w:jc w:val="center"/>
              <w:rPr>
                <w:rFonts w:hint="eastAsia" w:ascii="宋体" w:hAnsi="宋体" w:eastAsia="宋体" w:cs="宋体"/>
                <w:b/>
                <w:kern w:val="0"/>
                <w:sz w:val="32"/>
                <w:szCs w:val="32"/>
              </w:rPr>
            </w:pPr>
          </w:p>
        </w:tc>
      </w:tr>
      <w:tr w14:paraId="7E1B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93B0FC">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FB576A4">
            <w:pPr>
              <w:jc w:val="center"/>
              <w:rPr>
                <w:rFonts w:hint="eastAsia" w:ascii="宋体" w:hAnsi="宋体" w:eastAsia="宋体" w:cs="宋体"/>
                <w:b/>
                <w:kern w:val="0"/>
                <w:sz w:val="32"/>
                <w:szCs w:val="32"/>
              </w:rPr>
            </w:pPr>
          </w:p>
        </w:tc>
        <w:tc>
          <w:tcPr>
            <w:tcW w:w="3546" w:type="dxa"/>
          </w:tcPr>
          <w:p w14:paraId="1F175553">
            <w:pPr>
              <w:jc w:val="center"/>
              <w:rPr>
                <w:rFonts w:hint="eastAsia" w:ascii="宋体" w:hAnsi="宋体" w:eastAsia="宋体" w:cs="宋体"/>
                <w:b/>
                <w:kern w:val="0"/>
                <w:sz w:val="32"/>
                <w:szCs w:val="32"/>
              </w:rPr>
            </w:pPr>
          </w:p>
        </w:tc>
        <w:tc>
          <w:tcPr>
            <w:tcW w:w="1276" w:type="dxa"/>
          </w:tcPr>
          <w:p w14:paraId="37274A10">
            <w:pPr>
              <w:jc w:val="center"/>
              <w:rPr>
                <w:rFonts w:hint="eastAsia" w:ascii="宋体" w:hAnsi="宋体" w:eastAsia="宋体" w:cs="宋体"/>
                <w:b/>
                <w:kern w:val="0"/>
                <w:sz w:val="32"/>
                <w:szCs w:val="32"/>
              </w:rPr>
            </w:pPr>
          </w:p>
        </w:tc>
      </w:tr>
      <w:tr w14:paraId="7115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7FD84C">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1A9206E4">
            <w:pPr>
              <w:jc w:val="center"/>
              <w:rPr>
                <w:rFonts w:hint="eastAsia" w:ascii="宋体" w:hAnsi="宋体" w:eastAsia="宋体" w:cs="宋体"/>
                <w:b/>
                <w:kern w:val="0"/>
                <w:sz w:val="32"/>
                <w:szCs w:val="32"/>
              </w:rPr>
            </w:pPr>
          </w:p>
        </w:tc>
        <w:tc>
          <w:tcPr>
            <w:tcW w:w="3546" w:type="dxa"/>
          </w:tcPr>
          <w:p w14:paraId="076F1B8F">
            <w:pPr>
              <w:jc w:val="center"/>
              <w:rPr>
                <w:rFonts w:hint="eastAsia" w:ascii="宋体" w:hAnsi="宋体" w:eastAsia="宋体" w:cs="宋体"/>
                <w:b/>
                <w:kern w:val="0"/>
                <w:sz w:val="32"/>
                <w:szCs w:val="32"/>
              </w:rPr>
            </w:pPr>
          </w:p>
        </w:tc>
        <w:tc>
          <w:tcPr>
            <w:tcW w:w="1276" w:type="dxa"/>
          </w:tcPr>
          <w:p w14:paraId="3DC1D26D">
            <w:pPr>
              <w:jc w:val="center"/>
              <w:rPr>
                <w:rFonts w:hint="eastAsia" w:ascii="宋体" w:hAnsi="宋体" w:eastAsia="宋体" w:cs="宋体"/>
                <w:b/>
                <w:kern w:val="0"/>
                <w:sz w:val="32"/>
                <w:szCs w:val="32"/>
              </w:rPr>
            </w:pPr>
          </w:p>
        </w:tc>
      </w:tr>
    </w:tbl>
    <w:p w14:paraId="530ABF1E">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6E065FC5">
      <w:pPr>
        <w:jc w:val="center"/>
        <w:rPr>
          <w:rFonts w:hint="eastAsia" w:ascii="宋体" w:hAnsi="宋体" w:eastAsia="宋体" w:cs="宋体"/>
          <w:b/>
          <w:kern w:val="0"/>
          <w:sz w:val="32"/>
          <w:szCs w:val="32"/>
        </w:rPr>
      </w:pPr>
    </w:p>
    <w:p w14:paraId="2EC6775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102439E">
      <w:pPr>
        <w:ind w:firstLine="1911" w:firstLineChars="595"/>
        <w:rPr>
          <w:rFonts w:hint="eastAsia" w:ascii="宋体" w:hAnsi="宋体" w:eastAsia="宋体" w:cs="宋体"/>
          <w:b/>
          <w:bCs/>
          <w:sz w:val="32"/>
          <w:szCs w:val="32"/>
        </w:rPr>
      </w:pPr>
    </w:p>
    <w:p w14:paraId="47086D4C">
      <w:pPr>
        <w:ind w:firstLine="1911" w:firstLineChars="595"/>
        <w:rPr>
          <w:rFonts w:hint="eastAsia" w:ascii="宋体" w:hAnsi="宋体" w:eastAsia="宋体" w:cs="宋体"/>
          <w:b/>
          <w:bCs/>
          <w:sz w:val="32"/>
          <w:szCs w:val="32"/>
        </w:rPr>
      </w:pPr>
    </w:p>
    <w:p w14:paraId="1CB54763">
      <w:pPr>
        <w:ind w:firstLine="1911" w:firstLineChars="595"/>
        <w:rPr>
          <w:rFonts w:hint="eastAsia" w:ascii="宋体" w:hAnsi="宋体" w:eastAsia="宋体" w:cs="宋体"/>
          <w:b/>
          <w:bCs/>
          <w:sz w:val="32"/>
          <w:szCs w:val="32"/>
        </w:rPr>
      </w:pPr>
    </w:p>
    <w:p w14:paraId="1939B9A7">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21F53FBA">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54523485">
      <w:pPr>
        <w:snapToGrid w:val="0"/>
        <w:spacing w:line="360" w:lineRule="auto"/>
        <w:rPr>
          <w:rFonts w:hint="eastAsia" w:ascii="宋体" w:hAnsi="宋体" w:eastAsia="宋体" w:cs="宋体"/>
          <w:sz w:val="24"/>
        </w:rPr>
      </w:pPr>
    </w:p>
    <w:p w14:paraId="3749884C">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杭州市十三中教育集团（总校）</w:t>
      </w:r>
      <w:r>
        <w:rPr>
          <w:rFonts w:hint="eastAsia" w:ascii="宋体" w:hAnsi="宋体" w:eastAsia="宋体" w:cs="宋体"/>
          <w:sz w:val="24"/>
        </w:rPr>
        <w:t>、杭州市西湖区政府采购中心</w:t>
      </w:r>
      <w:r>
        <w:rPr>
          <w:rFonts w:hint="eastAsia" w:ascii="宋体" w:hAnsi="宋体" w:eastAsia="宋体" w:cs="宋体"/>
          <w:kern w:val="0"/>
          <w:sz w:val="24"/>
          <w:lang w:val="zh-CN"/>
        </w:rPr>
        <w:t>：</w:t>
      </w:r>
    </w:p>
    <w:p w14:paraId="3D919C1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29D9841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7EC9CD2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60E693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3FD0096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1349A80">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6771369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6709515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271D599">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6033069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712A3C75">
      <w:pPr>
        <w:autoSpaceDE w:val="0"/>
        <w:autoSpaceDN w:val="0"/>
        <w:spacing w:line="360" w:lineRule="auto"/>
        <w:ind w:left="2"/>
        <w:jc w:val="left"/>
        <w:rPr>
          <w:rFonts w:hint="eastAsia" w:ascii="宋体" w:hAnsi="宋体" w:eastAsia="宋体" w:cs="宋体"/>
          <w:kern w:val="0"/>
          <w:sz w:val="24"/>
          <w:lang w:val="zh-CN"/>
        </w:rPr>
      </w:pPr>
    </w:p>
    <w:p w14:paraId="2E942D6C">
      <w:pPr>
        <w:autoSpaceDE w:val="0"/>
        <w:autoSpaceDN w:val="0"/>
        <w:spacing w:line="360" w:lineRule="auto"/>
        <w:ind w:left="2"/>
        <w:jc w:val="left"/>
        <w:rPr>
          <w:rFonts w:hint="eastAsia" w:ascii="宋体" w:hAnsi="宋体" w:eastAsia="宋体" w:cs="宋体"/>
          <w:kern w:val="0"/>
          <w:sz w:val="24"/>
          <w:lang w:val="zh-CN"/>
        </w:rPr>
      </w:pPr>
    </w:p>
    <w:p w14:paraId="494EF6BE">
      <w:pPr>
        <w:autoSpaceDE w:val="0"/>
        <w:autoSpaceDN w:val="0"/>
        <w:spacing w:line="360" w:lineRule="auto"/>
        <w:ind w:left="2"/>
        <w:jc w:val="left"/>
        <w:rPr>
          <w:rFonts w:hint="eastAsia" w:ascii="宋体" w:hAnsi="宋体" w:eastAsia="宋体" w:cs="宋体"/>
          <w:kern w:val="0"/>
          <w:sz w:val="24"/>
          <w:lang w:val="zh-CN"/>
        </w:rPr>
      </w:pPr>
    </w:p>
    <w:p w14:paraId="4E470016">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394E9F4">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5A75404">
      <w:pPr>
        <w:spacing w:line="360" w:lineRule="auto"/>
        <w:jc w:val="center"/>
        <w:rPr>
          <w:rFonts w:hint="eastAsia" w:ascii="宋体" w:hAnsi="宋体" w:eastAsia="宋体" w:cs="宋体"/>
          <w:b/>
          <w:bCs/>
          <w:sz w:val="24"/>
        </w:rPr>
      </w:pPr>
    </w:p>
    <w:p w14:paraId="3E44EB9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EEFC036">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CE83F3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595591D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2FC64C1">
      <w:pPr>
        <w:spacing w:line="360" w:lineRule="auto"/>
        <w:jc w:val="center"/>
        <w:outlineLvl w:val="0"/>
        <w:rPr>
          <w:rFonts w:hint="eastAsia" w:ascii="宋体" w:hAnsi="宋体" w:eastAsia="宋体" w:cs="宋体"/>
          <w:b/>
          <w:kern w:val="0"/>
          <w:sz w:val="36"/>
          <w:szCs w:val="36"/>
        </w:rPr>
      </w:pPr>
    </w:p>
    <w:p w14:paraId="63C3A671">
      <w:pPr>
        <w:snapToGrid w:val="0"/>
        <w:spacing w:line="360" w:lineRule="auto"/>
        <w:rPr>
          <w:rFonts w:hint="eastAsia" w:ascii="宋体" w:hAnsi="宋体" w:eastAsia="宋体" w:cs="宋体"/>
          <w:b/>
          <w:kern w:val="0"/>
          <w:sz w:val="32"/>
          <w:szCs w:val="32"/>
        </w:rPr>
      </w:pPr>
      <w:r>
        <w:rPr>
          <w:rFonts w:hint="eastAsia" w:ascii="宋体" w:hAnsi="宋体" w:eastAsia="宋体" w:cs="宋体"/>
          <w:sz w:val="24"/>
        </w:rPr>
        <w:t>（1）开标一览表（报价表）………………………………………………………（页码）</w:t>
      </w:r>
    </w:p>
    <w:p w14:paraId="6C5AAE26">
      <w:pPr>
        <w:snapToGrid w:val="0"/>
        <w:spacing w:line="360" w:lineRule="auto"/>
        <w:ind w:right="480"/>
        <w:jc w:val="center"/>
        <w:rPr>
          <w:rFonts w:hint="eastAsia" w:ascii="宋体" w:hAnsi="宋体" w:eastAsia="宋体" w:cs="宋体"/>
          <w:b/>
          <w:kern w:val="0"/>
          <w:sz w:val="32"/>
          <w:szCs w:val="32"/>
        </w:rPr>
      </w:pPr>
    </w:p>
    <w:p w14:paraId="7A5C91EF">
      <w:pPr>
        <w:snapToGrid w:val="0"/>
        <w:spacing w:line="360" w:lineRule="auto"/>
        <w:ind w:right="480"/>
        <w:jc w:val="center"/>
        <w:rPr>
          <w:rFonts w:hint="eastAsia" w:ascii="宋体" w:hAnsi="宋体" w:eastAsia="宋体" w:cs="宋体"/>
          <w:b/>
          <w:kern w:val="0"/>
          <w:sz w:val="32"/>
          <w:szCs w:val="32"/>
        </w:rPr>
      </w:pPr>
    </w:p>
    <w:p w14:paraId="69490EF8">
      <w:pPr>
        <w:snapToGrid w:val="0"/>
        <w:spacing w:line="360" w:lineRule="auto"/>
        <w:ind w:right="480"/>
        <w:jc w:val="center"/>
        <w:rPr>
          <w:rFonts w:hint="eastAsia" w:ascii="宋体" w:hAnsi="宋体" w:eastAsia="宋体" w:cs="宋体"/>
          <w:b/>
          <w:kern w:val="0"/>
          <w:sz w:val="32"/>
          <w:szCs w:val="32"/>
        </w:rPr>
      </w:pPr>
    </w:p>
    <w:p w14:paraId="27E2DB88">
      <w:pPr>
        <w:snapToGrid w:val="0"/>
        <w:spacing w:line="360" w:lineRule="auto"/>
        <w:ind w:right="480"/>
        <w:jc w:val="center"/>
        <w:rPr>
          <w:rFonts w:hint="eastAsia" w:ascii="宋体" w:hAnsi="宋体" w:eastAsia="宋体" w:cs="宋体"/>
          <w:b/>
          <w:kern w:val="0"/>
          <w:sz w:val="32"/>
          <w:szCs w:val="32"/>
        </w:rPr>
      </w:pPr>
    </w:p>
    <w:p w14:paraId="2DF11ECD">
      <w:pPr>
        <w:snapToGrid w:val="0"/>
        <w:spacing w:line="360" w:lineRule="auto"/>
        <w:ind w:right="480"/>
        <w:jc w:val="center"/>
        <w:rPr>
          <w:rFonts w:hint="eastAsia" w:ascii="宋体" w:hAnsi="宋体" w:eastAsia="宋体" w:cs="宋体"/>
          <w:b/>
          <w:kern w:val="0"/>
          <w:sz w:val="32"/>
          <w:szCs w:val="32"/>
        </w:rPr>
      </w:pPr>
    </w:p>
    <w:p w14:paraId="12C7DC5F">
      <w:pPr>
        <w:snapToGrid w:val="0"/>
        <w:spacing w:line="360" w:lineRule="auto"/>
        <w:ind w:right="480"/>
        <w:jc w:val="center"/>
        <w:rPr>
          <w:rFonts w:hint="eastAsia" w:ascii="宋体" w:hAnsi="宋体" w:eastAsia="宋体" w:cs="宋体"/>
          <w:b/>
          <w:kern w:val="0"/>
          <w:sz w:val="32"/>
          <w:szCs w:val="32"/>
        </w:rPr>
      </w:pPr>
    </w:p>
    <w:p w14:paraId="5EBA190C">
      <w:pPr>
        <w:snapToGrid w:val="0"/>
        <w:spacing w:line="360" w:lineRule="auto"/>
        <w:ind w:right="480"/>
        <w:jc w:val="center"/>
        <w:rPr>
          <w:rFonts w:hint="eastAsia" w:ascii="宋体" w:hAnsi="宋体" w:eastAsia="宋体" w:cs="宋体"/>
          <w:b/>
          <w:kern w:val="0"/>
          <w:sz w:val="32"/>
          <w:szCs w:val="32"/>
        </w:rPr>
      </w:pPr>
    </w:p>
    <w:p w14:paraId="7F426CDF">
      <w:pPr>
        <w:snapToGrid w:val="0"/>
        <w:spacing w:line="360" w:lineRule="auto"/>
        <w:ind w:right="480"/>
        <w:jc w:val="center"/>
        <w:rPr>
          <w:rFonts w:hint="eastAsia" w:ascii="宋体" w:hAnsi="宋体" w:eastAsia="宋体" w:cs="宋体"/>
          <w:b/>
          <w:kern w:val="0"/>
          <w:sz w:val="32"/>
          <w:szCs w:val="32"/>
        </w:rPr>
      </w:pPr>
    </w:p>
    <w:p w14:paraId="30D1097A">
      <w:pPr>
        <w:snapToGrid w:val="0"/>
        <w:spacing w:line="360" w:lineRule="auto"/>
        <w:ind w:right="480"/>
        <w:jc w:val="center"/>
        <w:rPr>
          <w:rFonts w:hint="eastAsia" w:ascii="宋体" w:hAnsi="宋体" w:eastAsia="宋体" w:cs="宋体"/>
          <w:b/>
          <w:kern w:val="0"/>
          <w:sz w:val="32"/>
          <w:szCs w:val="32"/>
        </w:rPr>
      </w:pPr>
    </w:p>
    <w:p w14:paraId="0FAE4F9E">
      <w:pPr>
        <w:snapToGrid w:val="0"/>
        <w:spacing w:line="360" w:lineRule="auto"/>
        <w:ind w:right="480"/>
        <w:jc w:val="center"/>
        <w:rPr>
          <w:rFonts w:hint="eastAsia" w:ascii="宋体" w:hAnsi="宋体" w:eastAsia="宋体" w:cs="宋体"/>
          <w:b/>
          <w:kern w:val="0"/>
          <w:sz w:val="32"/>
          <w:szCs w:val="32"/>
        </w:rPr>
      </w:pPr>
    </w:p>
    <w:p w14:paraId="343988AB">
      <w:pPr>
        <w:snapToGrid w:val="0"/>
        <w:spacing w:line="360" w:lineRule="auto"/>
        <w:ind w:right="480"/>
        <w:jc w:val="center"/>
        <w:rPr>
          <w:rFonts w:hint="eastAsia" w:ascii="宋体" w:hAnsi="宋体" w:eastAsia="宋体" w:cs="宋体"/>
          <w:b/>
          <w:kern w:val="0"/>
          <w:sz w:val="32"/>
          <w:szCs w:val="32"/>
        </w:rPr>
      </w:pPr>
    </w:p>
    <w:p w14:paraId="03136ED0">
      <w:pPr>
        <w:snapToGrid w:val="0"/>
        <w:spacing w:line="360" w:lineRule="auto"/>
        <w:ind w:right="480"/>
        <w:jc w:val="center"/>
        <w:rPr>
          <w:rFonts w:hint="eastAsia" w:ascii="宋体" w:hAnsi="宋体" w:eastAsia="宋体" w:cs="宋体"/>
          <w:b/>
          <w:kern w:val="0"/>
          <w:sz w:val="32"/>
          <w:szCs w:val="32"/>
        </w:rPr>
      </w:pPr>
    </w:p>
    <w:p w14:paraId="7CADEDF6">
      <w:pPr>
        <w:snapToGrid w:val="0"/>
        <w:spacing w:line="360" w:lineRule="auto"/>
        <w:ind w:right="480"/>
        <w:jc w:val="center"/>
        <w:rPr>
          <w:rFonts w:hint="eastAsia" w:ascii="宋体" w:hAnsi="宋体" w:eastAsia="宋体" w:cs="宋体"/>
          <w:b/>
          <w:kern w:val="0"/>
          <w:sz w:val="32"/>
          <w:szCs w:val="32"/>
        </w:rPr>
      </w:pPr>
    </w:p>
    <w:p w14:paraId="2A089FF7">
      <w:pPr>
        <w:snapToGrid w:val="0"/>
        <w:spacing w:line="360" w:lineRule="auto"/>
        <w:ind w:right="480"/>
        <w:jc w:val="center"/>
        <w:rPr>
          <w:rFonts w:hint="eastAsia" w:ascii="宋体" w:hAnsi="宋体" w:eastAsia="宋体" w:cs="宋体"/>
          <w:b/>
          <w:kern w:val="0"/>
          <w:sz w:val="32"/>
          <w:szCs w:val="32"/>
        </w:rPr>
      </w:pPr>
    </w:p>
    <w:p w14:paraId="46398012">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3EDF25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123FF079">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杭州市十三中教育集团（总校）</w:t>
      </w:r>
      <w:r>
        <w:rPr>
          <w:rFonts w:hint="eastAsia" w:ascii="宋体" w:hAnsi="宋体" w:eastAsia="宋体" w:cs="宋体"/>
          <w:sz w:val="24"/>
        </w:rPr>
        <w:t>、杭州市西湖区政府采购中心</w:t>
      </w:r>
      <w:r>
        <w:rPr>
          <w:rFonts w:hint="eastAsia" w:ascii="宋体" w:hAnsi="宋体" w:eastAsia="宋体" w:cs="宋体"/>
          <w:kern w:val="0"/>
          <w:sz w:val="24"/>
          <w:lang w:val="zh-CN"/>
        </w:rPr>
        <w:t>：</w:t>
      </w:r>
    </w:p>
    <w:p w14:paraId="0A08358A">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杭州市十三中教育集团(总校)2025-2026年保安服务采购项目</w:t>
      </w:r>
      <w:r>
        <w:rPr>
          <w:rFonts w:hint="eastAsia" w:ascii="宋体" w:hAnsi="宋体" w:eastAsia="宋体" w:cs="宋体"/>
          <w:kern w:val="0"/>
          <w:sz w:val="24"/>
          <w:lang w:val="zh-CN"/>
        </w:rPr>
        <w:t>【招标编号：</w:t>
      </w:r>
      <w:r>
        <w:rPr>
          <w:rFonts w:hint="eastAsia" w:ascii="宋体" w:hAnsi="宋体" w:cs="宋体"/>
          <w:sz w:val="24"/>
          <w:lang w:eastAsia="zh-CN"/>
        </w:rPr>
        <w:t>XHZFCG-2025-G-04</w:t>
      </w:r>
      <w:r>
        <w:rPr>
          <w:rFonts w:hint="eastAsia" w:ascii="宋体" w:hAnsi="宋体" w:eastAsia="宋体" w:cs="宋体"/>
          <w:sz w:val="24"/>
        </w:rPr>
        <w:t>】的实施</w:t>
      </w:r>
      <w:r>
        <w:rPr>
          <w:rFonts w:hint="eastAsia" w:ascii="宋体" w:hAnsi="宋体" w:eastAsia="宋体" w:cs="宋体"/>
          <w:kern w:val="0"/>
          <w:sz w:val="24"/>
          <w:lang w:val="zh-CN"/>
        </w:rPr>
        <w:t>。</w:t>
      </w:r>
    </w:p>
    <w:p w14:paraId="25DA079E">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2126"/>
      </w:tblGrid>
      <w:tr w14:paraId="2F8D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noWrap w:val="0"/>
            <w:vAlign w:val="center"/>
          </w:tcPr>
          <w:p w14:paraId="44413DE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559" w:type="dxa"/>
            <w:noWrap w:val="0"/>
            <w:vAlign w:val="center"/>
          </w:tcPr>
          <w:p w14:paraId="335CC2C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701" w:type="dxa"/>
            <w:noWrap w:val="0"/>
            <w:vAlign w:val="top"/>
          </w:tcPr>
          <w:p w14:paraId="001861B1">
            <w:pPr>
              <w:spacing w:line="360" w:lineRule="auto"/>
              <w:jc w:val="center"/>
              <w:rPr>
                <w:rFonts w:hint="eastAsia" w:ascii="宋体" w:hAnsi="宋体" w:eastAsia="宋体" w:cs="宋体"/>
                <w:b/>
                <w:sz w:val="24"/>
                <w:highlight w:val="none"/>
              </w:rPr>
            </w:pPr>
          </w:p>
          <w:p w14:paraId="3AC8AA6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2410" w:type="dxa"/>
            <w:noWrap w:val="0"/>
            <w:vAlign w:val="center"/>
          </w:tcPr>
          <w:p w14:paraId="547DDF0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268" w:type="dxa"/>
            <w:noWrap w:val="0"/>
            <w:vAlign w:val="center"/>
          </w:tcPr>
          <w:p w14:paraId="16273D23">
            <w:pPr>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服务</w:t>
            </w:r>
            <w:r>
              <w:rPr>
                <w:rFonts w:hint="eastAsia" w:ascii="宋体" w:hAnsi="宋体" w:cs="宋体"/>
                <w:b/>
                <w:sz w:val="24"/>
                <w:highlight w:val="none"/>
                <w:lang w:eastAsia="zh-CN"/>
              </w:rPr>
              <w:t>期限</w:t>
            </w:r>
          </w:p>
        </w:tc>
        <w:tc>
          <w:tcPr>
            <w:tcW w:w="2126" w:type="dxa"/>
            <w:noWrap w:val="0"/>
            <w:vAlign w:val="center"/>
          </w:tcPr>
          <w:p w14:paraId="535198C8">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每年报价</w:t>
            </w:r>
          </w:p>
        </w:tc>
        <w:tc>
          <w:tcPr>
            <w:tcW w:w="2127" w:type="dxa"/>
            <w:noWrap w:val="0"/>
            <w:vAlign w:val="top"/>
          </w:tcPr>
          <w:p w14:paraId="6292011E">
            <w:pPr>
              <w:spacing w:line="360" w:lineRule="auto"/>
              <w:jc w:val="center"/>
              <w:rPr>
                <w:rFonts w:hint="eastAsia" w:ascii="宋体" w:hAnsi="宋体" w:eastAsia="宋体" w:cs="宋体"/>
                <w:b/>
                <w:sz w:val="24"/>
                <w:highlight w:val="none"/>
              </w:rPr>
            </w:pPr>
          </w:p>
          <w:p w14:paraId="07D486C4">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2年</w:t>
            </w:r>
            <w:r>
              <w:rPr>
                <w:rFonts w:hint="eastAsia" w:ascii="宋体" w:hAnsi="宋体" w:cs="宋体"/>
                <w:b/>
                <w:sz w:val="24"/>
                <w:highlight w:val="none"/>
                <w:lang w:eastAsia="zh-CN"/>
              </w:rPr>
              <w:t>报价</w:t>
            </w:r>
          </w:p>
        </w:tc>
        <w:tc>
          <w:tcPr>
            <w:tcW w:w="2126" w:type="dxa"/>
            <w:noWrap w:val="0"/>
            <w:vAlign w:val="center"/>
          </w:tcPr>
          <w:p w14:paraId="58845F23">
            <w:pPr>
              <w:spacing w:line="360" w:lineRule="auto"/>
              <w:jc w:val="center"/>
              <w:rPr>
                <w:rFonts w:hint="eastAsia" w:ascii="宋体" w:hAnsi="宋体" w:eastAsia="宋体" w:cs="宋体"/>
                <w:b/>
                <w:sz w:val="24"/>
                <w:highlight w:val="none"/>
              </w:rPr>
            </w:pPr>
          </w:p>
          <w:p w14:paraId="080A91C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14:paraId="5B800AAA">
            <w:pPr>
              <w:spacing w:line="360" w:lineRule="auto"/>
              <w:jc w:val="center"/>
              <w:rPr>
                <w:rFonts w:hint="eastAsia" w:ascii="宋体" w:hAnsi="宋体" w:eastAsia="宋体" w:cs="宋体"/>
                <w:b/>
                <w:sz w:val="24"/>
                <w:highlight w:val="none"/>
              </w:rPr>
            </w:pPr>
          </w:p>
        </w:tc>
      </w:tr>
      <w:tr w14:paraId="110E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031C1FD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559" w:type="dxa"/>
            <w:noWrap w:val="0"/>
            <w:vAlign w:val="center"/>
          </w:tcPr>
          <w:p w14:paraId="5D096BE4">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lang w:eastAsia="zh-CN"/>
              </w:rPr>
              <w:t>杭州市十三中教育集团(总校)2025-2026年保安服务采购项目</w:t>
            </w:r>
          </w:p>
        </w:tc>
        <w:tc>
          <w:tcPr>
            <w:tcW w:w="1701" w:type="dxa"/>
            <w:noWrap w:val="0"/>
            <w:vAlign w:val="center"/>
          </w:tcPr>
          <w:p w14:paraId="129ED2AD">
            <w:pPr>
              <w:snapToGrid w:val="0"/>
              <w:spacing w:line="360" w:lineRule="auto"/>
              <w:jc w:val="center"/>
              <w:rPr>
                <w:rFonts w:hint="eastAsia" w:ascii="宋体" w:hAnsi="宋体" w:eastAsia="宋体" w:cs="宋体"/>
                <w:sz w:val="24"/>
                <w:highlight w:val="none"/>
              </w:rPr>
            </w:pPr>
          </w:p>
        </w:tc>
        <w:tc>
          <w:tcPr>
            <w:tcW w:w="2410" w:type="dxa"/>
            <w:noWrap w:val="0"/>
            <w:vAlign w:val="center"/>
          </w:tcPr>
          <w:p w14:paraId="10206CDB">
            <w:pPr>
              <w:snapToGrid w:val="0"/>
              <w:spacing w:line="360" w:lineRule="auto"/>
              <w:jc w:val="center"/>
              <w:rPr>
                <w:rFonts w:hint="eastAsia" w:ascii="宋体" w:hAnsi="宋体" w:eastAsia="宋体" w:cs="宋体"/>
                <w:sz w:val="24"/>
                <w:highlight w:val="none"/>
              </w:rPr>
            </w:pPr>
          </w:p>
        </w:tc>
        <w:tc>
          <w:tcPr>
            <w:tcW w:w="2268" w:type="dxa"/>
            <w:noWrap w:val="0"/>
            <w:vAlign w:val="center"/>
          </w:tcPr>
          <w:p w14:paraId="5856131B">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lang w:eastAsia="zh-CN"/>
              </w:rPr>
              <w:t>年</w:t>
            </w:r>
          </w:p>
        </w:tc>
        <w:tc>
          <w:tcPr>
            <w:tcW w:w="2126" w:type="dxa"/>
            <w:noWrap w:val="0"/>
            <w:vAlign w:val="center"/>
          </w:tcPr>
          <w:p w14:paraId="25AD5236">
            <w:pPr>
              <w:spacing w:line="360" w:lineRule="auto"/>
              <w:jc w:val="center"/>
              <w:rPr>
                <w:rFonts w:hint="eastAsia" w:ascii="宋体" w:hAnsi="宋体" w:eastAsia="宋体" w:cs="宋体"/>
                <w:sz w:val="24"/>
                <w:highlight w:val="none"/>
              </w:rPr>
            </w:pPr>
          </w:p>
        </w:tc>
        <w:tc>
          <w:tcPr>
            <w:tcW w:w="2127" w:type="dxa"/>
            <w:noWrap w:val="0"/>
            <w:vAlign w:val="top"/>
          </w:tcPr>
          <w:p w14:paraId="16291FF7">
            <w:pPr>
              <w:spacing w:line="360" w:lineRule="auto"/>
              <w:jc w:val="center"/>
              <w:rPr>
                <w:rFonts w:hint="eastAsia" w:ascii="宋体" w:hAnsi="宋体" w:eastAsia="宋体" w:cs="宋体"/>
                <w:sz w:val="24"/>
                <w:highlight w:val="none"/>
              </w:rPr>
            </w:pPr>
          </w:p>
        </w:tc>
        <w:tc>
          <w:tcPr>
            <w:tcW w:w="2126" w:type="dxa"/>
            <w:noWrap w:val="0"/>
            <w:vAlign w:val="center"/>
          </w:tcPr>
          <w:p w14:paraId="126DB804">
            <w:pPr>
              <w:spacing w:line="360" w:lineRule="auto"/>
              <w:jc w:val="center"/>
              <w:rPr>
                <w:rFonts w:hint="eastAsia" w:ascii="宋体" w:hAnsi="宋体" w:eastAsia="宋体" w:cs="宋体"/>
                <w:sz w:val="24"/>
                <w:highlight w:val="none"/>
              </w:rPr>
            </w:pPr>
          </w:p>
        </w:tc>
      </w:tr>
      <w:tr w14:paraId="311F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25D4364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每年</w:t>
            </w:r>
            <w:r>
              <w:rPr>
                <w:rFonts w:hint="eastAsia" w:ascii="宋体" w:hAnsi="宋体" w:eastAsia="宋体" w:cs="宋体"/>
                <w:b/>
                <w:sz w:val="24"/>
                <w:highlight w:val="none"/>
              </w:rPr>
              <w:t>投标报价（小写）</w:t>
            </w:r>
          </w:p>
        </w:tc>
        <w:tc>
          <w:tcPr>
            <w:tcW w:w="8647" w:type="dxa"/>
            <w:gridSpan w:val="4"/>
            <w:noWrap w:val="0"/>
            <w:vAlign w:val="center"/>
          </w:tcPr>
          <w:p w14:paraId="518ACCD0">
            <w:pPr>
              <w:spacing w:line="360" w:lineRule="auto"/>
              <w:jc w:val="center"/>
              <w:rPr>
                <w:rFonts w:hint="eastAsia" w:ascii="宋体" w:hAnsi="宋体" w:eastAsia="宋体" w:cs="宋体"/>
                <w:sz w:val="24"/>
                <w:highlight w:val="none"/>
              </w:rPr>
            </w:pPr>
          </w:p>
        </w:tc>
      </w:tr>
      <w:tr w14:paraId="540E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5C8367E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lang w:eastAsia="zh-CN"/>
              </w:rPr>
              <w:t>年</w:t>
            </w:r>
            <w:r>
              <w:rPr>
                <w:rFonts w:hint="eastAsia" w:ascii="宋体" w:hAnsi="宋体" w:eastAsia="宋体" w:cs="宋体"/>
                <w:b/>
                <w:sz w:val="24"/>
                <w:highlight w:val="none"/>
              </w:rPr>
              <w:t>投标报价（小写）</w:t>
            </w:r>
          </w:p>
        </w:tc>
        <w:tc>
          <w:tcPr>
            <w:tcW w:w="8647" w:type="dxa"/>
            <w:gridSpan w:val="4"/>
            <w:noWrap w:val="0"/>
            <w:vAlign w:val="center"/>
          </w:tcPr>
          <w:p w14:paraId="077481CE">
            <w:pPr>
              <w:spacing w:line="360" w:lineRule="auto"/>
              <w:jc w:val="center"/>
              <w:rPr>
                <w:rFonts w:hint="eastAsia" w:ascii="宋体" w:hAnsi="宋体" w:eastAsia="宋体" w:cs="宋体"/>
                <w:sz w:val="24"/>
                <w:highlight w:val="none"/>
              </w:rPr>
            </w:pPr>
          </w:p>
        </w:tc>
      </w:tr>
      <w:tr w14:paraId="1C5F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54AE28F8">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lang w:eastAsia="zh-CN"/>
              </w:rPr>
              <w:t>年</w:t>
            </w:r>
            <w:r>
              <w:rPr>
                <w:rFonts w:hint="eastAsia" w:ascii="宋体" w:hAnsi="宋体" w:eastAsia="宋体" w:cs="宋体"/>
                <w:b/>
                <w:sz w:val="24"/>
                <w:highlight w:val="none"/>
              </w:rPr>
              <w:t>投标报价（大写）</w:t>
            </w:r>
          </w:p>
        </w:tc>
        <w:tc>
          <w:tcPr>
            <w:tcW w:w="8647" w:type="dxa"/>
            <w:gridSpan w:val="4"/>
            <w:noWrap w:val="0"/>
            <w:vAlign w:val="center"/>
          </w:tcPr>
          <w:p w14:paraId="36D5F94E">
            <w:pPr>
              <w:spacing w:line="360" w:lineRule="auto"/>
              <w:jc w:val="center"/>
              <w:rPr>
                <w:rFonts w:hint="eastAsia" w:ascii="宋体" w:hAnsi="宋体" w:eastAsia="宋体" w:cs="宋体"/>
                <w:sz w:val="24"/>
                <w:highlight w:val="none"/>
              </w:rPr>
            </w:pPr>
          </w:p>
        </w:tc>
      </w:tr>
    </w:tbl>
    <w:p w14:paraId="05E57ABD">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76CB76DA">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p>
    <w:p w14:paraId="2F58986A">
      <w:pPr>
        <w:spacing w:line="360" w:lineRule="auto"/>
        <w:ind w:firstLine="480" w:firstLineChars="200"/>
        <w:rPr>
          <w:rFonts w:hint="eastAsia" w:ascii="宋体" w:hAnsi="宋体" w:eastAsia="宋体" w:cs="宋体"/>
          <w:b/>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合同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5FD2804D">
      <w:pPr>
        <w:spacing w:line="360" w:lineRule="auto"/>
        <w:ind w:firstLine="482" w:firstLineChars="200"/>
        <w:rPr>
          <w:rFonts w:hint="eastAsia" w:ascii="宋体" w:hAnsi="宋体" w:eastAsia="宋体" w:cs="宋体"/>
        </w:rPr>
      </w:pPr>
      <w:r>
        <w:rPr>
          <w:rFonts w:hint="eastAsia" w:ascii="宋体" w:hAnsi="宋体" w:eastAsia="宋体" w:cs="宋体"/>
          <w:b/>
          <w:kern w:val="0"/>
          <w:sz w:val="24"/>
        </w:rPr>
        <w:t>3、▲特别说明：供应商报价低于项目预算50%的，应当在报价文件中详细阐述不影响产品质量或者诚信履约的具体原因。</w:t>
      </w:r>
    </w:p>
    <w:p w14:paraId="1FB633C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4</w:t>
      </w:r>
      <w:r>
        <w:rPr>
          <w:rFonts w:hint="eastAsia" w:ascii="宋体" w:hAnsi="宋体" w:eastAsia="宋体" w:cs="宋体"/>
          <w:kern w:val="0"/>
          <w:sz w:val="24"/>
          <w:lang w:val="zh-CN"/>
        </w:rPr>
        <w:t>、特别提示：采购机构将对项目名称和项目编号，中标供应商名称、地址和中标金额，主要中标标的名称、服务范围、服务要求、服务时间、服务标准等予以公示。</w:t>
      </w:r>
    </w:p>
    <w:p w14:paraId="67F98102">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rPr>
        <w:t>5</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82562E">
      <w:pPr>
        <w:spacing w:line="360" w:lineRule="auto"/>
        <w:ind w:firstLine="482" w:firstLineChars="200"/>
        <w:rPr>
          <w:rFonts w:hint="eastAsia" w:ascii="宋体" w:hAnsi="宋体" w:eastAsia="宋体" w:cs="宋体"/>
          <w:b/>
          <w:kern w:val="0"/>
          <w:sz w:val="24"/>
        </w:rPr>
      </w:pPr>
    </w:p>
    <w:p w14:paraId="136AA076">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3341F8D7">
      <w:pPr>
        <w:spacing w:line="360" w:lineRule="auto"/>
        <w:ind w:right="1760"/>
        <w:jc w:val="center"/>
        <w:rPr>
          <w:rFonts w:hint="eastAsia" w:ascii="宋体" w:hAnsi="宋体" w:eastAsia="宋体" w:cs="宋体"/>
          <w:sz w:val="24"/>
        </w:rPr>
      </w:pPr>
      <w:r>
        <w:rPr>
          <w:rFonts w:hint="eastAsia" w:ascii="宋体" w:hAnsi="宋体" w:eastAsia="宋体" w:cs="宋体"/>
          <w:sz w:val="24"/>
        </w:rPr>
        <w:t xml:space="preserve">                                                                                  投标人名称（电子签名）：</w:t>
      </w:r>
    </w:p>
    <w:p w14:paraId="3DDEB810">
      <w:pPr>
        <w:spacing w:line="360" w:lineRule="auto"/>
        <w:ind w:right="1120" w:firstLine="10200" w:firstLineChars="4250"/>
        <w:rPr>
          <w:rFonts w:hint="eastAsia" w:ascii="宋体" w:hAnsi="宋体" w:eastAsia="宋体" w:cs="宋体"/>
          <w:sz w:val="24"/>
        </w:rPr>
      </w:pPr>
      <w:r>
        <w:rPr>
          <w:rFonts w:hint="eastAsia" w:ascii="宋体" w:hAnsi="宋体" w:eastAsia="宋体" w:cs="宋体"/>
          <w:sz w:val="24"/>
        </w:rPr>
        <w:t>日 期：</w:t>
      </w:r>
    </w:p>
    <w:p w14:paraId="0A417E3C">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E819C62">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117B8B24">
      <w:pPr>
        <w:spacing w:line="360" w:lineRule="auto"/>
        <w:jc w:val="center"/>
        <w:rPr>
          <w:rFonts w:hint="eastAsia" w:ascii="宋体" w:hAnsi="宋体" w:eastAsia="宋体" w:cs="宋体"/>
          <w:b/>
          <w:spacing w:val="6"/>
          <w:sz w:val="32"/>
          <w:szCs w:val="32"/>
        </w:rPr>
      </w:pPr>
      <w:bookmarkStart w:id="510" w:name="OLE_LINK14"/>
      <w:bookmarkStart w:id="511" w:name="OLE_LINK13"/>
      <w:r>
        <w:rPr>
          <w:rFonts w:hint="eastAsia" w:ascii="宋体" w:hAnsi="宋体" w:eastAsia="宋体" w:cs="宋体"/>
          <w:b/>
          <w:spacing w:val="6"/>
          <w:sz w:val="32"/>
          <w:szCs w:val="32"/>
        </w:rPr>
        <w:t>残疾人福利性单位声明函</w:t>
      </w:r>
    </w:p>
    <w:bookmarkEnd w:id="510"/>
    <w:bookmarkEnd w:id="511"/>
    <w:p w14:paraId="2717FA5A">
      <w:pPr>
        <w:spacing w:line="360" w:lineRule="auto"/>
        <w:rPr>
          <w:rFonts w:hint="eastAsia" w:ascii="宋体" w:hAnsi="宋体" w:eastAsia="宋体" w:cs="宋体"/>
          <w:b/>
          <w:spacing w:val="6"/>
          <w:sz w:val="30"/>
          <w:szCs w:val="30"/>
        </w:rPr>
      </w:pPr>
    </w:p>
    <w:p w14:paraId="7A1DBC65">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杭州市十三中教育集团（总校）</w:t>
      </w:r>
      <w:r>
        <w:rPr>
          <w:rFonts w:hint="eastAsia" w:ascii="宋体" w:hAnsi="宋体" w:eastAsia="宋体" w:cs="宋体"/>
          <w:sz w:val="24"/>
        </w:rPr>
        <w:t>_单位的_</w:t>
      </w:r>
      <w:r>
        <w:rPr>
          <w:rFonts w:hint="eastAsia" w:ascii="宋体" w:hAnsi="宋体" w:cs="宋体"/>
          <w:sz w:val="24"/>
          <w:u w:val="single"/>
          <w:lang w:eastAsia="zh-CN"/>
        </w:rPr>
        <w:t>杭州市十三中教育集团(总校)2025-2026年保安服务采购项目</w:t>
      </w:r>
      <w:r>
        <w:rPr>
          <w:rFonts w:hint="eastAsia" w:ascii="宋体" w:hAnsi="宋体" w:eastAsia="宋体" w:cs="宋体"/>
          <w:sz w:val="24"/>
          <w:u w:val="single"/>
        </w:rPr>
        <w:t>的</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167D676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1951D0FC">
      <w:pPr>
        <w:spacing w:line="360" w:lineRule="auto"/>
        <w:ind w:firstLine="480" w:firstLineChars="200"/>
        <w:rPr>
          <w:rFonts w:hint="eastAsia" w:ascii="宋体" w:hAnsi="宋体" w:eastAsia="宋体" w:cs="宋体"/>
          <w:sz w:val="24"/>
        </w:rPr>
      </w:pPr>
    </w:p>
    <w:p w14:paraId="3667F9AD">
      <w:pPr>
        <w:spacing w:line="360" w:lineRule="auto"/>
        <w:ind w:firstLine="480" w:firstLineChars="200"/>
        <w:rPr>
          <w:rFonts w:hint="eastAsia" w:ascii="宋体" w:hAnsi="宋体" w:eastAsia="宋体" w:cs="宋体"/>
          <w:sz w:val="24"/>
        </w:rPr>
      </w:pPr>
    </w:p>
    <w:p w14:paraId="214654AC">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7195E491">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3626B681">
      <w:pPr>
        <w:spacing w:line="360" w:lineRule="auto"/>
        <w:ind w:firstLine="480" w:firstLineChars="200"/>
        <w:rPr>
          <w:rFonts w:hint="eastAsia" w:ascii="宋体" w:hAnsi="宋体" w:eastAsia="宋体" w:cs="宋体"/>
          <w:sz w:val="24"/>
        </w:rPr>
      </w:pPr>
    </w:p>
    <w:p w14:paraId="358CDCB6">
      <w:pPr>
        <w:spacing w:line="360" w:lineRule="auto"/>
        <w:ind w:firstLine="420" w:firstLineChars="200"/>
        <w:rPr>
          <w:rFonts w:hint="eastAsia" w:ascii="宋体" w:hAnsi="宋体" w:eastAsia="宋体" w:cs="宋体"/>
        </w:rPr>
      </w:pPr>
    </w:p>
    <w:p w14:paraId="3D021010">
      <w:pPr>
        <w:spacing w:line="360" w:lineRule="auto"/>
        <w:ind w:firstLine="420" w:firstLineChars="200"/>
        <w:rPr>
          <w:rFonts w:hint="eastAsia" w:ascii="宋体" w:hAnsi="宋体" w:eastAsia="宋体" w:cs="宋体"/>
        </w:rPr>
      </w:pPr>
    </w:p>
    <w:p w14:paraId="12F3923D">
      <w:pPr>
        <w:spacing w:line="360" w:lineRule="auto"/>
        <w:ind w:firstLine="420" w:firstLineChars="200"/>
        <w:rPr>
          <w:rFonts w:hint="eastAsia" w:ascii="宋体" w:hAnsi="宋体" w:eastAsia="宋体" w:cs="宋体"/>
        </w:rPr>
      </w:pPr>
    </w:p>
    <w:p w14:paraId="43EC8190">
      <w:pPr>
        <w:spacing w:line="360" w:lineRule="auto"/>
        <w:ind w:firstLine="420" w:firstLineChars="200"/>
        <w:rPr>
          <w:rFonts w:hint="eastAsia" w:ascii="宋体" w:hAnsi="宋体" w:eastAsia="宋体" w:cs="宋体"/>
        </w:rPr>
      </w:pPr>
    </w:p>
    <w:p w14:paraId="36E958D1">
      <w:pPr>
        <w:spacing w:line="360" w:lineRule="auto"/>
        <w:rPr>
          <w:rFonts w:hint="eastAsia" w:ascii="宋体" w:hAnsi="宋体" w:eastAsia="宋体" w:cs="宋体"/>
          <w:b/>
          <w:sz w:val="24"/>
        </w:rPr>
      </w:pPr>
    </w:p>
    <w:p w14:paraId="19F67D61">
      <w:pPr>
        <w:spacing w:line="360" w:lineRule="auto"/>
        <w:rPr>
          <w:rFonts w:hint="eastAsia" w:ascii="宋体" w:hAnsi="宋体" w:eastAsia="宋体" w:cs="宋体"/>
          <w:b/>
          <w:sz w:val="24"/>
        </w:rPr>
      </w:pPr>
    </w:p>
    <w:p w14:paraId="56688247">
      <w:pPr>
        <w:spacing w:line="360" w:lineRule="auto"/>
        <w:rPr>
          <w:rFonts w:hint="eastAsia" w:ascii="宋体" w:hAnsi="宋体" w:eastAsia="宋体" w:cs="宋体"/>
          <w:b/>
          <w:sz w:val="24"/>
        </w:rPr>
      </w:pPr>
    </w:p>
    <w:p w14:paraId="28727EEA">
      <w:pPr>
        <w:spacing w:line="360" w:lineRule="auto"/>
        <w:rPr>
          <w:rFonts w:hint="eastAsia" w:ascii="宋体" w:hAnsi="宋体" w:eastAsia="宋体" w:cs="宋体"/>
          <w:b/>
          <w:sz w:val="24"/>
        </w:rPr>
      </w:pPr>
    </w:p>
    <w:p w14:paraId="43E7E855">
      <w:pPr>
        <w:spacing w:line="360" w:lineRule="auto"/>
        <w:rPr>
          <w:rFonts w:hint="eastAsia" w:ascii="宋体" w:hAnsi="宋体" w:eastAsia="宋体" w:cs="宋体"/>
          <w:b/>
          <w:sz w:val="24"/>
        </w:rPr>
      </w:pPr>
    </w:p>
    <w:p w14:paraId="094EF4D3">
      <w:pPr>
        <w:spacing w:line="360" w:lineRule="auto"/>
        <w:rPr>
          <w:rFonts w:hint="eastAsia" w:ascii="宋体" w:hAnsi="宋体" w:eastAsia="宋体" w:cs="宋体"/>
          <w:b/>
          <w:sz w:val="24"/>
        </w:rPr>
      </w:pPr>
    </w:p>
    <w:p w14:paraId="7085EEFA">
      <w:pPr>
        <w:spacing w:line="360" w:lineRule="auto"/>
        <w:rPr>
          <w:rFonts w:hint="eastAsia" w:ascii="宋体" w:hAnsi="宋体" w:eastAsia="宋体" w:cs="宋体"/>
          <w:b/>
          <w:sz w:val="24"/>
        </w:rPr>
      </w:pPr>
    </w:p>
    <w:p w14:paraId="137565FA">
      <w:pPr>
        <w:pStyle w:val="80"/>
        <w:rPr>
          <w:rFonts w:hint="eastAsia" w:ascii="宋体" w:hAnsi="宋体" w:eastAsia="宋体" w:cs="宋体"/>
          <w:b/>
        </w:rPr>
      </w:pPr>
    </w:p>
    <w:p w14:paraId="4EF4C07B">
      <w:pPr>
        <w:pStyle w:val="80"/>
        <w:rPr>
          <w:rFonts w:hint="eastAsia" w:ascii="宋体" w:hAnsi="宋体" w:eastAsia="宋体" w:cs="宋体"/>
          <w:b/>
        </w:rPr>
      </w:pPr>
    </w:p>
    <w:p w14:paraId="44616BB8">
      <w:pPr>
        <w:pStyle w:val="80"/>
        <w:rPr>
          <w:rFonts w:hint="eastAsia" w:ascii="宋体" w:hAnsi="宋体" w:eastAsia="宋体" w:cs="宋体"/>
          <w:b/>
        </w:rPr>
      </w:pPr>
    </w:p>
    <w:p w14:paraId="4B888B9C">
      <w:pPr>
        <w:spacing w:line="360" w:lineRule="auto"/>
        <w:rPr>
          <w:rFonts w:hint="eastAsia" w:ascii="宋体" w:hAnsi="宋体" w:eastAsia="宋体" w:cs="宋体"/>
          <w:b/>
          <w:sz w:val="24"/>
        </w:rPr>
      </w:pPr>
    </w:p>
    <w:p w14:paraId="7CDBFC2A">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54A50193">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1F35F826">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0698F85D">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AC89A0D">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326F716">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E8072B4">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D31D6E7">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02EF517">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7FA3CB6">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124B479A">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1207525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2793C2F3">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7013BE75">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7FC08C2C">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779DDFD">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1849BB6">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2FFDD46D">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582FB6F1">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0DF3537">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DD6282C">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5E471814">
      <w:pPr>
        <w:snapToGrid w:val="0"/>
        <w:spacing w:line="360" w:lineRule="auto"/>
        <w:rPr>
          <w:rFonts w:hint="eastAsia" w:ascii="宋体" w:hAnsi="宋体" w:eastAsia="宋体" w:cs="宋体"/>
          <w:sz w:val="24"/>
        </w:rPr>
      </w:pPr>
      <w:r>
        <w:rPr>
          <w:rFonts w:hint="eastAsia" w:ascii="宋体" w:hAnsi="宋体" w:eastAsia="宋体" w:cs="宋体"/>
          <w:sz w:val="24"/>
        </w:rPr>
        <w:t>……</w:t>
      </w:r>
    </w:p>
    <w:p w14:paraId="37E1EB3B">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3F0D85F">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38DC522">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67944C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06CDAA8B">
      <w:pPr>
        <w:spacing w:line="360" w:lineRule="auto"/>
        <w:jc w:val="center"/>
        <w:rPr>
          <w:rFonts w:hint="eastAsia" w:ascii="宋体" w:hAnsi="宋体" w:eastAsia="宋体" w:cs="宋体"/>
          <w:b/>
          <w:bCs/>
          <w:sz w:val="24"/>
        </w:rPr>
      </w:pPr>
    </w:p>
    <w:p w14:paraId="2D97757E">
      <w:pPr>
        <w:spacing w:line="360" w:lineRule="auto"/>
        <w:rPr>
          <w:rFonts w:hint="eastAsia" w:ascii="宋体" w:hAnsi="宋体" w:eastAsia="宋体" w:cs="宋体"/>
          <w:b/>
          <w:sz w:val="24"/>
        </w:rPr>
      </w:pPr>
    </w:p>
    <w:p w14:paraId="61914F7A">
      <w:pPr>
        <w:spacing w:line="360" w:lineRule="auto"/>
        <w:rPr>
          <w:rFonts w:hint="eastAsia" w:ascii="宋体" w:hAnsi="宋体" w:eastAsia="宋体" w:cs="宋体"/>
          <w:b/>
          <w:sz w:val="24"/>
        </w:rPr>
      </w:pPr>
    </w:p>
    <w:p w14:paraId="193D3715">
      <w:pPr>
        <w:spacing w:line="360" w:lineRule="auto"/>
        <w:rPr>
          <w:rFonts w:hint="eastAsia" w:ascii="宋体" w:hAnsi="宋体" w:eastAsia="宋体" w:cs="宋体"/>
          <w:b/>
          <w:sz w:val="24"/>
        </w:rPr>
      </w:pPr>
    </w:p>
    <w:p w14:paraId="44726EAF">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26CCAE7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0FFB69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17A24CE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5E50930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6E9732F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65F20A2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BC1192A">
      <w:pPr>
        <w:widowControl/>
        <w:spacing w:line="360" w:lineRule="auto"/>
        <w:ind w:firstLine="600" w:firstLineChars="200"/>
        <w:jc w:val="left"/>
        <w:rPr>
          <w:rFonts w:hint="eastAsia" w:ascii="宋体" w:hAnsi="宋体" w:eastAsia="宋体" w:cs="宋体"/>
          <w:sz w:val="30"/>
          <w:szCs w:val="30"/>
        </w:rPr>
      </w:pPr>
    </w:p>
    <w:p w14:paraId="4462488F">
      <w:pPr>
        <w:spacing w:line="360" w:lineRule="auto"/>
        <w:jc w:val="center"/>
        <w:rPr>
          <w:rFonts w:hint="eastAsia" w:ascii="宋体" w:hAnsi="宋体" w:eastAsia="宋体" w:cs="宋体"/>
          <w:b/>
          <w:spacing w:val="6"/>
          <w:sz w:val="32"/>
          <w:szCs w:val="32"/>
        </w:rPr>
      </w:pPr>
    </w:p>
    <w:p w14:paraId="3AA19D4A">
      <w:pPr>
        <w:spacing w:line="360" w:lineRule="auto"/>
        <w:jc w:val="center"/>
        <w:rPr>
          <w:rFonts w:hint="eastAsia" w:ascii="宋体" w:hAnsi="宋体" w:eastAsia="宋体" w:cs="宋体"/>
          <w:b/>
          <w:spacing w:val="6"/>
          <w:sz w:val="32"/>
          <w:szCs w:val="32"/>
        </w:rPr>
      </w:pPr>
    </w:p>
    <w:p w14:paraId="48F19AD2">
      <w:pPr>
        <w:spacing w:line="360" w:lineRule="auto"/>
        <w:jc w:val="center"/>
        <w:rPr>
          <w:rFonts w:hint="eastAsia" w:ascii="宋体" w:hAnsi="宋体" w:eastAsia="宋体" w:cs="宋体"/>
          <w:b/>
          <w:spacing w:val="6"/>
          <w:sz w:val="32"/>
          <w:szCs w:val="32"/>
        </w:rPr>
      </w:pPr>
    </w:p>
    <w:p w14:paraId="797DA7C5">
      <w:pPr>
        <w:spacing w:line="360" w:lineRule="auto"/>
        <w:jc w:val="center"/>
        <w:rPr>
          <w:rFonts w:hint="eastAsia" w:ascii="宋体" w:hAnsi="宋体" w:eastAsia="宋体" w:cs="宋体"/>
          <w:b/>
          <w:spacing w:val="6"/>
          <w:sz w:val="32"/>
          <w:szCs w:val="32"/>
        </w:rPr>
      </w:pPr>
    </w:p>
    <w:p w14:paraId="185CD337">
      <w:pPr>
        <w:spacing w:line="360" w:lineRule="auto"/>
        <w:jc w:val="center"/>
        <w:rPr>
          <w:rFonts w:hint="eastAsia" w:ascii="宋体" w:hAnsi="宋体" w:eastAsia="宋体" w:cs="宋体"/>
          <w:b/>
          <w:spacing w:val="6"/>
          <w:sz w:val="32"/>
          <w:szCs w:val="32"/>
        </w:rPr>
      </w:pPr>
    </w:p>
    <w:p w14:paraId="6B717295">
      <w:pPr>
        <w:spacing w:line="360" w:lineRule="auto"/>
        <w:jc w:val="center"/>
        <w:rPr>
          <w:rFonts w:hint="eastAsia" w:ascii="宋体" w:hAnsi="宋体" w:eastAsia="宋体" w:cs="宋体"/>
          <w:b/>
          <w:spacing w:val="6"/>
          <w:sz w:val="32"/>
          <w:szCs w:val="32"/>
        </w:rPr>
      </w:pPr>
    </w:p>
    <w:p w14:paraId="272DDE33">
      <w:pPr>
        <w:spacing w:line="360" w:lineRule="auto"/>
        <w:jc w:val="center"/>
        <w:rPr>
          <w:rFonts w:hint="eastAsia" w:ascii="宋体" w:hAnsi="宋体" w:eastAsia="宋体" w:cs="宋体"/>
          <w:b/>
          <w:spacing w:val="6"/>
          <w:sz w:val="32"/>
          <w:szCs w:val="32"/>
        </w:rPr>
      </w:pPr>
    </w:p>
    <w:p w14:paraId="3BA891D4">
      <w:pPr>
        <w:spacing w:line="360" w:lineRule="auto"/>
        <w:jc w:val="center"/>
        <w:rPr>
          <w:rFonts w:hint="eastAsia" w:ascii="宋体" w:hAnsi="宋体" w:eastAsia="宋体" w:cs="宋体"/>
          <w:b/>
          <w:spacing w:val="6"/>
          <w:sz w:val="32"/>
          <w:szCs w:val="32"/>
        </w:rPr>
      </w:pPr>
    </w:p>
    <w:p w14:paraId="470F8C6B">
      <w:pPr>
        <w:spacing w:line="360" w:lineRule="auto"/>
        <w:jc w:val="center"/>
        <w:rPr>
          <w:rFonts w:hint="eastAsia" w:ascii="宋体" w:hAnsi="宋体" w:eastAsia="宋体" w:cs="宋体"/>
          <w:b/>
          <w:spacing w:val="6"/>
          <w:sz w:val="32"/>
          <w:szCs w:val="32"/>
        </w:rPr>
      </w:pPr>
    </w:p>
    <w:p w14:paraId="6B00BD3D">
      <w:pPr>
        <w:spacing w:line="360" w:lineRule="auto"/>
        <w:jc w:val="center"/>
        <w:rPr>
          <w:rFonts w:hint="eastAsia" w:ascii="宋体" w:hAnsi="宋体" w:eastAsia="宋体" w:cs="宋体"/>
          <w:b/>
          <w:spacing w:val="6"/>
          <w:sz w:val="32"/>
          <w:szCs w:val="32"/>
        </w:rPr>
      </w:pPr>
    </w:p>
    <w:p w14:paraId="13439BEC">
      <w:pPr>
        <w:spacing w:line="360" w:lineRule="auto"/>
        <w:jc w:val="center"/>
        <w:rPr>
          <w:rFonts w:hint="eastAsia" w:ascii="宋体" w:hAnsi="宋体" w:eastAsia="宋体" w:cs="宋体"/>
          <w:b/>
          <w:spacing w:val="6"/>
          <w:sz w:val="32"/>
          <w:szCs w:val="32"/>
        </w:rPr>
      </w:pPr>
    </w:p>
    <w:p w14:paraId="313C43A7">
      <w:pPr>
        <w:spacing w:line="360" w:lineRule="auto"/>
        <w:jc w:val="center"/>
        <w:rPr>
          <w:rFonts w:hint="eastAsia" w:ascii="宋体" w:hAnsi="宋体" w:eastAsia="宋体" w:cs="宋体"/>
          <w:b/>
          <w:spacing w:val="6"/>
          <w:sz w:val="32"/>
          <w:szCs w:val="32"/>
        </w:rPr>
      </w:pPr>
    </w:p>
    <w:p w14:paraId="469E4C19">
      <w:pPr>
        <w:spacing w:line="360" w:lineRule="auto"/>
        <w:jc w:val="left"/>
        <w:rPr>
          <w:rFonts w:hint="eastAsia" w:ascii="宋体" w:hAnsi="宋体" w:eastAsia="宋体" w:cs="宋体"/>
          <w:b/>
          <w:spacing w:val="6"/>
          <w:sz w:val="32"/>
          <w:szCs w:val="32"/>
        </w:rPr>
      </w:pPr>
    </w:p>
    <w:p w14:paraId="3C8B3CE4">
      <w:pPr>
        <w:spacing w:line="360" w:lineRule="auto"/>
        <w:jc w:val="left"/>
        <w:rPr>
          <w:rFonts w:hint="eastAsia" w:ascii="宋体" w:hAnsi="宋体" w:eastAsia="宋体" w:cs="宋体"/>
          <w:b/>
          <w:spacing w:val="6"/>
          <w:sz w:val="32"/>
          <w:szCs w:val="32"/>
        </w:rPr>
      </w:pPr>
    </w:p>
    <w:p w14:paraId="64B9CD11">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6F854974">
      <w:pPr>
        <w:spacing w:line="360" w:lineRule="auto"/>
        <w:jc w:val="center"/>
        <w:rPr>
          <w:rFonts w:hint="eastAsia" w:ascii="宋体" w:hAnsi="宋体" w:eastAsia="宋体" w:cs="宋体"/>
          <w:b/>
          <w:sz w:val="24"/>
        </w:rPr>
      </w:pPr>
    </w:p>
    <w:p w14:paraId="1ECE6792">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1B35924">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0287EFD8">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5A84D421">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AF92D97">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09CFA5D">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4A178877">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1A65E59">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4CC967C9">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C52EF2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314B2F7">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6068D33">
      <w:pPr>
        <w:spacing w:line="360" w:lineRule="auto"/>
        <w:rPr>
          <w:rFonts w:hint="eastAsia" w:ascii="宋体" w:hAnsi="宋体" w:eastAsia="宋体" w:cs="宋体"/>
          <w:sz w:val="24"/>
        </w:rPr>
      </w:pPr>
      <w:r>
        <w:rPr>
          <w:rFonts w:hint="eastAsia" w:ascii="宋体" w:hAnsi="宋体" w:eastAsia="宋体" w:cs="宋体"/>
          <w:sz w:val="24"/>
        </w:rPr>
        <w:t>被投诉人2</w:t>
      </w:r>
    </w:p>
    <w:p w14:paraId="6B9413DE">
      <w:pPr>
        <w:spacing w:line="360" w:lineRule="auto"/>
        <w:rPr>
          <w:rFonts w:hint="eastAsia" w:ascii="宋体" w:hAnsi="宋体" w:eastAsia="宋体" w:cs="宋体"/>
          <w:sz w:val="24"/>
          <w:u w:val="dotted"/>
        </w:rPr>
      </w:pPr>
      <w:r>
        <w:rPr>
          <w:rFonts w:hint="eastAsia" w:ascii="宋体" w:hAnsi="宋体" w:eastAsia="宋体" w:cs="宋体"/>
          <w:sz w:val="24"/>
        </w:rPr>
        <w:t>……</w:t>
      </w:r>
    </w:p>
    <w:p w14:paraId="6031D3DC">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BEB482A">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725FBFD">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191DE76">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15534796">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09B8B02B">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617A905">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606E1FB">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35E66A87">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E388129">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65C2C4DA">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54A7DE99">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458AF16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D3124D8">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2396AED5">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30366B29">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4B3923C1">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2CEFB31B">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4809BBCB">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08F44AA">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45F6735">
      <w:pPr>
        <w:spacing w:line="360" w:lineRule="auto"/>
        <w:rPr>
          <w:rFonts w:hint="eastAsia" w:ascii="宋体" w:hAnsi="宋体" w:eastAsia="宋体" w:cs="宋体"/>
          <w:sz w:val="24"/>
        </w:rPr>
      </w:pPr>
      <w:r>
        <w:rPr>
          <w:rFonts w:hint="eastAsia" w:ascii="宋体" w:hAnsi="宋体" w:eastAsia="宋体" w:cs="宋体"/>
          <w:sz w:val="24"/>
        </w:rPr>
        <w:t>投诉事项2</w:t>
      </w:r>
    </w:p>
    <w:p w14:paraId="0AB7E35C">
      <w:pPr>
        <w:spacing w:line="360" w:lineRule="auto"/>
        <w:rPr>
          <w:rFonts w:hint="eastAsia" w:ascii="宋体" w:hAnsi="宋体" w:eastAsia="宋体" w:cs="宋体"/>
          <w:sz w:val="24"/>
          <w:u w:val="dotted"/>
        </w:rPr>
      </w:pPr>
      <w:r>
        <w:rPr>
          <w:rFonts w:hint="eastAsia" w:ascii="宋体" w:hAnsi="宋体" w:eastAsia="宋体" w:cs="宋体"/>
          <w:sz w:val="24"/>
        </w:rPr>
        <w:t>……</w:t>
      </w:r>
    </w:p>
    <w:p w14:paraId="64F46226">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3AE8712E">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7BC568A">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19063709">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36C24167">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419C39C8">
      <w:pPr>
        <w:spacing w:line="360" w:lineRule="auto"/>
        <w:rPr>
          <w:rFonts w:hint="eastAsia" w:ascii="宋体" w:hAnsi="宋体" w:eastAsia="宋体" w:cs="宋体"/>
          <w:b/>
          <w:sz w:val="24"/>
        </w:rPr>
      </w:pPr>
    </w:p>
    <w:p w14:paraId="1E0DE192">
      <w:pPr>
        <w:spacing w:line="360" w:lineRule="auto"/>
        <w:rPr>
          <w:rFonts w:hint="eastAsia" w:ascii="宋体" w:hAnsi="宋体" w:eastAsia="宋体" w:cs="宋体"/>
          <w:b/>
          <w:sz w:val="24"/>
        </w:rPr>
      </w:pPr>
    </w:p>
    <w:p w14:paraId="6DC29618">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092F01C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4A85B37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3FE36F8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3132FF5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30AEAA6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4F5FFEF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6281FAF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7AE29421">
      <w:pPr>
        <w:spacing w:line="360" w:lineRule="auto"/>
        <w:rPr>
          <w:rFonts w:hint="eastAsia" w:ascii="宋体" w:hAnsi="宋体" w:eastAsia="宋体" w:cs="宋体"/>
          <w:b/>
          <w:sz w:val="24"/>
        </w:rPr>
      </w:pPr>
    </w:p>
    <w:p w14:paraId="0A71CF67">
      <w:pPr>
        <w:autoSpaceDE w:val="0"/>
        <w:autoSpaceDN w:val="0"/>
        <w:jc w:val="center"/>
        <w:rPr>
          <w:rFonts w:hint="eastAsia" w:ascii="宋体" w:hAnsi="宋体" w:eastAsia="宋体" w:cs="宋体"/>
          <w:b/>
          <w:spacing w:val="6"/>
          <w:sz w:val="32"/>
          <w:szCs w:val="32"/>
        </w:rPr>
      </w:pPr>
    </w:p>
    <w:p w14:paraId="7620DDB9">
      <w:pPr>
        <w:autoSpaceDE w:val="0"/>
        <w:autoSpaceDN w:val="0"/>
        <w:jc w:val="center"/>
        <w:rPr>
          <w:rFonts w:hint="eastAsia" w:ascii="宋体" w:hAnsi="宋体" w:eastAsia="宋体" w:cs="宋体"/>
          <w:b/>
          <w:spacing w:val="6"/>
          <w:sz w:val="32"/>
          <w:szCs w:val="32"/>
        </w:rPr>
      </w:pPr>
    </w:p>
    <w:p w14:paraId="0F82B15F">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07F91ECA">
      <w:pPr>
        <w:spacing w:line="360" w:lineRule="auto"/>
        <w:rPr>
          <w:rFonts w:hint="eastAsia" w:ascii="宋体" w:hAnsi="宋体" w:eastAsia="宋体" w:cs="宋体"/>
          <w:sz w:val="24"/>
          <w:u w:val="single"/>
        </w:rPr>
      </w:pPr>
    </w:p>
    <w:p w14:paraId="7562E5C9">
      <w:pPr>
        <w:spacing w:line="360" w:lineRule="auto"/>
        <w:rPr>
          <w:rFonts w:hint="eastAsia" w:ascii="宋体" w:hAnsi="宋体" w:eastAsia="宋体" w:cs="宋体"/>
          <w:sz w:val="24"/>
        </w:rPr>
      </w:pPr>
      <w:r>
        <w:rPr>
          <w:rFonts w:hint="eastAsia" w:ascii="宋体" w:hAnsi="宋体" w:cs="宋体"/>
          <w:sz w:val="24"/>
          <w:u w:val="single"/>
          <w:lang w:eastAsia="zh-CN"/>
        </w:rPr>
        <w:t>杭州市十三中教育集团（总校）</w:t>
      </w:r>
      <w:r>
        <w:rPr>
          <w:rFonts w:hint="eastAsia" w:ascii="宋体" w:hAnsi="宋体" w:eastAsia="宋体" w:cs="宋体"/>
          <w:sz w:val="24"/>
          <w:u w:val="single"/>
        </w:rPr>
        <w:t>、杭州市西湖区政府采购中心：</w:t>
      </w:r>
    </w:p>
    <w:p w14:paraId="7CC40A2E">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杭州市十三中教育集团(总校)2025-2026年保安服务采购项目</w:t>
      </w:r>
      <w:r>
        <w:rPr>
          <w:rFonts w:hint="eastAsia" w:ascii="宋体" w:hAnsi="宋体" w:eastAsia="宋体" w:cs="宋体"/>
          <w:sz w:val="24"/>
        </w:rPr>
        <w:t>【招标编号：</w:t>
      </w:r>
      <w:r>
        <w:rPr>
          <w:rFonts w:hint="eastAsia" w:ascii="宋体" w:hAnsi="宋体" w:cs="宋体"/>
          <w:sz w:val="24"/>
          <w:lang w:eastAsia="zh-CN"/>
        </w:rPr>
        <w:t>XHZFCG-2025-G-04</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0E61B3FF">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229BD838">
      <w:pPr>
        <w:spacing w:line="360" w:lineRule="auto"/>
        <w:ind w:firstLine="494"/>
        <w:rPr>
          <w:rFonts w:hint="eastAsia" w:ascii="宋体" w:hAnsi="宋体" w:eastAsia="宋体" w:cs="宋体"/>
          <w:sz w:val="24"/>
        </w:rPr>
      </w:pPr>
    </w:p>
    <w:p w14:paraId="6D60F658">
      <w:pPr>
        <w:spacing w:line="360" w:lineRule="auto"/>
        <w:ind w:firstLine="494"/>
        <w:rPr>
          <w:rFonts w:hint="eastAsia" w:ascii="宋体" w:hAnsi="宋体" w:eastAsia="宋体" w:cs="宋体"/>
          <w:sz w:val="24"/>
        </w:rPr>
      </w:pPr>
    </w:p>
    <w:p w14:paraId="688D9BEF">
      <w:pPr>
        <w:spacing w:line="360" w:lineRule="auto"/>
        <w:ind w:firstLine="494"/>
        <w:rPr>
          <w:rFonts w:hint="eastAsia" w:ascii="宋体" w:hAnsi="宋体" w:eastAsia="宋体" w:cs="宋体"/>
          <w:sz w:val="24"/>
        </w:rPr>
      </w:pPr>
    </w:p>
    <w:p w14:paraId="2FD1C2A6">
      <w:pPr>
        <w:spacing w:line="360" w:lineRule="auto"/>
        <w:ind w:firstLine="494"/>
        <w:rPr>
          <w:rFonts w:hint="eastAsia" w:ascii="宋体" w:hAnsi="宋体" w:eastAsia="宋体" w:cs="宋体"/>
          <w:sz w:val="24"/>
        </w:rPr>
      </w:pPr>
    </w:p>
    <w:p w14:paraId="23ECC893">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1F946B72">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6FDFB192">
      <w:pPr>
        <w:rPr>
          <w:rFonts w:hint="eastAsia" w:ascii="宋体" w:hAnsi="宋体" w:eastAsia="宋体" w:cs="宋体"/>
          <w:sz w:val="24"/>
        </w:rPr>
      </w:pPr>
      <w:r>
        <w:rPr>
          <w:rFonts w:hint="eastAsia" w:ascii="宋体" w:hAnsi="宋体" w:eastAsia="宋体" w:cs="宋体"/>
          <w:b/>
          <w:bCs/>
          <w:sz w:val="24"/>
        </w:rPr>
        <w:t>附：</w:t>
      </w:r>
    </w:p>
    <w:p w14:paraId="5637E559">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1D885BE5">
      <w:pPr>
        <w:autoSpaceDE w:val="0"/>
        <w:autoSpaceDN w:val="0"/>
        <w:jc w:val="center"/>
        <w:rPr>
          <w:rFonts w:hint="eastAsia" w:ascii="宋体" w:hAnsi="宋体" w:eastAsia="宋体" w:cs="宋体"/>
          <w:b/>
          <w:spacing w:val="6"/>
          <w:sz w:val="32"/>
          <w:szCs w:val="32"/>
        </w:rPr>
      </w:pPr>
    </w:p>
    <w:p w14:paraId="38C1939A">
      <w:pPr>
        <w:autoSpaceDE w:val="0"/>
        <w:autoSpaceDN w:val="0"/>
        <w:jc w:val="center"/>
        <w:rPr>
          <w:rFonts w:hint="eastAsia" w:ascii="宋体" w:hAnsi="宋体" w:eastAsia="宋体" w:cs="宋体"/>
          <w:b/>
          <w:spacing w:val="6"/>
          <w:sz w:val="32"/>
          <w:szCs w:val="32"/>
        </w:rPr>
      </w:pPr>
    </w:p>
    <w:p w14:paraId="77052793">
      <w:pPr>
        <w:autoSpaceDE w:val="0"/>
        <w:autoSpaceDN w:val="0"/>
        <w:jc w:val="center"/>
        <w:rPr>
          <w:rFonts w:hint="eastAsia" w:ascii="宋体" w:hAnsi="宋体" w:eastAsia="宋体" w:cs="宋体"/>
          <w:b/>
          <w:spacing w:val="6"/>
          <w:sz w:val="32"/>
          <w:szCs w:val="32"/>
        </w:rPr>
      </w:pPr>
    </w:p>
    <w:p w14:paraId="0B0B7EB3">
      <w:pPr>
        <w:autoSpaceDE w:val="0"/>
        <w:autoSpaceDN w:val="0"/>
        <w:jc w:val="center"/>
        <w:rPr>
          <w:rFonts w:hint="eastAsia" w:ascii="宋体" w:hAnsi="宋体" w:eastAsia="宋体" w:cs="宋体"/>
          <w:b/>
          <w:spacing w:val="6"/>
          <w:sz w:val="32"/>
          <w:szCs w:val="32"/>
        </w:rPr>
      </w:pPr>
    </w:p>
    <w:p w14:paraId="5AD49E45">
      <w:pPr>
        <w:autoSpaceDE w:val="0"/>
        <w:autoSpaceDN w:val="0"/>
        <w:jc w:val="center"/>
        <w:rPr>
          <w:rFonts w:hint="eastAsia" w:ascii="宋体" w:hAnsi="宋体" w:eastAsia="宋体" w:cs="宋体"/>
          <w:b/>
          <w:spacing w:val="6"/>
          <w:sz w:val="32"/>
          <w:szCs w:val="32"/>
        </w:rPr>
      </w:pPr>
    </w:p>
    <w:p w14:paraId="362761F3">
      <w:pPr>
        <w:autoSpaceDE w:val="0"/>
        <w:autoSpaceDN w:val="0"/>
        <w:jc w:val="center"/>
        <w:rPr>
          <w:rFonts w:hint="eastAsia" w:ascii="宋体" w:hAnsi="宋体" w:eastAsia="宋体" w:cs="宋体"/>
          <w:b/>
          <w:spacing w:val="6"/>
          <w:sz w:val="32"/>
          <w:szCs w:val="32"/>
        </w:rPr>
      </w:pPr>
    </w:p>
    <w:p w14:paraId="4BE17636">
      <w:pPr>
        <w:autoSpaceDE w:val="0"/>
        <w:autoSpaceDN w:val="0"/>
        <w:jc w:val="center"/>
        <w:rPr>
          <w:rFonts w:hint="eastAsia" w:ascii="宋体" w:hAnsi="宋体" w:eastAsia="宋体" w:cs="宋体"/>
          <w:b/>
          <w:spacing w:val="6"/>
          <w:sz w:val="32"/>
          <w:szCs w:val="32"/>
        </w:rPr>
      </w:pPr>
    </w:p>
    <w:p w14:paraId="00D59B95">
      <w:pPr>
        <w:autoSpaceDE w:val="0"/>
        <w:autoSpaceDN w:val="0"/>
        <w:jc w:val="center"/>
        <w:rPr>
          <w:rFonts w:hint="eastAsia" w:ascii="宋体" w:hAnsi="宋体" w:eastAsia="宋体" w:cs="宋体"/>
          <w:b/>
          <w:spacing w:val="6"/>
          <w:sz w:val="32"/>
          <w:szCs w:val="32"/>
        </w:rPr>
      </w:pPr>
    </w:p>
    <w:p w14:paraId="6EB5C54C">
      <w:pPr>
        <w:autoSpaceDE w:val="0"/>
        <w:autoSpaceDN w:val="0"/>
        <w:jc w:val="center"/>
        <w:rPr>
          <w:rFonts w:hint="eastAsia" w:ascii="宋体" w:hAnsi="宋体" w:eastAsia="宋体" w:cs="宋体"/>
          <w:b/>
          <w:spacing w:val="6"/>
          <w:sz w:val="32"/>
          <w:szCs w:val="32"/>
        </w:rPr>
      </w:pPr>
    </w:p>
    <w:p w14:paraId="54629B87">
      <w:pPr>
        <w:autoSpaceDE w:val="0"/>
        <w:autoSpaceDN w:val="0"/>
        <w:jc w:val="center"/>
        <w:rPr>
          <w:rFonts w:hint="eastAsia" w:ascii="宋体" w:hAnsi="宋体" w:eastAsia="宋体" w:cs="宋体"/>
          <w:b/>
          <w:spacing w:val="6"/>
          <w:sz w:val="32"/>
          <w:szCs w:val="32"/>
        </w:rPr>
      </w:pPr>
    </w:p>
    <w:p w14:paraId="3926277D">
      <w:pPr>
        <w:autoSpaceDE w:val="0"/>
        <w:autoSpaceDN w:val="0"/>
        <w:jc w:val="center"/>
        <w:rPr>
          <w:rFonts w:hint="eastAsia" w:ascii="宋体" w:hAnsi="宋体" w:eastAsia="宋体" w:cs="宋体"/>
          <w:b/>
          <w:spacing w:val="6"/>
          <w:sz w:val="32"/>
          <w:szCs w:val="32"/>
        </w:rPr>
      </w:pPr>
    </w:p>
    <w:p w14:paraId="442B8177">
      <w:pPr>
        <w:autoSpaceDE w:val="0"/>
        <w:autoSpaceDN w:val="0"/>
        <w:jc w:val="center"/>
        <w:rPr>
          <w:rFonts w:hint="eastAsia" w:ascii="宋体" w:hAnsi="宋体" w:eastAsia="宋体" w:cs="宋体"/>
          <w:b/>
          <w:spacing w:val="6"/>
          <w:sz w:val="32"/>
          <w:szCs w:val="32"/>
        </w:rPr>
      </w:pPr>
    </w:p>
    <w:p w14:paraId="6A3D8256">
      <w:pPr>
        <w:pStyle w:val="80"/>
        <w:rPr>
          <w:rFonts w:hint="eastAsia" w:ascii="宋体" w:hAnsi="宋体" w:eastAsia="宋体" w:cs="宋体"/>
          <w:b/>
          <w:spacing w:val="6"/>
          <w:sz w:val="32"/>
          <w:szCs w:val="32"/>
        </w:rPr>
      </w:pPr>
    </w:p>
    <w:p w14:paraId="1009031E">
      <w:pPr>
        <w:pStyle w:val="80"/>
        <w:rPr>
          <w:rFonts w:hint="eastAsia" w:ascii="宋体" w:hAnsi="宋体" w:eastAsia="宋体" w:cs="宋体"/>
          <w:b/>
          <w:spacing w:val="6"/>
          <w:sz w:val="32"/>
          <w:szCs w:val="32"/>
        </w:rPr>
      </w:pPr>
    </w:p>
    <w:p w14:paraId="6CF1B8E2">
      <w:pPr>
        <w:autoSpaceDE w:val="0"/>
        <w:autoSpaceDN w:val="0"/>
        <w:jc w:val="center"/>
        <w:rPr>
          <w:rFonts w:hint="eastAsia" w:ascii="宋体" w:hAnsi="宋体" w:eastAsia="宋体" w:cs="宋体"/>
          <w:b/>
          <w:spacing w:val="6"/>
          <w:sz w:val="32"/>
          <w:szCs w:val="32"/>
        </w:rPr>
      </w:pPr>
    </w:p>
    <w:p w14:paraId="3A62A843">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2F6E7488">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4BF9616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cs="宋体"/>
          <w:sz w:val="24"/>
          <w:lang w:eastAsia="zh-CN"/>
        </w:rPr>
        <w:t>杭州市十三中教育集团(总校)2025-2026年保安服务采购项目</w:t>
      </w:r>
      <w:r>
        <w:rPr>
          <w:rFonts w:hint="eastAsia" w:ascii="宋体" w:hAnsi="宋体" w:eastAsia="宋体" w:cs="宋体"/>
          <w:sz w:val="24"/>
        </w:rPr>
        <w:t>【招标编号：</w:t>
      </w:r>
      <w:r>
        <w:rPr>
          <w:rFonts w:hint="eastAsia" w:ascii="宋体" w:hAnsi="宋体" w:cs="宋体"/>
          <w:sz w:val="24"/>
          <w:lang w:eastAsia="zh-CN"/>
        </w:rPr>
        <w:t>XHZFCG-2025-G-04</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7B7D9E4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7851553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14:paraId="1438AD6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9AAA2C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558187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5234346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015D202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249E8D45">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512" w:name="_Hlk101131882"/>
      <w:r>
        <w:rPr>
          <w:rFonts w:hint="eastAsia" w:ascii="宋体" w:hAnsi="宋体" w:eastAsia="宋体" w:cs="宋体"/>
          <w:kern w:val="0"/>
          <w:sz w:val="24"/>
          <w:u w:val="single"/>
        </w:rPr>
        <w:t>联合体成员X,……</w:t>
      </w:r>
      <w:bookmarkEnd w:id="512"/>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513"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513"/>
      <w:r>
        <w:rPr>
          <w:rFonts w:hint="eastAsia" w:ascii="宋体" w:hAnsi="宋体" w:eastAsia="宋体" w:cs="宋体"/>
          <w:b/>
          <w:kern w:val="0"/>
          <w:sz w:val="24"/>
          <w:lang w:val="zh-CN"/>
        </w:rPr>
        <w:t>）</w:t>
      </w:r>
    </w:p>
    <w:p w14:paraId="7B48FC96">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14"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514"/>
    </w:p>
    <w:p w14:paraId="35FB018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1DC2ADC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205366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5FEAC65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3F5ECF5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33BDC3FE">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76D305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6E3BA41">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5C742725">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35E86E9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F4EBFFC">
      <w:pPr>
        <w:autoSpaceDE w:val="0"/>
        <w:autoSpaceDN w:val="0"/>
        <w:jc w:val="center"/>
        <w:rPr>
          <w:rFonts w:hint="eastAsia" w:ascii="宋体" w:hAnsi="宋体" w:eastAsia="宋体" w:cs="宋体"/>
          <w:b/>
          <w:spacing w:val="6"/>
          <w:sz w:val="32"/>
          <w:szCs w:val="32"/>
        </w:rPr>
      </w:pPr>
    </w:p>
    <w:p w14:paraId="0FA1E679">
      <w:pPr>
        <w:autoSpaceDE w:val="0"/>
        <w:autoSpaceDN w:val="0"/>
        <w:jc w:val="center"/>
        <w:rPr>
          <w:rFonts w:hint="eastAsia" w:ascii="宋体" w:hAnsi="宋体" w:eastAsia="宋体" w:cs="宋体"/>
          <w:b/>
          <w:spacing w:val="6"/>
          <w:sz w:val="32"/>
          <w:szCs w:val="32"/>
        </w:rPr>
      </w:pPr>
    </w:p>
    <w:p w14:paraId="5B09F5C6">
      <w:pPr>
        <w:autoSpaceDE w:val="0"/>
        <w:autoSpaceDN w:val="0"/>
        <w:jc w:val="center"/>
        <w:rPr>
          <w:rFonts w:hint="eastAsia" w:ascii="宋体" w:hAnsi="宋体" w:eastAsia="宋体" w:cs="宋体"/>
          <w:b/>
          <w:spacing w:val="6"/>
          <w:sz w:val="32"/>
          <w:szCs w:val="32"/>
        </w:rPr>
      </w:pPr>
    </w:p>
    <w:p w14:paraId="4207B71C">
      <w:pPr>
        <w:autoSpaceDE w:val="0"/>
        <w:autoSpaceDN w:val="0"/>
        <w:jc w:val="center"/>
        <w:rPr>
          <w:rFonts w:hint="eastAsia" w:ascii="宋体" w:hAnsi="宋体" w:eastAsia="宋体" w:cs="宋体"/>
          <w:b/>
          <w:spacing w:val="6"/>
          <w:sz w:val="32"/>
          <w:szCs w:val="32"/>
        </w:rPr>
      </w:pPr>
    </w:p>
    <w:p w14:paraId="1791D241">
      <w:pPr>
        <w:autoSpaceDE w:val="0"/>
        <w:autoSpaceDN w:val="0"/>
        <w:jc w:val="center"/>
        <w:rPr>
          <w:rFonts w:hint="eastAsia" w:ascii="宋体" w:hAnsi="宋体" w:eastAsia="宋体" w:cs="宋体"/>
          <w:b/>
          <w:spacing w:val="6"/>
          <w:sz w:val="32"/>
          <w:szCs w:val="32"/>
        </w:rPr>
      </w:pPr>
    </w:p>
    <w:p w14:paraId="34AC0664">
      <w:pPr>
        <w:autoSpaceDE w:val="0"/>
        <w:autoSpaceDN w:val="0"/>
        <w:jc w:val="center"/>
        <w:rPr>
          <w:rFonts w:hint="eastAsia" w:ascii="宋体" w:hAnsi="宋体" w:eastAsia="宋体" w:cs="宋体"/>
          <w:b/>
          <w:spacing w:val="6"/>
          <w:sz w:val="32"/>
          <w:szCs w:val="32"/>
        </w:rPr>
      </w:pPr>
    </w:p>
    <w:p w14:paraId="54100BC5">
      <w:pPr>
        <w:autoSpaceDE w:val="0"/>
        <w:autoSpaceDN w:val="0"/>
        <w:jc w:val="center"/>
        <w:rPr>
          <w:rFonts w:hint="eastAsia" w:ascii="宋体" w:hAnsi="宋体" w:eastAsia="宋体" w:cs="宋体"/>
          <w:b/>
          <w:spacing w:val="6"/>
          <w:sz w:val="32"/>
          <w:szCs w:val="32"/>
        </w:rPr>
      </w:pPr>
    </w:p>
    <w:p w14:paraId="34406A8D">
      <w:pPr>
        <w:autoSpaceDE w:val="0"/>
        <w:autoSpaceDN w:val="0"/>
        <w:jc w:val="center"/>
        <w:rPr>
          <w:rFonts w:hint="eastAsia" w:ascii="宋体" w:hAnsi="宋体" w:eastAsia="宋体" w:cs="宋体"/>
          <w:b/>
          <w:spacing w:val="6"/>
          <w:sz w:val="32"/>
          <w:szCs w:val="32"/>
        </w:rPr>
      </w:pPr>
    </w:p>
    <w:p w14:paraId="2A10812B">
      <w:pPr>
        <w:autoSpaceDE w:val="0"/>
        <w:autoSpaceDN w:val="0"/>
        <w:jc w:val="center"/>
        <w:rPr>
          <w:rFonts w:hint="eastAsia" w:ascii="宋体" w:hAnsi="宋体" w:eastAsia="宋体" w:cs="宋体"/>
          <w:b/>
          <w:spacing w:val="6"/>
          <w:sz w:val="32"/>
          <w:szCs w:val="32"/>
        </w:rPr>
      </w:pPr>
    </w:p>
    <w:p w14:paraId="148AC0B9">
      <w:pPr>
        <w:autoSpaceDE w:val="0"/>
        <w:autoSpaceDN w:val="0"/>
        <w:jc w:val="center"/>
        <w:rPr>
          <w:rFonts w:hint="eastAsia" w:ascii="宋体" w:hAnsi="宋体" w:eastAsia="宋体" w:cs="宋体"/>
          <w:b/>
          <w:spacing w:val="6"/>
          <w:sz w:val="32"/>
          <w:szCs w:val="32"/>
        </w:rPr>
      </w:pPr>
    </w:p>
    <w:p w14:paraId="3AB503E8">
      <w:pPr>
        <w:autoSpaceDE w:val="0"/>
        <w:autoSpaceDN w:val="0"/>
        <w:jc w:val="center"/>
        <w:rPr>
          <w:rFonts w:hint="eastAsia" w:ascii="宋体" w:hAnsi="宋体" w:eastAsia="宋体" w:cs="宋体"/>
          <w:b/>
          <w:spacing w:val="6"/>
          <w:sz w:val="32"/>
          <w:szCs w:val="32"/>
        </w:rPr>
      </w:pPr>
    </w:p>
    <w:p w14:paraId="77A7D42B">
      <w:pPr>
        <w:autoSpaceDE w:val="0"/>
        <w:autoSpaceDN w:val="0"/>
        <w:jc w:val="center"/>
        <w:rPr>
          <w:rFonts w:hint="eastAsia" w:ascii="宋体" w:hAnsi="宋体" w:eastAsia="宋体" w:cs="宋体"/>
          <w:b/>
          <w:spacing w:val="6"/>
          <w:sz w:val="32"/>
          <w:szCs w:val="32"/>
        </w:rPr>
      </w:pPr>
    </w:p>
    <w:p w14:paraId="4D6217BC">
      <w:pPr>
        <w:autoSpaceDE w:val="0"/>
        <w:autoSpaceDN w:val="0"/>
        <w:jc w:val="center"/>
        <w:rPr>
          <w:rFonts w:hint="eastAsia" w:ascii="宋体" w:hAnsi="宋体" w:eastAsia="宋体" w:cs="宋体"/>
          <w:b/>
          <w:spacing w:val="6"/>
          <w:sz w:val="32"/>
          <w:szCs w:val="32"/>
        </w:rPr>
      </w:pPr>
    </w:p>
    <w:p w14:paraId="5900491C">
      <w:pPr>
        <w:autoSpaceDE w:val="0"/>
        <w:autoSpaceDN w:val="0"/>
        <w:jc w:val="center"/>
        <w:rPr>
          <w:rFonts w:hint="eastAsia" w:ascii="宋体" w:hAnsi="宋体" w:eastAsia="宋体" w:cs="宋体"/>
          <w:b/>
          <w:spacing w:val="6"/>
          <w:sz w:val="32"/>
          <w:szCs w:val="32"/>
        </w:rPr>
      </w:pPr>
    </w:p>
    <w:p w14:paraId="46054EF8">
      <w:pPr>
        <w:autoSpaceDE w:val="0"/>
        <w:autoSpaceDN w:val="0"/>
        <w:jc w:val="center"/>
        <w:rPr>
          <w:rFonts w:hint="eastAsia" w:ascii="宋体" w:hAnsi="宋体" w:eastAsia="宋体" w:cs="宋体"/>
          <w:b/>
          <w:spacing w:val="6"/>
          <w:sz w:val="32"/>
          <w:szCs w:val="32"/>
        </w:rPr>
      </w:pPr>
    </w:p>
    <w:p w14:paraId="14011F1A">
      <w:pPr>
        <w:autoSpaceDE w:val="0"/>
        <w:autoSpaceDN w:val="0"/>
        <w:jc w:val="center"/>
        <w:rPr>
          <w:rFonts w:hint="eastAsia" w:ascii="宋体" w:hAnsi="宋体" w:eastAsia="宋体" w:cs="宋体"/>
          <w:b/>
          <w:spacing w:val="6"/>
          <w:sz w:val="32"/>
          <w:szCs w:val="32"/>
        </w:rPr>
      </w:pPr>
    </w:p>
    <w:p w14:paraId="2981B7E5">
      <w:pPr>
        <w:autoSpaceDE w:val="0"/>
        <w:autoSpaceDN w:val="0"/>
        <w:jc w:val="center"/>
        <w:rPr>
          <w:rFonts w:hint="eastAsia" w:ascii="宋体" w:hAnsi="宋体" w:eastAsia="宋体" w:cs="宋体"/>
          <w:b/>
          <w:spacing w:val="6"/>
          <w:sz w:val="32"/>
          <w:szCs w:val="32"/>
        </w:rPr>
      </w:pPr>
    </w:p>
    <w:p w14:paraId="4E6827EA">
      <w:pPr>
        <w:autoSpaceDE w:val="0"/>
        <w:autoSpaceDN w:val="0"/>
        <w:jc w:val="center"/>
        <w:rPr>
          <w:rFonts w:hint="eastAsia" w:ascii="宋体" w:hAnsi="宋体" w:eastAsia="宋体" w:cs="宋体"/>
          <w:b/>
          <w:spacing w:val="6"/>
          <w:sz w:val="32"/>
          <w:szCs w:val="32"/>
        </w:rPr>
      </w:pPr>
    </w:p>
    <w:p w14:paraId="02F679FD">
      <w:pPr>
        <w:autoSpaceDE w:val="0"/>
        <w:autoSpaceDN w:val="0"/>
        <w:jc w:val="center"/>
        <w:rPr>
          <w:rFonts w:hint="eastAsia" w:ascii="宋体" w:hAnsi="宋体" w:eastAsia="宋体" w:cs="宋体"/>
          <w:b/>
          <w:spacing w:val="6"/>
          <w:sz w:val="32"/>
          <w:szCs w:val="32"/>
        </w:rPr>
      </w:pPr>
    </w:p>
    <w:p w14:paraId="16E317A6">
      <w:pPr>
        <w:autoSpaceDE w:val="0"/>
        <w:autoSpaceDN w:val="0"/>
        <w:jc w:val="center"/>
        <w:rPr>
          <w:rFonts w:hint="eastAsia" w:ascii="宋体" w:hAnsi="宋体" w:eastAsia="宋体" w:cs="宋体"/>
          <w:b/>
          <w:spacing w:val="6"/>
          <w:sz w:val="32"/>
          <w:szCs w:val="32"/>
        </w:rPr>
      </w:pPr>
    </w:p>
    <w:p w14:paraId="4E7171DA">
      <w:pPr>
        <w:autoSpaceDE w:val="0"/>
        <w:autoSpaceDN w:val="0"/>
        <w:jc w:val="center"/>
        <w:rPr>
          <w:rFonts w:hint="eastAsia" w:ascii="宋体" w:hAnsi="宋体" w:eastAsia="宋体" w:cs="宋体"/>
          <w:b/>
          <w:spacing w:val="6"/>
          <w:sz w:val="32"/>
          <w:szCs w:val="32"/>
        </w:rPr>
      </w:pPr>
    </w:p>
    <w:p w14:paraId="7E5702DA">
      <w:pPr>
        <w:autoSpaceDE w:val="0"/>
        <w:autoSpaceDN w:val="0"/>
        <w:jc w:val="center"/>
        <w:rPr>
          <w:rFonts w:hint="eastAsia" w:ascii="宋体" w:hAnsi="宋体" w:eastAsia="宋体" w:cs="宋体"/>
          <w:b/>
          <w:spacing w:val="6"/>
          <w:sz w:val="32"/>
          <w:szCs w:val="32"/>
        </w:rPr>
      </w:pPr>
    </w:p>
    <w:p w14:paraId="062083F0">
      <w:pPr>
        <w:autoSpaceDE w:val="0"/>
        <w:autoSpaceDN w:val="0"/>
        <w:jc w:val="center"/>
        <w:rPr>
          <w:rFonts w:hint="eastAsia" w:ascii="宋体" w:hAnsi="宋体" w:eastAsia="宋体" w:cs="宋体"/>
          <w:b/>
          <w:spacing w:val="6"/>
          <w:sz w:val="32"/>
          <w:szCs w:val="32"/>
        </w:rPr>
      </w:pPr>
    </w:p>
    <w:p w14:paraId="7BAC60BB">
      <w:pPr>
        <w:snapToGrid w:val="0"/>
        <w:spacing w:line="360" w:lineRule="auto"/>
        <w:ind w:firstLine="3666" w:firstLineChars="1100"/>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0FE96773">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2668437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cs="宋体"/>
          <w:sz w:val="24"/>
          <w:lang w:eastAsia="zh-CN"/>
        </w:rPr>
        <w:t>杭州市十三中教育集团(总校)2025-2026年保安服务采购项目</w:t>
      </w:r>
      <w:r>
        <w:rPr>
          <w:rFonts w:hint="eastAsia" w:ascii="宋体" w:hAnsi="宋体" w:eastAsia="宋体" w:cs="宋体"/>
          <w:sz w:val="24"/>
        </w:rPr>
        <w:t>【招标编号：</w:t>
      </w:r>
      <w:r>
        <w:rPr>
          <w:rFonts w:hint="eastAsia" w:ascii="宋体" w:hAnsi="宋体" w:cs="宋体"/>
          <w:sz w:val="24"/>
          <w:lang w:eastAsia="zh-CN"/>
        </w:rPr>
        <w:t>XHZFCG-2025-G-04</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337391E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33BEA13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141ED90B">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EF48010">
      <w:pPr>
        <w:rPr>
          <w:rFonts w:hint="eastAsia" w:ascii="宋体" w:hAnsi="宋体" w:eastAsia="宋体" w:cs="宋体"/>
        </w:rPr>
      </w:pPr>
      <w:r>
        <w:rPr>
          <w:rFonts w:hint="eastAsia" w:ascii="宋体" w:hAnsi="宋体" w:eastAsia="宋体" w:cs="宋体"/>
          <w:lang w:val="zh-CN"/>
        </w:rPr>
        <w:t xml:space="preserve"> </w:t>
      </w:r>
    </w:p>
    <w:p w14:paraId="0D89066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59601517">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3FE5FB41">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6CE74D5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6AB1654A">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483081F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448CA6D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0156F37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7A228BE6">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5CE1B377">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4EA3C2B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0B99358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0428301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72F9088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4E01935D">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67BC3358">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0065319A">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4B94DA6F">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CB58C3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083774B">
      <w:pPr>
        <w:autoSpaceDE w:val="0"/>
        <w:autoSpaceDN w:val="0"/>
        <w:jc w:val="center"/>
        <w:rPr>
          <w:rFonts w:hint="eastAsia" w:ascii="宋体" w:hAnsi="宋体" w:eastAsia="宋体" w:cs="宋体"/>
          <w:b/>
          <w:spacing w:val="6"/>
          <w:sz w:val="32"/>
          <w:szCs w:val="32"/>
        </w:rPr>
      </w:pPr>
    </w:p>
    <w:p w14:paraId="4F97FB57">
      <w:pPr>
        <w:autoSpaceDE w:val="0"/>
        <w:autoSpaceDN w:val="0"/>
        <w:jc w:val="center"/>
        <w:rPr>
          <w:rFonts w:hint="eastAsia" w:ascii="宋体" w:hAnsi="宋体" w:eastAsia="宋体" w:cs="宋体"/>
          <w:b/>
          <w:spacing w:val="6"/>
          <w:sz w:val="32"/>
          <w:szCs w:val="32"/>
        </w:rPr>
      </w:pPr>
    </w:p>
    <w:p w14:paraId="7067E6C3">
      <w:pPr>
        <w:autoSpaceDE w:val="0"/>
        <w:autoSpaceDN w:val="0"/>
        <w:jc w:val="center"/>
        <w:rPr>
          <w:rFonts w:hint="eastAsia" w:ascii="宋体" w:hAnsi="宋体" w:eastAsia="宋体" w:cs="宋体"/>
          <w:b/>
          <w:spacing w:val="6"/>
          <w:sz w:val="32"/>
          <w:szCs w:val="32"/>
        </w:rPr>
      </w:pPr>
    </w:p>
    <w:p w14:paraId="79442B84">
      <w:pPr>
        <w:autoSpaceDE w:val="0"/>
        <w:autoSpaceDN w:val="0"/>
        <w:jc w:val="center"/>
        <w:rPr>
          <w:rFonts w:hint="eastAsia" w:ascii="宋体" w:hAnsi="宋体" w:eastAsia="宋体" w:cs="宋体"/>
          <w:b/>
          <w:spacing w:val="6"/>
          <w:sz w:val="32"/>
          <w:szCs w:val="32"/>
        </w:rPr>
      </w:pPr>
    </w:p>
    <w:p w14:paraId="3599596E">
      <w:pPr>
        <w:autoSpaceDE w:val="0"/>
        <w:autoSpaceDN w:val="0"/>
        <w:jc w:val="center"/>
        <w:rPr>
          <w:rFonts w:hint="eastAsia" w:ascii="宋体" w:hAnsi="宋体" w:eastAsia="宋体" w:cs="宋体"/>
          <w:b/>
          <w:spacing w:val="6"/>
          <w:sz w:val="32"/>
          <w:szCs w:val="32"/>
        </w:rPr>
      </w:pPr>
    </w:p>
    <w:p w14:paraId="18964355">
      <w:pPr>
        <w:autoSpaceDE w:val="0"/>
        <w:autoSpaceDN w:val="0"/>
        <w:jc w:val="center"/>
        <w:rPr>
          <w:rFonts w:hint="eastAsia" w:ascii="宋体" w:hAnsi="宋体" w:eastAsia="宋体" w:cs="宋体"/>
          <w:b/>
          <w:spacing w:val="6"/>
          <w:sz w:val="32"/>
          <w:szCs w:val="32"/>
        </w:rPr>
      </w:pPr>
    </w:p>
    <w:p w14:paraId="75B71B9C">
      <w:pPr>
        <w:autoSpaceDE w:val="0"/>
        <w:autoSpaceDN w:val="0"/>
        <w:jc w:val="center"/>
        <w:rPr>
          <w:rFonts w:hint="eastAsia" w:ascii="宋体" w:hAnsi="宋体" w:eastAsia="宋体" w:cs="宋体"/>
          <w:b/>
          <w:spacing w:val="6"/>
          <w:sz w:val="32"/>
          <w:szCs w:val="32"/>
        </w:rPr>
      </w:pPr>
    </w:p>
    <w:p w14:paraId="26696917">
      <w:pPr>
        <w:autoSpaceDE w:val="0"/>
        <w:autoSpaceDN w:val="0"/>
        <w:jc w:val="center"/>
        <w:rPr>
          <w:rFonts w:hint="eastAsia" w:ascii="宋体" w:hAnsi="宋体" w:eastAsia="宋体" w:cs="宋体"/>
          <w:b/>
          <w:spacing w:val="6"/>
          <w:sz w:val="32"/>
          <w:szCs w:val="32"/>
        </w:rPr>
      </w:pPr>
    </w:p>
    <w:p w14:paraId="0658C81C">
      <w:pPr>
        <w:autoSpaceDE w:val="0"/>
        <w:autoSpaceDN w:val="0"/>
        <w:jc w:val="center"/>
        <w:rPr>
          <w:rFonts w:hint="eastAsia" w:ascii="宋体" w:hAnsi="宋体" w:eastAsia="宋体" w:cs="宋体"/>
          <w:b/>
          <w:spacing w:val="6"/>
          <w:sz w:val="32"/>
          <w:szCs w:val="32"/>
        </w:rPr>
      </w:pPr>
    </w:p>
    <w:p w14:paraId="1A688EA2">
      <w:pPr>
        <w:autoSpaceDE w:val="0"/>
        <w:autoSpaceDN w:val="0"/>
        <w:jc w:val="center"/>
        <w:rPr>
          <w:rFonts w:hint="eastAsia" w:ascii="宋体" w:hAnsi="宋体" w:eastAsia="宋体" w:cs="宋体"/>
          <w:b/>
          <w:spacing w:val="6"/>
          <w:sz w:val="32"/>
          <w:szCs w:val="32"/>
        </w:rPr>
      </w:pPr>
    </w:p>
    <w:p w14:paraId="712F290C">
      <w:pPr>
        <w:autoSpaceDE w:val="0"/>
        <w:autoSpaceDN w:val="0"/>
        <w:jc w:val="center"/>
        <w:rPr>
          <w:rFonts w:hint="eastAsia" w:ascii="宋体" w:hAnsi="宋体" w:eastAsia="宋体" w:cs="宋体"/>
          <w:b/>
          <w:spacing w:val="6"/>
          <w:sz w:val="32"/>
          <w:szCs w:val="32"/>
        </w:rPr>
      </w:pPr>
    </w:p>
    <w:p w14:paraId="2C9AFAD4">
      <w:pPr>
        <w:autoSpaceDE w:val="0"/>
        <w:autoSpaceDN w:val="0"/>
        <w:jc w:val="center"/>
        <w:rPr>
          <w:rFonts w:hint="eastAsia" w:ascii="宋体" w:hAnsi="宋体" w:eastAsia="宋体" w:cs="宋体"/>
          <w:b/>
          <w:spacing w:val="6"/>
          <w:sz w:val="32"/>
          <w:szCs w:val="32"/>
        </w:rPr>
      </w:pPr>
    </w:p>
    <w:p w14:paraId="0BCE99AF">
      <w:pPr>
        <w:autoSpaceDE w:val="0"/>
        <w:autoSpaceDN w:val="0"/>
        <w:jc w:val="center"/>
        <w:rPr>
          <w:rFonts w:hint="eastAsia" w:ascii="宋体" w:hAnsi="宋体" w:eastAsia="宋体" w:cs="宋体"/>
          <w:b/>
          <w:spacing w:val="6"/>
          <w:sz w:val="32"/>
          <w:szCs w:val="32"/>
        </w:rPr>
      </w:pPr>
    </w:p>
    <w:p w14:paraId="714D0B1C">
      <w:pPr>
        <w:autoSpaceDE w:val="0"/>
        <w:autoSpaceDN w:val="0"/>
        <w:jc w:val="center"/>
        <w:rPr>
          <w:rFonts w:hint="eastAsia" w:ascii="宋体" w:hAnsi="宋体" w:eastAsia="宋体" w:cs="宋体"/>
          <w:b/>
          <w:spacing w:val="6"/>
          <w:sz w:val="32"/>
          <w:szCs w:val="32"/>
        </w:rPr>
      </w:pPr>
    </w:p>
    <w:p w14:paraId="087707B9">
      <w:pPr>
        <w:autoSpaceDE w:val="0"/>
        <w:autoSpaceDN w:val="0"/>
        <w:jc w:val="center"/>
        <w:rPr>
          <w:rFonts w:hint="eastAsia" w:ascii="宋体" w:hAnsi="宋体" w:eastAsia="宋体" w:cs="宋体"/>
          <w:b/>
          <w:spacing w:val="6"/>
          <w:sz w:val="32"/>
          <w:szCs w:val="32"/>
        </w:rPr>
      </w:pPr>
    </w:p>
    <w:p w14:paraId="1B381400">
      <w:pPr>
        <w:autoSpaceDE w:val="0"/>
        <w:autoSpaceDN w:val="0"/>
        <w:jc w:val="center"/>
        <w:rPr>
          <w:rFonts w:hint="eastAsia" w:ascii="宋体" w:hAnsi="宋体" w:eastAsia="宋体" w:cs="宋体"/>
          <w:b/>
          <w:spacing w:val="6"/>
          <w:sz w:val="32"/>
          <w:szCs w:val="32"/>
        </w:rPr>
      </w:pPr>
    </w:p>
    <w:p w14:paraId="55F2A7D0">
      <w:pPr>
        <w:autoSpaceDE w:val="0"/>
        <w:autoSpaceDN w:val="0"/>
        <w:jc w:val="center"/>
        <w:rPr>
          <w:rFonts w:hint="eastAsia" w:ascii="宋体" w:hAnsi="宋体" w:eastAsia="宋体" w:cs="宋体"/>
          <w:b/>
          <w:spacing w:val="6"/>
          <w:sz w:val="32"/>
          <w:szCs w:val="32"/>
        </w:rPr>
      </w:pPr>
    </w:p>
    <w:p w14:paraId="7D36F743">
      <w:pPr>
        <w:autoSpaceDE w:val="0"/>
        <w:autoSpaceDN w:val="0"/>
        <w:jc w:val="center"/>
        <w:rPr>
          <w:rFonts w:hint="eastAsia" w:ascii="宋体" w:hAnsi="宋体" w:eastAsia="宋体" w:cs="宋体"/>
          <w:b/>
          <w:spacing w:val="6"/>
          <w:sz w:val="32"/>
          <w:szCs w:val="32"/>
        </w:rPr>
      </w:pPr>
    </w:p>
    <w:p w14:paraId="361EF060">
      <w:pPr>
        <w:autoSpaceDE w:val="0"/>
        <w:autoSpaceDN w:val="0"/>
        <w:jc w:val="center"/>
        <w:rPr>
          <w:rFonts w:hint="eastAsia" w:ascii="宋体" w:hAnsi="宋体" w:eastAsia="宋体" w:cs="宋体"/>
          <w:b/>
          <w:spacing w:val="6"/>
          <w:sz w:val="32"/>
          <w:szCs w:val="32"/>
        </w:rPr>
      </w:pPr>
    </w:p>
    <w:p w14:paraId="10032C00">
      <w:pPr>
        <w:autoSpaceDE w:val="0"/>
        <w:autoSpaceDN w:val="0"/>
        <w:jc w:val="center"/>
        <w:rPr>
          <w:rFonts w:hint="eastAsia" w:ascii="宋体" w:hAnsi="宋体" w:eastAsia="宋体" w:cs="宋体"/>
          <w:b/>
          <w:spacing w:val="6"/>
          <w:sz w:val="32"/>
          <w:szCs w:val="32"/>
        </w:rPr>
      </w:pPr>
    </w:p>
    <w:p w14:paraId="4EEA8C30">
      <w:pPr>
        <w:autoSpaceDE w:val="0"/>
        <w:autoSpaceDN w:val="0"/>
        <w:jc w:val="center"/>
        <w:rPr>
          <w:rFonts w:hint="eastAsia" w:ascii="宋体" w:hAnsi="宋体" w:eastAsia="宋体" w:cs="宋体"/>
          <w:b/>
          <w:spacing w:val="6"/>
          <w:sz w:val="32"/>
          <w:szCs w:val="32"/>
        </w:rPr>
      </w:pPr>
    </w:p>
    <w:p w14:paraId="3BB4F68D">
      <w:pPr>
        <w:autoSpaceDE w:val="0"/>
        <w:autoSpaceDN w:val="0"/>
        <w:jc w:val="center"/>
        <w:rPr>
          <w:rFonts w:hint="eastAsia" w:ascii="宋体" w:hAnsi="宋体" w:eastAsia="宋体" w:cs="宋体"/>
          <w:b/>
          <w:spacing w:val="6"/>
          <w:sz w:val="32"/>
          <w:szCs w:val="32"/>
        </w:rPr>
      </w:pPr>
    </w:p>
    <w:p w14:paraId="0920DD8A">
      <w:pPr>
        <w:autoSpaceDE w:val="0"/>
        <w:autoSpaceDN w:val="0"/>
        <w:jc w:val="center"/>
        <w:rPr>
          <w:rFonts w:hint="eastAsia" w:ascii="宋体" w:hAnsi="宋体" w:eastAsia="宋体" w:cs="宋体"/>
          <w:b/>
          <w:spacing w:val="6"/>
          <w:sz w:val="32"/>
          <w:szCs w:val="32"/>
        </w:rPr>
      </w:pPr>
    </w:p>
    <w:p w14:paraId="1668183A">
      <w:pPr>
        <w:autoSpaceDE w:val="0"/>
        <w:autoSpaceDN w:val="0"/>
        <w:jc w:val="center"/>
        <w:rPr>
          <w:rFonts w:hint="eastAsia" w:ascii="宋体" w:hAnsi="宋体" w:eastAsia="宋体" w:cs="宋体"/>
          <w:b/>
          <w:spacing w:val="6"/>
          <w:sz w:val="32"/>
          <w:szCs w:val="32"/>
        </w:rPr>
      </w:pPr>
    </w:p>
    <w:p w14:paraId="2317C191">
      <w:pPr>
        <w:autoSpaceDE w:val="0"/>
        <w:autoSpaceDN w:val="0"/>
        <w:jc w:val="center"/>
        <w:rPr>
          <w:rFonts w:hint="eastAsia" w:ascii="宋体" w:hAnsi="宋体" w:eastAsia="宋体" w:cs="宋体"/>
          <w:b/>
          <w:spacing w:val="6"/>
          <w:sz w:val="32"/>
          <w:szCs w:val="32"/>
        </w:rPr>
      </w:pPr>
    </w:p>
    <w:p w14:paraId="408E9243">
      <w:pPr>
        <w:autoSpaceDE w:val="0"/>
        <w:autoSpaceDN w:val="0"/>
        <w:jc w:val="center"/>
        <w:rPr>
          <w:rFonts w:hint="eastAsia" w:ascii="宋体" w:hAnsi="宋体" w:eastAsia="宋体" w:cs="宋体"/>
          <w:b/>
          <w:spacing w:val="6"/>
          <w:sz w:val="32"/>
          <w:szCs w:val="32"/>
        </w:rPr>
      </w:pPr>
    </w:p>
    <w:p w14:paraId="00C3BBFA">
      <w:pPr>
        <w:autoSpaceDE w:val="0"/>
        <w:autoSpaceDN w:val="0"/>
        <w:jc w:val="center"/>
        <w:rPr>
          <w:rFonts w:hint="eastAsia" w:ascii="宋体" w:hAnsi="宋体" w:eastAsia="宋体" w:cs="宋体"/>
          <w:b/>
          <w:spacing w:val="6"/>
          <w:sz w:val="32"/>
          <w:szCs w:val="32"/>
        </w:rPr>
      </w:pPr>
    </w:p>
    <w:p w14:paraId="3DF54E27">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0A098659">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2B8BE881">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杭州市十三中教育集团（总校）</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cs="宋体"/>
          <w:sz w:val="24"/>
          <w:u w:val="single"/>
          <w:lang w:eastAsia="zh-CN"/>
        </w:rPr>
        <w:t>杭州市十三中教育集团(总校)2025-2026年保安服务采购项目</w:t>
      </w:r>
      <w:r>
        <w:rPr>
          <w:rFonts w:hint="eastAsia" w:ascii="宋体" w:hAnsi="宋体" w:eastAsia="宋体" w:cs="宋体"/>
          <w:sz w:val="24"/>
          <w:u w:val="single"/>
        </w:rPr>
        <w:t xml:space="preserve"> </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14:paraId="2C988EEA">
      <w:pPr>
        <w:numPr>
          <w:ilvl w:val="0"/>
          <w:numId w:val="1"/>
        </w:numPr>
        <w:spacing w:line="360" w:lineRule="auto"/>
        <w:ind w:firstLine="480" w:firstLineChars="200"/>
        <w:jc w:val="left"/>
        <w:rPr>
          <w:rFonts w:hint="eastAsia" w:ascii="宋体" w:hAnsi="宋体" w:eastAsia="宋体" w:cs="宋体"/>
          <w:sz w:val="24"/>
        </w:rPr>
      </w:pPr>
      <w:r>
        <w:rPr>
          <w:rFonts w:hint="eastAsia" w:ascii="宋体" w:hAnsi="宋体" w:cs="宋体"/>
          <w:sz w:val="24"/>
          <w:u w:val="single"/>
          <w:lang w:eastAsia="zh-CN"/>
        </w:rPr>
        <w:t>杭州市十三中教育集团(总校)2025-2026年保安服务采购项目</w:t>
      </w:r>
      <w:r>
        <w:rPr>
          <w:rFonts w:hint="eastAsia" w:ascii="宋体" w:hAnsi="宋体" w:eastAsia="宋体" w:cs="宋体"/>
          <w:sz w:val="24"/>
        </w:rPr>
        <w:t>，属于</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租赁和商务服务 </w:t>
      </w:r>
      <w:r>
        <w:rPr>
          <w:rFonts w:hint="eastAsia" w:ascii="宋体" w:hAnsi="宋体" w:eastAsia="宋体" w:cs="宋体"/>
          <w:sz w:val="24"/>
          <w:u w:val="single"/>
        </w:rPr>
        <w:t>行业</w:t>
      </w:r>
      <w:r>
        <w:rPr>
          <w:rFonts w:hint="eastAsia" w:ascii="宋体" w:hAnsi="宋体" w:eastAsia="宋体" w:cs="宋体"/>
          <w:sz w:val="24"/>
        </w:rPr>
        <w:t xml:space="preserve"> ；承接企业为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0398FF9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536B75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287BAFD6">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12F98D5E">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0E1049AE">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7863817A">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4578311A">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7B22C86">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AEF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00EB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5994">
    <w:pPr>
      <w:pStyle w:val="39"/>
      <w:framePr w:wrap="around" w:vAnchor="text" w:hAnchor="margin" w:xAlign="right" w:y="1"/>
      <w:rPr>
        <w:rStyle w:val="72"/>
      </w:rPr>
    </w:pPr>
    <w:r>
      <w:fldChar w:fldCharType="begin"/>
    </w:r>
    <w:r>
      <w:rPr>
        <w:rStyle w:val="72"/>
      </w:rPr>
      <w:instrText xml:space="preserve">PAGE  </w:instrText>
    </w:r>
    <w:r>
      <w:fldChar w:fldCharType="end"/>
    </w:r>
  </w:p>
  <w:p w14:paraId="73C6DE8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F538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15" w:name="_Toc36110187"/>
    <w:bookmarkStart w:id="516" w:name="_Toc131845147"/>
    <w:bookmarkStart w:id="517" w:name="_Toc91899912"/>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DF80">
    <w:pPr>
      <w:pStyle w:val="39"/>
      <w:framePr w:wrap="around" w:vAnchor="text" w:hAnchor="margin" w:xAlign="right" w:y="1"/>
      <w:rPr>
        <w:rStyle w:val="72"/>
      </w:rPr>
    </w:pPr>
    <w:r>
      <w:fldChar w:fldCharType="begin"/>
    </w:r>
    <w:r>
      <w:rPr>
        <w:rStyle w:val="72"/>
      </w:rPr>
      <w:instrText xml:space="preserve">PAGE  </w:instrText>
    </w:r>
    <w:r>
      <w:fldChar w:fldCharType="end"/>
    </w:r>
  </w:p>
  <w:p w14:paraId="1A68CD1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C9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4A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620785E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A2F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4622B90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E3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3B9067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398F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09AEA9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03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318C880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F16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D5F4FF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3163">
    <w:pPr>
      <w:pStyle w:val="40"/>
      <w:pBdr>
        <w:bottom w:val="single" w:color="auto" w:sz="6" w:space="4"/>
      </w:pBdr>
      <w:jc w:val="right"/>
    </w:pPr>
    <w:r>
      <w:t></w:t>
    </w:r>
    <w:r>
      <w:rPr>
        <w:rFonts w:hint="eastAsia"/>
      </w:rPr>
      <w:t xml:space="preserve">             西湖区</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0443">
    <w:pPr>
      <w:pStyle w:val="40"/>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823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A25AD">
    <w:pPr>
      <w:pStyle w:val="40"/>
      <w:rPr>
        <w:rFonts w:ascii="仿宋_GB2312" w:eastAsia="仿宋_GB2312"/>
        <w:b/>
        <w:i/>
        <w:u w:val="single"/>
      </w:rPr>
    </w:pPr>
    <w:r>
      <w:t></w:t>
    </w:r>
    <w:r>
      <w:rPr>
        <w:rFonts w:hint="eastAsia"/>
      </w:rPr>
      <w:t xml:space="preserve">                                                  </w:t>
    </w:r>
    <w:r>
      <w:t xml:space="preserve">             </w:t>
    </w:r>
    <w:r>
      <w:rPr>
        <w:rFonts w:hint="eastAsia"/>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CC581">
    <w:pPr>
      <w:pStyle w:val="40"/>
    </w:pPr>
    <w:r>
      <w:t></w:t>
    </w:r>
    <w:r>
      <w:rPr>
        <w:rFonts w:hint="eastAsia"/>
      </w:rPr>
      <w:t xml:space="preserve">         </w:t>
    </w:r>
  </w:p>
  <w:p w14:paraId="3DA51D03">
    <w:pPr>
      <w:pStyle w:val="40"/>
    </w:pPr>
    <w:r>
      <w:rPr>
        <w:rFonts w:hint="eastAsia"/>
      </w:rPr>
      <w:t xml:space="preserve">                                                                  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5D94D">
    <w:pPr>
      <w:pStyle w:val="40"/>
      <w:rPr>
        <w:rFonts w:ascii="仿宋_GB2312" w:eastAsia="仿宋_GB2312"/>
        <w:b/>
        <w:i/>
        <w:u w:val="single"/>
      </w:rPr>
    </w:pPr>
    <w:r>
      <w:t></w:t>
    </w:r>
    <w:r>
      <w:rPr>
        <w:rFonts w:hint="eastAsia"/>
      </w:rPr>
      <w:t xml:space="preserve">                                                  西湖区</w:t>
    </w:r>
    <w:r>
      <w:t>政府采购公开招标文件</w:t>
    </w:r>
  </w:p>
  <w:p w14:paraId="64643BF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41245">
    <w:pPr>
      <w:pStyle w:val="40"/>
      <w:jc w:val="right"/>
    </w:pPr>
    <w:r>
      <w:t></w:t>
    </w:r>
    <w:r>
      <w:rPr>
        <w:rFonts w:hint="eastAsia"/>
      </w:rPr>
      <w:t xml:space="preserve">                 </w:t>
    </w:r>
    <w:r>
      <w:t xml:space="preserve">                                </w:t>
    </w:r>
    <w:r>
      <w:rPr>
        <w:rFonts w:hint="eastAsia"/>
      </w:rPr>
      <w:t xml:space="preserve">         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37C7">
    <w:pPr>
      <w:pStyle w:val="40"/>
      <w:jc w:val="right"/>
      <w:rPr>
        <w:rFonts w:ascii="仿宋_GB2312" w:eastAsia="仿宋_GB2312"/>
        <w:b/>
        <w:i/>
        <w:u w:val="single"/>
      </w:rPr>
    </w:pPr>
    <w:r>
      <w:rPr>
        <w:rFonts w:hint="eastAsia"/>
      </w:rPr>
      <w:t xml:space="preserve">                                  西湖区</w:t>
    </w:r>
    <w:r>
      <w:t>政府采购公开招标文件</w:t>
    </w:r>
  </w:p>
  <w:p w14:paraId="4823391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14A21">
    <w:pPr>
      <w:pStyle w:val="40"/>
      <w:jc w:val="right"/>
    </w:pPr>
    <w:r>
      <w:rPr>
        <w:rFonts w:hint="eastAsia"/>
      </w:rPr>
      <w:t xml:space="preserve">                                                                                                        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831D">
    <w:pPr>
      <w:pStyle w:val="40"/>
      <w:jc w:val="right"/>
      <w:rPr>
        <w:rFonts w:ascii="仿宋_GB2312" w:eastAsia="仿宋_GB2312"/>
        <w:b/>
        <w:i/>
        <w:iCs/>
        <w:u w:val="single"/>
      </w:rPr>
    </w:pPr>
    <w:r>
      <w:t></w:t>
    </w:r>
    <w:r>
      <w:rPr>
        <w:rFonts w:hint="eastAsia"/>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A329A"/>
    <w:multiLevelType w:val="singleLevel"/>
    <w:tmpl w:val="292A329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OTNlYmFjNWEwY2VhYzNhNGMzYmMyYWI1YTRkO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852"/>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F34"/>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735"/>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D6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3B8"/>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545"/>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A77"/>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3A5"/>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4BE"/>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ABF"/>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91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55BFE"/>
    <w:rsid w:val="01EC2C57"/>
    <w:rsid w:val="0224354D"/>
    <w:rsid w:val="025F0711"/>
    <w:rsid w:val="026B2E25"/>
    <w:rsid w:val="027F76D9"/>
    <w:rsid w:val="02824D4D"/>
    <w:rsid w:val="02DC4B10"/>
    <w:rsid w:val="02DD76CE"/>
    <w:rsid w:val="02F36323"/>
    <w:rsid w:val="02F5619C"/>
    <w:rsid w:val="0326446A"/>
    <w:rsid w:val="032D5555"/>
    <w:rsid w:val="036634D2"/>
    <w:rsid w:val="03DD35E4"/>
    <w:rsid w:val="04076900"/>
    <w:rsid w:val="041A5A3B"/>
    <w:rsid w:val="04222EE7"/>
    <w:rsid w:val="042311BA"/>
    <w:rsid w:val="042B157A"/>
    <w:rsid w:val="045E0623"/>
    <w:rsid w:val="048F763B"/>
    <w:rsid w:val="049F330E"/>
    <w:rsid w:val="04AA775C"/>
    <w:rsid w:val="04AF1889"/>
    <w:rsid w:val="04F66F48"/>
    <w:rsid w:val="05251E14"/>
    <w:rsid w:val="053026F6"/>
    <w:rsid w:val="05A16594"/>
    <w:rsid w:val="05A7762D"/>
    <w:rsid w:val="060E5941"/>
    <w:rsid w:val="06110FAF"/>
    <w:rsid w:val="06145ED4"/>
    <w:rsid w:val="06493CA7"/>
    <w:rsid w:val="064D54C0"/>
    <w:rsid w:val="065A6178"/>
    <w:rsid w:val="066F1CF3"/>
    <w:rsid w:val="06930BB8"/>
    <w:rsid w:val="07245D42"/>
    <w:rsid w:val="07264C62"/>
    <w:rsid w:val="076C1A79"/>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D7AD0"/>
    <w:rsid w:val="0A5B7E63"/>
    <w:rsid w:val="0AA374A5"/>
    <w:rsid w:val="0AAB7649"/>
    <w:rsid w:val="0ABC5606"/>
    <w:rsid w:val="0B30404E"/>
    <w:rsid w:val="0B4C6C14"/>
    <w:rsid w:val="0B547599"/>
    <w:rsid w:val="0B631A88"/>
    <w:rsid w:val="0B683D45"/>
    <w:rsid w:val="0B7F3F11"/>
    <w:rsid w:val="0B884417"/>
    <w:rsid w:val="0B945DBC"/>
    <w:rsid w:val="0BCB0FB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17F2C"/>
    <w:rsid w:val="11C6522A"/>
    <w:rsid w:val="11E104CC"/>
    <w:rsid w:val="11E20309"/>
    <w:rsid w:val="12255233"/>
    <w:rsid w:val="12530213"/>
    <w:rsid w:val="12736F32"/>
    <w:rsid w:val="127723A9"/>
    <w:rsid w:val="12862074"/>
    <w:rsid w:val="12883966"/>
    <w:rsid w:val="129E45B4"/>
    <w:rsid w:val="12D81596"/>
    <w:rsid w:val="13072A44"/>
    <w:rsid w:val="135F4BE2"/>
    <w:rsid w:val="139B1A0A"/>
    <w:rsid w:val="139D25C7"/>
    <w:rsid w:val="13BF3CE4"/>
    <w:rsid w:val="141008D8"/>
    <w:rsid w:val="14125FE6"/>
    <w:rsid w:val="14206C0D"/>
    <w:rsid w:val="146D271E"/>
    <w:rsid w:val="14982588"/>
    <w:rsid w:val="149A5AD9"/>
    <w:rsid w:val="14A7619D"/>
    <w:rsid w:val="150536C3"/>
    <w:rsid w:val="150C1963"/>
    <w:rsid w:val="151447A0"/>
    <w:rsid w:val="154A6454"/>
    <w:rsid w:val="15762120"/>
    <w:rsid w:val="16A8729C"/>
    <w:rsid w:val="16B33777"/>
    <w:rsid w:val="16BC70A7"/>
    <w:rsid w:val="16C6339E"/>
    <w:rsid w:val="17195F78"/>
    <w:rsid w:val="172F2D79"/>
    <w:rsid w:val="174A00C6"/>
    <w:rsid w:val="17557BEF"/>
    <w:rsid w:val="17940E95"/>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CF0BBD"/>
    <w:rsid w:val="1AE4166C"/>
    <w:rsid w:val="1AF06CFB"/>
    <w:rsid w:val="1AF11B8D"/>
    <w:rsid w:val="1B11359C"/>
    <w:rsid w:val="1B2A271F"/>
    <w:rsid w:val="1B530544"/>
    <w:rsid w:val="1B713184"/>
    <w:rsid w:val="1BA209CF"/>
    <w:rsid w:val="1BB4777D"/>
    <w:rsid w:val="1BD75AB8"/>
    <w:rsid w:val="1C0459C2"/>
    <w:rsid w:val="1C1B3B4A"/>
    <w:rsid w:val="1C2245B4"/>
    <w:rsid w:val="1C88086E"/>
    <w:rsid w:val="1D126EB8"/>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B07CA"/>
    <w:rsid w:val="1EA703CC"/>
    <w:rsid w:val="1EB7330C"/>
    <w:rsid w:val="1F0A0FF3"/>
    <w:rsid w:val="1F32070F"/>
    <w:rsid w:val="1F4629DA"/>
    <w:rsid w:val="1F5771FF"/>
    <w:rsid w:val="1FE868A9"/>
    <w:rsid w:val="20034907"/>
    <w:rsid w:val="20173E4B"/>
    <w:rsid w:val="202B1A36"/>
    <w:rsid w:val="204E48BC"/>
    <w:rsid w:val="208921B3"/>
    <w:rsid w:val="20973DEB"/>
    <w:rsid w:val="20AC5858"/>
    <w:rsid w:val="20B26522"/>
    <w:rsid w:val="20B44310"/>
    <w:rsid w:val="20C6292E"/>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31E7D"/>
    <w:rsid w:val="241F5673"/>
    <w:rsid w:val="245375B0"/>
    <w:rsid w:val="24642C0A"/>
    <w:rsid w:val="24687A6B"/>
    <w:rsid w:val="24B22173"/>
    <w:rsid w:val="24B95AD9"/>
    <w:rsid w:val="24BE24DA"/>
    <w:rsid w:val="24CF5825"/>
    <w:rsid w:val="24D663E6"/>
    <w:rsid w:val="24D77F2B"/>
    <w:rsid w:val="24E06D38"/>
    <w:rsid w:val="258B00E2"/>
    <w:rsid w:val="25A917A6"/>
    <w:rsid w:val="25BE27CC"/>
    <w:rsid w:val="25F74A5C"/>
    <w:rsid w:val="2628662C"/>
    <w:rsid w:val="262D45DE"/>
    <w:rsid w:val="26871DC8"/>
    <w:rsid w:val="26A53EF9"/>
    <w:rsid w:val="26A94201"/>
    <w:rsid w:val="26AC274F"/>
    <w:rsid w:val="26C3139C"/>
    <w:rsid w:val="27044A29"/>
    <w:rsid w:val="271D34C8"/>
    <w:rsid w:val="27413E1F"/>
    <w:rsid w:val="276142BF"/>
    <w:rsid w:val="27783712"/>
    <w:rsid w:val="27907362"/>
    <w:rsid w:val="27F90FCD"/>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A1308"/>
    <w:rsid w:val="2B437463"/>
    <w:rsid w:val="2B7807EE"/>
    <w:rsid w:val="2BA50BF7"/>
    <w:rsid w:val="2BBF00EC"/>
    <w:rsid w:val="2BC37CFD"/>
    <w:rsid w:val="2BD5237F"/>
    <w:rsid w:val="2BE536CE"/>
    <w:rsid w:val="2BE758D9"/>
    <w:rsid w:val="2C09049E"/>
    <w:rsid w:val="2C0A653C"/>
    <w:rsid w:val="2C191F85"/>
    <w:rsid w:val="2C1F33CD"/>
    <w:rsid w:val="2CE82D6F"/>
    <w:rsid w:val="2D343236"/>
    <w:rsid w:val="2DD15014"/>
    <w:rsid w:val="2DF72DE4"/>
    <w:rsid w:val="2E0220AF"/>
    <w:rsid w:val="2E4B082A"/>
    <w:rsid w:val="2E5D4E86"/>
    <w:rsid w:val="2E5D790B"/>
    <w:rsid w:val="2E9172AF"/>
    <w:rsid w:val="2E9A3C18"/>
    <w:rsid w:val="2EBB0FEE"/>
    <w:rsid w:val="2EC63002"/>
    <w:rsid w:val="2F0A6B38"/>
    <w:rsid w:val="2F946CCB"/>
    <w:rsid w:val="2FB37440"/>
    <w:rsid w:val="2FD25781"/>
    <w:rsid w:val="2FDC745C"/>
    <w:rsid w:val="2FFD7934"/>
    <w:rsid w:val="30244583"/>
    <w:rsid w:val="30733ACD"/>
    <w:rsid w:val="308C3862"/>
    <w:rsid w:val="309379D8"/>
    <w:rsid w:val="30A270F7"/>
    <w:rsid w:val="30DF1478"/>
    <w:rsid w:val="30EC586F"/>
    <w:rsid w:val="3115371B"/>
    <w:rsid w:val="319C6071"/>
    <w:rsid w:val="31AC537E"/>
    <w:rsid w:val="31E3679B"/>
    <w:rsid w:val="31E732FD"/>
    <w:rsid w:val="32517576"/>
    <w:rsid w:val="32BE5C2C"/>
    <w:rsid w:val="32FB6478"/>
    <w:rsid w:val="33263B3F"/>
    <w:rsid w:val="336963EB"/>
    <w:rsid w:val="33816EEB"/>
    <w:rsid w:val="33BD0E2C"/>
    <w:rsid w:val="33CA1BD7"/>
    <w:rsid w:val="33E571B5"/>
    <w:rsid w:val="33EB55CD"/>
    <w:rsid w:val="33EC4C02"/>
    <w:rsid w:val="340D2360"/>
    <w:rsid w:val="3410665D"/>
    <w:rsid w:val="34211214"/>
    <w:rsid w:val="342E63AB"/>
    <w:rsid w:val="34950E68"/>
    <w:rsid w:val="34986E94"/>
    <w:rsid w:val="34AF62C9"/>
    <w:rsid w:val="34CB4388"/>
    <w:rsid w:val="34FA6E12"/>
    <w:rsid w:val="350E6FCA"/>
    <w:rsid w:val="354D7158"/>
    <w:rsid w:val="358D5588"/>
    <w:rsid w:val="363A3B40"/>
    <w:rsid w:val="365302AE"/>
    <w:rsid w:val="36607A0A"/>
    <w:rsid w:val="366E227C"/>
    <w:rsid w:val="366F2E0D"/>
    <w:rsid w:val="367B6A5C"/>
    <w:rsid w:val="36A74ADA"/>
    <w:rsid w:val="36AD60D5"/>
    <w:rsid w:val="36B224F9"/>
    <w:rsid w:val="36EC0CC9"/>
    <w:rsid w:val="373F410B"/>
    <w:rsid w:val="379225B7"/>
    <w:rsid w:val="37EE7094"/>
    <w:rsid w:val="38132832"/>
    <w:rsid w:val="38296C89"/>
    <w:rsid w:val="383002EB"/>
    <w:rsid w:val="38586797"/>
    <w:rsid w:val="388810D1"/>
    <w:rsid w:val="38BC0149"/>
    <w:rsid w:val="38D87D1C"/>
    <w:rsid w:val="390B50AB"/>
    <w:rsid w:val="39636459"/>
    <w:rsid w:val="396B7F6C"/>
    <w:rsid w:val="39B417A9"/>
    <w:rsid w:val="39FC5695"/>
    <w:rsid w:val="3A006D8E"/>
    <w:rsid w:val="3A3651E5"/>
    <w:rsid w:val="3A744481"/>
    <w:rsid w:val="3A8C7BEF"/>
    <w:rsid w:val="3A906246"/>
    <w:rsid w:val="3B2349B7"/>
    <w:rsid w:val="3B616CFF"/>
    <w:rsid w:val="3B6259F6"/>
    <w:rsid w:val="3B8C414B"/>
    <w:rsid w:val="3B976654"/>
    <w:rsid w:val="3BC01EFC"/>
    <w:rsid w:val="3BCA786A"/>
    <w:rsid w:val="3BCF0784"/>
    <w:rsid w:val="3BD31E2F"/>
    <w:rsid w:val="3BF15831"/>
    <w:rsid w:val="3C105946"/>
    <w:rsid w:val="3C471448"/>
    <w:rsid w:val="3C5F759A"/>
    <w:rsid w:val="3C6C525A"/>
    <w:rsid w:val="3C6F5D8B"/>
    <w:rsid w:val="3C8A7746"/>
    <w:rsid w:val="3CAF5805"/>
    <w:rsid w:val="3CCE23CB"/>
    <w:rsid w:val="3CD17D17"/>
    <w:rsid w:val="3D3C7F39"/>
    <w:rsid w:val="3D440F09"/>
    <w:rsid w:val="3D4504A0"/>
    <w:rsid w:val="3D8734BB"/>
    <w:rsid w:val="3D9A11D4"/>
    <w:rsid w:val="3DA16D89"/>
    <w:rsid w:val="3DA364BE"/>
    <w:rsid w:val="3DE041CB"/>
    <w:rsid w:val="3E0D48F6"/>
    <w:rsid w:val="3E1868B4"/>
    <w:rsid w:val="3E21017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15913"/>
    <w:rsid w:val="40FF545D"/>
    <w:rsid w:val="410067C8"/>
    <w:rsid w:val="412135BE"/>
    <w:rsid w:val="418F0D2A"/>
    <w:rsid w:val="41D01505"/>
    <w:rsid w:val="42474939"/>
    <w:rsid w:val="424C3C57"/>
    <w:rsid w:val="42613FF3"/>
    <w:rsid w:val="42660D96"/>
    <w:rsid w:val="428667D2"/>
    <w:rsid w:val="42CD1CE0"/>
    <w:rsid w:val="42E1381E"/>
    <w:rsid w:val="42E55060"/>
    <w:rsid w:val="42ED6459"/>
    <w:rsid w:val="42FE58DD"/>
    <w:rsid w:val="43174B3D"/>
    <w:rsid w:val="434B790E"/>
    <w:rsid w:val="4360274F"/>
    <w:rsid w:val="43977AB6"/>
    <w:rsid w:val="43A3342B"/>
    <w:rsid w:val="43C77C27"/>
    <w:rsid w:val="43DE09EE"/>
    <w:rsid w:val="44002FAD"/>
    <w:rsid w:val="44814F07"/>
    <w:rsid w:val="449101DD"/>
    <w:rsid w:val="44DE1391"/>
    <w:rsid w:val="451B225C"/>
    <w:rsid w:val="452410C9"/>
    <w:rsid w:val="45317DFB"/>
    <w:rsid w:val="456C13DC"/>
    <w:rsid w:val="456D3CE4"/>
    <w:rsid w:val="4579042C"/>
    <w:rsid w:val="457F0571"/>
    <w:rsid w:val="45851176"/>
    <w:rsid w:val="45C63B94"/>
    <w:rsid w:val="460E7DA5"/>
    <w:rsid w:val="46422483"/>
    <w:rsid w:val="4659254A"/>
    <w:rsid w:val="465B0637"/>
    <w:rsid w:val="465E3F0D"/>
    <w:rsid w:val="466A16E6"/>
    <w:rsid w:val="46893F2B"/>
    <w:rsid w:val="46C4686E"/>
    <w:rsid w:val="47033856"/>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855B9D"/>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E275F"/>
    <w:rsid w:val="4F911C54"/>
    <w:rsid w:val="4FC04044"/>
    <w:rsid w:val="4FE625E0"/>
    <w:rsid w:val="5021480F"/>
    <w:rsid w:val="5047323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4253"/>
    <w:rsid w:val="53097272"/>
    <w:rsid w:val="53544462"/>
    <w:rsid w:val="538B6520"/>
    <w:rsid w:val="5397158E"/>
    <w:rsid w:val="54013861"/>
    <w:rsid w:val="54487265"/>
    <w:rsid w:val="544D6070"/>
    <w:rsid w:val="54605E1E"/>
    <w:rsid w:val="54653AAC"/>
    <w:rsid w:val="54B3506A"/>
    <w:rsid w:val="54CA0D16"/>
    <w:rsid w:val="54DD4057"/>
    <w:rsid w:val="54E7490F"/>
    <w:rsid w:val="550764A4"/>
    <w:rsid w:val="550B2BF6"/>
    <w:rsid w:val="55214EB5"/>
    <w:rsid w:val="552A00CC"/>
    <w:rsid w:val="55364EFD"/>
    <w:rsid w:val="55370920"/>
    <w:rsid w:val="555D4828"/>
    <w:rsid w:val="557A4C8B"/>
    <w:rsid w:val="558931E1"/>
    <w:rsid w:val="55923347"/>
    <w:rsid w:val="55925180"/>
    <w:rsid w:val="55983B1B"/>
    <w:rsid w:val="55A8376B"/>
    <w:rsid w:val="55DC29B6"/>
    <w:rsid w:val="55DD4241"/>
    <w:rsid w:val="56663A0A"/>
    <w:rsid w:val="566B6D1E"/>
    <w:rsid w:val="569727B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C34DD"/>
    <w:rsid w:val="58917D2F"/>
    <w:rsid w:val="5894085C"/>
    <w:rsid w:val="58AE4F0C"/>
    <w:rsid w:val="58B85899"/>
    <w:rsid w:val="58E363A9"/>
    <w:rsid w:val="595E1678"/>
    <w:rsid w:val="596D5BD4"/>
    <w:rsid w:val="597E3DD8"/>
    <w:rsid w:val="597F795F"/>
    <w:rsid w:val="59F80043"/>
    <w:rsid w:val="5A09252F"/>
    <w:rsid w:val="5A0B2778"/>
    <w:rsid w:val="5A2A7C7B"/>
    <w:rsid w:val="5A3E2560"/>
    <w:rsid w:val="5A5D3B6E"/>
    <w:rsid w:val="5A637A76"/>
    <w:rsid w:val="5A6D33BA"/>
    <w:rsid w:val="5A792B1F"/>
    <w:rsid w:val="5A874767"/>
    <w:rsid w:val="5AA85BE2"/>
    <w:rsid w:val="5AAD6F28"/>
    <w:rsid w:val="5AD63A24"/>
    <w:rsid w:val="5B263693"/>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41C96"/>
    <w:rsid w:val="619F7F92"/>
    <w:rsid w:val="61F94C26"/>
    <w:rsid w:val="62000E56"/>
    <w:rsid w:val="624F3E49"/>
    <w:rsid w:val="62632286"/>
    <w:rsid w:val="626C0AC3"/>
    <w:rsid w:val="62885958"/>
    <w:rsid w:val="62A44442"/>
    <w:rsid w:val="62B40FE2"/>
    <w:rsid w:val="62F40B65"/>
    <w:rsid w:val="62FC2CFE"/>
    <w:rsid w:val="63024505"/>
    <w:rsid w:val="630B44AB"/>
    <w:rsid w:val="632C3A03"/>
    <w:rsid w:val="635600A5"/>
    <w:rsid w:val="635B1DB5"/>
    <w:rsid w:val="63711FED"/>
    <w:rsid w:val="63880DDC"/>
    <w:rsid w:val="638D750D"/>
    <w:rsid w:val="63AC6CC0"/>
    <w:rsid w:val="64055776"/>
    <w:rsid w:val="64240056"/>
    <w:rsid w:val="643E143A"/>
    <w:rsid w:val="64491666"/>
    <w:rsid w:val="648B6EEF"/>
    <w:rsid w:val="64C158BF"/>
    <w:rsid w:val="64CE2EAA"/>
    <w:rsid w:val="65095250"/>
    <w:rsid w:val="653C3090"/>
    <w:rsid w:val="65854376"/>
    <w:rsid w:val="658767BE"/>
    <w:rsid w:val="65892531"/>
    <w:rsid w:val="65CE78B0"/>
    <w:rsid w:val="660F2545"/>
    <w:rsid w:val="661563F5"/>
    <w:rsid w:val="66195831"/>
    <w:rsid w:val="662E75B1"/>
    <w:rsid w:val="66342C2E"/>
    <w:rsid w:val="663E784C"/>
    <w:rsid w:val="668B6A45"/>
    <w:rsid w:val="6728455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9C3127"/>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5C1652"/>
    <w:rsid w:val="74706664"/>
    <w:rsid w:val="747F3682"/>
    <w:rsid w:val="7485558E"/>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7655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4C4E8C"/>
    <w:rsid w:val="7D5429C0"/>
    <w:rsid w:val="7D6E6D43"/>
    <w:rsid w:val="7DB57A34"/>
    <w:rsid w:val="7DE60973"/>
    <w:rsid w:val="7DEF0916"/>
    <w:rsid w:val="7E1E5218"/>
    <w:rsid w:val="7E9A4E1F"/>
    <w:rsid w:val="7EA7723A"/>
    <w:rsid w:val="7EBB533B"/>
    <w:rsid w:val="7EF56FBB"/>
    <w:rsid w:val="7F0768EB"/>
    <w:rsid w:val="7F143BEC"/>
    <w:rsid w:val="7F37468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31"/>
    <w:qFormat/>
    <w:uiPriority w:val="0"/>
    <w:rPr>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next w:val="50"/>
    <w:link w:val="320"/>
    <w:qFormat/>
    <w:uiPriority w:val="0"/>
    <w:pPr>
      <w:ind w:firstLine="420"/>
    </w:pPr>
    <w:rPr>
      <w:rFonts w:hAnsi="Calibri" w:cs="Times New Roman"/>
      <w:snapToGrid/>
      <w:szCs w:val="20"/>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文本首行缩进1"/>
    <w:basedOn w:val="24"/>
    <w:qFormat/>
    <w:uiPriority w:val="0"/>
    <w:pPr>
      <w:ind w:firstLine="420"/>
    </w:pPr>
    <w:rPr>
      <w:rFonts w:hAnsi="Calibri" w:cs="Times New Roman"/>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0"/>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2"/>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Unresolved Mention"/>
    <w:basedOn w:val="69"/>
    <w:semiHidden/>
    <w:unhideWhenUsed/>
    <w:qFormat/>
    <w:uiPriority w:val="99"/>
    <w:rPr>
      <w:color w:val="605E5C"/>
      <w:shd w:val="clear" w:color="auto" w:fill="E1DFDD"/>
    </w:rPr>
  </w:style>
  <w:style w:type="paragraph" w:customStyle="1" w:styleId="965">
    <w:name w:val="样式 标题 1 + 四号 加粗"/>
    <w:basedOn w:val="3"/>
    <w:qFormat/>
    <w:uiPriority w:val="0"/>
    <w:pPr>
      <w:tabs>
        <w:tab w:val="clear" w:pos="432"/>
      </w:tabs>
      <w:adjustRightInd/>
      <w:ind w:left="0" w:firstLine="0"/>
    </w:pPr>
    <w:rPr>
      <w:rFonts w:eastAsia="黑体"/>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28526</Words>
  <Characters>29999</Characters>
  <Lines>333</Lines>
  <Paragraphs>93</Paragraphs>
  <TotalTime>22</TotalTime>
  <ScaleCrop>false</ScaleCrop>
  <LinksUpToDate>false</LinksUpToDate>
  <CharactersWithSpaces>30557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2023-02-09T06:36:00Z</dcterms:created>
  <dc:creator>玥</dc:creator>
  <cp:lastModifiedBy>邵一成</cp:lastModifiedBy>
  <cp:lastPrinted>2023-09-13T07:39:00Z</cp:lastPrinted>
  <dcterms:modified xsi:type="dcterms:W3CDTF">2025-01-24T06:50:57Z</dcterms:modified>
  <dc:title>杭州市市民卡扩大发卡工程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44EB13E4E16948288E46D5C4824860A1_13</vt:lpwstr>
  </property>
  <property fmtid="{D5CDD505-2E9C-101B-9397-08002B2CF9AE}" pid="5" name="KSOTemplateDocerSaveRecord">
    <vt:lpwstr>eyJoZGlkIjoiNWE5MmJjYjliZDNiMjNmNzBkMDJiNjkxMWZkNTUzMTgiLCJ1c2VySWQiOiIxNTUxMTMwNTI2In0=</vt:lpwstr>
  </property>
</Properties>
</file>