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1ABF3">
      <w:pPr>
        <w:spacing w:line="360" w:lineRule="auto"/>
        <w:jc w:val="center"/>
        <w:rPr>
          <w:rFonts w:ascii="宋体" w:hAnsi="宋体" w:cs="宋体"/>
          <w:b/>
          <w:color w:val="auto"/>
          <w:sz w:val="24"/>
          <w:highlight w:val="none"/>
        </w:rPr>
      </w:pPr>
    </w:p>
    <w:p w14:paraId="31BE5D9A">
      <w:pPr>
        <w:spacing w:line="360" w:lineRule="auto"/>
        <w:jc w:val="center"/>
        <w:rPr>
          <w:rFonts w:ascii="宋体" w:hAnsi="宋体" w:cs="宋体"/>
          <w:b/>
          <w:color w:val="auto"/>
          <w:sz w:val="24"/>
          <w:highlight w:val="none"/>
        </w:rPr>
      </w:pPr>
    </w:p>
    <w:p w14:paraId="48B54CEE">
      <w:pPr>
        <w:adjustRightInd/>
        <w:spacing w:line="360" w:lineRule="auto"/>
        <w:jc w:val="center"/>
        <w:rPr>
          <w:rFonts w:ascii="宋体" w:hAnsi="宋体" w:cs="宋体"/>
          <w:b/>
          <w:color w:val="auto"/>
          <w:sz w:val="44"/>
          <w:szCs w:val="44"/>
          <w:highlight w:val="none"/>
        </w:rPr>
      </w:pPr>
    </w:p>
    <w:p w14:paraId="4887D947">
      <w:pPr>
        <w:spacing w:line="360" w:lineRule="auto"/>
        <w:jc w:val="center"/>
        <w:rPr>
          <w:rFonts w:ascii="宋体" w:hAnsi="宋体" w:cs="宋体"/>
          <w:b/>
          <w:color w:val="auto"/>
          <w:sz w:val="44"/>
          <w:szCs w:val="44"/>
          <w:highlight w:val="none"/>
        </w:rPr>
      </w:pPr>
    </w:p>
    <w:p w14:paraId="283F3951">
      <w:pPr>
        <w:adjustRightInd/>
        <w:spacing w:line="360" w:lineRule="auto"/>
        <w:jc w:val="center"/>
        <w:rPr>
          <w:rFonts w:ascii="宋体" w:hAnsi="宋体" w:cs="宋体"/>
          <w:b/>
          <w:color w:val="auto"/>
          <w:sz w:val="48"/>
          <w:szCs w:val="48"/>
          <w:highlight w:val="none"/>
        </w:rPr>
      </w:pPr>
    </w:p>
    <w:p w14:paraId="7569E5E6">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杭州市保俶塔实验学校智慧实验室建设项目</w:t>
      </w:r>
    </w:p>
    <w:p w14:paraId="40B8A0E4">
      <w:pPr>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招标文件</w:t>
      </w:r>
    </w:p>
    <w:p w14:paraId="23013ABD">
      <w:pPr>
        <w:pStyle w:val="2"/>
        <w:rPr>
          <w:rFonts w:hint="eastAsia"/>
          <w:color w:val="auto"/>
          <w:highlight w:val="none"/>
          <w:lang w:eastAsia="zh-CN"/>
        </w:rPr>
      </w:pPr>
    </w:p>
    <w:p w14:paraId="210276A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EB87E4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XHZFCG-2024-G-77</w:t>
      </w:r>
    </w:p>
    <w:p w14:paraId="2DD8CC91">
      <w:pPr>
        <w:adjustRightInd/>
        <w:spacing w:line="360" w:lineRule="auto"/>
        <w:rPr>
          <w:rFonts w:ascii="宋体" w:hAnsi="宋体" w:cs="宋体"/>
          <w:color w:val="auto"/>
          <w:sz w:val="28"/>
          <w:szCs w:val="20"/>
          <w:highlight w:val="none"/>
        </w:rPr>
      </w:pPr>
    </w:p>
    <w:p w14:paraId="041C95E5">
      <w:pPr>
        <w:spacing w:line="360" w:lineRule="auto"/>
        <w:jc w:val="center"/>
        <w:rPr>
          <w:rFonts w:ascii="宋体" w:hAnsi="宋体" w:cs="宋体"/>
          <w:b/>
          <w:color w:val="auto"/>
          <w:sz w:val="44"/>
          <w:szCs w:val="44"/>
          <w:highlight w:val="none"/>
        </w:rPr>
      </w:pPr>
    </w:p>
    <w:p w14:paraId="3C63DDD1">
      <w:pPr>
        <w:spacing w:line="360" w:lineRule="auto"/>
        <w:jc w:val="center"/>
        <w:rPr>
          <w:rFonts w:ascii="宋体" w:hAnsi="宋体" w:cs="宋体"/>
          <w:b/>
          <w:color w:val="auto"/>
          <w:sz w:val="44"/>
          <w:szCs w:val="44"/>
          <w:highlight w:val="none"/>
        </w:rPr>
      </w:pPr>
    </w:p>
    <w:p w14:paraId="2A4FC106">
      <w:pPr>
        <w:spacing w:line="360" w:lineRule="auto"/>
        <w:jc w:val="center"/>
        <w:rPr>
          <w:rFonts w:ascii="宋体" w:hAnsi="宋体" w:cs="宋体"/>
          <w:color w:val="auto"/>
          <w:sz w:val="24"/>
          <w:highlight w:val="none"/>
        </w:rPr>
      </w:pPr>
    </w:p>
    <w:p w14:paraId="4484276F">
      <w:pPr>
        <w:spacing w:line="360" w:lineRule="auto"/>
        <w:jc w:val="center"/>
        <w:rPr>
          <w:rFonts w:ascii="宋体" w:hAnsi="宋体" w:cs="宋体"/>
          <w:color w:val="auto"/>
          <w:sz w:val="24"/>
          <w:highlight w:val="none"/>
        </w:rPr>
      </w:pPr>
    </w:p>
    <w:p w14:paraId="1342FDF2">
      <w:pPr>
        <w:spacing w:line="360" w:lineRule="auto"/>
        <w:rPr>
          <w:rFonts w:ascii="宋体" w:hAnsi="宋体" w:cs="宋体"/>
          <w:color w:val="auto"/>
          <w:sz w:val="32"/>
          <w:szCs w:val="32"/>
          <w:highlight w:val="none"/>
        </w:rPr>
      </w:pPr>
    </w:p>
    <w:p w14:paraId="4FEC7FEF">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杭州市保俶塔实验学校</w:t>
      </w:r>
    </w:p>
    <w:p w14:paraId="06716D1F">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杭州市西湖区政府采购中心</w:t>
      </w:r>
    </w:p>
    <w:p w14:paraId="6B898BB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日</w:t>
      </w:r>
    </w:p>
    <w:p w14:paraId="397637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158971A">
      <w:pPr>
        <w:spacing w:line="360" w:lineRule="auto"/>
        <w:jc w:val="center"/>
        <w:rPr>
          <w:rFonts w:ascii="宋体" w:hAnsi="宋体" w:cs="宋体"/>
          <w:color w:val="auto"/>
          <w:sz w:val="24"/>
          <w:highlight w:val="none"/>
        </w:rPr>
      </w:pPr>
    </w:p>
    <w:p w14:paraId="22E7403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17D13FC">
      <w:pPr>
        <w:spacing w:line="360" w:lineRule="auto"/>
        <w:rPr>
          <w:rFonts w:ascii="宋体" w:hAnsi="宋体" w:cs="宋体"/>
          <w:color w:val="auto"/>
          <w:sz w:val="32"/>
          <w:szCs w:val="32"/>
          <w:highlight w:val="none"/>
        </w:rPr>
      </w:pPr>
    </w:p>
    <w:p w14:paraId="4C12D529">
      <w:pPr>
        <w:spacing w:line="360" w:lineRule="auto"/>
        <w:rPr>
          <w:rFonts w:ascii="宋体" w:hAnsi="宋体" w:cs="宋体"/>
          <w:color w:val="auto"/>
          <w:sz w:val="32"/>
          <w:szCs w:val="32"/>
          <w:highlight w:val="none"/>
        </w:rPr>
      </w:pPr>
    </w:p>
    <w:p w14:paraId="0CC9B8A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1FEC4E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76ABB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8E2780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520EF0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42DF4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FD963A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A92BF87">
      <w:pPr>
        <w:spacing w:line="360" w:lineRule="auto"/>
        <w:ind w:firstLine="549" w:firstLineChars="229"/>
        <w:rPr>
          <w:rFonts w:ascii="宋体" w:hAnsi="宋体" w:cs="宋体"/>
          <w:color w:val="auto"/>
          <w:sz w:val="24"/>
          <w:highlight w:val="none"/>
        </w:rPr>
      </w:pPr>
    </w:p>
    <w:p w14:paraId="6962706F">
      <w:pPr>
        <w:spacing w:line="360" w:lineRule="auto"/>
        <w:ind w:firstLine="549" w:firstLineChars="229"/>
        <w:rPr>
          <w:rFonts w:ascii="宋体" w:hAnsi="宋体" w:cs="宋体"/>
          <w:color w:val="auto"/>
          <w:sz w:val="24"/>
          <w:highlight w:val="none"/>
        </w:rPr>
      </w:pPr>
    </w:p>
    <w:p w14:paraId="5DA26B84">
      <w:pPr>
        <w:spacing w:line="360" w:lineRule="auto"/>
        <w:ind w:firstLine="549" w:firstLineChars="229"/>
        <w:rPr>
          <w:rFonts w:ascii="宋体" w:hAnsi="宋体" w:cs="宋体"/>
          <w:color w:val="auto"/>
          <w:sz w:val="24"/>
          <w:highlight w:val="none"/>
        </w:rPr>
      </w:pPr>
    </w:p>
    <w:p w14:paraId="3C6CBF6D">
      <w:pPr>
        <w:spacing w:line="360" w:lineRule="auto"/>
        <w:ind w:firstLine="549" w:firstLineChars="229"/>
        <w:rPr>
          <w:rFonts w:ascii="宋体" w:hAnsi="宋体" w:cs="宋体"/>
          <w:color w:val="auto"/>
          <w:sz w:val="24"/>
          <w:highlight w:val="none"/>
        </w:rPr>
      </w:pPr>
    </w:p>
    <w:p w14:paraId="650ABFE1">
      <w:pPr>
        <w:spacing w:line="360" w:lineRule="auto"/>
        <w:ind w:firstLine="549" w:firstLineChars="229"/>
        <w:rPr>
          <w:rFonts w:ascii="宋体" w:hAnsi="宋体" w:cs="宋体"/>
          <w:color w:val="auto"/>
          <w:sz w:val="24"/>
          <w:highlight w:val="none"/>
        </w:rPr>
      </w:pPr>
    </w:p>
    <w:p w14:paraId="303A8388">
      <w:pPr>
        <w:spacing w:line="360" w:lineRule="auto"/>
        <w:ind w:firstLine="549" w:firstLineChars="229"/>
        <w:rPr>
          <w:rFonts w:ascii="宋体" w:hAnsi="宋体" w:cs="宋体"/>
          <w:color w:val="auto"/>
          <w:sz w:val="24"/>
          <w:highlight w:val="none"/>
        </w:rPr>
      </w:pPr>
    </w:p>
    <w:p w14:paraId="18178A06">
      <w:pPr>
        <w:spacing w:line="360" w:lineRule="auto"/>
        <w:ind w:firstLine="549" w:firstLineChars="229"/>
        <w:rPr>
          <w:rFonts w:ascii="宋体" w:hAnsi="宋体" w:cs="宋体"/>
          <w:color w:val="auto"/>
          <w:sz w:val="24"/>
          <w:highlight w:val="none"/>
        </w:rPr>
      </w:pPr>
    </w:p>
    <w:p w14:paraId="3731A9C3">
      <w:pPr>
        <w:spacing w:line="360" w:lineRule="auto"/>
        <w:ind w:firstLine="549" w:firstLineChars="229"/>
        <w:rPr>
          <w:rFonts w:ascii="宋体" w:hAnsi="宋体" w:cs="宋体"/>
          <w:color w:val="auto"/>
          <w:sz w:val="24"/>
          <w:highlight w:val="none"/>
        </w:rPr>
      </w:pPr>
    </w:p>
    <w:p w14:paraId="61AD244C">
      <w:pPr>
        <w:spacing w:line="360" w:lineRule="auto"/>
        <w:ind w:firstLine="549" w:firstLineChars="229"/>
        <w:rPr>
          <w:rFonts w:ascii="宋体" w:hAnsi="宋体" w:cs="宋体"/>
          <w:color w:val="auto"/>
          <w:sz w:val="24"/>
          <w:highlight w:val="none"/>
        </w:rPr>
      </w:pPr>
    </w:p>
    <w:p w14:paraId="652C8649">
      <w:pPr>
        <w:spacing w:line="360" w:lineRule="auto"/>
        <w:ind w:firstLine="549" w:firstLineChars="229"/>
        <w:rPr>
          <w:rFonts w:ascii="宋体" w:hAnsi="宋体" w:cs="宋体"/>
          <w:color w:val="auto"/>
          <w:sz w:val="24"/>
          <w:highlight w:val="none"/>
        </w:rPr>
      </w:pPr>
    </w:p>
    <w:p w14:paraId="359B947B">
      <w:pPr>
        <w:spacing w:line="360" w:lineRule="auto"/>
        <w:ind w:firstLine="549" w:firstLineChars="229"/>
        <w:rPr>
          <w:rFonts w:ascii="宋体" w:hAnsi="宋体" w:cs="宋体"/>
          <w:color w:val="auto"/>
          <w:sz w:val="24"/>
          <w:highlight w:val="none"/>
        </w:rPr>
      </w:pPr>
    </w:p>
    <w:p w14:paraId="6B284D3D">
      <w:pPr>
        <w:spacing w:line="360" w:lineRule="auto"/>
        <w:ind w:firstLine="549" w:firstLineChars="229"/>
        <w:rPr>
          <w:rFonts w:ascii="宋体" w:hAnsi="宋体" w:cs="宋体"/>
          <w:color w:val="auto"/>
          <w:sz w:val="24"/>
          <w:highlight w:val="none"/>
        </w:rPr>
      </w:pPr>
    </w:p>
    <w:p w14:paraId="4A532C69">
      <w:pPr>
        <w:spacing w:line="360" w:lineRule="auto"/>
        <w:rPr>
          <w:rFonts w:ascii="宋体" w:hAnsi="宋体" w:cs="宋体"/>
          <w:color w:val="auto"/>
          <w:sz w:val="24"/>
          <w:highlight w:val="none"/>
        </w:rPr>
      </w:pPr>
    </w:p>
    <w:p w14:paraId="76F5C889">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84C0BE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3D5B1D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杭州市保俶塔实验学校智慧实验室建设项目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default" w:ascii="宋体" w:hAnsi="宋体" w:cs="宋体"/>
          <w:color w:val="auto"/>
          <w:sz w:val="24"/>
          <w:highlight w:val="none"/>
          <w:u w:val="single"/>
          <w:lang w:val="en-US"/>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default" w:ascii="宋体" w:hAnsi="宋体" w:cs="宋体"/>
          <w:color w:val="auto"/>
          <w:sz w:val="24"/>
          <w:highlight w:val="none"/>
          <w:u w:val="single"/>
          <w:lang w:val="en-US"/>
        </w:rPr>
        <w:t>09</w:t>
      </w:r>
      <w:r>
        <w:rPr>
          <w:rFonts w:hint="eastAsia" w:ascii="宋体" w:hAnsi="宋体" w:cs="宋体"/>
          <w:color w:val="auto"/>
          <w:sz w:val="24"/>
          <w:highlight w:val="none"/>
          <w:u w:val="single"/>
        </w:rPr>
        <w:t>点</w:t>
      </w:r>
      <w:r>
        <w:rPr>
          <w:rFonts w:hint="default" w:ascii="宋体" w:hAnsi="宋体" w:cs="宋体"/>
          <w:color w:val="auto"/>
          <w:sz w:val="24"/>
          <w:highlight w:val="none"/>
          <w:u w:val="single"/>
          <w:lang w:val="en-US"/>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E00106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198A90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XHZFCG-2024-G-77</w:t>
      </w:r>
    </w:p>
    <w:p w14:paraId="3C1D086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杭州市保俶塔实验学校智慧实验室建设项目</w:t>
      </w:r>
    </w:p>
    <w:p w14:paraId="591062B6">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2000000</w:t>
      </w:r>
      <w:r>
        <w:rPr>
          <w:rFonts w:hint="default" w:ascii="宋体" w:hAnsi="宋体" w:cs="宋体"/>
          <w:color w:val="auto"/>
          <w:sz w:val="24"/>
          <w:highlight w:val="none"/>
          <w:lang w:val="en-US" w:eastAsia="zh-CN"/>
        </w:rPr>
        <w:t>.00</w:t>
      </w:r>
    </w:p>
    <w:p w14:paraId="114105D5">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2000000.00</w:t>
      </w:r>
    </w:p>
    <w:p w14:paraId="46E80C79">
      <w:pPr>
        <w:pStyle w:val="1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杭州市保俶塔实验学校智慧实验室建设项目，</w:t>
      </w:r>
      <w:r>
        <w:rPr>
          <w:rFonts w:hint="eastAsia" w:hAnsi="宋体" w:cs="宋体"/>
          <w:bCs/>
          <w:snapToGrid/>
          <w:color w:val="auto"/>
          <w:kern w:val="2"/>
          <w:sz w:val="24"/>
          <w:szCs w:val="24"/>
          <w:highlight w:val="none"/>
        </w:rPr>
        <w:t>具体包括：</w:t>
      </w:r>
      <w:r>
        <w:rPr>
          <w:rFonts w:hint="eastAsia" w:asciiTheme="minorEastAsia" w:hAnsiTheme="minorEastAsia" w:eastAsiaTheme="minorEastAsia" w:cstheme="minorEastAsia"/>
          <w:color w:val="auto"/>
          <w:sz w:val="24"/>
          <w:szCs w:val="24"/>
          <w:highlight w:val="none"/>
          <w:lang w:val="en-US" w:eastAsia="zh-CN"/>
        </w:rPr>
        <w:t>智慧实验室管理系统的敷设、</w:t>
      </w:r>
      <w:r>
        <w:rPr>
          <w:rFonts w:hint="eastAsia" w:asciiTheme="minorEastAsia" w:hAnsiTheme="minorEastAsia" w:eastAsiaTheme="minorEastAsia" w:cstheme="minorEastAsia"/>
          <w:bCs/>
          <w:snapToGrid/>
          <w:color w:val="auto"/>
          <w:kern w:val="2"/>
          <w:sz w:val="24"/>
          <w:szCs w:val="24"/>
          <w:highlight w:val="none"/>
          <w:lang w:eastAsia="zh-CN"/>
        </w:rPr>
        <w:t>理化生实验室</w:t>
      </w:r>
      <w:r>
        <w:rPr>
          <w:rFonts w:hint="eastAsia" w:asciiTheme="minorEastAsia" w:hAnsiTheme="minorEastAsia" w:eastAsiaTheme="minorEastAsia" w:cstheme="minorEastAsia"/>
          <w:bCs/>
          <w:snapToGrid/>
          <w:color w:val="auto"/>
          <w:kern w:val="2"/>
          <w:sz w:val="24"/>
          <w:szCs w:val="24"/>
          <w:highlight w:val="none"/>
          <w:lang w:val="en-US" w:eastAsia="zh-CN"/>
        </w:rPr>
        <w:t>吊装系统</w:t>
      </w:r>
      <w:r>
        <w:rPr>
          <w:rFonts w:hint="eastAsia" w:asciiTheme="minorEastAsia" w:hAnsiTheme="minorEastAsia" w:eastAsiaTheme="minorEastAsia" w:cstheme="minorEastAsia"/>
          <w:bCs/>
          <w:snapToGrid/>
          <w:color w:val="auto"/>
          <w:kern w:val="2"/>
          <w:sz w:val="24"/>
          <w:szCs w:val="24"/>
          <w:highlight w:val="none"/>
          <w:lang w:eastAsia="zh-CN"/>
        </w:rPr>
        <w:t>及</w:t>
      </w:r>
      <w:r>
        <w:rPr>
          <w:rFonts w:hint="eastAsia" w:asciiTheme="minorEastAsia" w:hAnsiTheme="minorEastAsia" w:eastAsiaTheme="minorEastAsia" w:cstheme="minorEastAsia"/>
          <w:bCs/>
          <w:snapToGrid/>
          <w:color w:val="auto"/>
          <w:kern w:val="2"/>
          <w:sz w:val="24"/>
          <w:szCs w:val="24"/>
          <w:highlight w:val="none"/>
          <w:lang w:val="en-US" w:eastAsia="zh-CN"/>
        </w:rPr>
        <w:t>实验台、</w:t>
      </w:r>
      <w:r>
        <w:rPr>
          <w:rFonts w:hint="eastAsia" w:asciiTheme="minorEastAsia" w:hAnsiTheme="minorEastAsia" w:eastAsiaTheme="minorEastAsia" w:cstheme="minorEastAsia"/>
          <w:bCs/>
          <w:snapToGrid/>
          <w:color w:val="auto"/>
          <w:kern w:val="2"/>
          <w:sz w:val="24"/>
          <w:szCs w:val="24"/>
          <w:highlight w:val="none"/>
          <w:lang w:eastAsia="zh-CN"/>
        </w:rPr>
        <w:t>准备室、</w:t>
      </w:r>
      <w:r>
        <w:rPr>
          <w:rFonts w:hint="eastAsia" w:asciiTheme="minorEastAsia" w:hAnsiTheme="minorEastAsia" w:eastAsiaTheme="minorEastAsia" w:cstheme="minorEastAsia"/>
          <w:bCs/>
          <w:snapToGrid/>
          <w:color w:val="auto"/>
          <w:kern w:val="2"/>
          <w:sz w:val="24"/>
          <w:szCs w:val="24"/>
          <w:highlight w:val="none"/>
          <w:lang w:val="en-US" w:eastAsia="zh-CN"/>
        </w:rPr>
        <w:t>危化品室</w:t>
      </w:r>
      <w:r>
        <w:rPr>
          <w:rFonts w:hint="eastAsia" w:asciiTheme="minorEastAsia" w:hAnsiTheme="minorEastAsia" w:eastAsiaTheme="minorEastAsia" w:cstheme="minorEastAsia"/>
          <w:bCs/>
          <w:snapToGrid/>
          <w:color w:val="auto"/>
          <w:kern w:val="2"/>
          <w:sz w:val="24"/>
          <w:szCs w:val="24"/>
          <w:highlight w:val="none"/>
          <w:lang w:eastAsia="zh-CN"/>
        </w:rPr>
        <w:t>设备的供货</w:t>
      </w:r>
      <w:r>
        <w:rPr>
          <w:rFonts w:hint="eastAsia" w:asciiTheme="minorEastAsia" w:hAnsiTheme="minorEastAsia" w:eastAsiaTheme="minorEastAsia" w:cstheme="minorEastAsia"/>
          <w:bCs/>
          <w:snapToGrid/>
          <w:color w:val="auto"/>
          <w:kern w:val="2"/>
          <w:sz w:val="24"/>
          <w:szCs w:val="24"/>
          <w:highlight w:val="none"/>
        </w:rPr>
        <w:t>、安装调试以及不少于五年的免费质保及售后现场技术支持服务等内容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范围包含所需产品的设计与优化、制造、运输与装卸、安装（含配套水电施工、辅材辅料</w:t>
      </w:r>
      <w:r>
        <w:rPr>
          <w:rFonts w:hint="eastAsia" w:asciiTheme="minorEastAsia" w:hAnsiTheme="minorEastAsia" w:eastAsiaTheme="minorEastAsia" w:cstheme="minorEastAsia"/>
          <w:color w:val="auto"/>
          <w:sz w:val="24"/>
          <w:szCs w:val="24"/>
          <w:lang w:val="en-US" w:eastAsia="zh-CN"/>
        </w:rPr>
        <w:t>和安装过程中对原有现状产生破坏后的修复工作</w:t>
      </w:r>
      <w:r>
        <w:rPr>
          <w:rFonts w:hint="eastAsia" w:asciiTheme="minorEastAsia" w:hAnsiTheme="minorEastAsia" w:eastAsiaTheme="minorEastAsia" w:cstheme="minorEastAsia"/>
          <w:color w:val="auto"/>
          <w:sz w:val="24"/>
          <w:szCs w:val="24"/>
        </w:rPr>
        <w:t>等）、调试、验收配合、技术培训、</w:t>
      </w:r>
      <w:r>
        <w:rPr>
          <w:rFonts w:hint="eastAsia" w:asciiTheme="minorEastAsia" w:hAnsiTheme="minorEastAsia" w:eastAsiaTheme="minorEastAsia" w:cstheme="minorEastAsia"/>
          <w:color w:val="auto"/>
          <w:sz w:val="24"/>
          <w:szCs w:val="24"/>
          <w:lang w:eastAsia="zh-CN"/>
        </w:rPr>
        <w:t>不少于五年</w:t>
      </w:r>
      <w:r>
        <w:rPr>
          <w:rFonts w:hint="eastAsia" w:asciiTheme="minorEastAsia" w:hAnsiTheme="minorEastAsia" w:eastAsiaTheme="minorEastAsia" w:cstheme="minorEastAsia"/>
          <w:color w:val="auto"/>
          <w:sz w:val="24"/>
          <w:szCs w:val="24"/>
        </w:rPr>
        <w:t>售后服务以及招标文件约定的其他一切内容</w:t>
      </w:r>
      <w:r>
        <w:rPr>
          <w:rFonts w:hint="eastAsia" w:hAnsi="宋体" w:cs="宋体"/>
          <w:bCs/>
          <w:snapToGrid/>
          <w:color w:val="auto"/>
          <w:kern w:val="2"/>
          <w:sz w:val="24"/>
          <w:szCs w:val="24"/>
          <w:highlight w:val="none"/>
        </w:rPr>
        <w:t>。本次招标共一个标项，同一标项不得拆标。详见项目技术规范和服务要求。</w:t>
      </w:r>
      <w:r>
        <w:rPr>
          <w:rFonts w:hint="eastAsia" w:hAnsi="宋体" w:cs="宋体"/>
          <w:bCs/>
          <w:snapToGrid/>
          <w:color w:val="auto"/>
          <w:kern w:val="2"/>
          <w:sz w:val="24"/>
          <w:szCs w:val="24"/>
          <w:highlight w:val="none"/>
          <w:lang w:eastAsia="zh-CN"/>
        </w:rPr>
        <w:t>供应商可点击本公告下方“浏览采购文件”查看采购需求。</w:t>
      </w:r>
    </w:p>
    <w:p w14:paraId="4E0CE7DA">
      <w:pPr>
        <w:pStyle w:val="15"/>
        <w:spacing w:line="360" w:lineRule="auto"/>
        <w:ind w:firstLine="480"/>
        <w:rPr>
          <w:rFonts w:hint="eastAsia" w:ascii="宋体" w:hAnsi="宋体" w:eastAsia="宋体" w:cs="宋体"/>
          <w:color w:val="auto"/>
          <w:highlight w:val="none"/>
          <w:lang w:val="en-US" w:eastAsia="zh-CN"/>
        </w:rPr>
      </w:pPr>
      <w:r>
        <w:rPr>
          <w:rFonts w:hint="eastAsia" w:hAnsi="宋体" w:cs="宋体"/>
          <w:bCs/>
          <w:snapToGrid/>
          <w:color w:val="auto"/>
          <w:kern w:val="2"/>
          <w:sz w:val="24"/>
          <w:szCs w:val="24"/>
          <w:highlight w:val="none"/>
        </w:rPr>
        <w:t>备注：</w:t>
      </w:r>
    </w:p>
    <w:p w14:paraId="57BF387A">
      <w:pPr>
        <w:pStyle w:val="130"/>
        <w:numPr>
          <w:ilvl w:val="0"/>
          <w:numId w:val="1"/>
        </w:numPr>
        <w:spacing w:line="360" w:lineRule="auto"/>
        <w:ind w:left="0" w:leftChars="0" w:firstLine="482" w:firstLineChars="200"/>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w:t>
      </w:r>
      <w:r>
        <w:rPr>
          <w:rFonts w:hint="eastAsia" w:ascii="宋体" w:hAnsi="宋体" w:cs="宋体"/>
          <w:b/>
          <w:color w:val="auto"/>
          <w:highlight w:val="none"/>
          <w:lang w:eastAsia="zh-CN"/>
        </w:rPr>
        <w:t>履约</w:t>
      </w:r>
      <w:r>
        <w:rPr>
          <w:rFonts w:hint="eastAsia" w:ascii="宋体" w:hAnsi="宋体" w:cs="宋体"/>
          <w:b/>
          <w:color w:val="auto"/>
          <w:highlight w:val="none"/>
        </w:rPr>
        <w:t>期限：</w:t>
      </w:r>
      <w:r>
        <w:rPr>
          <w:rFonts w:hint="eastAsia"/>
          <w:b/>
          <w:bCs/>
          <w:color w:val="auto"/>
          <w:highlight w:val="none"/>
          <w:lang w:eastAsia="zh-CN"/>
        </w:rPr>
        <w:t>要求在合同签订之后,在</w:t>
      </w:r>
      <w:r>
        <w:rPr>
          <w:rFonts w:hint="eastAsia"/>
          <w:b/>
          <w:bCs/>
          <w:color w:val="auto"/>
          <w:highlight w:val="none"/>
          <w:lang w:val="en-US" w:eastAsia="zh-CN"/>
        </w:rPr>
        <w:t>20天</w:t>
      </w:r>
      <w:r>
        <w:rPr>
          <w:rFonts w:hint="eastAsia"/>
          <w:b/>
          <w:bCs/>
          <w:color w:val="auto"/>
          <w:highlight w:val="none"/>
          <w:lang w:eastAsia="zh-CN"/>
        </w:rPr>
        <w:t>内完成所有设备的生产、安装调试工作，正常试运行1个月，培训、交付使用并通过验收。</w:t>
      </w:r>
    </w:p>
    <w:p w14:paraId="070FDD2C">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lang w:val="en-US" w:eastAsia="zh-CN"/>
        </w:rPr>
        <w:t>2、</w:t>
      </w: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841BC31">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366C1A5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B66530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7C164E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7AB176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无（注：不得限制大中型企业与小微企业组成联合体参与投标）；</w:t>
      </w:r>
    </w:p>
    <w:p w14:paraId="5CB9658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E46A8F8">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749CA90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货物全部由符合政策要求的小微企业制造，提供中小企业声明函；</w:t>
      </w:r>
    </w:p>
    <w:p w14:paraId="1CC9545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908E83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14:paraId="48B1644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w:t>
      </w:r>
    </w:p>
    <w:p w14:paraId="3613BBD3">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783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1F9F589A">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8278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405AA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61BBC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02D16E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CCD32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DB4BD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B03E72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FF10F7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94B4B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default" w:ascii="宋体" w:hAnsi="宋体" w:cs="宋体"/>
          <w:color w:val="auto"/>
          <w:sz w:val="24"/>
          <w:highlight w:val="none"/>
          <w:u w:val="single"/>
          <w:lang w:val="en-US"/>
        </w:rPr>
        <w:t>09</w:t>
      </w:r>
      <w:r>
        <w:rPr>
          <w:rFonts w:hint="eastAsia" w:ascii="宋体" w:hAnsi="宋体" w:cs="宋体"/>
          <w:color w:val="auto"/>
          <w:sz w:val="24"/>
          <w:highlight w:val="none"/>
          <w:u w:val="single"/>
        </w:rPr>
        <w:t>点</w:t>
      </w:r>
      <w:r>
        <w:rPr>
          <w:rFonts w:hint="default" w:ascii="宋体" w:hAnsi="宋体" w:cs="宋体"/>
          <w:color w:val="auto"/>
          <w:sz w:val="24"/>
          <w:highlight w:val="none"/>
          <w:u w:val="single"/>
          <w:lang w:val="en-US"/>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A67775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931577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default" w:ascii="宋体" w:hAnsi="宋体" w:cs="宋体"/>
          <w:color w:val="auto"/>
          <w:sz w:val="24"/>
          <w:highlight w:val="none"/>
          <w:u w:val="single"/>
          <w:lang w:val="en-US"/>
        </w:rPr>
        <w:t>09</w:t>
      </w:r>
      <w:r>
        <w:rPr>
          <w:rFonts w:hint="eastAsia" w:ascii="宋体" w:hAnsi="宋体" w:cs="宋体"/>
          <w:color w:val="auto"/>
          <w:sz w:val="24"/>
          <w:highlight w:val="none"/>
          <w:u w:val="single"/>
        </w:rPr>
        <w:t>点</w:t>
      </w:r>
      <w:r>
        <w:rPr>
          <w:rFonts w:hint="default" w:ascii="宋体" w:hAnsi="宋体" w:cs="宋体"/>
          <w:color w:val="auto"/>
          <w:sz w:val="24"/>
          <w:highlight w:val="none"/>
          <w:u w:val="single"/>
          <w:lang w:val="en-US"/>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54FC714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4667C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92E6D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BB41E9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4BA2B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EE3C1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1F37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378B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66B3C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A4723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2D80595">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杭州市保俶塔实验学校</w:t>
      </w:r>
    </w:p>
    <w:p w14:paraId="0B78DF23">
      <w:pPr>
        <w:spacing w:line="360" w:lineRule="auto"/>
        <w:ind w:firstLine="480"/>
        <w:rPr>
          <w:rFonts w:ascii="宋体" w:hAnsi="宋体" w:cs="宋体"/>
          <w:sz w:val="24"/>
          <w:highlight w:val="none"/>
        </w:rPr>
      </w:pPr>
      <w:r>
        <w:rPr>
          <w:rFonts w:hint="eastAsia" w:ascii="宋体" w:hAnsi="宋体" w:cs="宋体"/>
          <w:sz w:val="24"/>
          <w:highlight w:val="none"/>
        </w:rPr>
        <w:t>地    址：</w:t>
      </w:r>
      <w:r>
        <w:rPr>
          <w:rFonts w:hint="eastAsia" w:ascii="宋体" w:hAnsi="宋体" w:eastAsia="宋体" w:cs="宋体"/>
          <w:sz w:val="24"/>
          <w:highlight w:val="none"/>
        </w:rPr>
        <w:t>浙江省杭州市西湖区天目山路81号</w:t>
      </w:r>
      <w:r>
        <w:rPr>
          <w:rFonts w:hint="eastAsia" w:ascii="宋体" w:hAnsi="宋体" w:cs="宋体"/>
          <w:color w:val="auto"/>
          <w:sz w:val="24"/>
          <w:highlight w:val="none"/>
        </w:rPr>
        <w:t xml:space="preserve">   </w:t>
      </w:r>
      <w:r>
        <w:rPr>
          <w:rFonts w:hint="eastAsia" w:ascii="宋体" w:hAnsi="宋体" w:cs="宋体"/>
          <w:sz w:val="24"/>
          <w:highlight w:val="none"/>
        </w:rPr>
        <w:t xml:space="preserve">  </w:t>
      </w:r>
    </w:p>
    <w:p w14:paraId="78BA4973">
      <w:pPr>
        <w:spacing w:line="360" w:lineRule="auto"/>
        <w:ind w:firstLine="480"/>
        <w:rPr>
          <w:rFonts w:ascii="宋体" w:hAnsi="宋体" w:cs="宋体"/>
          <w:sz w:val="24"/>
          <w:highlight w:val="none"/>
        </w:rPr>
      </w:pPr>
      <w:r>
        <w:rPr>
          <w:rFonts w:hint="eastAsia" w:ascii="宋体" w:hAnsi="宋体" w:cs="宋体"/>
          <w:sz w:val="24"/>
          <w:highlight w:val="none"/>
        </w:rPr>
        <w:t xml:space="preserve">传    真： </w:t>
      </w:r>
    </w:p>
    <w:p w14:paraId="3FA36BD1">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石海超</w:t>
      </w:r>
    </w:p>
    <w:p w14:paraId="4D079A9E">
      <w:pPr>
        <w:spacing w:line="360" w:lineRule="auto"/>
        <w:ind w:firstLine="480"/>
        <w:rPr>
          <w:rFonts w:hint="eastAsia" w:ascii="宋体" w:hAnsi="宋体" w:cs="宋体"/>
          <w:sz w:val="24"/>
          <w:highlight w:val="none"/>
        </w:rPr>
      </w:pPr>
      <w:r>
        <w:rPr>
          <w:rFonts w:hint="eastAsia" w:ascii="宋体" w:hAnsi="宋体" w:cs="宋体"/>
          <w:sz w:val="24"/>
          <w:highlight w:val="none"/>
        </w:rPr>
        <w:t>项目联系方式（询问）：</w:t>
      </w:r>
      <w:r>
        <w:rPr>
          <w:rFonts w:hint="eastAsia" w:ascii="宋体" w:hAnsi="宋体" w:cs="宋体"/>
          <w:sz w:val="24"/>
          <w:highlight w:val="none"/>
          <w:lang w:val="en-US" w:eastAsia="zh-CN"/>
        </w:rPr>
        <w:t>15024467766</w:t>
      </w:r>
      <w:r>
        <w:rPr>
          <w:rFonts w:hint="eastAsia" w:ascii="宋体" w:hAnsi="宋体" w:cs="宋体"/>
          <w:sz w:val="24"/>
          <w:highlight w:val="none"/>
        </w:rPr>
        <w:t xml:space="preserve">     </w:t>
      </w:r>
    </w:p>
    <w:p w14:paraId="1F9E3B56">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质疑联系人：</w:t>
      </w:r>
      <w:r>
        <w:rPr>
          <w:rFonts w:ascii="宋体" w:hAnsi="宋体" w:eastAsia="宋体" w:cs="宋体"/>
          <w:sz w:val="24"/>
          <w:szCs w:val="24"/>
        </w:rPr>
        <w:t>顾安杰</w:t>
      </w:r>
    </w:p>
    <w:p w14:paraId="49C9A1D8">
      <w:pPr>
        <w:spacing w:line="360" w:lineRule="auto"/>
        <w:ind w:firstLine="480"/>
        <w:rPr>
          <w:rFonts w:hint="eastAsia" w:ascii="宋体" w:hAnsi="宋体" w:cs="宋体"/>
          <w:color w:val="auto"/>
          <w:sz w:val="24"/>
          <w:highlight w:val="none"/>
        </w:rPr>
      </w:pPr>
      <w:r>
        <w:rPr>
          <w:rFonts w:hint="eastAsia" w:ascii="宋体" w:hAnsi="宋体" w:cs="宋体"/>
          <w:sz w:val="24"/>
          <w:highlight w:val="none"/>
        </w:rPr>
        <w:t>质疑联系方式：</w:t>
      </w:r>
      <w:r>
        <w:rPr>
          <w:rFonts w:ascii="宋体" w:hAnsi="宋体" w:eastAsia="宋体" w:cs="宋体"/>
          <w:sz w:val="24"/>
          <w:szCs w:val="24"/>
        </w:rPr>
        <w:t>15158054490</w:t>
      </w:r>
      <w:r>
        <w:rPr>
          <w:rFonts w:hint="eastAsia" w:ascii="宋体" w:hAnsi="宋体" w:cs="宋体"/>
          <w:color w:val="auto"/>
          <w:sz w:val="24"/>
          <w:highlight w:val="none"/>
        </w:rPr>
        <w:t xml:space="preserve"> </w:t>
      </w:r>
    </w:p>
    <w:p w14:paraId="62F2C21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5E365CB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杭州市西湖区政府采购中心</w:t>
      </w:r>
    </w:p>
    <w:p w14:paraId="2581907A">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杭州市西湖区文一西路858号</w:t>
      </w:r>
    </w:p>
    <w:p w14:paraId="7102C5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0571-89511006</w:t>
      </w:r>
      <w:r>
        <w:rPr>
          <w:rFonts w:hint="eastAsia" w:ascii="宋体" w:hAnsi="宋体" w:cs="宋体"/>
          <w:color w:val="auto"/>
          <w:sz w:val="24"/>
          <w:highlight w:val="none"/>
        </w:rPr>
        <w:t xml:space="preserve">            </w:t>
      </w:r>
    </w:p>
    <w:p w14:paraId="752024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邵一成</w:t>
      </w:r>
      <w:r>
        <w:rPr>
          <w:rFonts w:hint="eastAsia" w:ascii="宋体" w:hAnsi="宋体" w:cs="宋体"/>
          <w:color w:val="auto"/>
          <w:sz w:val="24"/>
          <w:highlight w:val="none"/>
        </w:rPr>
        <w:t xml:space="preserve">          </w:t>
      </w:r>
    </w:p>
    <w:p w14:paraId="4D0018A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0571-89511007</w:t>
      </w:r>
    </w:p>
    <w:p w14:paraId="49364C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缪新新</w:t>
      </w:r>
      <w:r>
        <w:rPr>
          <w:rFonts w:hint="eastAsia" w:ascii="宋体" w:hAnsi="宋体" w:cs="宋体"/>
          <w:color w:val="auto"/>
          <w:sz w:val="24"/>
          <w:highlight w:val="none"/>
        </w:rPr>
        <w:t xml:space="preserve">              </w:t>
      </w:r>
    </w:p>
    <w:p w14:paraId="12EFABB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eastAsia="zh-CN"/>
        </w:rPr>
        <w:t>0571-89511561</w:t>
      </w:r>
    </w:p>
    <w:p w14:paraId="644085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F86634B">
      <w:pPr>
        <w:spacing w:line="360" w:lineRule="auto"/>
        <w:ind w:firstLine="480"/>
        <w:rPr>
          <w:rFonts w:hint="eastAsia" w:ascii="宋体" w:hAnsi="宋体" w:cs="宋体"/>
          <w:sz w:val="24"/>
        </w:rPr>
      </w:pPr>
      <w:r>
        <w:rPr>
          <w:rFonts w:hint="eastAsia" w:ascii="宋体" w:hAnsi="宋体" w:cs="宋体"/>
          <w:color w:val="auto"/>
          <w:sz w:val="24"/>
          <w:highlight w:val="none"/>
        </w:rPr>
        <w:t>名    称：</w:t>
      </w:r>
      <w:r>
        <w:rPr>
          <w:rFonts w:hint="eastAsia" w:ascii="宋体" w:hAnsi="宋体" w:cs="宋体"/>
          <w:sz w:val="24"/>
        </w:rPr>
        <w:t>杭州市西湖区财政局、浙江省政府采购行政裁决服务中心（杭州）</w:t>
      </w:r>
    </w:p>
    <w:p w14:paraId="392DAE4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sz w:val="24"/>
        </w:rPr>
        <w:t xml:space="preserve">杭州市上城区清泰街549号城建综合大楼11楼（快递仅限ems或顺丰） </w:t>
      </w:r>
    </w:p>
    <w:p w14:paraId="5740F84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传    真： /</w:t>
      </w:r>
    </w:p>
    <w:p w14:paraId="4F4B9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cs="宋体"/>
          <w:sz w:val="24"/>
        </w:rPr>
        <w:t>朱女士、王女士</w:t>
      </w:r>
      <w:r>
        <w:rPr>
          <w:rFonts w:hint="eastAsia" w:ascii="宋体" w:hAnsi="宋体" w:cs="宋体"/>
          <w:color w:val="auto"/>
          <w:sz w:val="24"/>
          <w:highlight w:val="none"/>
        </w:rPr>
        <w:t xml:space="preserve">    </w:t>
      </w:r>
    </w:p>
    <w:p w14:paraId="375759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sz w:val="24"/>
        </w:rPr>
        <w:t>0571-87227671,0571-87800218</w:t>
      </w:r>
      <w:r>
        <w:rPr>
          <w:rFonts w:hint="eastAsia" w:ascii="宋体" w:hAnsi="宋体" w:cs="宋体"/>
          <w:color w:val="auto"/>
          <w:sz w:val="24"/>
          <w:highlight w:val="none"/>
        </w:rPr>
        <w:t xml:space="preserve">     </w:t>
      </w:r>
    </w:p>
    <w:p w14:paraId="21F4BF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2E451E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4FA04D8">
      <w:pPr>
        <w:pStyle w:val="32"/>
        <w:spacing w:line="360" w:lineRule="auto"/>
        <w:rPr>
          <w:rFonts w:hint="eastAsia" w:hAnsi="宋体" w:cs="宋体"/>
          <w:color w:val="auto"/>
          <w:sz w:val="24"/>
          <w:highlight w:val="none"/>
        </w:rPr>
      </w:pPr>
      <w:r>
        <w:rPr>
          <w:rFonts w:hint="eastAsia" w:hAnsi="宋体" w:cs="宋体"/>
          <w:color w:val="auto"/>
          <w:sz w:val="24"/>
          <w:highlight w:val="none"/>
        </w:rPr>
        <w:t xml:space="preserve">                      </w:t>
      </w:r>
    </w:p>
    <w:p w14:paraId="6F107E3E">
      <w:pPr>
        <w:pStyle w:val="32"/>
        <w:spacing w:line="360" w:lineRule="auto"/>
        <w:rPr>
          <w:rFonts w:hint="eastAsia" w:hAnsi="宋体" w:cs="宋体"/>
          <w:color w:val="auto"/>
          <w:sz w:val="24"/>
          <w:highlight w:val="none"/>
        </w:rPr>
      </w:pPr>
    </w:p>
    <w:p w14:paraId="6C676B7F">
      <w:pPr>
        <w:pStyle w:val="32"/>
        <w:spacing w:line="360" w:lineRule="auto"/>
        <w:rPr>
          <w:rFonts w:hint="eastAsia" w:hAnsi="宋体" w:cs="宋体"/>
          <w:color w:val="auto"/>
          <w:sz w:val="24"/>
          <w:highlight w:val="none"/>
        </w:rPr>
      </w:pPr>
    </w:p>
    <w:p w14:paraId="7A8D7A50">
      <w:pPr>
        <w:pStyle w:val="32"/>
        <w:spacing w:line="360" w:lineRule="auto"/>
        <w:rPr>
          <w:rFonts w:hint="eastAsia" w:hAnsi="宋体" w:cs="宋体"/>
          <w:color w:val="auto"/>
          <w:sz w:val="24"/>
          <w:highlight w:val="none"/>
        </w:rPr>
      </w:pPr>
    </w:p>
    <w:p w14:paraId="728BF8BF">
      <w:pPr>
        <w:pStyle w:val="32"/>
        <w:spacing w:line="360" w:lineRule="auto"/>
        <w:rPr>
          <w:rFonts w:hint="eastAsia" w:hAnsi="宋体" w:cs="宋体"/>
          <w:color w:val="auto"/>
          <w:sz w:val="24"/>
          <w:highlight w:val="none"/>
        </w:rPr>
      </w:pPr>
    </w:p>
    <w:p w14:paraId="0991A190">
      <w:pPr>
        <w:pStyle w:val="32"/>
        <w:spacing w:line="360" w:lineRule="auto"/>
        <w:rPr>
          <w:rFonts w:hint="eastAsia" w:hAnsi="宋体" w:cs="宋体"/>
          <w:color w:val="auto"/>
          <w:sz w:val="24"/>
          <w:highlight w:val="none"/>
        </w:rPr>
      </w:pPr>
    </w:p>
    <w:p w14:paraId="68A24037">
      <w:pPr>
        <w:pStyle w:val="32"/>
        <w:spacing w:line="360" w:lineRule="auto"/>
        <w:rPr>
          <w:rFonts w:hint="eastAsia" w:hAnsi="宋体" w:cs="宋体"/>
          <w:color w:val="auto"/>
          <w:sz w:val="24"/>
          <w:highlight w:val="none"/>
        </w:rPr>
      </w:pPr>
    </w:p>
    <w:p w14:paraId="617AAA00">
      <w:pPr>
        <w:pStyle w:val="32"/>
        <w:spacing w:line="360" w:lineRule="auto"/>
        <w:rPr>
          <w:rFonts w:hint="eastAsia" w:hAnsi="宋体" w:cs="宋体"/>
          <w:color w:val="auto"/>
          <w:sz w:val="24"/>
          <w:highlight w:val="none"/>
        </w:rPr>
      </w:pPr>
    </w:p>
    <w:p w14:paraId="546863E5">
      <w:pPr>
        <w:pStyle w:val="32"/>
        <w:spacing w:line="360" w:lineRule="auto"/>
        <w:rPr>
          <w:rFonts w:hint="eastAsia" w:hAnsi="宋体" w:cs="宋体"/>
          <w:color w:val="auto"/>
          <w:sz w:val="24"/>
          <w:highlight w:val="none"/>
        </w:rPr>
      </w:pPr>
    </w:p>
    <w:p w14:paraId="2201414C">
      <w:pPr>
        <w:pStyle w:val="32"/>
        <w:spacing w:line="360" w:lineRule="auto"/>
        <w:rPr>
          <w:rFonts w:hint="eastAsia" w:hAnsi="宋体" w:cs="宋体"/>
          <w:color w:val="auto"/>
          <w:sz w:val="24"/>
          <w:highlight w:val="none"/>
        </w:rPr>
      </w:pPr>
    </w:p>
    <w:p w14:paraId="6DF750BD">
      <w:pPr>
        <w:pStyle w:val="32"/>
        <w:spacing w:line="360" w:lineRule="auto"/>
        <w:rPr>
          <w:rFonts w:hint="eastAsia" w:hAnsi="宋体" w:cs="宋体"/>
          <w:color w:val="auto"/>
          <w:sz w:val="24"/>
          <w:highlight w:val="none"/>
        </w:rPr>
      </w:pPr>
    </w:p>
    <w:p w14:paraId="14B35E6E">
      <w:pPr>
        <w:pStyle w:val="32"/>
        <w:spacing w:line="360" w:lineRule="auto"/>
        <w:rPr>
          <w:rFonts w:hint="eastAsia" w:hAnsi="宋体" w:cs="宋体"/>
          <w:color w:val="auto"/>
          <w:sz w:val="24"/>
          <w:highlight w:val="none"/>
        </w:rPr>
      </w:pPr>
    </w:p>
    <w:p w14:paraId="2AE00A84">
      <w:pPr>
        <w:pStyle w:val="32"/>
        <w:spacing w:line="360" w:lineRule="auto"/>
        <w:rPr>
          <w:rFonts w:hint="eastAsia" w:hAnsi="宋体" w:cs="宋体"/>
          <w:color w:val="auto"/>
          <w:sz w:val="24"/>
          <w:highlight w:val="none"/>
        </w:rPr>
      </w:pPr>
    </w:p>
    <w:p w14:paraId="5F52F1A2">
      <w:pPr>
        <w:pStyle w:val="32"/>
        <w:spacing w:line="360" w:lineRule="auto"/>
        <w:rPr>
          <w:rFonts w:hint="eastAsia" w:hAnsi="宋体" w:cs="宋体"/>
          <w:color w:val="auto"/>
          <w:sz w:val="24"/>
          <w:highlight w:val="none"/>
        </w:rPr>
      </w:pPr>
    </w:p>
    <w:p w14:paraId="7D03B830">
      <w:pPr>
        <w:pStyle w:val="32"/>
        <w:spacing w:line="360" w:lineRule="auto"/>
        <w:rPr>
          <w:rFonts w:hint="eastAsia" w:hAnsi="宋体" w:cs="宋体"/>
          <w:color w:val="auto"/>
          <w:sz w:val="24"/>
          <w:highlight w:val="none"/>
        </w:rPr>
      </w:pPr>
    </w:p>
    <w:p w14:paraId="2DB322A1">
      <w:pPr>
        <w:pStyle w:val="32"/>
        <w:spacing w:line="360" w:lineRule="auto"/>
        <w:rPr>
          <w:rFonts w:hint="eastAsia" w:hAnsi="宋体" w:cs="宋体"/>
          <w:color w:val="auto"/>
          <w:sz w:val="24"/>
          <w:highlight w:val="none"/>
        </w:rPr>
      </w:pPr>
    </w:p>
    <w:p w14:paraId="18EE1780">
      <w:pPr>
        <w:pStyle w:val="32"/>
        <w:spacing w:line="360" w:lineRule="auto"/>
        <w:rPr>
          <w:rFonts w:hint="eastAsia" w:hAnsi="宋体" w:cs="宋体"/>
          <w:color w:val="auto"/>
          <w:sz w:val="24"/>
          <w:highlight w:val="none"/>
        </w:rPr>
      </w:pPr>
    </w:p>
    <w:p w14:paraId="1070D035">
      <w:pPr>
        <w:pStyle w:val="32"/>
        <w:spacing w:line="360" w:lineRule="auto"/>
        <w:rPr>
          <w:rFonts w:hint="eastAsia" w:hAnsi="宋体" w:cs="宋体"/>
          <w:color w:val="auto"/>
          <w:sz w:val="24"/>
          <w:highlight w:val="none"/>
        </w:rPr>
      </w:pPr>
    </w:p>
    <w:p w14:paraId="3C89B488">
      <w:pPr>
        <w:pStyle w:val="32"/>
        <w:spacing w:line="360" w:lineRule="auto"/>
        <w:rPr>
          <w:rFonts w:hint="eastAsia" w:hAnsi="宋体" w:cs="宋体"/>
          <w:color w:val="auto"/>
          <w:sz w:val="24"/>
          <w:highlight w:val="none"/>
        </w:rPr>
      </w:pPr>
    </w:p>
    <w:p w14:paraId="4635CAAB">
      <w:pPr>
        <w:pStyle w:val="32"/>
        <w:spacing w:line="360" w:lineRule="auto"/>
        <w:rPr>
          <w:rFonts w:hint="eastAsia" w:hAnsi="宋体" w:cs="宋体"/>
          <w:color w:val="auto"/>
          <w:sz w:val="24"/>
          <w:highlight w:val="none"/>
        </w:rPr>
      </w:pPr>
    </w:p>
    <w:p w14:paraId="4E4D8A67">
      <w:pPr>
        <w:pStyle w:val="32"/>
        <w:spacing w:line="360" w:lineRule="auto"/>
        <w:rPr>
          <w:rFonts w:hint="eastAsia" w:hAnsi="宋体" w:cs="宋体"/>
          <w:color w:val="auto"/>
          <w:sz w:val="24"/>
          <w:highlight w:val="none"/>
        </w:rPr>
      </w:pPr>
    </w:p>
    <w:p w14:paraId="7AC61266">
      <w:pPr>
        <w:pStyle w:val="32"/>
        <w:spacing w:line="360" w:lineRule="auto"/>
        <w:rPr>
          <w:rFonts w:hint="eastAsia" w:hAnsi="宋体" w:cs="宋体"/>
          <w:color w:val="auto"/>
          <w:sz w:val="24"/>
          <w:highlight w:val="none"/>
        </w:rPr>
      </w:pPr>
    </w:p>
    <w:p w14:paraId="76AAE703">
      <w:pPr>
        <w:pStyle w:val="32"/>
        <w:spacing w:line="360" w:lineRule="auto"/>
        <w:rPr>
          <w:rFonts w:hint="eastAsia" w:hAnsi="宋体" w:cs="宋体"/>
          <w:color w:val="auto"/>
          <w:sz w:val="24"/>
          <w:highlight w:val="none"/>
        </w:rPr>
      </w:pPr>
    </w:p>
    <w:p w14:paraId="2BA8C2BD">
      <w:pPr>
        <w:pStyle w:val="32"/>
        <w:spacing w:line="360" w:lineRule="auto"/>
        <w:rPr>
          <w:rFonts w:hint="eastAsia" w:hAnsi="宋体" w:cs="宋体"/>
          <w:color w:val="auto"/>
          <w:sz w:val="24"/>
          <w:highlight w:val="none"/>
        </w:rPr>
      </w:pPr>
    </w:p>
    <w:p w14:paraId="790066A7">
      <w:pPr>
        <w:pStyle w:val="32"/>
        <w:spacing w:line="360" w:lineRule="auto"/>
        <w:rPr>
          <w:rFonts w:hAnsi="宋体" w:cs="宋体"/>
          <w:b/>
          <w:color w:val="auto"/>
          <w:sz w:val="36"/>
          <w:szCs w:val="20"/>
          <w:highlight w:val="none"/>
        </w:rPr>
      </w:pPr>
    </w:p>
    <w:p w14:paraId="6CB68CAC">
      <w:pPr>
        <w:pStyle w:val="32"/>
        <w:spacing w:line="360" w:lineRule="auto"/>
        <w:jc w:val="center"/>
        <w:rPr>
          <w:rFonts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340"/>
        <w:gridCol w:w="1516"/>
        <w:gridCol w:w="7270"/>
      </w:tblGrid>
      <w:tr w14:paraId="5CFA4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tcPr>
          <w:p w14:paraId="4F84AA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0" w:type="auto"/>
            <w:tcBorders>
              <w:top w:val="single" w:color="000000" w:sz="8" w:space="0"/>
              <w:left w:val="single" w:color="auto" w:sz="4" w:space="0"/>
              <w:bottom w:val="single" w:color="000000" w:sz="8" w:space="0"/>
              <w:right w:val="single" w:color="000000" w:sz="8" w:space="0"/>
            </w:tcBorders>
            <w:vAlign w:val="center"/>
          </w:tcPr>
          <w:p w14:paraId="17DFAE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0" w:type="auto"/>
            <w:tcBorders>
              <w:top w:val="single" w:color="000000" w:sz="8" w:space="0"/>
              <w:left w:val="single" w:color="000000" w:sz="2" w:space="0"/>
              <w:bottom w:val="single" w:color="000000" w:sz="8" w:space="0"/>
              <w:right w:val="single" w:color="000000" w:sz="8" w:space="0"/>
            </w:tcBorders>
            <w:vAlign w:val="center"/>
          </w:tcPr>
          <w:p w14:paraId="182FAB8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B439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9345FBC">
            <w:pPr>
              <w:snapToGrid w:val="0"/>
              <w:spacing w:line="360" w:lineRule="auto"/>
              <w:jc w:val="center"/>
              <w:rPr>
                <w:rFonts w:ascii="宋体" w:hAnsi="宋体" w:cs="宋体"/>
                <w:color w:val="auto"/>
                <w:sz w:val="24"/>
                <w:highlight w:val="none"/>
              </w:rPr>
            </w:pPr>
          </w:p>
          <w:p w14:paraId="600B54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0" w:type="auto"/>
            <w:tcBorders>
              <w:top w:val="single" w:color="000000" w:sz="8" w:space="0"/>
              <w:left w:val="single" w:color="auto" w:sz="4" w:space="0"/>
              <w:bottom w:val="single" w:color="000000" w:sz="8" w:space="0"/>
              <w:right w:val="single" w:color="000000" w:sz="8" w:space="0"/>
            </w:tcBorders>
            <w:vAlign w:val="center"/>
          </w:tcPr>
          <w:p w14:paraId="56E0B8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0" w:type="auto"/>
            <w:tcBorders>
              <w:top w:val="single" w:color="000000" w:sz="8" w:space="0"/>
              <w:left w:val="single" w:color="000000" w:sz="2" w:space="0"/>
              <w:bottom w:val="single" w:color="000000" w:sz="8" w:space="0"/>
              <w:right w:val="single" w:color="000000" w:sz="8" w:space="0"/>
            </w:tcBorders>
            <w:vAlign w:val="center"/>
          </w:tcPr>
          <w:p w14:paraId="1CEEB67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序号3物理学生实验桌</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序号49教师演示台</w:t>
            </w:r>
          </w:p>
        </w:tc>
      </w:tr>
      <w:tr w14:paraId="2F321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5F828A0">
            <w:pPr>
              <w:snapToGrid w:val="0"/>
              <w:spacing w:line="360" w:lineRule="auto"/>
              <w:jc w:val="center"/>
              <w:rPr>
                <w:rFonts w:ascii="宋体" w:hAnsi="宋体" w:cs="宋体"/>
                <w:color w:val="auto"/>
                <w:sz w:val="24"/>
                <w:highlight w:val="none"/>
              </w:rPr>
            </w:pPr>
          </w:p>
          <w:p w14:paraId="2DE335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0" w:type="auto"/>
            <w:tcBorders>
              <w:top w:val="single" w:color="000000" w:sz="8" w:space="0"/>
              <w:left w:val="single" w:color="auto" w:sz="4" w:space="0"/>
              <w:bottom w:val="single" w:color="000000" w:sz="8" w:space="0"/>
              <w:right w:val="single" w:color="000000" w:sz="8" w:space="0"/>
            </w:tcBorders>
            <w:vAlign w:val="center"/>
          </w:tcPr>
          <w:p w14:paraId="43C614B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0" w:type="auto"/>
            <w:tcBorders>
              <w:top w:val="single" w:color="000000" w:sz="8" w:space="0"/>
              <w:left w:val="single" w:color="000000" w:sz="2" w:space="0"/>
              <w:bottom w:val="single" w:color="000000" w:sz="8" w:space="0"/>
              <w:right w:val="single" w:color="000000" w:sz="8" w:space="0"/>
            </w:tcBorders>
            <w:vAlign w:val="center"/>
          </w:tcPr>
          <w:p w14:paraId="0C9BEF4E">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采购标的：</w:t>
            </w:r>
          </w:p>
          <w:p w14:paraId="08D4DF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（1）标的1：序号1教师演示台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序号2教师演示电源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序号3★物理学生实验桌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序号4实验凳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序号5顶部多模块电源供应装置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序号6模块储藏装置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序号7低压电源模块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序号9高压电源模块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序号10智能升降系统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序号14全木仪器柜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序号15实验用防护用品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序号16教师演示台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序号17教师演示电源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序号18物理学生实验桌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序号19实验凳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序号20顶部多模块电源供应装置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序号21模块储藏装置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序号22低压电源模块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序号24高压电源模块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序号25智能升降系统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序号29全木仪器柜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序号30实验用防护用品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序号36智能实验终端设备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序号37智能仪器管理车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序号38智取终端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序号39超高频仪器扫描枪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序号40定制化射频标签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序号41柔性抗金属射频标签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序号42翻转梯形桌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序号43矮背椅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序号44中央台（带电）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序号45矮背椅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序号46试剂架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序号47全木仪器柜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序号49★教师演示台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序号50落地式紧急冲淋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序号51教室环境警示系统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序号52生化实验桌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序号53多功能防溅水槽柜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序号54实验凳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序号55教师演示电源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序号56顶装智能控制平台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序号57摇臂升降动力系统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序号58自动控制系统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序号59主体结构系统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序号60多功能伸缩摇臂集成功能模块舱体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序号61智能摇臂升降系统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序号62学生电源系统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序号63供应端口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序号64故障显示系统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序号65废水存储过滤系统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序号71仪器柜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序号72实验室酸碱中和池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序号73墙面排风系统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序号74实验用防护用品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序号75教师演示台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序号76落地式紧急冲淋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序号77教室环境警示系统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序号78生化实验桌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序号79多功能防溅水槽柜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序号80实验凳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序号81教师演示电源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序号82顶装智能控制平台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序号83摇臂升降动力系统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序号84自动控制系统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序号85主体结构系统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序号86多功能伸缩摇臂集成功能模块舱体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序号87智能摇臂升降系统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序号88学生电源系统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序号89供应端口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序号90故障显示系统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序号91废水存储过滤系统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序号97仪器柜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序号98墙面排风系统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序号99实验用防护用品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序号100教师演示台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序号101生化实验桌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序号102多功能防溅水槽柜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序号103实验凳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序号104教师演示电源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序号105顶装智能控制平台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序号106摇臂升降动力系统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序号107自动控制系统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序号108主体结构系统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序号109多功能伸缩摇臂集成功能模块舱体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序号110智能摇臂升降系统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序号111学生电源系统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序号112供应端口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序号113故障显示系统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序号114废水存储过滤系统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序号120仪器柜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序号121实验用防护用品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序号122仪器柜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序号123定制边台（带水电）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序号124通风柜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序号126实验室小推车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序号127通风药品柜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序号128危化品柜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序号129边台（带电）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序号130实验室小推车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序号132危化品仓库围挡</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1367EABF">
            <w:pPr>
              <w:spacing w:line="360" w:lineRule="auto"/>
              <w:rPr>
                <w:rFonts w:hint="eastAsia" w:ascii="宋体" w:hAnsi="宋体" w:eastAsia="宋体" w:cs="宋体"/>
                <w:color w:val="auto"/>
                <w:highlight w:val="none"/>
                <w:lang w:val="en-US" w:eastAsia="zh-CN"/>
              </w:rPr>
            </w:pPr>
          </w:p>
        </w:tc>
      </w:tr>
      <w:tr w14:paraId="25754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40BA802">
            <w:pPr>
              <w:snapToGrid w:val="0"/>
              <w:spacing w:line="360" w:lineRule="auto"/>
              <w:jc w:val="center"/>
              <w:rPr>
                <w:rFonts w:ascii="宋体" w:hAnsi="宋体" w:cs="宋体"/>
                <w:color w:val="auto"/>
                <w:sz w:val="24"/>
                <w:highlight w:val="none"/>
              </w:rPr>
            </w:pPr>
          </w:p>
          <w:p w14:paraId="39AED6C6">
            <w:pPr>
              <w:snapToGrid w:val="0"/>
              <w:spacing w:line="360" w:lineRule="auto"/>
              <w:jc w:val="center"/>
              <w:rPr>
                <w:rFonts w:ascii="宋体" w:hAnsi="宋体" w:cs="宋体"/>
                <w:color w:val="auto"/>
                <w:sz w:val="24"/>
                <w:highlight w:val="none"/>
              </w:rPr>
            </w:pPr>
          </w:p>
          <w:p w14:paraId="7B23A6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0" w:type="auto"/>
            <w:tcBorders>
              <w:top w:val="single" w:color="000000" w:sz="8" w:space="0"/>
              <w:left w:val="single" w:color="auto" w:sz="4" w:space="0"/>
              <w:bottom w:val="single" w:color="000000" w:sz="8" w:space="0"/>
              <w:right w:val="single" w:color="000000" w:sz="8" w:space="0"/>
            </w:tcBorders>
            <w:vAlign w:val="center"/>
          </w:tcPr>
          <w:p w14:paraId="608D59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0" w:type="auto"/>
            <w:tcBorders>
              <w:top w:val="single" w:color="000000" w:sz="8" w:space="0"/>
              <w:left w:val="single" w:color="000000" w:sz="2" w:space="0"/>
              <w:bottom w:val="single" w:color="000000" w:sz="8" w:space="0"/>
              <w:right w:val="single" w:color="000000" w:sz="8" w:space="0"/>
            </w:tcBorders>
            <w:vAlign w:val="center"/>
          </w:tcPr>
          <w:p w14:paraId="76BD851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3601419">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p w14:paraId="647D93D2">
            <w:pPr>
              <w:spacing w:line="360" w:lineRule="auto"/>
              <w:rPr>
                <w:rFonts w:ascii="宋体" w:hAnsi="宋体" w:cs="宋体"/>
                <w:color w:val="auto"/>
                <w:highlight w:val="none"/>
              </w:rPr>
            </w:pPr>
            <w:r>
              <w:rPr>
                <w:rFonts w:hint="eastAsia" w:ascii="宋体" w:hAnsi="宋体" w:cs="宋体"/>
                <w:color w:val="auto"/>
                <w:kern w:val="0"/>
                <w:sz w:val="24"/>
                <w:highlight w:val="none"/>
              </w:rPr>
              <w:t>优先采购向我国企业转让技术、与我国企业签订消化吸收再创新方案的供应商的进口产品，详见评分标准。</w:t>
            </w:r>
          </w:p>
        </w:tc>
      </w:tr>
      <w:tr w14:paraId="39D47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04A5A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0" w:type="auto"/>
            <w:tcBorders>
              <w:top w:val="single" w:color="000000" w:sz="8" w:space="0"/>
              <w:left w:val="single" w:color="auto" w:sz="4" w:space="0"/>
              <w:bottom w:val="single" w:color="000000" w:sz="8" w:space="0"/>
              <w:right w:val="single" w:color="000000" w:sz="8" w:space="0"/>
            </w:tcBorders>
            <w:vAlign w:val="center"/>
          </w:tcPr>
          <w:p w14:paraId="5F98FC7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0" w:type="auto"/>
            <w:tcBorders>
              <w:top w:val="single" w:color="000000" w:sz="8" w:space="0"/>
              <w:left w:val="single" w:color="000000" w:sz="2" w:space="0"/>
              <w:bottom w:val="single" w:color="000000" w:sz="8" w:space="0"/>
              <w:right w:val="single" w:color="000000" w:sz="8" w:space="0"/>
            </w:tcBorders>
            <w:vAlign w:val="center"/>
          </w:tcPr>
          <w:p w14:paraId="0BCF236B">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运输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4EA5DC3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36CAC2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4A82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F7267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0" w:type="auto"/>
            <w:tcBorders>
              <w:top w:val="single" w:color="000000" w:sz="8" w:space="0"/>
              <w:left w:val="single" w:color="auto" w:sz="4" w:space="0"/>
              <w:bottom w:val="single" w:color="000000" w:sz="8" w:space="0"/>
              <w:right w:val="single" w:color="000000" w:sz="8" w:space="0"/>
            </w:tcBorders>
            <w:vAlign w:val="center"/>
          </w:tcPr>
          <w:p w14:paraId="273C6A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0" w:type="auto"/>
            <w:tcBorders>
              <w:top w:val="single" w:color="000000" w:sz="8" w:space="0"/>
              <w:left w:val="single" w:color="000000" w:sz="2" w:space="0"/>
              <w:bottom w:val="single" w:color="000000" w:sz="8" w:space="0"/>
              <w:right w:val="single" w:color="000000" w:sz="8" w:space="0"/>
            </w:tcBorders>
            <w:vAlign w:val="center"/>
          </w:tcPr>
          <w:p w14:paraId="65C405E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69369B1">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B016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D9FE9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0" w:type="auto"/>
            <w:tcBorders>
              <w:top w:val="single" w:color="000000" w:sz="8" w:space="0"/>
              <w:left w:val="single" w:color="auto" w:sz="4" w:space="0"/>
              <w:bottom w:val="single" w:color="000000" w:sz="8" w:space="0"/>
              <w:right w:val="single" w:color="000000" w:sz="8" w:space="0"/>
            </w:tcBorders>
            <w:vAlign w:val="center"/>
          </w:tcPr>
          <w:p w14:paraId="594015F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0" w:type="auto"/>
            <w:tcBorders>
              <w:top w:val="single" w:color="000000" w:sz="8" w:space="0"/>
              <w:left w:val="single" w:color="000000" w:sz="2" w:space="0"/>
              <w:bottom w:val="single" w:color="000000" w:sz="8" w:space="0"/>
              <w:right w:val="single" w:color="000000" w:sz="8" w:space="0"/>
            </w:tcBorders>
            <w:vAlign w:val="center"/>
          </w:tcPr>
          <w:p w14:paraId="48EC5FE5">
            <w:pPr>
              <w:spacing w:line="360" w:lineRule="auto"/>
              <w:rPr>
                <w:rFonts w:ascii="宋体" w:hAnsi="宋体" w:cs="宋体"/>
                <w:sz w:val="24"/>
              </w:rPr>
            </w:pPr>
            <w:r>
              <w:rPr>
                <w:rFonts w:ascii="Wingdings" w:hAnsi="Wingdings" w:cs="宋体"/>
                <w:kern w:val="0"/>
                <w:sz w:val="24"/>
              </w:rPr>
              <w:sym w:font="Wingdings" w:char="00A8"/>
            </w:r>
            <w:r>
              <w:rPr>
                <w:rFonts w:hint="eastAsia" w:ascii="宋体" w:hAnsi="宋体" w:cs="宋体"/>
                <w:kern w:val="0"/>
                <w:sz w:val="24"/>
              </w:rPr>
              <w:t>A</w:t>
            </w:r>
            <w:r>
              <w:rPr>
                <w:rFonts w:hint="eastAsia" w:ascii="宋体" w:hAnsi="宋体" w:cs="宋体"/>
                <w:sz w:val="24"/>
              </w:rPr>
              <w:t>不要求提供。</w:t>
            </w:r>
          </w:p>
          <w:p w14:paraId="3F025207">
            <w:pPr>
              <w:spacing w:line="360" w:lineRule="auto"/>
              <w:rPr>
                <w:rFonts w:ascii="宋体" w:hAnsi="宋体" w:cs="宋体"/>
                <w:kern w:val="0"/>
                <w:sz w:val="24"/>
              </w:rPr>
            </w:pPr>
            <w:r>
              <w:rPr>
                <w:rFonts w:ascii="Wingdings" w:hAnsi="Wingdings" w:cs="宋体"/>
                <w:kern w:val="0"/>
                <w:sz w:val="24"/>
              </w:rPr>
              <w:sym w:font="Wingdings" w:char="00FE"/>
            </w:r>
            <w:r>
              <w:rPr>
                <w:rFonts w:hint="eastAsia" w:ascii="宋体" w:hAnsi="宋体" w:cs="宋体"/>
                <w:kern w:val="0"/>
                <w:sz w:val="24"/>
              </w:rPr>
              <w:t>B要求提供</w:t>
            </w:r>
            <w:r>
              <w:rPr>
                <w:rFonts w:hint="eastAsia" w:ascii="宋体" w:hAnsi="宋体" w:cs="宋体"/>
                <w:b/>
                <w:bCs/>
                <w:kern w:val="0"/>
                <w:sz w:val="24"/>
              </w:rPr>
              <w:t>（未提供样品或提供样品不满足采购需求实质性条件的供应商，投标无效）</w:t>
            </w:r>
            <w:r>
              <w:rPr>
                <w:rFonts w:hint="eastAsia" w:ascii="宋体" w:hAnsi="宋体" w:cs="宋体"/>
                <w:kern w:val="0"/>
                <w:sz w:val="24"/>
              </w:rPr>
              <w:t>：</w:t>
            </w:r>
          </w:p>
          <w:p w14:paraId="27109C21">
            <w:pPr>
              <w:pStyle w:val="61"/>
              <w:ind w:left="0" w:leftChars="0" w:firstLine="0" w:firstLineChars="0"/>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eastAsia="宋体" w:cs="宋体"/>
                <w:i w:val="0"/>
                <w:iCs w:val="0"/>
                <w:color w:val="000000"/>
                <w:kern w:val="0"/>
                <w:sz w:val="24"/>
                <w:szCs w:val="24"/>
                <w:u w:val="single"/>
                <w:lang w:val="en-US" w:eastAsia="zh-CN" w:bidi="ar"/>
              </w:rPr>
              <w:t>多功能防溅水槽柜</w:t>
            </w:r>
            <w:r>
              <w:rPr>
                <w:rFonts w:hint="eastAsia" w:ascii="宋体" w:hAnsi="宋体" w:cs="宋体"/>
                <w:kern w:val="0"/>
                <w:sz w:val="24"/>
              </w:rPr>
              <w:t xml:space="preserve">； </w:t>
            </w:r>
            <w:r>
              <w:rPr>
                <w:rFonts w:hint="eastAsia" w:ascii="宋体" w:hAnsi="宋体" w:cs="宋体"/>
                <w:color w:val="auto"/>
                <w:sz w:val="24"/>
                <w:highlight w:val="none"/>
              </w:rPr>
              <w:t>▲</w:t>
            </w:r>
            <w:r>
              <w:rPr>
                <w:rFonts w:hint="eastAsia" w:ascii="宋体" w:hAnsi="宋体" w:eastAsia="宋体" w:cs="宋体"/>
                <w:snapToGrid w:val="0"/>
                <w:color w:val="auto"/>
                <w:kern w:val="28"/>
                <w:sz w:val="24"/>
                <w:szCs w:val="24"/>
                <w:highlight w:val="none"/>
                <w:lang w:val="en-US" w:eastAsia="zh-CN" w:bidi="ar-SA"/>
              </w:rPr>
              <w:t>注：样品上不得出现单位名称、单位</w:t>
            </w:r>
            <w:r>
              <w:rPr>
                <w:rFonts w:hint="default" w:ascii="宋体" w:hAnsi="宋体" w:eastAsia="宋体" w:cs="宋体"/>
                <w:snapToGrid w:val="0"/>
                <w:color w:val="auto"/>
                <w:kern w:val="28"/>
                <w:sz w:val="24"/>
                <w:szCs w:val="24"/>
                <w:highlight w:val="none"/>
                <w:lang w:val="en-US" w:eastAsia="zh-CN" w:bidi="ar-SA"/>
              </w:rPr>
              <w:t>logo</w:t>
            </w:r>
            <w:r>
              <w:rPr>
                <w:rFonts w:hint="eastAsia" w:ascii="宋体" w:hAnsi="宋体" w:eastAsia="宋体" w:cs="宋体"/>
                <w:snapToGrid w:val="0"/>
                <w:color w:val="auto"/>
                <w:kern w:val="28"/>
                <w:sz w:val="24"/>
                <w:szCs w:val="24"/>
                <w:highlight w:val="none"/>
                <w:lang w:val="en-US" w:eastAsia="zh-CN" w:bidi="ar-SA"/>
              </w:rPr>
              <w:t>等体现单位信息的标识，一经发现，按样品不满足采购需求实质性条件，作无效标处理。</w:t>
            </w:r>
          </w:p>
          <w:p w14:paraId="1A464BDF">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color w:val="auto"/>
                <w:sz w:val="24"/>
                <w:highlight w:val="none"/>
                <w:u w:val="single"/>
                <w:lang w:eastAsia="zh-CN"/>
              </w:rPr>
              <w:t>详见评标办法</w:t>
            </w:r>
            <w:r>
              <w:rPr>
                <w:rFonts w:hint="eastAsia" w:ascii="宋体" w:hAnsi="宋体" w:cs="宋体"/>
                <w:sz w:val="24"/>
                <w:u w:val="single"/>
              </w:rPr>
              <w:t xml:space="preserve"> </w:t>
            </w:r>
            <w:r>
              <w:rPr>
                <w:rFonts w:hint="eastAsia" w:ascii="宋体" w:hAnsi="宋体" w:cs="宋体"/>
                <w:kern w:val="0"/>
                <w:sz w:val="24"/>
              </w:rPr>
              <w:t>；</w:t>
            </w:r>
          </w:p>
          <w:p w14:paraId="4F295C9B">
            <w:pPr>
              <w:spacing w:line="360" w:lineRule="auto"/>
              <w:rPr>
                <w:rFonts w:ascii="宋体" w:hAnsi="宋体" w:cs="宋体"/>
                <w:kern w:val="0"/>
                <w:sz w:val="24"/>
              </w:rPr>
            </w:pPr>
            <w:r>
              <w:rPr>
                <w:rFonts w:hint="eastAsia" w:ascii="宋体" w:hAnsi="宋体" w:cs="宋体"/>
                <w:kern w:val="0"/>
                <w:sz w:val="24"/>
              </w:rPr>
              <w:t>（3）样品的评审方法以及评审标准：</w:t>
            </w:r>
          </w:p>
          <w:p w14:paraId="53EC7128">
            <w:pPr>
              <w:spacing w:line="360" w:lineRule="auto"/>
              <w:ind w:firstLine="240" w:firstLineChars="100"/>
              <w:rPr>
                <w:rFonts w:ascii="宋体" w:hAnsi="宋体" w:cs="宋体"/>
                <w:sz w:val="24"/>
              </w:rPr>
            </w:pPr>
            <w:r>
              <w:rPr>
                <w:rFonts w:hint="eastAsia" w:ascii="MS Gothic" w:hAnsi="MS Gothic" w:cs="宋体"/>
                <w:kern w:val="0"/>
                <w:sz w:val="24"/>
              </w:rPr>
              <w:t>☐</w:t>
            </w:r>
            <w:r>
              <w:rPr>
                <w:rFonts w:hint="eastAsia" w:ascii="宋体" w:hAnsi="宋体" w:cs="宋体"/>
                <w:sz w:val="24"/>
              </w:rPr>
              <w:t>样品分未超过价格分的50%；</w:t>
            </w:r>
          </w:p>
          <w:p w14:paraId="5386B606">
            <w:pPr>
              <w:spacing w:line="360" w:lineRule="auto"/>
              <w:ind w:firstLine="240" w:firstLineChars="100"/>
              <w:rPr>
                <w:rFonts w:ascii="宋体" w:hAnsi="宋体" w:cs="宋体"/>
                <w:kern w:val="0"/>
                <w:sz w:val="24"/>
              </w:rPr>
            </w:pPr>
            <w:r>
              <w:rPr>
                <w:rFonts w:hint="eastAsia" w:ascii="宋体" w:hAnsi="宋体" w:cs="宋体"/>
                <w:kern w:val="0"/>
                <w:sz w:val="24"/>
              </w:rPr>
              <w:t>☐</w:t>
            </w:r>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31BBDBFF">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评标办分法</w:t>
            </w:r>
            <w:r>
              <w:rPr>
                <w:rFonts w:hint="eastAsia" w:ascii="宋体" w:hAnsi="宋体" w:cs="宋体"/>
                <w:kern w:val="0"/>
                <w:sz w:val="24"/>
              </w:rPr>
              <w:t xml:space="preserve">。 </w:t>
            </w:r>
          </w:p>
          <w:p w14:paraId="34E4F406">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宋体" w:hAnsi="宋体" w:cs="宋体"/>
                <w:kern w:val="0"/>
                <w:sz w:val="24"/>
              </w:rPr>
              <w:sym w:font="Wingdings" w:char="F0FE"/>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EF87762">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b/>
                <w:sz w:val="24"/>
                <w:highlight w:val="none"/>
                <w:u w:val="single"/>
                <w:lang w:eastAsia="zh-CN"/>
              </w:rPr>
              <w:t>2024</w:t>
            </w:r>
            <w:r>
              <w:rPr>
                <w:rFonts w:hint="eastAsia" w:ascii="宋体" w:hAnsi="宋体" w:cs="宋体"/>
                <w:b/>
                <w:sz w:val="24"/>
                <w:highlight w:val="none"/>
                <w:u w:val="single"/>
              </w:rPr>
              <w:t>年</w:t>
            </w:r>
            <w:r>
              <w:rPr>
                <w:rFonts w:hint="eastAsia" w:ascii="宋体" w:hAnsi="宋体" w:cs="宋体"/>
                <w:b/>
                <w:sz w:val="24"/>
                <w:highlight w:val="none"/>
                <w:u w:val="single"/>
                <w:lang w:val="en-US" w:eastAsia="zh-CN"/>
              </w:rPr>
              <w:t>11</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22</w:t>
            </w:r>
            <w:r>
              <w:rPr>
                <w:rFonts w:hint="eastAsia" w:ascii="宋体" w:hAnsi="宋体" w:cs="宋体"/>
                <w:b/>
                <w:sz w:val="24"/>
                <w:highlight w:val="none"/>
                <w:u w:val="single"/>
              </w:rPr>
              <w:t>日0</w:t>
            </w:r>
            <w:r>
              <w:rPr>
                <w:rFonts w:hint="eastAsia" w:ascii="宋体" w:hAnsi="宋体" w:cs="宋体"/>
                <w:b/>
                <w:sz w:val="24"/>
                <w:highlight w:val="none"/>
                <w:u w:val="single"/>
                <w:lang w:val="en-US" w:eastAsia="zh-CN"/>
              </w:rPr>
              <w:t>8</w:t>
            </w:r>
            <w:r>
              <w:rPr>
                <w:rFonts w:hint="eastAsia" w:ascii="宋体" w:hAnsi="宋体" w:cs="宋体"/>
                <w:b/>
                <w:sz w:val="24"/>
                <w:highlight w:val="none"/>
                <w:u w:val="single"/>
              </w:rPr>
              <w:t>:</w:t>
            </w:r>
            <w:r>
              <w:rPr>
                <w:rFonts w:hint="eastAsia" w:ascii="宋体" w:hAnsi="宋体" w:cs="宋体"/>
                <w:b/>
                <w:sz w:val="24"/>
                <w:highlight w:val="none"/>
                <w:u w:val="single"/>
                <w:lang w:val="en-US" w:eastAsia="zh-CN"/>
              </w:rPr>
              <w:t>30</w:t>
            </w:r>
            <w:r>
              <w:rPr>
                <w:rFonts w:hint="eastAsia" w:ascii="宋体" w:hAnsi="宋体" w:cs="宋体"/>
                <w:b/>
                <w:sz w:val="24"/>
                <w:highlight w:val="none"/>
                <w:u w:val="single"/>
              </w:rPr>
              <w:t>—</w:t>
            </w:r>
            <w:r>
              <w:rPr>
                <w:rFonts w:hint="eastAsia" w:ascii="宋体" w:hAnsi="宋体" w:cs="宋体"/>
                <w:b/>
                <w:sz w:val="24"/>
                <w:highlight w:val="none"/>
                <w:u w:val="single"/>
                <w:lang w:val="en-US" w:eastAsia="zh-CN"/>
              </w:rPr>
              <w:t>9</w:t>
            </w:r>
            <w:r>
              <w:rPr>
                <w:rFonts w:hint="eastAsia" w:ascii="宋体" w:hAnsi="宋体" w:cs="宋体"/>
                <w:b/>
                <w:sz w:val="24"/>
                <w:highlight w:val="none"/>
                <w:u w:val="single"/>
              </w:rPr>
              <w:t>:</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0</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b/>
                <w:bCs/>
                <w:color w:val="auto"/>
                <w:kern w:val="0"/>
                <w:sz w:val="24"/>
                <w:highlight w:val="none"/>
                <w:u w:val="single"/>
                <w:lang w:val="en-US" w:eastAsia="zh-CN"/>
              </w:rPr>
              <w:t>杭州市西溪实验学校</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b/>
                <w:bCs/>
                <w:color w:val="auto"/>
                <w:sz w:val="24"/>
                <w:highlight w:val="none"/>
                <w:u w:val="single"/>
                <w:lang w:val="en-US" w:eastAsia="zh-CN"/>
              </w:rPr>
              <w:t>石海超</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b/>
                <w:bCs/>
                <w:color w:val="auto"/>
                <w:sz w:val="24"/>
                <w:highlight w:val="none"/>
                <w:u w:val="single"/>
                <w:lang w:val="en-US" w:eastAsia="zh-CN"/>
              </w:rPr>
              <w:t>15024467766</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78296A9">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05D43B2">
            <w:pPr>
              <w:spacing w:line="360" w:lineRule="auto"/>
              <w:rPr>
                <w:rFonts w:hint="eastAsia" w:eastAsia="宋体"/>
                <w:color w:val="auto"/>
                <w:highlight w:val="none"/>
                <w:lang w:eastAsia="zh-CN"/>
              </w:rPr>
            </w:pPr>
            <w:r>
              <w:rPr>
                <w:rFonts w:hint="eastAsia" w:ascii="宋体" w:hAnsi="宋体" w:cs="宋体"/>
                <w:sz w:val="24"/>
              </w:rPr>
              <w:t>（7）制作、运输、安装和保管样品所发生的一切费用由投标人自理。</w:t>
            </w:r>
          </w:p>
        </w:tc>
      </w:tr>
      <w:tr w14:paraId="5A004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7028B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0" w:type="auto"/>
            <w:tcBorders>
              <w:top w:val="single" w:color="000000" w:sz="8" w:space="0"/>
              <w:left w:val="single" w:color="auto" w:sz="4" w:space="0"/>
              <w:bottom w:val="single" w:color="000000" w:sz="8" w:space="0"/>
              <w:right w:val="single" w:color="000000" w:sz="8" w:space="0"/>
            </w:tcBorders>
            <w:vAlign w:val="center"/>
          </w:tcPr>
          <w:p w14:paraId="25FE398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0" w:type="auto"/>
            <w:tcBorders>
              <w:top w:val="single" w:color="000000" w:sz="8" w:space="0"/>
              <w:left w:val="single" w:color="000000" w:sz="2" w:space="0"/>
              <w:bottom w:val="single" w:color="000000" w:sz="8" w:space="0"/>
              <w:right w:val="single" w:color="000000" w:sz="8" w:space="0"/>
            </w:tcBorders>
            <w:vAlign w:val="center"/>
          </w:tcPr>
          <w:p w14:paraId="6086858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CA7A48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4DF7AF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w:t>
            </w:r>
            <w:r>
              <w:rPr>
                <w:rFonts w:hint="eastAsia" w:ascii="宋体" w:hAnsi="宋体" w:cs="宋体"/>
                <w:b/>
                <w:bCs/>
                <w:color w:val="auto"/>
                <w:kern w:val="0"/>
                <w:sz w:val="24"/>
                <w:highlight w:val="none"/>
              </w:rPr>
              <w:t>讲解次序以投标文件解密时间先后次序为准</w:t>
            </w:r>
            <w:r>
              <w:rPr>
                <w:rFonts w:hint="eastAsia" w:ascii="宋体" w:hAnsi="宋体" w:cs="宋体"/>
                <w:color w:val="auto"/>
                <w:kern w:val="0"/>
                <w:sz w:val="24"/>
                <w:highlight w:val="none"/>
              </w:rPr>
              <w:t>，讲解演示人员不超过3人。讲解演示结束后按要求解答评标委员会提问。</w:t>
            </w:r>
          </w:p>
          <w:p w14:paraId="02737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3A5F4B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eastAsia="zh-CN"/>
              </w:rPr>
              <w:t>通过</w:t>
            </w:r>
            <w:r>
              <w:rPr>
                <w:rFonts w:hint="eastAsia" w:ascii="宋体" w:hAnsi="宋体" w:cs="宋体"/>
                <w:color w:val="auto"/>
                <w:kern w:val="0"/>
                <w:sz w:val="24"/>
                <w:highlight w:val="none"/>
              </w:rPr>
              <w:t>政采云平台</w:t>
            </w:r>
            <w:r>
              <w:rPr>
                <w:rFonts w:hint="eastAsia" w:ascii="宋体" w:hAnsi="宋体" w:cs="宋体"/>
                <w:color w:val="auto"/>
                <w:kern w:val="0"/>
                <w:sz w:val="24"/>
                <w:highlight w:val="none"/>
                <w:lang w:eastAsia="zh-CN"/>
              </w:rPr>
              <w:t>进行</w:t>
            </w:r>
            <w:r>
              <w:rPr>
                <w:rFonts w:hint="eastAsia" w:ascii="宋体" w:hAnsi="宋体" w:cs="宋体"/>
                <w:color w:val="auto"/>
                <w:kern w:val="0"/>
                <w:sz w:val="24"/>
                <w:highlight w:val="none"/>
              </w:rPr>
              <w:t>在线讲解演示</w:t>
            </w:r>
            <w:r>
              <w:rPr>
                <w:rFonts w:hint="eastAsia" w:ascii="宋体" w:hAnsi="宋体" w:cs="宋体"/>
                <w:b/>
                <w:bCs/>
                <w:color w:val="auto"/>
                <w:kern w:val="0"/>
                <w:sz w:val="24"/>
                <w:highlight w:val="none"/>
                <w:lang w:eastAsia="zh-CN"/>
              </w:rPr>
              <w:t>或</w:t>
            </w:r>
            <w:r>
              <w:rPr>
                <w:rFonts w:hint="eastAsia" w:ascii="宋体" w:hAnsi="宋体" w:cs="宋体"/>
                <w:color w:val="auto"/>
                <w:kern w:val="0"/>
                <w:sz w:val="24"/>
                <w:highlight w:val="none"/>
                <w:lang w:eastAsia="zh-CN"/>
              </w:rPr>
              <w:t>播放已录制好的演示视频</w:t>
            </w:r>
            <w:r>
              <w:rPr>
                <w:rFonts w:hint="eastAsia" w:ascii="宋体" w:hAnsi="宋体" w:cs="宋体"/>
                <w:color w:val="auto"/>
                <w:kern w:val="0"/>
                <w:sz w:val="24"/>
                <w:highlight w:val="none"/>
              </w:rPr>
              <w:t>。政采云平台在线讲解需投标人根据政采云平台操作要求做好准备工作</w:t>
            </w:r>
            <w:r>
              <w:rPr>
                <w:rFonts w:hint="eastAsia" w:ascii="宋体" w:hAnsi="宋体" w:cs="宋体"/>
                <w:b/>
                <w:bCs/>
                <w:color w:val="auto"/>
                <w:kern w:val="0"/>
                <w:sz w:val="24"/>
                <w:highlight w:val="none"/>
              </w:rPr>
              <w:t>（①提供在线讲解演示，建议使用笔记本和有线/无线蓝牙耳机②播放视频，</w:t>
            </w:r>
            <w:r>
              <w:rPr>
                <w:rFonts w:hint="eastAsia" w:ascii="宋体" w:hAnsi="宋体" w:cs="宋体"/>
                <w:b/>
                <w:bCs/>
                <w:color w:val="auto"/>
                <w:kern w:val="0"/>
                <w:sz w:val="24"/>
                <w:highlight w:val="none"/>
                <w:lang w:eastAsia="zh-CN"/>
              </w:rPr>
              <w:t>为避免视频卡顿等情况发生，</w:t>
            </w:r>
            <w:r>
              <w:rPr>
                <w:rFonts w:hint="eastAsia" w:ascii="宋体" w:hAnsi="宋体" w:cs="宋体"/>
                <w:b/>
                <w:bCs/>
                <w:color w:val="auto"/>
                <w:kern w:val="0"/>
                <w:sz w:val="24"/>
                <w:highlight w:val="none"/>
              </w:rPr>
              <w:t>视频分辨率要求为1280*720）</w:t>
            </w:r>
            <w:r>
              <w:rPr>
                <w:rFonts w:hint="eastAsia" w:ascii="宋体" w:hAnsi="宋体" w:cs="宋体"/>
                <w:color w:val="auto"/>
                <w:kern w:val="0"/>
                <w:sz w:val="24"/>
                <w:highlight w:val="none"/>
                <w:lang w:eastAsia="zh-CN"/>
              </w:rPr>
              <w:t>，请</w:t>
            </w:r>
            <w:r>
              <w:rPr>
                <w:rFonts w:hint="eastAsia" w:ascii="宋体" w:hAnsi="宋体" w:cs="宋体"/>
                <w:color w:val="auto"/>
                <w:kern w:val="0"/>
                <w:sz w:val="24"/>
                <w:highlight w:val="none"/>
              </w:rPr>
              <w:t>提前完善软硬件配置环境。</w:t>
            </w:r>
          </w:p>
          <w:p w14:paraId="310BD58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A496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0" w:type="auto"/>
            <w:vMerge w:val="restart"/>
            <w:tcBorders>
              <w:top w:val="single" w:color="auto" w:sz="4" w:space="0"/>
              <w:left w:val="single" w:color="auto" w:sz="4" w:space="0"/>
              <w:right w:val="single" w:color="auto" w:sz="4" w:space="0"/>
            </w:tcBorders>
            <w:vAlign w:val="center"/>
          </w:tcPr>
          <w:p w14:paraId="07E905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0" w:type="auto"/>
            <w:vMerge w:val="restart"/>
            <w:tcBorders>
              <w:top w:val="single" w:color="000000" w:sz="8" w:space="0"/>
              <w:left w:val="single" w:color="auto" w:sz="4" w:space="0"/>
              <w:right w:val="single" w:color="000000" w:sz="8" w:space="0"/>
            </w:tcBorders>
            <w:vAlign w:val="center"/>
          </w:tcPr>
          <w:p w14:paraId="3EC434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0" w:type="auto"/>
            <w:tcBorders>
              <w:top w:val="single" w:color="000000" w:sz="8" w:space="0"/>
              <w:left w:val="single" w:color="000000" w:sz="2" w:space="0"/>
              <w:bottom w:val="single" w:color="auto" w:sz="4" w:space="0"/>
              <w:right w:val="single" w:color="000000" w:sz="8" w:space="0"/>
            </w:tcBorders>
            <w:vAlign w:val="center"/>
          </w:tcPr>
          <w:p w14:paraId="18A6DB4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E508DD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F995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jc w:val="center"/>
        </w:trPr>
        <w:tc>
          <w:tcPr>
            <w:tcW w:w="0" w:type="auto"/>
            <w:vMerge w:val="continue"/>
            <w:tcBorders>
              <w:left w:val="single" w:color="auto" w:sz="4" w:space="0"/>
              <w:bottom w:val="single" w:color="auto" w:sz="4" w:space="0"/>
              <w:right w:val="single" w:color="auto" w:sz="4" w:space="0"/>
            </w:tcBorders>
            <w:vAlign w:val="center"/>
          </w:tcPr>
          <w:p w14:paraId="502AD95F">
            <w:pPr>
              <w:snapToGrid w:val="0"/>
              <w:spacing w:line="360" w:lineRule="auto"/>
              <w:jc w:val="center"/>
              <w:rPr>
                <w:rFonts w:ascii="宋体" w:hAnsi="宋体" w:cs="宋体"/>
                <w:color w:val="auto"/>
                <w:sz w:val="24"/>
                <w:highlight w:val="none"/>
              </w:rPr>
            </w:pPr>
          </w:p>
        </w:tc>
        <w:tc>
          <w:tcPr>
            <w:tcW w:w="0" w:type="auto"/>
            <w:vMerge w:val="continue"/>
            <w:tcBorders>
              <w:left w:val="single" w:color="auto" w:sz="4" w:space="0"/>
              <w:bottom w:val="single" w:color="000000" w:sz="8" w:space="0"/>
              <w:right w:val="single" w:color="000000" w:sz="8" w:space="0"/>
            </w:tcBorders>
            <w:vAlign w:val="center"/>
          </w:tcPr>
          <w:p w14:paraId="74120ACF">
            <w:pPr>
              <w:snapToGrid w:val="0"/>
              <w:spacing w:line="360" w:lineRule="auto"/>
              <w:jc w:val="center"/>
              <w:rPr>
                <w:rFonts w:ascii="宋体" w:hAnsi="宋体" w:cs="宋体"/>
                <w:b/>
                <w:color w:val="auto"/>
                <w:sz w:val="24"/>
                <w:highlight w:val="none"/>
              </w:rPr>
            </w:pPr>
          </w:p>
        </w:tc>
        <w:tc>
          <w:tcPr>
            <w:tcW w:w="0" w:type="auto"/>
            <w:tcBorders>
              <w:top w:val="single" w:color="auto" w:sz="4" w:space="0"/>
              <w:left w:val="single" w:color="000000" w:sz="2" w:space="0"/>
              <w:bottom w:val="single" w:color="000000" w:sz="8" w:space="0"/>
              <w:right w:val="single" w:color="000000" w:sz="8" w:space="0"/>
            </w:tcBorders>
            <w:vAlign w:val="center"/>
          </w:tcPr>
          <w:p w14:paraId="410E599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8A32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0" w:type="auto"/>
            <w:tcBorders>
              <w:top w:val="single" w:color="auto" w:sz="4" w:space="0"/>
              <w:left w:val="single" w:color="000000" w:sz="8" w:space="0"/>
              <w:bottom w:val="single" w:color="auto" w:sz="4" w:space="0"/>
              <w:right w:val="single" w:color="000000" w:sz="2" w:space="0"/>
            </w:tcBorders>
            <w:vAlign w:val="center"/>
          </w:tcPr>
          <w:p w14:paraId="0572C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0" w:type="auto"/>
            <w:tcBorders>
              <w:top w:val="single" w:color="000000" w:sz="8" w:space="0"/>
              <w:left w:val="single" w:color="000000" w:sz="2" w:space="0"/>
              <w:bottom w:val="single" w:color="000000" w:sz="8" w:space="0"/>
              <w:right w:val="single" w:color="000000" w:sz="8" w:space="0"/>
            </w:tcBorders>
            <w:vAlign w:val="center"/>
          </w:tcPr>
          <w:p w14:paraId="64338E2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0" w:type="auto"/>
            <w:tcBorders>
              <w:top w:val="single" w:color="000000" w:sz="8" w:space="0"/>
              <w:left w:val="single" w:color="000000" w:sz="2" w:space="0"/>
              <w:bottom w:val="single" w:color="000000" w:sz="8" w:space="0"/>
              <w:right w:val="single" w:color="000000" w:sz="8" w:space="0"/>
            </w:tcBorders>
            <w:vAlign w:val="center"/>
          </w:tcPr>
          <w:p w14:paraId="51572873">
            <w:pPr>
              <w:spacing w:line="360" w:lineRule="auto"/>
              <w:rPr>
                <w:rFonts w:hint="eastAsia" w:ascii="宋体" w:hAnsi="宋体" w:cs="宋体"/>
                <w:kern w:val="0"/>
                <w:sz w:val="24"/>
                <w:lang w:val="zh-CN"/>
              </w:rPr>
            </w:pPr>
            <w:r>
              <w:rPr>
                <w:rFonts w:ascii="Wingdings" w:hAnsi="Wingdings" w:cs="宋体"/>
                <w:kern w:val="0"/>
                <w:sz w:val="24"/>
              </w:rPr>
              <w:sym w:font="Wingdings" w:char="00A8"/>
            </w:r>
            <w:r>
              <w:rPr>
                <w:rFonts w:hint="eastAsia" w:ascii="宋体" w:hAnsi="宋体" w:cs="宋体"/>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b/>
                <w:bCs/>
                <w:sz w:val="24"/>
                <w:u w:val="single"/>
              </w:rPr>
              <w:t xml:space="preserve"> </w:t>
            </w:r>
            <w:r>
              <w:rPr>
                <w:rFonts w:hint="eastAsia" w:ascii="宋体" w:hAnsi="宋体" w:cs="宋体"/>
                <w:sz w:val="24"/>
                <w:u w:val="single"/>
              </w:rPr>
              <w:t>/</w:t>
            </w:r>
            <w:r>
              <w:rPr>
                <w:rFonts w:hint="eastAsia" w:ascii="宋体" w:hAnsi="宋体" w:cs="宋体"/>
                <w:b/>
                <w:bCs/>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14:paraId="1B70C218">
            <w:pPr>
              <w:spacing w:line="360" w:lineRule="auto"/>
              <w:rPr>
                <w:rFonts w:ascii="宋体" w:hAnsi="宋体" w:cs="宋体"/>
                <w:kern w:val="0"/>
                <w:sz w:val="24"/>
                <w:lang w:val="zh-CN"/>
              </w:rPr>
            </w:pP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lang w:bidi="ar"/>
              </w:rPr>
              <w:t>/</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14:paraId="6BC46E3C">
            <w:pPr>
              <w:spacing w:line="360" w:lineRule="auto"/>
              <w:rPr>
                <w:rFonts w:ascii="宋体" w:hAnsi="宋体" w:cs="宋体"/>
                <w:kern w:val="0"/>
                <w:sz w:val="24"/>
                <w:lang w:val="zh-CN"/>
              </w:rPr>
            </w:pPr>
            <w:r>
              <w:rPr>
                <w:rFonts w:ascii="Wingdings" w:hAnsi="Wingdings" w:cs="宋体"/>
                <w:kern w:val="0"/>
                <w:sz w:val="24"/>
              </w:rPr>
              <w:sym w:font="Wingdings" w:char="00A8"/>
            </w:r>
            <w:r>
              <w:rPr>
                <w:rFonts w:hint="eastAsia" w:ascii="宋体" w:hAnsi="宋体" w:cs="宋体"/>
                <w:kern w:val="0"/>
                <w:sz w:val="24"/>
                <w:lang w:val="zh-CN"/>
              </w:rPr>
              <w:t>依据国家确定的认证机构出具的、处于有效期之内的环境标志产品认证证书，对获得证书的</w:t>
            </w:r>
            <w:r>
              <w:rPr>
                <w:rFonts w:hint="eastAsia" w:ascii="宋体" w:hAnsi="宋体" w:cs="宋体"/>
                <w:b/>
                <w:bCs/>
                <w:sz w:val="24"/>
                <w:u w:val="single"/>
              </w:rPr>
              <w:t xml:space="preserve"> </w:t>
            </w:r>
            <w:r>
              <w:rPr>
                <w:rFonts w:hint="eastAsia" w:ascii="宋体" w:hAnsi="宋体" w:cs="宋体"/>
                <w:sz w:val="24"/>
                <w:u w:val="single"/>
              </w:rPr>
              <w:t>/</w:t>
            </w:r>
            <w:r>
              <w:rPr>
                <w:rFonts w:hint="eastAsia" w:ascii="宋体" w:hAnsi="宋体" w:cs="宋体"/>
                <w:b/>
                <w:bCs/>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14:paraId="5654BDEF">
            <w:pPr>
              <w:snapToGrid w:val="0"/>
              <w:spacing w:line="360" w:lineRule="auto"/>
              <w:rPr>
                <w:rFonts w:ascii="宋体" w:hAnsi="宋体" w:cs="宋体"/>
                <w:color w:val="auto"/>
                <w:highlight w:val="none"/>
              </w:rPr>
            </w:pPr>
            <w:r>
              <w:rPr>
                <w:rFonts w:ascii="Wingdings" w:hAnsi="Wingdings" w:cs="宋体"/>
                <w:kern w:val="0"/>
                <w:sz w:val="24"/>
              </w:rPr>
              <w:sym w:font="Wingdings" w:char="00FE"/>
            </w:r>
            <w:r>
              <w:rPr>
                <w:rFonts w:hint="eastAsia" w:ascii="宋体" w:hAnsi="宋体" w:cs="宋体"/>
                <w:kern w:val="0"/>
                <w:sz w:val="24"/>
              </w:rPr>
              <w:t xml:space="preserve"> 无。</w:t>
            </w:r>
          </w:p>
        </w:tc>
      </w:tr>
      <w:tr w14:paraId="2F917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0" w:type="auto"/>
            <w:tcBorders>
              <w:top w:val="single" w:color="auto" w:sz="4" w:space="0"/>
              <w:left w:val="single" w:color="000000" w:sz="8" w:space="0"/>
              <w:bottom w:val="single" w:color="auto" w:sz="4" w:space="0"/>
              <w:right w:val="single" w:color="000000" w:sz="2" w:space="0"/>
            </w:tcBorders>
            <w:vAlign w:val="center"/>
          </w:tcPr>
          <w:p w14:paraId="71753B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0" w:type="auto"/>
            <w:tcBorders>
              <w:top w:val="single" w:color="000000" w:sz="8" w:space="0"/>
              <w:left w:val="single" w:color="000000" w:sz="2" w:space="0"/>
              <w:bottom w:val="single" w:color="000000" w:sz="8" w:space="0"/>
              <w:right w:val="single" w:color="000000" w:sz="8" w:space="0"/>
            </w:tcBorders>
            <w:vAlign w:val="center"/>
          </w:tcPr>
          <w:p w14:paraId="0C6626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0" w:type="auto"/>
            <w:tcBorders>
              <w:top w:val="single" w:color="000000" w:sz="8" w:space="0"/>
              <w:left w:val="single" w:color="000000" w:sz="2" w:space="0"/>
              <w:bottom w:val="single" w:color="000000" w:sz="8" w:space="0"/>
              <w:right w:val="single" w:color="000000" w:sz="8" w:space="0"/>
            </w:tcBorders>
            <w:vAlign w:val="center"/>
          </w:tcPr>
          <w:p w14:paraId="4A8610B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sz w:val="24"/>
                <w:highlight w:val="none"/>
              </w:rPr>
              <w:t>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513003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C729CB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8CF1751">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CD7D76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EC2E7C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ACDA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4" w:hRule="atLeast"/>
          <w:jc w:val="center"/>
        </w:trPr>
        <w:tc>
          <w:tcPr>
            <w:tcW w:w="0" w:type="auto"/>
            <w:tcBorders>
              <w:top w:val="single" w:color="auto" w:sz="4" w:space="0"/>
              <w:left w:val="single" w:color="000000" w:sz="8" w:space="0"/>
              <w:right w:val="single" w:color="000000" w:sz="2" w:space="0"/>
            </w:tcBorders>
            <w:vAlign w:val="center"/>
          </w:tcPr>
          <w:p w14:paraId="65A630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0" w:type="auto"/>
            <w:tcBorders>
              <w:top w:val="single" w:color="000000" w:sz="8" w:space="0"/>
              <w:left w:val="single" w:color="000000" w:sz="2" w:space="0"/>
              <w:right w:val="single" w:color="000000" w:sz="8" w:space="0"/>
            </w:tcBorders>
            <w:vAlign w:val="center"/>
          </w:tcPr>
          <w:p w14:paraId="7431F79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0" w:type="auto"/>
            <w:tcBorders>
              <w:top w:val="single" w:color="000000" w:sz="8" w:space="0"/>
              <w:left w:val="single" w:color="000000" w:sz="2" w:space="0"/>
              <w:bottom w:val="single" w:color="000000" w:sz="8" w:space="0"/>
              <w:right w:val="single" w:color="000000" w:sz="8" w:space="0"/>
            </w:tcBorders>
            <w:vAlign w:val="center"/>
          </w:tcPr>
          <w:p w14:paraId="7CF9531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2FD0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0" w:type="auto"/>
            <w:tcBorders>
              <w:top w:val="single" w:color="auto" w:sz="4" w:space="0"/>
              <w:left w:val="single" w:color="000000" w:sz="8" w:space="0"/>
              <w:bottom w:val="single" w:color="auto" w:sz="4" w:space="0"/>
              <w:right w:val="single" w:color="000000" w:sz="2" w:space="0"/>
            </w:tcBorders>
            <w:vAlign w:val="center"/>
          </w:tcPr>
          <w:p w14:paraId="23240E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0" w:type="auto"/>
            <w:tcBorders>
              <w:top w:val="single" w:color="000000" w:sz="8" w:space="0"/>
              <w:left w:val="single" w:color="000000" w:sz="2" w:space="0"/>
              <w:bottom w:val="single" w:color="000000" w:sz="8" w:space="0"/>
              <w:right w:val="single" w:color="000000" w:sz="8" w:space="0"/>
            </w:tcBorders>
            <w:vAlign w:val="center"/>
          </w:tcPr>
          <w:p w14:paraId="53BECA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0" w:type="auto"/>
            <w:tcBorders>
              <w:top w:val="single" w:color="000000" w:sz="8" w:space="0"/>
              <w:left w:val="single" w:color="000000" w:sz="2" w:space="0"/>
              <w:bottom w:val="single" w:color="000000" w:sz="8" w:space="0"/>
              <w:right w:val="single" w:color="000000" w:sz="8" w:space="0"/>
            </w:tcBorders>
            <w:vAlign w:val="center"/>
          </w:tcPr>
          <w:p w14:paraId="64CCFC53">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杭州市西湖区文一西路858号（杭州市公共资源交易中心西湖分中心东三楼</w:t>
            </w:r>
            <w:r>
              <w:rPr>
                <w:rFonts w:hint="eastAsia" w:hAnsi="宋体" w:cs="宋体"/>
                <w:color w:val="auto"/>
                <w:sz w:val="24"/>
                <w:highlight w:val="none"/>
                <w:u w:val="single"/>
                <w:lang w:val="en-US" w:eastAsia="zh-CN"/>
              </w:rPr>
              <w:t>329办公室）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0571-89511007</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02C4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jc w:val="center"/>
        </w:trPr>
        <w:tc>
          <w:tcPr>
            <w:tcW w:w="0" w:type="auto"/>
            <w:vMerge w:val="restart"/>
            <w:tcBorders>
              <w:top w:val="single" w:color="auto" w:sz="4" w:space="0"/>
              <w:left w:val="single" w:color="000000" w:sz="8" w:space="0"/>
              <w:right w:val="single" w:color="000000" w:sz="2" w:space="0"/>
            </w:tcBorders>
            <w:vAlign w:val="center"/>
          </w:tcPr>
          <w:p w14:paraId="4D4DBF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0" w:type="auto"/>
            <w:vMerge w:val="restart"/>
            <w:tcBorders>
              <w:top w:val="single" w:color="000000" w:sz="8" w:space="0"/>
              <w:left w:val="single" w:color="000000" w:sz="2" w:space="0"/>
              <w:right w:val="single" w:color="000000" w:sz="8" w:space="0"/>
            </w:tcBorders>
            <w:vAlign w:val="center"/>
          </w:tcPr>
          <w:p w14:paraId="3B5831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特别</w:t>
            </w:r>
            <w:r>
              <w:rPr>
                <w:rFonts w:hint="eastAsia" w:ascii="宋体" w:hAnsi="宋体" w:cs="宋体"/>
                <w:b/>
                <w:color w:val="auto"/>
                <w:sz w:val="24"/>
                <w:highlight w:val="none"/>
              </w:rPr>
              <w:t>说明</w:t>
            </w:r>
          </w:p>
        </w:tc>
        <w:tc>
          <w:tcPr>
            <w:tcW w:w="0" w:type="auto"/>
            <w:tcBorders>
              <w:top w:val="single" w:color="000000" w:sz="8" w:space="0"/>
              <w:left w:val="single" w:color="000000" w:sz="2" w:space="0"/>
              <w:bottom w:val="single" w:color="000000" w:sz="8" w:space="0"/>
              <w:right w:val="single" w:color="000000" w:sz="8" w:space="0"/>
            </w:tcBorders>
            <w:vAlign w:val="center"/>
          </w:tcPr>
          <w:p w14:paraId="6265A7B6">
            <w:pPr>
              <w:spacing w:line="360" w:lineRule="auto"/>
              <w:rPr>
                <w:rFonts w:ascii="宋体" w:hAnsi="宋体" w:cs="宋体"/>
                <w:snapToGrid w:val="0"/>
                <w:color w:val="auto"/>
                <w:kern w:val="28"/>
                <w:sz w:val="24"/>
                <w:highlight w:val="none"/>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7F3E1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jc w:val="center"/>
        </w:trPr>
        <w:tc>
          <w:tcPr>
            <w:tcW w:w="0" w:type="auto"/>
            <w:vMerge w:val="continue"/>
            <w:tcBorders>
              <w:left w:val="single" w:color="000000" w:sz="8" w:space="0"/>
              <w:right w:val="single" w:color="000000" w:sz="2" w:space="0"/>
            </w:tcBorders>
            <w:vAlign w:val="center"/>
          </w:tcPr>
          <w:p w14:paraId="223A29F8">
            <w:pPr>
              <w:spacing w:line="360" w:lineRule="auto"/>
              <w:rPr>
                <w:color w:val="auto"/>
                <w:highlight w:val="none"/>
              </w:rPr>
            </w:pPr>
          </w:p>
        </w:tc>
        <w:tc>
          <w:tcPr>
            <w:tcW w:w="0" w:type="auto"/>
            <w:vMerge w:val="continue"/>
            <w:tcBorders>
              <w:left w:val="single" w:color="000000" w:sz="2" w:space="0"/>
              <w:right w:val="single" w:color="000000" w:sz="8" w:space="0"/>
            </w:tcBorders>
            <w:vAlign w:val="center"/>
          </w:tcPr>
          <w:p w14:paraId="6FF3F6C2">
            <w:pPr>
              <w:spacing w:line="360" w:lineRule="auto"/>
              <w:rPr>
                <w:color w:val="auto"/>
                <w:highlight w:val="none"/>
              </w:rPr>
            </w:pPr>
          </w:p>
        </w:tc>
        <w:tc>
          <w:tcPr>
            <w:tcW w:w="0" w:type="auto"/>
            <w:tcBorders>
              <w:top w:val="single" w:color="000000" w:sz="8" w:space="0"/>
              <w:left w:val="single" w:color="000000" w:sz="2" w:space="0"/>
              <w:bottom w:val="single" w:color="000000" w:sz="8" w:space="0"/>
              <w:right w:val="single" w:color="000000" w:sz="8" w:space="0"/>
            </w:tcBorders>
            <w:vAlign w:val="center"/>
          </w:tcPr>
          <w:p w14:paraId="6D3009BE">
            <w:pPr>
              <w:spacing w:line="360" w:lineRule="auto"/>
              <w:rPr>
                <w:rFonts w:ascii="宋体" w:hAnsi="宋体" w:cs="宋体"/>
                <w:snapToGrid w:val="0"/>
                <w:kern w:val="28"/>
                <w:sz w:val="24"/>
              </w:rPr>
            </w:pPr>
            <w:sdt>
              <w:sdtPr>
                <w:rPr>
                  <w:rFonts w:hint="eastAsia" w:ascii="宋体" w:hAnsi="宋体" w:cs="宋体"/>
                  <w:kern w:val="0"/>
                  <w:sz w:val="24"/>
                </w:rPr>
                <w:id w:val="14746767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14:paraId="02639310">
            <w:pPr>
              <w:spacing w:line="360" w:lineRule="auto"/>
              <w:rPr>
                <w:rFonts w:hint="eastAsia" w:ascii="宋体" w:hAnsi="宋体" w:cs="宋体"/>
                <w:snapToGrid w:val="0"/>
                <w:color w:val="auto"/>
                <w:kern w:val="28"/>
                <w:sz w:val="24"/>
                <w:highlight w:val="none"/>
              </w:rPr>
            </w:pPr>
            <w:sdt>
              <w:sdtPr>
                <w:rPr>
                  <w:rFonts w:hint="eastAsia" w:ascii="宋体" w:hAnsi="宋体" w:cs="宋体"/>
                  <w:kern w:val="0"/>
                  <w:sz w:val="24"/>
                </w:rPr>
                <w:id w:val="14746018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6BEA3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jc w:val="center"/>
        </w:trPr>
        <w:tc>
          <w:tcPr>
            <w:tcW w:w="0" w:type="auto"/>
            <w:vMerge w:val="continue"/>
            <w:tcBorders>
              <w:left w:val="single" w:color="000000" w:sz="8" w:space="0"/>
              <w:right w:val="single" w:color="000000" w:sz="2" w:space="0"/>
            </w:tcBorders>
            <w:vAlign w:val="center"/>
          </w:tcPr>
          <w:p w14:paraId="4E8E99A0">
            <w:pPr>
              <w:spacing w:line="360" w:lineRule="auto"/>
              <w:rPr>
                <w:color w:val="auto"/>
                <w:highlight w:val="none"/>
              </w:rPr>
            </w:pPr>
          </w:p>
        </w:tc>
        <w:tc>
          <w:tcPr>
            <w:tcW w:w="0" w:type="auto"/>
            <w:vMerge w:val="continue"/>
            <w:tcBorders>
              <w:left w:val="single" w:color="000000" w:sz="2" w:space="0"/>
              <w:right w:val="single" w:color="000000" w:sz="8" w:space="0"/>
            </w:tcBorders>
            <w:vAlign w:val="center"/>
          </w:tcPr>
          <w:p w14:paraId="3348CEAE">
            <w:pPr>
              <w:spacing w:line="360" w:lineRule="auto"/>
              <w:rPr>
                <w:color w:val="auto"/>
                <w:highlight w:val="none"/>
              </w:rPr>
            </w:pPr>
          </w:p>
        </w:tc>
        <w:tc>
          <w:tcPr>
            <w:tcW w:w="0" w:type="auto"/>
            <w:tcBorders>
              <w:top w:val="single" w:color="000000" w:sz="8" w:space="0"/>
              <w:left w:val="single" w:color="000000" w:sz="2" w:space="0"/>
              <w:bottom w:val="single" w:color="000000" w:sz="8" w:space="0"/>
              <w:right w:val="single" w:color="000000" w:sz="8" w:space="0"/>
            </w:tcBorders>
            <w:vAlign w:val="center"/>
          </w:tcPr>
          <w:p w14:paraId="12C1D650">
            <w:pPr>
              <w:spacing w:line="360" w:lineRule="auto"/>
              <w:rPr>
                <w:rFonts w:hint="eastAsia" w:ascii="宋体" w:hAnsi="宋体" w:cs="宋体"/>
                <w:kern w:val="0"/>
                <w:sz w:val="24"/>
              </w:rPr>
            </w:pPr>
            <w:r>
              <w:rPr>
                <w:rFonts w:hint="eastAsia" w:cs="Arial" w:asciiTheme="minorEastAsia" w:hAnsiTheme="minorEastAsia" w:eastAsiaTheme="minorEastAsia"/>
                <w:color w:val="auto"/>
                <w:kern w:val="0"/>
                <w:sz w:val="24"/>
                <w:highlight w:val="none"/>
              </w:rPr>
              <w:t>评审因素对应的要求视为采购需求的一部分。</w:t>
            </w:r>
          </w:p>
        </w:tc>
      </w:tr>
      <w:tr w14:paraId="7822F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jc w:val="center"/>
        </w:trPr>
        <w:tc>
          <w:tcPr>
            <w:tcW w:w="0" w:type="auto"/>
            <w:vMerge w:val="continue"/>
            <w:tcBorders>
              <w:left w:val="single" w:color="000000" w:sz="8" w:space="0"/>
              <w:bottom w:val="single" w:color="auto" w:sz="4" w:space="0"/>
              <w:right w:val="single" w:color="000000" w:sz="2" w:space="0"/>
            </w:tcBorders>
            <w:vAlign w:val="center"/>
          </w:tcPr>
          <w:p w14:paraId="0C12C382">
            <w:pPr>
              <w:spacing w:line="360" w:lineRule="auto"/>
              <w:rPr>
                <w:color w:val="auto"/>
                <w:highlight w:val="none"/>
              </w:rPr>
            </w:pPr>
          </w:p>
        </w:tc>
        <w:tc>
          <w:tcPr>
            <w:tcW w:w="0" w:type="auto"/>
            <w:vMerge w:val="continue"/>
            <w:tcBorders>
              <w:left w:val="single" w:color="000000" w:sz="2" w:space="0"/>
              <w:bottom w:val="single" w:color="000000" w:sz="8" w:space="0"/>
              <w:right w:val="single" w:color="000000" w:sz="8" w:space="0"/>
            </w:tcBorders>
            <w:vAlign w:val="center"/>
          </w:tcPr>
          <w:p w14:paraId="73C40D00">
            <w:pPr>
              <w:spacing w:line="360" w:lineRule="auto"/>
              <w:rPr>
                <w:color w:val="auto"/>
                <w:highlight w:val="none"/>
              </w:rPr>
            </w:pPr>
          </w:p>
        </w:tc>
        <w:tc>
          <w:tcPr>
            <w:tcW w:w="0" w:type="auto"/>
            <w:tcBorders>
              <w:top w:val="single" w:color="000000" w:sz="8" w:space="0"/>
              <w:left w:val="single" w:color="000000" w:sz="2" w:space="0"/>
              <w:bottom w:val="single" w:color="000000" w:sz="8" w:space="0"/>
              <w:right w:val="single" w:color="000000" w:sz="8" w:space="0"/>
            </w:tcBorders>
            <w:vAlign w:val="center"/>
          </w:tcPr>
          <w:p w14:paraId="1CF2F269">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kern w:val="0"/>
                <w:sz w:val="24"/>
              </w:rPr>
              <w:t>本项目评审报告推荐的中标候选人数量：</w:t>
            </w:r>
            <w:r>
              <w:rPr>
                <w:rFonts w:hint="eastAsia" w:ascii="宋体" w:hAnsi="宋体" w:cs="宋体"/>
                <w:kern w:val="0"/>
                <w:sz w:val="24"/>
                <w:u w:val="single"/>
              </w:rPr>
              <w:t xml:space="preserve">  1  </w:t>
            </w:r>
            <w:r>
              <w:rPr>
                <w:rFonts w:hint="eastAsia" w:ascii="宋体" w:hAnsi="宋体" w:cs="宋体"/>
                <w:kern w:val="0"/>
                <w:sz w:val="24"/>
              </w:rPr>
              <w:t>。</w:t>
            </w:r>
          </w:p>
        </w:tc>
      </w:tr>
    </w:tbl>
    <w:p w14:paraId="3EA80E7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p w14:paraId="5801BABF">
      <w:pPr>
        <w:snapToGrid w:val="0"/>
        <w:spacing w:line="360" w:lineRule="auto"/>
        <w:jc w:val="center"/>
        <w:rPr>
          <w:rFonts w:ascii="宋体" w:hAnsi="宋体" w:cs="宋体"/>
          <w:b/>
          <w:color w:val="auto"/>
          <w:sz w:val="32"/>
          <w:szCs w:val="20"/>
          <w:highlight w:val="none"/>
        </w:rPr>
      </w:pPr>
    </w:p>
    <w:bookmarkEnd w:id="10"/>
    <w:p w14:paraId="35458E2C">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3F1789D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79AA25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C9E4C7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6E205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588F8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19FFBC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346B0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D6A72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726D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4B7158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AC8E1B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03ABCB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3.1 </w:t>
      </w:r>
      <w:r>
        <w:rPr>
          <w:rFonts w:hint="eastAsia" w:ascii="宋体" w:hAnsi="宋体" w:cs="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5394DB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C21718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D299699">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CE901E7">
      <w:pPr>
        <w:spacing w:line="360" w:lineRule="auto"/>
        <w:ind w:firstLine="480" w:firstLineChars="200"/>
        <w:rPr>
          <w:rFonts w:ascii="宋体" w:hAnsi="宋体" w:cs="宋体"/>
          <w:color w:val="auto"/>
          <w:sz w:val="24"/>
          <w:highlight w:val="none"/>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优先采购绿色包装产品、绿色物流配送服务以及循环利用产品</w:t>
      </w:r>
      <w:bookmarkEnd w:id="15"/>
      <w:r>
        <w:rPr>
          <w:rFonts w:hint="eastAsia" w:ascii="宋体" w:hAnsi="宋体" w:cs="宋体"/>
          <w:sz w:val="24"/>
        </w:rPr>
        <w:t>。</w:t>
      </w:r>
    </w:p>
    <w:p w14:paraId="1CBAC80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04C3B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15E6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D11AA3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46CDB0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03C18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w:t>
      </w:r>
      <w:r>
        <w:rPr>
          <w:rFonts w:hint="eastAsia" w:ascii="宋体" w:hAnsi="宋体" w:cs="宋体"/>
          <w:sz w:val="24"/>
        </w:rPr>
        <w:t>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w:t>
      </w:r>
      <w:r>
        <w:rPr>
          <w:rFonts w:hint="eastAsia" w:ascii="宋体" w:hAnsi="宋体" w:cs="宋体"/>
          <w:kern w:val="0"/>
          <w:sz w:val="24"/>
        </w:rPr>
        <w:t>（招标文件第四部分评标办法明确具体的扣除比例，未明确的，给予20%的扣除）</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kern w:val="0"/>
          <w:sz w:val="24"/>
        </w:rPr>
        <w:t>（招标文件第四部分评标办法明确具体的扣除比例，未明确的，给予6%的扣除）</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highlight w:val="none"/>
        </w:rPr>
        <w:t>。</w:t>
      </w:r>
    </w:p>
    <w:p w14:paraId="6B55D7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BE35F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F29DA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22C44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F15492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E3AA1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AFAE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年内，以及产品核心技术高于国内领先水平，并具有明晰自主知识产权的“制造精品”产品，自认定之日起</w:t>
      </w:r>
      <w:r>
        <w:rPr>
          <w:rFonts w:hint="default" w:ascii="宋体" w:hAnsi="宋体" w:cs="宋体"/>
          <w:color w:val="auto"/>
          <w:sz w:val="24"/>
          <w:highlight w:val="none"/>
          <w:lang w:val="en-US"/>
        </w:rPr>
        <w:t>3</w:t>
      </w:r>
      <w:r>
        <w:rPr>
          <w:rFonts w:hint="eastAsia" w:ascii="宋体" w:hAnsi="宋体" w:cs="宋体"/>
          <w:color w:val="auto"/>
          <w:sz w:val="24"/>
          <w:highlight w:val="none"/>
        </w:rPr>
        <w:t>年内视同已具备相应销售业绩，参加政府采购活动时业绩分值为满分。</w:t>
      </w:r>
    </w:p>
    <w:p w14:paraId="0289691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w:t>
      </w:r>
      <w:r>
        <w:rPr>
          <w:rFonts w:hint="default" w:ascii="宋体" w:hAnsi="宋体" w:cs="宋体"/>
          <w:color w:val="auto"/>
          <w:sz w:val="24"/>
          <w:highlight w:val="none"/>
          <w:lang w:val="en-US" w:eastAsia="zh-CN"/>
        </w:rPr>
        <w:t>5</w:t>
      </w:r>
      <w:r>
        <w:rPr>
          <w:rFonts w:hint="eastAsia" w:ascii="宋体" w:hAnsi="宋体" w:cs="宋体"/>
          <w:color w:val="auto"/>
          <w:sz w:val="24"/>
          <w:highlight w:val="none"/>
        </w:rPr>
        <w:t>平等对待内外资企业和符合条件的破产重整企业</w:t>
      </w:r>
    </w:p>
    <w:p w14:paraId="4E5062A0">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44CD61B">
      <w:pPr>
        <w:pStyle w:val="887"/>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6780D47F">
      <w:pPr>
        <w:pStyle w:val="887"/>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56FD8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C8FC22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61EE1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E36CFFE">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E296B7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CF1618F">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F3421ED">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012D3A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76CE61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556083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BE08A6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7CE602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765840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D91DF0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AB8BEB7">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50E153">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EBC19A0">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D081C3A">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CC590AC">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4A952BA">
      <w:pPr>
        <w:pStyle w:val="88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2D0DF0F">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EAE22C1">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85222A5">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23F244">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65AEE849">
      <w:pPr>
        <w:pStyle w:val="887"/>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80" w:firstLineChars="200"/>
        <w:contextualSpacing/>
        <w:textAlignment w:val="auto"/>
        <w:rPr>
          <w:color w:val="auto"/>
          <w:highlight w:val="none"/>
        </w:rPr>
      </w:pPr>
      <w:r>
        <w:rPr>
          <w:rFonts w:hint="eastAsia"/>
          <w:color w:val="auto"/>
          <w:highlight w:val="none"/>
        </w:rPr>
        <w:t>4.4.5根据政府采购行政裁决省市区三级联动试点工作安排，杭州市本级、拱墅区、</w:t>
      </w:r>
      <w:r>
        <w:rPr>
          <w:rFonts w:hint="eastAsia"/>
          <w:color w:val="auto"/>
          <w:highlight w:val="none"/>
          <w:lang w:eastAsia="zh-CN"/>
        </w:rPr>
        <w:t>西湖区、</w:t>
      </w:r>
      <w:r>
        <w:rPr>
          <w:rFonts w:hint="eastAsia"/>
          <w:color w:val="auto"/>
          <w:highlight w:val="none"/>
        </w:rPr>
        <w:t>富阳区政府采购项目投诉材料可寄送至浙江省政府采购行政裁决服务中心（杭州），地址：</w:t>
      </w:r>
      <w:r>
        <w:rPr>
          <w:rFonts w:hint="eastAsia" w:ascii="宋体" w:hAnsi="宋体" w:cs="宋体"/>
          <w:sz w:val="24"/>
        </w:rPr>
        <w:t>杭州市上城区清泰街549号城建综合大楼11楼（快递仅限ems或顺丰）</w:t>
      </w:r>
      <w:r>
        <w:rPr>
          <w:rFonts w:hint="eastAsia" w:ascii="宋体" w:hAnsi="宋体" w:cs="宋体"/>
          <w:sz w:val="24"/>
          <w:highlight w:val="none"/>
        </w:rPr>
        <w:t xml:space="preserve"> </w:t>
      </w:r>
      <w:r>
        <w:rPr>
          <w:rFonts w:hint="eastAsia"/>
          <w:color w:val="auto"/>
          <w:highlight w:val="none"/>
        </w:rPr>
        <w:t>，收件人：朱女士、王女士，电话：</w:t>
      </w:r>
      <w:r>
        <w:rPr>
          <w:rFonts w:hint="eastAsia" w:ascii="宋体" w:hAnsi="宋体" w:cs="宋体"/>
          <w:sz w:val="24"/>
          <w:highlight w:val="none"/>
        </w:rPr>
        <w:t>0571-87227671,0571-87800218</w:t>
      </w:r>
      <w:r>
        <w:rPr>
          <w:rFonts w:hint="eastAsia"/>
          <w:color w:val="auto"/>
          <w:highlight w:val="none"/>
        </w:rPr>
        <w:t>。</w:t>
      </w:r>
    </w:p>
    <w:p w14:paraId="1F74C53A">
      <w:pPr>
        <w:snapToGrid w:val="0"/>
        <w:spacing w:line="360" w:lineRule="auto"/>
        <w:ind w:firstLine="420" w:firstLineChars="200"/>
        <w:rPr>
          <w:rFonts w:hint="eastAsia"/>
          <w:color w:val="auto"/>
          <w:highlight w:val="none"/>
        </w:rPr>
      </w:pPr>
      <w:r>
        <w:rPr>
          <w:rFonts w:hint="eastAsia"/>
          <w:color w:val="auto"/>
          <w:highlight w:val="none"/>
        </w:rPr>
        <w:t>投诉书范本及制作说明详见附件3。</w:t>
      </w:r>
    </w:p>
    <w:p w14:paraId="7CAAA20D">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37DA9EA6">
      <w:pPr>
        <w:pStyle w:val="88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pPr>
      <w:r>
        <w:rPr>
          <w:rFonts w:hint="eastAsia" w:cs="仿宋"/>
        </w:rPr>
        <w:t>采购人（行政机关）因政策变化、规划调整而不履行政府采购合同的，供应商可依据《杭州市涉企补偿救济实施办法（试行）》向采购人（行政机关）提起补偿申请。</w:t>
      </w:r>
    </w:p>
    <w:p w14:paraId="49B1DE4E">
      <w:pPr>
        <w:pStyle w:val="887"/>
        <w:shd w:val="clear" w:color="auto" w:fill="FFFFFF"/>
        <w:snapToGrid w:val="0"/>
        <w:spacing w:after="240" w:afterAutospacing="0" w:line="360" w:lineRule="auto"/>
        <w:ind w:firstLine="480" w:firstLineChars="200"/>
        <w:contextualSpacing/>
        <w:rPr>
          <w:color w:val="auto"/>
          <w:highlight w:val="none"/>
        </w:rPr>
      </w:pPr>
    </w:p>
    <w:p w14:paraId="271E96F9">
      <w:pPr>
        <w:pStyle w:val="130"/>
        <w:snapToGrid w:val="0"/>
        <w:spacing w:before="0"/>
        <w:ind w:firstLine="360"/>
        <w:rPr>
          <w:rFonts w:ascii="宋体" w:hAnsi="宋体" w:cs="宋体"/>
          <w:color w:val="auto"/>
          <w:sz w:val="18"/>
          <w:szCs w:val="18"/>
          <w:highlight w:val="none"/>
        </w:rPr>
      </w:pPr>
    </w:p>
    <w:p w14:paraId="0DDD8D6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835C84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8E7B35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831EF6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C4D17F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B27705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2DD698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4826AC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19A1A9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9A7D0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5D60C7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3703DD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1CE5263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B34149">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404489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FD2F88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96CE4E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6C79DC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A1ADFF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86147BF">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F98165E">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F6934A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371CE0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4F4F9A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53F38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38EC43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752F99A">
      <w:pPr>
        <w:snapToGrid w:val="0"/>
        <w:spacing w:line="360" w:lineRule="auto"/>
        <w:ind w:firstLine="960" w:firstLineChars="4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11.1.2 联合协议（如果有）；</w:t>
      </w:r>
    </w:p>
    <w:p w14:paraId="58CF38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（如果有）</w:t>
      </w:r>
      <w:r>
        <w:rPr>
          <w:rFonts w:hint="eastAsia" w:ascii="宋体" w:hAnsi="宋体" w:cs="宋体"/>
          <w:color w:val="auto"/>
          <w:sz w:val="24"/>
          <w:highlight w:val="none"/>
        </w:rPr>
        <w:t>；</w:t>
      </w:r>
    </w:p>
    <w:p w14:paraId="7C0BD4A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E15589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B8B802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F94DEA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8E48B48">
      <w:pPr>
        <w:snapToGrid w:val="0"/>
        <w:spacing w:line="360" w:lineRule="auto"/>
        <w:ind w:firstLine="960" w:firstLineChars="400"/>
        <w:rPr>
          <w:rFonts w:hint="default" w:eastAsia="宋体"/>
          <w:color w:val="auto"/>
          <w:highlight w:val="none"/>
          <w:lang w:val="en-US" w:eastAsia="zh-CN"/>
        </w:rPr>
      </w:pPr>
      <w:r>
        <w:rPr>
          <w:rFonts w:hint="eastAsia" w:ascii="宋体" w:hAnsi="宋体" w:cs="宋体"/>
          <w:color w:val="auto"/>
          <w:sz w:val="24"/>
          <w:highlight w:val="none"/>
          <w:lang w:val="en-US" w:eastAsia="zh-CN"/>
        </w:rPr>
        <w:t>11.2.3 分包意向协议（如果有）；</w:t>
      </w:r>
    </w:p>
    <w:p w14:paraId="61AF3CF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符合性审查资料；</w:t>
      </w:r>
    </w:p>
    <w:p w14:paraId="01674B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评标标准相应的商务技术资料；</w:t>
      </w:r>
    </w:p>
    <w:p w14:paraId="18CDDF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p>
    <w:p w14:paraId="7FAA6C4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商务技术偏离表；</w:t>
      </w:r>
    </w:p>
    <w:p w14:paraId="23C78197">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11.2.</w:t>
      </w:r>
      <w:r>
        <w:rPr>
          <w:rFonts w:hint="default" w:ascii="宋体" w:hAnsi="宋体" w:cs="宋体"/>
          <w:color w:val="auto"/>
          <w:sz w:val="24"/>
          <w:highlight w:val="none"/>
          <w:lang w:val="en-US" w:eastAsia="zh-CN"/>
        </w:rPr>
        <w:t>8</w:t>
      </w:r>
      <w:r>
        <w:rPr>
          <w:rFonts w:hint="eastAsia" w:ascii="宋体" w:hAnsi="宋体" w:cs="宋体"/>
          <w:color w:val="auto"/>
          <w:sz w:val="24"/>
          <w:highlight w:val="none"/>
          <w:lang w:val="zh-CN"/>
        </w:rPr>
        <w:t>政府采购供应商廉洁自律承诺书。</w:t>
      </w:r>
    </w:p>
    <w:p w14:paraId="142A4D4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A1F3EF7">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14:paraId="757B8F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6FB7FC9">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1376034B">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8645B7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8A0476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1677FB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C8FD65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E29D0AC">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187E3A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D728FA8">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52E4107">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6D79E0E">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8D4C729">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548FC4C">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B8EAE4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B2386A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71EC3C25">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60EB27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702C9D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2B7F32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332EA4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144D812">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38C49820">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737516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92EEC32">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0FE1972">
      <w:pPr>
        <w:pStyle w:val="130"/>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C0394FD">
      <w:pPr>
        <w:pStyle w:val="130"/>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21F65B9E">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B6D2B53">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C175E47">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6E5C7C05">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1F0F468">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F61606">
      <w:pPr>
        <w:pStyle w:val="555"/>
        <w:spacing w:before="0" w:line="360" w:lineRule="auto"/>
        <w:ind w:left="0" w:leftChars="0" w:firstLine="241" w:firstLineChars="100"/>
        <w:contextualSpacing/>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1AD35B6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611B129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D7F8ACC">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4DFC90C2">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2D77DBA">
      <w:pPr>
        <w:pStyle w:val="130"/>
        <w:spacing w:before="0" w:line="360" w:lineRule="auto"/>
        <w:ind w:firstLine="241" w:firstLineChars="10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C183AF6">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08054263">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17919EF">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FE93ADA">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563D5E">
      <w:pPr>
        <w:pStyle w:val="130"/>
        <w:spacing w:before="0"/>
        <w:ind w:firstLine="0" w:firstLineChars="0"/>
        <w:rPr>
          <w:rFonts w:ascii="宋体" w:hAnsi="宋体" w:cs="宋体"/>
          <w:color w:val="auto"/>
          <w:kern w:val="0"/>
          <w:szCs w:val="24"/>
          <w:highlight w:val="none"/>
        </w:rPr>
      </w:pPr>
    </w:p>
    <w:p w14:paraId="559BE8B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C365B0D">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A1A31DA">
      <w:pPr>
        <w:spacing w:line="360" w:lineRule="auto"/>
        <w:rPr>
          <w:rFonts w:ascii="宋体" w:hAnsi="宋体" w:cs="宋体"/>
          <w:b/>
          <w:color w:val="auto"/>
          <w:sz w:val="24"/>
          <w:highlight w:val="none"/>
        </w:rPr>
      </w:pPr>
    </w:p>
    <w:p w14:paraId="6133ADF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DBA835A">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9B4419F">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62DCF357">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367D4B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23B8638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r>
        <w:rPr>
          <w:rFonts w:hint="eastAsia" w:ascii="宋体" w:hAnsi="宋体" w:cs="宋体"/>
          <w:b w:val="0"/>
          <w:bCs w:val="0"/>
          <w:color w:val="auto"/>
          <w:sz w:val="24"/>
          <w:highlight w:val="none"/>
        </w:rPr>
        <w:t>资格审查情况、评审专家抽取规则、符合性审查情况、未中标情况说明、中标公告期限以</w:t>
      </w:r>
      <w:r>
        <w:rPr>
          <w:rFonts w:hint="eastAsia" w:ascii="宋体" w:hAnsi="宋体" w:cs="宋体"/>
          <w:color w:val="auto"/>
          <w:sz w:val="24"/>
          <w:highlight w:val="none"/>
        </w:rPr>
        <w:t>及评审专家名单、评分汇总及明细。</w:t>
      </w:r>
    </w:p>
    <w:p w14:paraId="7B42128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6B8A309">
      <w:pPr>
        <w:snapToGrid w:val="0"/>
        <w:spacing w:line="360" w:lineRule="auto"/>
        <w:ind w:left="120" w:leftChars="57" w:firstLine="482" w:firstLineChars="150"/>
        <w:jc w:val="center"/>
        <w:rPr>
          <w:rFonts w:ascii="宋体" w:hAnsi="宋体" w:cs="宋体"/>
          <w:b/>
          <w:color w:val="auto"/>
          <w:sz w:val="32"/>
          <w:highlight w:val="none"/>
        </w:rPr>
      </w:pPr>
    </w:p>
    <w:p w14:paraId="05E779B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6121E2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32D5332">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1899CD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76168E2">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FB80F8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CED6BA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8B1A36C">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B89D3AD">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260B05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B860DA6">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A623D8A">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29C35934">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01A1EF60">
      <w:pPr>
        <w:snapToGrid w:val="0"/>
        <w:spacing w:line="360" w:lineRule="auto"/>
        <w:ind w:firstLine="3357" w:firstLineChars="1045"/>
        <w:rPr>
          <w:rFonts w:ascii="宋体" w:hAnsi="宋体" w:cs="宋体"/>
          <w:b/>
          <w:color w:val="auto"/>
          <w:sz w:val="32"/>
          <w:highlight w:val="none"/>
        </w:rPr>
      </w:pPr>
    </w:p>
    <w:bookmarkEnd w:id="13"/>
    <w:bookmarkEnd w:id="14"/>
    <w:bookmarkEnd w:id="17"/>
    <w:p w14:paraId="328A614B">
      <w:pPr>
        <w:snapToGrid w:val="0"/>
        <w:spacing w:line="360" w:lineRule="auto"/>
        <w:ind w:firstLine="3357" w:firstLineChars="1045"/>
        <w:rPr>
          <w:rFonts w:ascii="宋体" w:hAnsi="宋体" w:cs="宋体"/>
          <w:b/>
          <w:color w:val="auto"/>
          <w:sz w:val="24"/>
          <w:highlight w:val="none"/>
        </w:rPr>
      </w:pPr>
      <w:bookmarkStart w:id="18" w:name="第四部分"/>
      <w:r>
        <w:rPr>
          <w:rFonts w:hint="eastAsia" w:ascii="宋体" w:hAnsi="宋体" w:cs="宋体"/>
          <w:b/>
          <w:color w:val="auto"/>
          <w:sz w:val="32"/>
          <w:highlight w:val="none"/>
        </w:rPr>
        <w:t>八、电子交易活动的中止</w:t>
      </w:r>
    </w:p>
    <w:p w14:paraId="5F0AB886">
      <w:pPr>
        <w:pStyle w:val="13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BC3990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887616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AD0EC9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5A71B0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F9C796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4F3E8F4">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B2FBAAC">
      <w:pPr>
        <w:tabs>
          <w:tab w:val="left" w:pos="0"/>
        </w:tabs>
        <w:spacing w:line="360" w:lineRule="auto"/>
        <w:ind w:firstLine="480"/>
        <w:rPr>
          <w:rFonts w:ascii="宋体" w:hAnsi="宋体" w:cs="宋体"/>
          <w:color w:val="auto"/>
          <w:sz w:val="24"/>
          <w:highlight w:val="none"/>
        </w:rPr>
      </w:pPr>
    </w:p>
    <w:p w14:paraId="1E1E620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3137887">
      <w:pPr>
        <w:pStyle w:val="24"/>
        <w:spacing w:line="360" w:lineRule="auto"/>
        <w:ind w:firstLine="0" w:firstLineChars="0"/>
        <w:rPr>
          <w:rFonts w:cs="宋体"/>
          <w:b/>
          <w:color w:val="auto"/>
          <w:highlight w:val="none"/>
        </w:rPr>
      </w:pPr>
      <w:r>
        <w:rPr>
          <w:rFonts w:hint="eastAsia" w:cs="宋体"/>
          <w:b/>
          <w:color w:val="auto"/>
          <w:highlight w:val="none"/>
        </w:rPr>
        <w:t>30.验收</w:t>
      </w:r>
    </w:p>
    <w:p w14:paraId="2F8DA18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6A999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0D1F30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12D723">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D74D6A4">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bookmarkStart w:id="19" w:name="_Hlt74714665"/>
      <w:bookmarkEnd w:id="19"/>
      <w:bookmarkStart w:id="20" w:name="_Hlt75236011"/>
      <w:bookmarkEnd w:id="20"/>
      <w:bookmarkStart w:id="21" w:name="_Hlt75236101"/>
      <w:bookmarkEnd w:id="21"/>
      <w:bookmarkStart w:id="22" w:name="_Hlt74730295"/>
      <w:bookmarkEnd w:id="22"/>
      <w:bookmarkStart w:id="23" w:name="_Hlt68072998"/>
      <w:bookmarkEnd w:id="23"/>
      <w:bookmarkStart w:id="24" w:name="_Hlt68072990"/>
      <w:bookmarkEnd w:id="24"/>
      <w:bookmarkStart w:id="25" w:name="_Hlt68403820"/>
      <w:bookmarkEnd w:id="25"/>
      <w:bookmarkStart w:id="26" w:name="_Hlt74707468"/>
      <w:bookmarkEnd w:id="26"/>
      <w:bookmarkStart w:id="27" w:name="_Hlt75236290"/>
      <w:bookmarkEnd w:id="27"/>
      <w:bookmarkStart w:id="28" w:name="_Hlt74729768"/>
      <w:bookmarkEnd w:id="28"/>
      <w:bookmarkStart w:id="29" w:name="_Hlt68057669"/>
      <w:bookmarkEnd w:id="29"/>
      <w:bookmarkStart w:id="30" w:name="_Hlt68073093"/>
      <w:bookmarkEnd w:id="30"/>
    </w:p>
    <w:p w14:paraId="0D4E9099">
      <w:pPr>
        <w:numPr>
          <w:ilvl w:val="0"/>
          <w:numId w:val="2"/>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采购需求</w:t>
      </w:r>
    </w:p>
    <w:p w14:paraId="5C1A589A">
      <w:pPr>
        <w:pStyle w:val="3"/>
        <w:numPr>
          <w:ilvl w:val="0"/>
          <w:numId w:val="3"/>
        </w:numPr>
        <w:spacing w:before="0" w:after="0" w:line="360" w:lineRule="auto"/>
        <w:ind w:left="0" w:hanging="431"/>
        <w:jc w:val="center"/>
        <w:rPr>
          <w:rFonts w:hint="eastAsia" w:ascii="宋体" w:hAnsi="宋体" w:eastAsia="宋体" w:cs="宋体"/>
          <w:kern w:val="2"/>
          <w:sz w:val="24"/>
          <w:szCs w:val="24"/>
          <w:highlight w:val="none"/>
        </w:rPr>
      </w:pPr>
      <w:bookmarkStart w:id="31" w:name="_Toc9740"/>
      <w:r>
        <w:rPr>
          <w:rFonts w:hint="eastAsia" w:ascii="宋体" w:hAnsi="宋体" w:eastAsia="宋体" w:cs="宋体"/>
          <w:kern w:val="2"/>
          <w:sz w:val="24"/>
          <w:szCs w:val="24"/>
          <w:highlight w:val="none"/>
        </w:rPr>
        <w:t>采购需求</w:t>
      </w:r>
      <w:bookmarkEnd w:id="31"/>
    </w:p>
    <w:p w14:paraId="3725F547">
      <w:pPr>
        <w:autoSpaceDE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注：“▲”系指实质性要求条款，“★”系产品采购项目中单一产品或核心产品，“</w:t>
      </w:r>
      <w:r>
        <w:rPr>
          <w:rFonts w:hint="eastAsia" w:ascii="宋体" w:hAnsi="宋体" w:eastAsia="宋体" w:cs="宋体"/>
          <w:b/>
          <w:bCs/>
          <w:sz w:val="24"/>
          <w:szCs w:val="24"/>
          <w:highlight w:val="none"/>
        </w:rPr>
        <w:sym w:font="Wingdings 2" w:char="0052"/>
      </w:r>
      <w:r>
        <w:rPr>
          <w:rFonts w:hint="eastAsia" w:ascii="宋体" w:hAnsi="宋体" w:eastAsia="宋体" w:cs="宋体"/>
          <w:b/>
          <w:bCs/>
          <w:sz w:val="24"/>
          <w:szCs w:val="24"/>
          <w:highlight w:val="none"/>
        </w:rPr>
        <w:t>”系指适用本项目的要求，“☐”系指不适用本项目的要求，“</w:t>
      </w:r>
      <w:r>
        <w:rPr>
          <w:rFonts w:hint="eastAsia" w:ascii="宋体" w:hAnsi="宋体" w:eastAsia="宋体" w:cs="宋体"/>
          <w:b/>
          <w:kern w:val="0"/>
          <w:sz w:val="24"/>
          <w:szCs w:val="24"/>
          <w:highlight w:val="none"/>
        </w:rPr>
        <w:t>◆</w:t>
      </w:r>
      <w:r>
        <w:rPr>
          <w:rFonts w:hint="eastAsia" w:ascii="宋体" w:hAnsi="宋体" w:eastAsia="宋体" w:cs="宋体"/>
          <w:b/>
          <w:bCs/>
          <w:sz w:val="24"/>
          <w:szCs w:val="24"/>
          <w:highlight w:val="none"/>
        </w:rPr>
        <w:t>”</w:t>
      </w:r>
      <w:r>
        <w:rPr>
          <w:rFonts w:hint="eastAsia" w:ascii="宋体" w:hAnsi="宋体" w:eastAsia="宋体" w:cs="宋体"/>
          <w:b/>
          <w:kern w:val="0"/>
          <w:sz w:val="24"/>
          <w:szCs w:val="24"/>
          <w:highlight w:val="none"/>
        </w:rPr>
        <w:t>的条款为重要指标</w:t>
      </w:r>
      <w:r>
        <w:rPr>
          <w:rFonts w:hint="eastAsia" w:ascii="宋体" w:hAnsi="宋体" w:eastAsia="宋体" w:cs="宋体"/>
          <w:b/>
          <w:bCs/>
          <w:sz w:val="24"/>
          <w:szCs w:val="24"/>
          <w:highlight w:val="none"/>
        </w:rPr>
        <w:t>。</w:t>
      </w:r>
    </w:p>
    <w:p w14:paraId="70324DD0">
      <w:pPr>
        <w:autoSpaceDE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一、项目概况：</w:t>
      </w:r>
    </w:p>
    <w:p w14:paraId="537AF221">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杭州市保俶塔实验学校智慧实验室建设项目</w:t>
      </w:r>
      <w:r>
        <w:rPr>
          <w:rFonts w:hint="eastAsia" w:ascii="宋体" w:hAnsi="宋体" w:eastAsia="宋体" w:cs="宋体"/>
          <w:sz w:val="24"/>
          <w:szCs w:val="24"/>
          <w:highlight w:val="none"/>
        </w:rPr>
        <w:t>，主要内容：</w:t>
      </w:r>
      <w:r>
        <w:rPr>
          <w:rFonts w:hint="eastAsia" w:asciiTheme="minorEastAsia" w:hAnsiTheme="minorEastAsia" w:eastAsiaTheme="minorEastAsia" w:cstheme="minorEastAsia"/>
          <w:color w:val="auto"/>
          <w:sz w:val="24"/>
          <w:szCs w:val="24"/>
          <w:highlight w:val="none"/>
          <w:lang w:val="en-US" w:eastAsia="zh-CN"/>
        </w:rPr>
        <w:t>智慧实验室管理系统的敷设、</w:t>
      </w:r>
      <w:r>
        <w:rPr>
          <w:rFonts w:hint="eastAsia" w:asciiTheme="minorEastAsia" w:hAnsiTheme="minorEastAsia" w:eastAsiaTheme="minorEastAsia" w:cstheme="minorEastAsia"/>
          <w:bCs/>
          <w:snapToGrid/>
          <w:color w:val="auto"/>
          <w:kern w:val="2"/>
          <w:sz w:val="24"/>
          <w:szCs w:val="24"/>
          <w:highlight w:val="none"/>
          <w:lang w:eastAsia="zh-CN"/>
        </w:rPr>
        <w:t>理化生实验室</w:t>
      </w:r>
      <w:r>
        <w:rPr>
          <w:rFonts w:hint="eastAsia" w:asciiTheme="minorEastAsia" w:hAnsiTheme="minorEastAsia" w:eastAsiaTheme="minorEastAsia" w:cstheme="minorEastAsia"/>
          <w:bCs/>
          <w:snapToGrid/>
          <w:color w:val="auto"/>
          <w:kern w:val="2"/>
          <w:sz w:val="24"/>
          <w:szCs w:val="24"/>
          <w:highlight w:val="none"/>
          <w:lang w:val="en-US" w:eastAsia="zh-CN"/>
        </w:rPr>
        <w:t>吊装系统</w:t>
      </w:r>
      <w:r>
        <w:rPr>
          <w:rFonts w:hint="eastAsia" w:asciiTheme="minorEastAsia" w:hAnsiTheme="minorEastAsia" w:eastAsiaTheme="minorEastAsia" w:cstheme="minorEastAsia"/>
          <w:bCs/>
          <w:snapToGrid/>
          <w:color w:val="auto"/>
          <w:kern w:val="2"/>
          <w:sz w:val="24"/>
          <w:szCs w:val="24"/>
          <w:highlight w:val="none"/>
          <w:lang w:eastAsia="zh-CN"/>
        </w:rPr>
        <w:t>及</w:t>
      </w:r>
      <w:r>
        <w:rPr>
          <w:rFonts w:hint="eastAsia" w:asciiTheme="minorEastAsia" w:hAnsiTheme="minorEastAsia" w:eastAsiaTheme="minorEastAsia" w:cstheme="minorEastAsia"/>
          <w:bCs/>
          <w:snapToGrid/>
          <w:color w:val="auto"/>
          <w:kern w:val="2"/>
          <w:sz w:val="24"/>
          <w:szCs w:val="24"/>
          <w:highlight w:val="none"/>
          <w:lang w:val="en-US" w:eastAsia="zh-CN"/>
        </w:rPr>
        <w:t>实验台、</w:t>
      </w:r>
      <w:r>
        <w:rPr>
          <w:rFonts w:hint="eastAsia" w:asciiTheme="minorEastAsia" w:hAnsiTheme="minorEastAsia" w:eastAsiaTheme="minorEastAsia" w:cstheme="minorEastAsia"/>
          <w:bCs/>
          <w:snapToGrid/>
          <w:color w:val="auto"/>
          <w:kern w:val="2"/>
          <w:sz w:val="24"/>
          <w:szCs w:val="24"/>
          <w:highlight w:val="none"/>
          <w:lang w:eastAsia="zh-CN"/>
        </w:rPr>
        <w:t>准备室、</w:t>
      </w:r>
      <w:r>
        <w:rPr>
          <w:rFonts w:hint="eastAsia" w:asciiTheme="minorEastAsia" w:hAnsiTheme="minorEastAsia" w:eastAsiaTheme="minorEastAsia" w:cstheme="minorEastAsia"/>
          <w:bCs/>
          <w:snapToGrid/>
          <w:color w:val="auto"/>
          <w:kern w:val="2"/>
          <w:sz w:val="24"/>
          <w:szCs w:val="24"/>
          <w:highlight w:val="none"/>
          <w:lang w:val="en-US" w:eastAsia="zh-CN"/>
        </w:rPr>
        <w:t>危化品室</w:t>
      </w:r>
      <w:r>
        <w:rPr>
          <w:rFonts w:hint="eastAsia" w:asciiTheme="minorEastAsia" w:hAnsiTheme="minorEastAsia" w:eastAsiaTheme="minorEastAsia" w:cstheme="minorEastAsia"/>
          <w:bCs/>
          <w:snapToGrid/>
          <w:color w:val="auto"/>
          <w:kern w:val="2"/>
          <w:sz w:val="24"/>
          <w:szCs w:val="24"/>
          <w:highlight w:val="none"/>
          <w:lang w:eastAsia="zh-CN"/>
        </w:rPr>
        <w:t>设备的供货</w:t>
      </w:r>
      <w:r>
        <w:rPr>
          <w:rFonts w:hint="eastAsia" w:asciiTheme="minorEastAsia" w:hAnsiTheme="minorEastAsia" w:eastAsiaTheme="minorEastAsia" w:cstheme="minorEastAsia"/>
          <w:bCs/>
          <w:snapToGrid/>
          <w:color w:val="auto"/>
          <w:kern w:val="2"/>
          <w:sz w:val="24"/>
          <w:szCs w:val="24"/>
          <w:highlight w:val="none"/>
        </w:rPr>
        <w:t>、安装调试以及不少于五年的免费质保及售后现场技术支持服务等内容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范围包含所需产品的设计与优化、制造、运输与装卸、安装（含配套水电施工、辅材辅料</w:t>
      </w:r>
      <w:r>
        <w:rPr>
          <w:rFonts w:hint="eastAsia" w:asciiTheme="minorEastAsia" w:hAnsiTheme="minorEastAsia" w:eastAsiaTheme="minorEastAsia" w:cstheme="minorEastAsia"/>
          <w:color w:val="auto"/>
          <w:sz w:val="24"/>
          <w:szCs w:val="24"/>
          <w:lang w:val="en-US" w:eastAsia="zh-CN"/>
        </w:rPr>
        <w:t>和安装过程中对原有现状产生破坏后的修复工作</w:t>
      </w:r>
      <w:r>
        <w:rPr>
          <w:rFonts w:hint="eastAsia" w:asciiTheme="minorEastAsia" w:hAnsiTheme="minorEastAsia" w:eastAsiaTheme="minorEastAsia" w:cstheme="minorEastAsia"/>
          <w:color w:val="auto"/>
          <w:sz w:val="24"/>
          <w:szCs w:val="24"/>
        </w:rPr>
        <w:t>等）、调试、验收配合、技术培训、</w:t>
      </w:r>
      <w:r>
        <w:rPr>
          <w:rFonts w:hint="eastAsia" w:asciiTheme="minorEastAsia" w:hAnsiTheme="minorEastAsia" w:eastAsiaTheme="minorEastAsia" w:cstheme="minorEastAsia"/>
          <w:color w:val="auto"/>
          <w:sz w:val="24"/>
          <w:szCs w:val="24"/>
          <w:lang w:eastAsia="zh-CN"/>
        </w:rPr>
        <w:t>不少于五年</w:t>
      </w:r>
      <w:r>
        <w:rPr>
          <w:rFonts w:hint="eastAsia" w:asciiTheme="minorEastAsia" w:hAnsiTheme="minorEastAsia" w:eastAsiaTheme="minorEastAsia" w:cstheme="minorEastAsia"/>
          <w:color w:val="auto"/>
          <w:sz w:val="24"/>
          <w:szCs w:val="24"/>
        </w:rPr>
        <w:t>售后服务以及招标文件约定的其他一切内容</w:t>
      </w:r>
      <w:r>
        <w:rPr>
          <w:rFonts w:hint="eastAsia" w:hAnsi="宋体" w:cs="宋体"/>
          <w:bCs/>
          <w:snapToGrid/>
          <w:color w:val="auto"/>
          <w:kern w:val="2"/>
          <w:sz w:val="24"/>
          <w:szCs w:val="24"/>
          <w:highlight w:val="none"/>
        </w:rPr>
        <w:t>。</w:t>
      </w:r>
    </w:p>
    <w:p w14:paraId="61214C43">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2、交货地点：采购人指定地点。</w:t>
      </w:r>
    </w:p>
    <w:p w14:paraId="16E9C0EB">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bCs/>
          <w:sz w:val="24"/>
          <w:szCs w:val="24"/>
          <w:highlight w:val="none"/>
        </w:rPr>
        <w:t>投标前请投标人务必考虑该客观因素或做现场勘查。</w:t>
      </w:r>
      <w:r>
        <w:rPr>
          <w:rFonts w:hint="eastAsia" w:ascii="宋体" w:hAnsi="宋体" w:eastAsia="宋体" w:cs="宋体"/>
          <w:sz w:val="24"/>
          <w:szCs w:val="24"/>
          <w:highlight w:val="none"/>
        </w:rPr>
        <w:t>如因投标人自身原因导致投标内容与实际不符，或者导致项目无法按实际情况实施的，相关责任由投标人自行负责。</w:t>
      </w:r>
    </w:p>
    <w:p w14:paraId="63BB8102">
      <w:pPr>
        <w:pStyle w:val="23"/>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rPr>
        <w:t>4</w:t>
      </w:r>
      <w:r>
        <w:rPr>
          <w:rFonts w:hint="eastAsia" w:ascii="宋体" w:hAnsi="宋体" w:eastAsia="宋体" w:cs="宋体"/>
          <w:b/>
          <w:bCs/>
          <w:sz w:val="24"/>
          <w:szCs w:val="24"/>
          <w:highlight w:val="none"/>
        </w:rPr>
        <w:t>、本招标文件中出现的品牌、型号、图片仅作为参考，投标人可提供其他能满足本招标文件要求且性能</w:t>
      </w:r>
      <w:r>
        <w:rPr>
          <w:rFonts w:hint="eastAsia" w:ascii="宋体" w:hAnsi="宋体" w:eastAsia="宋体" w:cs="宋体"/>
          <w:b/>
          <w:bCs/>
          <w:sz w:val="24"/>
          <w:szCs w:val="24"/>
          <w:highlight w:val="none"/>
          <w:lang w:val="en-US"/>
        </w:rPr>
        <w:t>与所列</w:t>
      </w:r>
      <w:r>
        <w:rPr>
          <w:rFonts w:hint="eastAsia" w:ascii="宋体" w:hAnsi="宋体" w:eastAsia="宋体" w:cs="宋体"/>
          <w:b/>
          <w:bCs/>
          <w:sz w:val="24"/>
          <w:szCs w:val="24"/>
          <w:highlight w:val="none"/>
        </w:rPr>
        <w:t>产品</w:t>
      </w:r>
      <w:r>
        <w:rPr>
          <w:rFonts w:hint="eastAsia" w:ascii="宋体" w:hAnsi="宋体" w:eastAsia="宋体" w:cs="宋体"/>
          <w:b/>
          <w:bCs/>
          <w:sz w:val="24"/>
          <w:szCs w:val="24"/>
          <w:highlight w:val="none"/>
          <w:lang w:val="en-US"/>
        </w:rPr>
        <w:t>相当的产品</w:t>
      </w:r>
      <w:r>
        <w:rPr>
          <w:rFonts w:hint="eastAsia" w:ascii="宋体" w:hAnsi="宋体" w:eastAsia="宋体" w:cs="宋体"/>
          <w:b/>
          <w:bCs/>
          <w:sz w:val="24"/>
          <w:szCs w:val="24"/>
          <w:highlight w:val="none"/>
        </w:rPr>
        <w:t>前来投标，</w:t>
      </w:r>
      <w:r>
        <w:rPr>
          <w:rFonts w:hint="eastAsia" w:ascii="宋体" w:hAnsi="宋体" w:eastAsia="宋体" w:cs="宋体"/>
          <w:b/>
          <w:bCs/>
          <w:sz w:val="24"/>
          <w:szCs w:val="24"/>
          <w:highlight w:val="none"/>
          <w:lang w:val="en-US"/>
        </w:rPr>
        <w:t>该产品须满足现场实际要求，否则采购人有权要求跟换合适的产品，相关费用由中标人承担</w:t>
      </w:r>
      <w:r>
        <w:rPr>
          <w:rFonts w:hint="eastAsia" w:ascii="宋体" w:hAnsi="宋体" w:eastAsia="宋体" w:cs="宋体"/>
          <w:b/>
          <w:bCs/>
          <w:sz w:val="24"/>
          <w:szCs w:val="24"/>
          <w:highlight w:val="none"/>
        </w:rPr>
        <w:t>。</w:t>
      </w:r>
    </w:p>
    <w:p w14:paraId="022BB1F7">
      <w:pPr>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5、本项目为“交钥匙”项目。</w:t>
      </w:r>
    </w:p>
    <w:p w14:paraId="111A3640">
      <w:pPr>
        <w:autoSpaceDE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二、项目须执行的标准、规范：</w:t>
      </w:r>
    </w:p>
    <w:p w14:paraId="18797912">
      <w:pPr>
        <w:autoSpaceDE w:val="0"/>
        <w:spacing w:line="360" w:lineRule="auto"/>
        <w:ind w:firstLine="480" w:firstLineChars="200"/>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相关国家标准、行业标准、地方标准等标准、规范。</w:t>
      </w:r>
    </w:p>
    <w:p w14:paraId="1C79FBA7">
      <w:pPr>
        <w:spacing w:line="360" w:lineRule="auto"/>
        <w:jc w:val="left"/>
        <w:rPr>
          <w:rFonts w:hint="eastAsia" w:ascii="宋体" w:hAnsi="宋体" w:eastAsia="宋体" w:cs="宋体"/>
          <w:b/>
          <w:bCs/>
          <w:sz w:val="24"/>
          <w:szCs w:val="24"/>
          <w:highlight w:val="none"/>
        </w:rPr>
        <w:sectPr>
          <w:footerReference r:id="rId8" w:type="default"/>
          <w:pgSz w:w="11906" w:h="16838"/>
          <w:pgMar w:top="1134" w:right="1134" w:bottom="1134" w:left="1304" w:header="851" w:footer="992" w:gutter="0"/>
          <w:pgNumType w:start="2"/>
          <w:cols w:space="720" w:num="1"/>
          <w:docGrid w:type="lines" w:linePitch="312" w:charSpace="0"/>
        </w:sect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rPr>
        <w:t>、具体采购清单及要求</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05"/>
        <w:gridCol w:w="915"/>
        <w:gridCol w:w="5760"/>
        <w:gridCol w:w="458"/>
        <w:gridCol w:w="572"/>
      </w:tblGrid>
      <w:tr w14:paraId="2D99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DE8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杭州市保俶塔实验学校智慧实验室</w:t>
            </w:r>
          </w:p>
        </w:tc>
      </w:tr>
      <w:tr w14:paraId="480F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B78D0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物理顶装实验室（48座/间）</w:t>
            </w:r>
          </w:p>
        </w:tc>
      </w:tr>
      <w:tr w14:paraId="1F98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C4C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1D2E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75B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2ED6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849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087A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1D90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9E5CB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r>
      <w:tr w14:paraId="5567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55C0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236F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6C7A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2400*700*900mm±5mm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6A1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台面：台面采用15mm厚陶瓷台面。陶瓷台面坯体黑色一体实芯和釉面经高温一体煅烧而成。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3、拉手：采用不锈钢拉手。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5、不锈钢防腐合页：采用优质不锈钢模具一体成型。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6、防腐三节静音导轨：三节滚珠滑轨，承重性强，滑动顺滑。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7、固定桌脚：采用柜体内置可调ABS调整脚，保证调整脚前后都可以调节高低。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教师演示台技术要求满足: GB 24820-2009 实验室家具通用技术条件：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、台面、正视面板翘曲度要求：700≤对角线长度&lt;1400mm,≤2.0mm；</w:t>
            </w:r>
          </w:p>
          <w:p w14:paraId="4814F711">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、台面、正视面板平整度≤0.2mm；</w:t>
            </w:r>
          </w:p>
          <w:p w14:paraId="600BCB1B">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、底脚平稳性≤1mm；</w:t>
            </w:r>
          </w:p>
          <w:p w14:paraId="201CB9A6">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、柜体邻边垂直度（正视面板、框架）对角线长度≥1000mm，长度差≤3.0mm；对边长度＜1000mm,对边长度差≤2.0mm；</w:t>
            </w:r>
          </w:p>
          <w:p w14:paraId="10058B88">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、位差度要求1：门与门相邻两表面间的距离偏差（非设计要求的距离）≤0.:5mm；门与框架相邻两表面间的距离偏差（非设计要求的距离）≤0.8mm;要求2：抽屉与框架相邻两表面间的距离偏差（非设计要 求的距离）≤0.5mm;抽屉与抽屉相邻两表面间的距离偏差（非设计要 求的距离）≤0.6mm；</w:t>
            </w:r>
          </w:p>
          <w:p w14:paraId="46BD29C1">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、分缝:门所有分缝（非设计要求时）≤:3.0mm;抽屉所有分缝（非设计要求时）≤2.0mm；</w:t>
            </w:r>
          </w:p>
          <w:p w14:paraId="63242544">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、抽屉下垂度≤10mm；</w:t>
            </w:r>
          </w:p>
          <w:p w14:paraId="33B22858">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、抽屉摆动度≤10mm；</w:t>
            </w:r>
          </w:p>
          <w:p w14:paraId="32481539">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、操作台面外观要求：操作台面不应有裂缝、渗透现象；操作台面不应有污物、杂质；</w:t>
            </w:r>
          </w:p>
          <w:p w14:paraId="5FBDF946">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木工要求：板件或部件在接触人体或贮物部位不应有毛刺、刃口或棱角；板件或部件的外表应光滑，倒棱、圆角、圆线应均匀一致；榫、塞角、零部件等结合处不应断裂；零部件结合应严密、牢固；各种配件、连接件安装不得有少件、漏钉、透钉（预留孔、选择孔除外）；各种配件安装应严密、平整、端正、牢固，结合处应无开裂或松动；启闭部件安装后应使用灵活；</w:t>
            </w:r>
          </w:p>
          <w:p w14:paraId="4CAF12E5">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、焊接件外观要求：焊接处应无脱焊、虚焊、焊穿、错位；焊接处应无夹渣、气孔、焊瘤、焊丝头、咬边、飞溅；</w:t>
            </w:r>
          </w:p>
          <w:p w14:paraId="06457E00">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、冲压件外观要求：冲压件应无脱层、裂缝；</w:t>
            </w:r>
          </w:p>
          <w:p w14:paraId="5A67047F">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、喷涂层外观要求：涂层应无漏喷、锈蚀；涂层应光滑均匀，色泽一致，应无流挂、疙瘩、皱皮、飞漆等缺陷；</w:t>
            </w:r>
          </w:p>
          <w:p w14:paraId="5C8B6D3B">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w:t>
            </w:r>
            <w:r>
              <w:rPr>
                <w:rFonts w:hint="eastAsia" w:ascii="宋体" w:hAnsi="宋体" w:eastAsia="宋体" w:cs="宋体"/>
                <w:i w:val="0"/>
                <w:iCs w:val="0"/>
                <w:color w:val="000000"/>
                <w:kern w:val="0"/>
                <w:sz w:val="24"/>
                <w:szCs w:val="24"/>
                <w:u w:val="none"/>
                <w:lang w:val="en-US" w:eastAsia="zh-CN" w:bidi="ar"/>
              </w:rPr>
              <w:t>、电镀层外观要求：电镀层表面应无剥落、返锈、毛刺；电镀层表面应无烧焦、起泡、针孔、裂纹、花斑（不包括镀彩锌）和划痕；</w:t>
            </w:r>
          </w:p>
          <w:p w14:paraId="625711A1">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en-US" w:eastAsia="zh-CN" w:bidi="ar"/>
              </w:rPr>
              <w:t>、安全性要求：与人体接触的零部件不应有毛刺、刃口、尖锐的棱角和端头；所有可拉伸的部件，应装配有效的限位装置，当其包括装载物在内质量超过10kg时，在拉手处施加200N的力，该部件不应被拉脱；或者在其前端面贴一警示标签，说明该部件易被拉脱；</w:t>
            </w:r>
          </w:p>
          <w:p w14:paraId="4583740D">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eastAsia="宋体"/>
                <w:lang w:val="en-US" w:eastAsia="zh-CN"/>
              </w:rPr>
            </w:pPr>
            <w:r>
              <w:rPr>
                <w:rFonts w:hint="eastAsia" w:ascii="宋体" w:hAnsi="宋体" w:cs="宋体"/>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操作台力学性能：1）、水平静载荷试验技术要求：力600N，10次，2）、垂直静载荷试验主桌面：力2000N，10次，3）、持续垂直静载荷1.25kg/dm²，24h，4）、独立操作台水平冲击稳定性，质量50kg，跌落高度40mm，5）、独立操作台垂直加载稳定性：力750N，6）、活动操作台跌落高度：150mm，10次，7）、水平耐久性试验力150N, 循环次数15000次，8）、垂直耐久性试验力300N, 循环次数15000次，9）、垂直冲击试验，跌落高度：300mm，10次</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投标文件中需提供以上带◆的技术参数要求具有CMA认证的第三方检测报告复印件。</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84A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DC2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2E85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C0B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B75B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教师演示电源</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9253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500*260±5mm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6876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1、教师演示台配备总漏电保护和分组保护，可分组控制学生的高低压电源，确保学生实验安全方便；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2、教师电源总控采用不小于225*127mm尺寸的面板，具备智能控制按键，并能显示电源电压；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5、低压大电流值为40A，自动关断；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教学电源：220V交流输出为带安全门的插座，带有电源指示，学生低压交流电源可通过智能控制按键直接选取0～24V电压，最小调节单元为1V，分组输送至学生桌；低压直流电压教师能准确控制，最小调节单元为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教师演示电源技术要求满足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投标文件中需提供具有CMA认证的第三方检测报告复印件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：JY/T0374-2004《教学实验室设备电源系统》、GB4943.1-2022《音视频、信息技术和通信技术设备第1部分：安全要求》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、教师电源交流输出电压的测试符合标准。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、教师电源直流稳压输出电压的测试符合标准。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、机械强度之250N恒定力试验符合标准。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、机械强度之外壳冲击试验符合标准。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、未接地的可触及零部件符合标准。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、抗电强度试验符合标准。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A0D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01B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5F5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DEDA3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学生实验操作及学习区</w:t>
            </w:r>
          </w:p>
        </w:tc>
      </w:tr>
      <w:tr w14:paraId="5DD6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5019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724D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物理学生实验桌</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A23B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1200*600*780mm±5mm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A6A2">
            <w:pPr>
              <w:keepNext w:val="0"/>
              <w:keepLines w:val="0"/>
              <w:pageBreakBefore w:val="0"/>
              <w:widowControl/>
              <w:numPr>
                <w:ilvl w:val="0"/>
                <w:numId w:val="4"/>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面采用15mm厚止滑陶瓷台面。陶瓷台面坯体黑色一体实芯和釉面经高温一体煅烧而成。台面操作边有止滑凹槽，有防止在实验过程中试管、液体等实验物品滑落造成意外伤害，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◆陶瓷台面技术要求满足：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、止滑要求：台面需有止滑功能，止滑槽宽13.5mm±1mm、深1.5mm±0.5mm，止滑槽凹槽表面釉面与操作面釉面一制，为一体烧制釉面，非后期破坏釉面开槽。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承重要求：针对不同的实验，需要不同的仪器以及实验器材，所以台面要有承重性能。需提供台面承重性能的检测报告，参照T/CIQA10-2020附录A标准，台面加载面650mm*650mm，均匀施加700kg载荷，保载不低于480小时，结果没有破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耐腐蚀要求：为确保台面耐化学腐蚀性能的稳定，需提供台面耐高浓度酸、碱的检测报告，其中，体积分数为0.18的盐酸溶液；体积分数为0.05的乳酸溶液；100g/L氢氧化钾溶液的台面耐腐蚀检测，参照GB/T3810.13-2016标准，检测结果需达到GHA级。</w:t>
            </w:r>
          </w:p>
          <w:p w14:paraId="6060F8D5">
            <w:pPr>
              <w:pStyle w:val="19"/>
              <w:numPr>
                <w:ilvl w:val="0"/>
                <w:numId w:val="0"/>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耐污染要求：为确保台面在使用过程中容易清洁，性能满足或优于GB/T3810.14-2016标准，检测结果达到5级。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、放射要求：为确保实验操作人员的放射安全性，性能满足或优于GB6566-2010标准，放射性的实测值：内照射指数≤0.5；外照射指数≤0.9的检测结果。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、破坏安全性：为确保台面在使用过程中不会出现断裂、开裂的质量问题，性能满足或优于GB/T3810.4-2016标准，破坏强度≥14000N；断裂模数平均值≥54MPa的检测结果。</w:t>
            </w:r>
          </w:p>
          <w:p w14:paraId="7F77CB76">
            <w:pPr>
              <w:pStyle w:val="19"/>
              <w:numPr>
                <w:ilvl w:val="0"/>
                <w:numId w:val="0"/>
              </w:numPr>
              <w:spacing w:line="360" w:lineRule="auto"/>
              <w:rPr>
                <w:rFonts w:hint="eastAsia" w:ascii="宋体" w:hAnsi="宋体" w:eastAsia="宋体" w:cs="宋体"/>
                <w:i w:val="0"/>
                <w:iCs w:val="0"/>
                <w:color w:val="000000"/>
                <w:sz w:val="24"/>
                <w:szCs w:val="24"/>
                <w:u w:val="none"/>
              </w:rPr>
            </w:pPr>
            <w:r>
              <w:rPr>
                <w:rFonts w:hint="eastAsia" w:ascii="宋体" w:hAnsi="宋体" w:eastAsia="宋体" w:cs="宋体"/>
                <w:bCs/>
                <w:color w:val="auto"/>
                <w:kern w:val="0"/>
                <w:sz w:val="24"/>
                <w:szCs w:val="24"/>
                <w:highlight w:val="none"/>
                <w:lang w:bidi="ar"/>
              </w:rPr>
              <w:t>投标文件中需提供以上带◆的技术参数</w:t>
            </w:r>
            <w:r>
              <w:rPr>
                <w:rFonts w:hint="eastAsia" w:ascii="宋体" w:hAnsi="宋体" w:cs="宋体"/>
                <w:bCs/>
                <w:color w:val="auto"/>
                <w:kern w:val="0"/>
                <w:sz w:val="24"/>
                <w:szCs w:val="24"/>
                <w:highlight w:val="none"/>
                <w:lang w:eastAsia="zh-CN" w:bidi="ar"/>
              </w:rPr>
              <w:t>要求</w:t>
            </w:r>
            <w:r>
              <w:rPr>
                <w:rFonts w:hint="eastAsia" w:ascii="宋体" w:hAnsi="宋体" w:eastAsia="宋体" w:cs="宋体"/>
                <w:i w:val="0"/>
                <w:iCs w:val="0"/>
                <w:color w:val="auto"/>
                <w:kern w:val="0"/>
                <w:sz w:val="24"/>
                <w:szCs w:val="24"/>
                <w:u w:val="none"/>
                <w:lang w:val="en-US" w:eastAsia="zh-CN" w:bidi="ar"/>
              </w:rPr>
              <w:t>具有CMA认证</w:t>
            </w:r>
            <w:r>
              <w:rPr>
                <w:rFonts w:hint="eastAsia" w:ascii="宋体" w:hAnsi="宋体" w:eastAsia="宋体" w:cs="宋体"/>
                <w:bCs/>
                <w:color w:val="auto"/>
                <w:kern w:val="0"/>
                <w:sz w:val="24"/>
                <w:szCs w:val="24"/>
                <w:highlight w:val="none"/>
                <w:lang w:bidi="ar"/>
              </w:rPr>
              <w:t>的第三方检测报告复印件。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2、结构：新型钢塑结构，学生位镂空式，符合人体工程学设计，专用书包斗ABS注塑一体注塑成型尺寸不小于410*320*110mm，镂空设计，不屯垃圾，便于清理，中间设挂凳卡。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脚架：采用多材质组合结构，组合尺寸不小于760*530*55mm，定制不小于80*55*2mm椭圆管采用模具一体成型为”Y”字型，下开口采用磨具成型改性工程塑料材料镶嵌，上端连接件采用铸铝一体成型。上框采用不小于20*30*1.0mm距形管焊接成型，并用高强度内六角螺丝连接，便于组装及拆卸，外观流线形设计，易碰撞处全部采用倒圆角。金属表面经环氧树脂粉末喷涂高温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4、后档水板采用不小于105*12*2mm厚一体成型铝合金型材、左右堵头连接件采用铸铝件磨具一体成型，固定台面不易脱落，并用高强度内六角螺丝连接，便于组装及拆卸。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5、桌脚：采用一体注塑模具成型，采用防滑调整脚，后脚预留一寸定向轮安装位置。可以配置脚轮方便移动，同时可以与地面固定，防止桌移动。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◆物理学生实验桌技术要求满足: GB 24820-2009 实验室家具通用技术条件。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1、操作台台面理化性能（1）耐磨a mg/100r：磨损值≤80，b表面情况：素色：磨350r后未出现露底现向，（2）耐划痕：1.5N，划一周，无整圈连续划痕，（3）物理实验台面抗冲击 mm：冲击高度1m。冲击凹坑直径≤10mm；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操作台力学性能（1)水平静载荷试验，力600N，10次，（2)垂直静载荷试验：主桌面：力2000N，10次，（3)持续垂直静载荷：载荷1.25kg/dm²，24h。（4)独立操作台水平冲击稳定性：质量50kg，跌落高度40mm，（5)独立操作台垂直加载稳定性：力1000N，（6)活动操作台跌落：跌落高度：150mm，10次，（7)垂直冲击试验：跌落高度：300mm，10次，技术要求满足：a零部件无断裂豁裂；b用手揿压某些应为牢固的部件未出现永久性松动；C零部件未出现严重影响使用功能的磨损或变形；d五金连接件未出现松动；e活动部件（包括门夹装置）的开关灵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投标文件中需提供以上带◆的技术参数要求具有CMA认证的第三方检测报告复印件。</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FF5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550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2F7A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6434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DAA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900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Φ315*450-500mm±5mm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E532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Style w:val="121"/>
                <w:rFonts w:hint="eastAsia" w:ascii="宋体" w:hAnsi="宋体" w:eastAsia="宋体" w:cs="宋体"/>
                <w:sz w:val="24"/>
                <w:szCs w:val="24"/>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2、聚丙烯凳面材质：采用聚丙烯共聚级注塑。表面细纹咬花，防滑不发光，凳面底部镶嵌4枚螺纹，采用标准螺栓与圆型托盘固定。</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3、脚垫材质：采用PP加耐磨纤维增强塑料，实心倒勾式一体射出成型。</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4、凳托与凳脚留有一定的空间便于凳子挂在挂凳扣上，方便教室的打扫。</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◆实验凳技术要求满足：</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一、重金属</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1、 可溶性铅(Pb)；2、可溶性镉(Cd)；3、可溶性铬(Cr)；4、可溶性汞(Hg)；均未检出。</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二、承重测试、跌落测试、凳面抗老化测试：</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1、承重测试： 静态载荷150KG后应无破损，无断裂。</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2、跌落测试 样品从20cm高度落下应无破损。</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3、凳面抗老化测试 高温60℃,120h  低温-10℃,120h，凳面无变形。</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三 、附着力、耐腐蚀测试</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1、附着力 根据SEFA-8M-2016检测，划正方形网格；划格间距：2mm  每方向划格线数：6;   胶带类型：3M898   胶带剥离角度：180°;  材质类型：硬质，检测结果不小于5B级。</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2、耐腐蚀测试 耐酸性  温度：   (23±2)℃  试液：30%H</w:t>
            </w:r>
            <w:r>
              <w:rPr>
                <w:rStyle w:val="970"/>
                <w:rFonts w:hint="eastAsia" w:ascii="宋体" w:hAnsi="宋体" w:eastAsia="宋体" w:cs="宋体"/>
                <w:sz w:val="24"/>
                <w:szCs w:val="24"/>
                <w:lang w:val="en-US" w:eastAsia="zh-CN" w:bidi="ar"/>
              </w:rPr>
              <w:t>₂</w:t>
            </w:r>
            <w:r>
              <w:rPr>
                <w:rStyle w:val="121"/>
                <w:rFonts w:hint="eastAsia" w:ascii="宋体" w:hAnsi="宋体" w:eastAsia="宋体" w:cs="宋体"/>
                <w:sz w:val="24"/>
                <w:szCs w:val="24"/>
                <w:lang w:val="en-US" w:eastAsia="zh-CN" w:bidi="ar"/>
              </w:rPr>
              <w:t>SO4溶液 时间：480h 凳面无腐蚀、变形 耐碱性  温度： (23±2)℃  试液：30%NaOH溶液  时间：480h 凳面无腐蚀、变形</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投标文件中需提供以上带◆的技术参数要求具有CMA认证的第三方检测报告复印件。</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318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DA5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171C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914AE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控制系统</w:t>
            </w:r>
          </w:p>
        </w:tc>
      </w:tr>
      <w:tr w14:paraId="09F5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D944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6C6A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顶部多模块电源供应装置</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89212">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4"/>
                <w:szCs w:val="24"/>
                <w:u w:val="none"/>
              </w:rPr>
            </w:pP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B48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1、采用ABS材质，模具一体成型。模块内预留220V高压电源、0-24V低压电源、网络接口位置。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顶部多模块电源供应装置技术要求满足</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投标文件中需提供具有CMA认证的第三方检测报告复印件</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1、标志：调节装置、输出插孔应有清晰明了、耐用的提示文字和符号；电压输出应能显示在电压表上；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2、电压调节范围:AC\DC:0～24V;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3、内部导线连接：连线后应无应力；黄绿双色线必须是接地端子，部件固定牢固，无松动现象。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4、电压指示精度，V:显示值与输出值之间的误差应在±2V以内；</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E6C0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E4E0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7215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FF9B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703B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模块储藏装置</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B11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370*370*130±5mm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65AA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采用ABS材质，模具一体成型。四周带氛围灯设计。</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A43A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A4EB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D15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181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D834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低压电源模块</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D714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1.5-24V</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604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2、学生电源采用耐磨、耐腐蚀、耐高温的PC亮光薄膜面板，学生电源的控制采用按钮式按键，可以随意设置电压，贴片元件生产技术，微电脑控制，采用不小于41*20mm尺寸面板，用于展示学生的交直流电压数据；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3、学生交流电源通过上下键0～24V电压，最小调节单元可达1V,额定电流2A；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4、学生直流电源也是通过上下键选取，调节范围为1.5～24V，分辨率可达0.1V,额定电流2.5A。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低压电源模块技术要求满足</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投标文件中需提供具有CMA认证的第三方检测报告复印件</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1、标志：调节装置、输出插孔应有清晰明了、耐用的提示文字和符号；电压输出应能显示在电压表上。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2、电压调节范围：AC/DC:0～24V。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3、内部导线连接：连线后应无应力；黄绿双色线必须是接地端子，部件固定牢固，无松动现象。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4、电压指示精度，V：显示值与输出值之间的误差应在±2V以内。</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9FD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4AF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1AC5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70E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835E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伸缩线缆</w:t>
            </w:r>
            <w:r>
              <w:rPr>
                <w:rFonts w:hint="eastAsia" w:ascii="宋体" w:hAnsi="宋体" w:cs="宋体"/>
                <w:i w:val="0"/>
                <w:iCs w:val="0"/>
                <w:color w:val="auto"/>
                <w:kern w:val="0"/>
                <w:sz w:val="24"/>
                <w:szCs w:val="24"/>
                <w:u w:val="none"/>
                <w:lang w:val="en-US" w:eastAsia="zh-CN" w:bidi="ar"/>
              </w:rPr>
              <w:t>布置</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9FD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3C7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含高低压供电线缆和网络线缆</w:t>
            </w:r>
            <w:r>
              <w:rPr>
                <w:rFonts w:hint="eastAsia" w:ascii="宋体" w:hAnsi="宋体" w:cs="宋体"/>
                <w:i w:val="0"/>
                <w:iCs w:val="0"/>
                <w:color w:val="auto"/>
                <w:kern w:val="0"/>
                <w:sz w:val="24"/>
                <w:szCs w:val="24"/>
                <w:u w:val="none"/>
                <w:lang w:val="en-US" w:eastAsia="zh-CN" w:bidi="ar"/>
              </w:rPr>
              <w:t>布置</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5EC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BD2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002AE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7D3B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E38D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高压电源模块</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BC0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386A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采用220V，多功能安全接线端;</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8999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1042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7258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216A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A298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智能升降系统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8C5B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520*390*100±5mm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B17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采用自动升降系统，自带保护功能</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7D6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7FD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158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B6F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8EF3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综合布线</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6355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8FC4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2.5平方电线，给学生低压电源供电；1平方屏蔽电源线</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BC4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7275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9DD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94C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9ED1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安装支架</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0D2F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30A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环氧树脂喷涂金属吊杆</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6B8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2C6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80E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CB0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479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安装辅件</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5DA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DE6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国标、定制五金件</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3FA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D41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50D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545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BFA5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全木仪器柜</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1BA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1000*500*2000±5mm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3BD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1、规格：1000*500*2000±5mm。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2、结构：全木结构，现代工艺，结构牢固。柜身分上下两部分，上部玻璃板材拉门，放置两层活动层板，下部板材拉门，放置一层活动层板。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3、材质：柜身材料采用18mm厚实木多层板；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板材所有截面均经全自动封边机封边处理，所用封边条分别为厚PVC封边条,热熔胶一次成型；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4、配件：采用优质五金配件，结构牢固，经久耐用。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5、性能：绿色环保、美观大方、安全实用、操作方便</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6200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E45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8A75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30C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D99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实验用防护用品</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B75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516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包含地胶123.5平方（含走廊）、实验用护墙板80平方、防盗门2扇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103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F47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1BC5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668B3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物理综合实验室（48座/间）</w:t>
            </w:r>
          </w:p>
        </w:tc>
      </w:tr>
      <w:tr w14:paraId="5E07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6FD06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r>
      <w:tr w14:paraId="70DC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FC4A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94B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A376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2400*700*900mm±5mm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0AF7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面：台面采用15mm厚陶瓷台面。陶瓷台面坯体黑色一体实芯和釉面经高温一体煅烧而成。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3、拉手：采用不锈钢拉手。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5、不锈钢防腐合页：采用优质不锈钢模具一体成型。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6、防腐三节静音导轨：三节滚珠滑轨，承重性强，滑动顺滑。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7、固定桌脚：采用柜体内置可调ABS调整脚，保证调整脚前后都可以调节高低。</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DC3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516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57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4AD4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0FE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教师演示电源</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695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500*260±5mm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FDB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1、教师演示台配备总漏电保护和分组保护，可分组控制学生的高低压电源，确保学生实验安全方便；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2、教师电源总控采用不小于225*127mm尺寸的面板，具备智能控制按键，并能显示电源电压；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5、低压大电流值为40A，自动关断；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教学电源：220V交流输出为带安全门的插座，带有电源指示，学生低压交流电源可通过智能控制按键直接选取0～24V电压，最小调节单元为1V，分组输送至学生桌；低压直流电压教师能准确控制，最小调节单元为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7、教师演示电源技术要求满足：JY/T0374-2004《教学实验室设备电源系统》、GB4943.1-2022《音视频、信息技术和通信技术设备第1部分：安全要求》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1、教师电源交流输出电压的测试符合标准。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2、教师电源直流稳压输出电压的测试符合标准。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3、机械强度之250N恒定力试验符合标准。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4、机械强度之外壳冲击试验符合标准。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5、未接地的可触及零部件符合标准。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6、抗电强度试验符合标准。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8C27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897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DCF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52069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r>
      <w:tr w14:paraId="1CD2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BB6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81B8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物理学生实验桌</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B10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1200*600*780mm±5mm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8A0A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面采用15mm厚止滑陶瓷台面。陶瓷台面坯体黑色一体实芯和釉面经高温一体煅烧而成。台面操作边有止滑凹槽，有防止在实验过程中试管、液体等实验物品滑落造成意外伤害，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2、结构：新型钢塑结构，学生位镂空式，符合人体工程学设计，专用书包斗ABS注塑一体注塑成型尺寸不小于410*320*110mm，镂空设计，不屯垃圾，便于清理，中间设挂凳卡。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脚架：采用多材质组合结构，组合尺寸不小于760*530*55mm，定制不小于80*55*2mm椭圆管采用模具一体成型为”Y”字型，下开口采用磨具成型改性工程塑料材料镶嵌，上端连接件采用铸铝一体成型。上框采用不小于20*30*1.0mm距形管焊接成型，并用高强度内六角螺丝连接，便于组装及拆卸，外观流线形设计，易碰撞处全部采用倒圆角。金属表面经环氧树脂粉末喷涂高温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4、后档水板采用不小于105*12*2mm厚一体成型铝合金型材、左右堵头连接件采用铸铝件磨具一体成型，固定台面不易脱落，并用高强度内六角螺丝连接，便于组装及拆卸。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5、桌脚：采用一体注塑模具成型，采用防滑调整脚，后脚预留一寸定向轮安装位置。可以配置脚轮方便移动，同时可以与地面固定，防止桌移动。</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2ED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199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14FD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919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19</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CA9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E14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Φ315*450-500mm±5mm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190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Style w:val="121"/>
                <w:rFonts w:hint="eastAsia" w:ascii="宋体" w:hAnsi="宋体" w:eastAsia="宋体" w:cs="宋体"/>
                <w:sz w:val="24"/>
                <w:szCs w:val="24"/>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2、聚丙烯凳面材质：采用聚丙烯共聚级注塑。表面细纹咬花，防滑不发光，凳面底部镶嵌4枚螺纹，采用标准螺栓与圆型托盘固定。</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3、脚垫材质：采用PP加耐磨纤维增强塑料，实心倒勾式一体射出成型。</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4、凳托与凳脚留有一定的空间便于凳子挂在挂凳扣上，方便教室的打扫。</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5、实验凳技术要求满足：</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（1）、重金属：1.1可溶性铅(Pb)；1.2可溶性镉(Cd)；1.3可溶性铬(Cr)；1.4可溶性汞(Hg)；均未检出。</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（2）、承重测试、跌落测试、凳面抗老化测试：2.1承重测试： 静态载荷150KG后应无破损，无断裂；2.2跌落测试 样品从20cm高度落下应无破损；2.3凳面抗老化测试 高温60℃,120h  低温-10℃,120h，凳面无变形。</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（3）、附着力、耐腐蚀测试：3.1附着力 根据SEFA-8M-2016检测，划正方形网格；划格间距：2mm  每方向划格线数：6;胶带类型：3M898   胶带剥离角度：180°;材质类型：硬质，检测结果不小于5B级；3.2耐腐蚀测试 耐酸性  温度：(23±2)℃  试液：30%H</w:t>
            </w:r>
            <w:r>
              <w:rPr>
                <w:rStyle w:val="970"/>
                <w:rFonts w:hint="eastAsia" w:ascii="宋体" w:hAnsi="宋体" w:eastAsia="宋体" w:cs="宋体"/>
                <w:sz w:val="24"/>
                <w:szCs w:val="24"/>
                <w:lang w:val="en-US" w:eastAsia="zh-CN" w:bidi="ar"/>
              </w:rPr>
              <w:t>₂</w:t>
            </w:r>
            <w:r>
              <w:rPr>
                <w:rStyle w:val="121"/>
                <w:rFonts w:hint="eastAsia" w:ascii="宋体" w:hAnsi="宋体" w:eastAsia="宋体" w:cs="宋体"/>
                <w:sz w:val="24"/>
                <w:szCs w:val="24"/>
                <w:lang w:val="en-US" w:eastAsia="zh-CN" w:bidi="ar"/>
              </w:rPr>
              <w:t>SO4溶液 时间：480h 凳面无腐蚀、变形；耐碱性  温度：   (23±2)℃  试液：30%NaOH溶液  时间：480h 凳面无腐蚀、变形</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E0E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A66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006F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A451C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控制系统</w:t>
            </w:r>
          </w:p>
        </w:tc>
      </w:tr>
      <w:tr w14:paraId="433A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F8E4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3A7E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顶部多模块电源供应装置</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DB16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B15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1、采用ABS材质，模具一体成型。模块内预留220V高压电源、0-24V低压电源、网络接口位置。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2、顶部多模块电源供应装置技术要求满足：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（1）、标志：调节装置、输出插孔应有清晰明了、耐用的提示文字和符号；电压输出应能显示在电压表上；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（2）、电压调节范围:AC\DC:0～24V;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（3）、内部导线连接：连线后应无应力；黄绿双色线必须是接地端子，部件固定牢固，无松动现象。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（4）、电压指示精度，V:显示值与输出值之间的误差应在±2V以内；</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DF04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FDC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95C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DA0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342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模块储藏装置</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26F9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370*370*130±5mm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7C9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采用ABS材质，模具一体成型。四周带氛围灯设计。</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3828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C1C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7F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0D99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368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低压电源模块</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F1E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1.5-24V</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E0E8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2、学生电源采用耐磨、耐腐蚀、耐高温的PC亮光薄膜面板，学生电源的控制采用按钮式按键，可以随意设置电压，贴片元件生产技术，微电脑控制，采用不小于41*20mm尺寸面板，用于展示学生的交直流电压数据；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3、学生交流电源通过上下键0～24V电压，最小调节单元可达1V,额定电流2A；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4、学生直流电源也是通过上下键选取，调节范围为1.5～24V，分辨率可达0.1V,额定电流2.5A。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5、低压电源模块技术要求满足：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（1）、标志：调节装置、输出插孔应有清晰明了、耐用的提示文字和符号；电压输出应能显示在电压表上。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（2）、电压调节范围：AC/DC:0～24V。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（3）、内部导线连接：连线后应无应力；黄绿双色线必须是接地端子，部件固定牢固，无松动现象。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（4）、电压指示精度，V：显示值与输出值之间的误差应在±2V以内。</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B35E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E0C6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7EFD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A842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F43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伸缩线缆</w:t>
            </w:r>
            <w:r>
              <w:rPr>
                <w:rFonts w:hint="eastAsia" w:ascii="宋体" w:hAnsi="宋体" w:cs="宋体"/>
                <w:i w:val="0"/>
                <w:iCs w:val="0"/>
                <w:color w:val="auto"/>
                <w:kern w:val="0"/>
                <w:sz w:val="24"/>
                <w:szCs w:val="24"/>
                <w:u w:val="none"/>
                <w:lang w:val="en-US" w:eastAsia="zh-CN" w:bidi="ar"/>
              </w:rPr>
              <w:t>布置</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A51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008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含高低压供电线缆和网络线缆</w:t>
            </w:r>
            <w:r>
              <w:rPr>
                <w:rFonts w:hint="eastAsia" w:ascii="宋体" w:hAnsi="宋体" w:cs="宋体"/>
                <w:i w:val="0"/>
                <w:iCs w:val="0"/>
                <w:color w:val="auto"/>
                <w:kern w:val="0"/>
                <w:sz w:val="24"/>
                <w:szCs w:val="24"/>
                <w:u w:val="none"/>
                <w:lang w:val="en-US" w:eastAsia="zh-CN" w:bidi="ar"/>
              </w:rPr>
              <w:t>布置</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BB8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DF2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5A8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2C1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1E1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高压电源模块</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E05E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220V</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BE8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采用220V，多功能安全</w:t>
            </w:r>
            <w:r>
              <w:rPr>
                <w:rFonts w:hint="eastAsia" w:ascii="宋体" w:hAnsi="宋体" w:cs="宋体"/>
                <w:i w:val="0"/>
                <w:iCs w:val="0"/>
                <w:color w:val="auto"/>
                <w:kern w:val="0"/>
                <w:sz w:val="24"/>
                <w:szCs w:val="24"/>
                <w:u w:val="none"/>
                <w:lang w:val="en-US" w:eastAsia="zh-CN" w:bidi="ar"/>
              </w:rPr>
              <w:t>接线端</w:t>
            </w:r>
            <w:r>
              <w:rPr>
                <w:rFonts w:hint="eastAsia" w:ascii="宋体" w:hAnsi="宋体" w:eastAsia="宋体" w:cs="宋体"/>
                <w:i w:val="0"/>
                <w:iCs w:val="0"/>
                <w:color w:val="auto"/>
                <w:kern w:val="0"/>
                <w:sz w:val="24"/>
                <w:szCs w:val="24"/>
                <w:u w:val="none"/>
                <w:lang w:val="en-US" w:eastAsia="zh-CN" w:bidi="ar"/>
              </w:rPr>
              <w:t>;</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73FB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043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5D99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A62E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38E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智能升降系统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73F9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520*390*100±5mm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030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采用自动升降系统，自带保护功能</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0485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83A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0C3F0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D818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9556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综合布线</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691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432D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2.5平方电线，给学生低压电源供电；1平方屏蔽电源线</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2E1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BA2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CC2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D28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3687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安装支架</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677F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0F96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环氧树脂喷涂金属吊杆</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AF3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696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024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7B19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FBE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安装辅件</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02F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854B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国标、定制五金件</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7B3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C66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6DF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C3C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29</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542C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全木仪器柜</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F34E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1000*500*2000±5mm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D36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、结构：全木结构，现代工艺，结构牢固。柜身分上下两部分，上部玻璃板材拉门，放置两层活动层板，下部板材拉门，放置一层活动层板。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、材质：柜身材料采用18mm厚实木多层板；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板材所有截面均经全自动封边机封边处理，所用封边条分别为厚PVC封边条,热熔胶一次成型；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、配件：采用优质五金配件，结构牢固，经久耐用。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、性能：绿色环保、美观大方、安全实用、操作方便</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5D0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A540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129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EF5C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564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实验用防护用品</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BD7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83E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包含地胶123.5平方（含走廊）、实验用护墙板80平方、防盗门2扇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BD7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1FB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0994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AA508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数字化实验室管理平台</w:t>
            </w:r>
          </w:p>
        </w:tc>
      </w:tr>
      <w:tr w14:paraId="1AAA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E7D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88C6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智慧实验室综合管理平台（本地化部署）</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4BC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4B8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智慧实验室综合管理模块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(1)平台开发使用高移植性的JAVA语言，实现B/S结构并且前后端分离开发；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(2)前后端完全分离，前端支持使用vue2.0框架技术开发，平台同时支持PC和微信端；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(3)支持SpringCloud的微服务架构，采用Spring Cloud 原生组件，提升系统的可持续拓展性；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w:t>
            </w:r>
            <w:bookmarkStart w:id="32" w:name="OLE_LINK1"/>
            <w:r>
              <w:rPr>
                <w:rFonts w:hint="eastAsia" w:ascii="宋体" w:hAnsi="宋体" w:eastAsia="宋体" w:cs="宋体"/>
                <w:i w:val="0"/>
                <w:iCs w:val="0"/>
                <w:color w:val="000000"/>
                <w:kern w:val="0"/>
                <w:sz w:val="24"/>
                <w:szCs w:val="24"/>
                <w:u w:val="none"/>
                <w:lang w:val="en-US" w:eastAsia="zh-CN" w:bidi="ar"/>
              </w:rPr>
              <w:t>redis3.0</w:t>
            </w:r>
            <w:bookmarkEnd w:id="32"/>
            <w:r>
              <w:rPr>
                <w:rFonts w:hint="eastAsia" w:ascii="宋体" w:hAnsi="宋体" w:eastAsia="宋体" w:cs="宋体"/>
                <w:i w:val="0"/>
                <w:iCs w:val="0"/>
                <w:color w:val="000000"/>
                <w:kern w:val="0"/>
                <w:sz w:val="24"/>
                <w:szCs w:val="24"/>
                <w:u w:val="none"/>
                <w:lang w:val="en-US" w:eastAsia="zh-CN" w:bidi="ar"/>
              </w:rPr>
              <w:t>或以上分布式高速缓存实现报表快速响应及用户数据跨平台共享；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(5)平台接口支持HTTPS SSL通道加密，保障数据传递安全；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(6)支持前端PDF文档预览使用pdf.js进行PDF文档预览；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(7)支持前端公共js脚本使用CDN进行加速访问；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(8)支持前端使用ESLint js和Vetur vue 语法校验，使开发代码保持统一规范；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(9)支持前端使用统一的鉴权方法，保证系统访问安全。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2、系统最低运行服务器配置要求：CPU：10核16线程/内存：16G/硬盘：2T；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3、运行环境：兼容Windows Sever和Linux，同时兼容国产化操作系统；</w:t>
            </w:r>
          </w:p>
          <w:p w14:paraId="66EA9B1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、数据库系统：采用国产化开源数据库系统架构；支持服务断电重启，数据自动备份，实时保障数据和服务安全。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、系统设置：系统信息设置，页面内容包括机构名称、机构简称、机构LOGO（图片）、管理员姓名、管理员手机号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、系统管理和基础信息：各子系统拥有共用的系统管理和基础信息，包括统一的账号管理，角色权限管理，房间、区域管理等基础模块的维护。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、平台支持的子系统模块：大数据可视化中心、智能无感仪器管理模块、实验室教学管理模块、智能危化品管理模块、虚拟仿真实验、环境检测等。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、支持通过同一个账号登录各子系统进行操作管理，无须切换账号和二次登录。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.支持智能硬件数据互通：支持与智取终端、智能仪器管理车、超高频仪器扫描枪等智能硬件数据同步，实现实验室数据集中管理，极大提高实验室管理效率。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AE5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DDA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CDE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D4F1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7C6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智慧实验室</w:t>
            </w:r>
            <w:r>
              <w:rPr>
                <w:rFonts w:hint="eastAsia" w:ascii="宋体" w:hAnsi="宋体" w:eastAsia="宋体" w:cs="宋体"/>
                <w:i w:val="0"/>
                <w:iCs w:val="0"/>
                <w:color w:val="000000"/>
                <w:kern w:val="0"/>
                <w:sz w:val="24"/>
                <w:szCs w:val="24"/>
                <w:u w:val="none"/>
                <w:lang w:val="en-US" w:eastAsia="zh-CN" w:bidi="ar"/>
              </w:rPr>
              <w:t>大数据平台管理模块</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9416">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89A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1.实验室实时状态：实验室教室预约数据，以动态数字形式显示“总量”、“空闲中”、“使用中”实验室状态，各项数据动态更新。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2.实验开课实时状态：实验室开课实时状态模块的数据以列表的形式实时、滚动展现学校实验室开最新的上课信息，字段内容包括“实验名”、“班级”、“教师”、“地点”。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实验开出率排行：支持根据年度、学期筛查各阶段数据。实验开出率排行模块以各学科分项排行列表的形式展示了实验教学排行情况；分项字段为“汇总”、"物理"、"化学"、生物"根据学科选择进行数据展示，具体展示内容字段：“序号”、“班级”、“开出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4.实验仪器总量：已动态数字形式显示全校实验仪器总量、物理仪器总量、化学仪器总量、生物仪器总量总量数据。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5.实验开课数走势图：按月份展现线型走势图，物理、化学、生物学科数据予以展示。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6.仪器借还统计图：按学期、学科已每月物理、化学、生物学科统计仪器借出、归还，按走势图形式进行数据展示。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7.仪器概况：按照在用、借用中、待报废、已报废、闲置分别进行数量的数据统计，并通过环形对比图进行展示。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8.仪器分类统计：从数量、金额两个方向进行展示。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9.仪器达标率统计：可通过环形对比图展示达标仪器数和未达标仪器数。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F5E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7E9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70C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70C1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362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实验室教学服务管理模块</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9F1BE">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E8F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1.实验排课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按照日历表的形式进行日期显示课表数据，支持按照周、月历表形式展示每日课时信息，根据预约人、预约时间、实验室、实验名称进行显示，点击预约信息查看预约详情。支持搜索实验功能，我的预约信息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（2）创建预约按照预约时间、班级名称、实验名称、是否必做、实验教师、开课地点、实验人数、实验小组数、备注填写数据。同步调取平台学期、学年、班级信息，进行选项操作，无需手动填写。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（3）实验信息支持逐行添加，根据仪器、耗材进行区分，按照仪器信息、数量进行选择，支持操作逐条删除。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2.实验预约记录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（1）根据实验名称、班级名称、预约人、实验教师、开课地点、实验学科、状态、预约时间、登记时间进行查询、清空内容，支持导出功能。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（2）按照实验名称、开课地点、实验学科、班级名称、实验教师、预约人、预约时间、登记时间、状态、操作显示各项数据。操作支持点击查看预约详情。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3.实验开课记录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根据实验名称、开课地点、实验学科、班级名称、实验教师、登记人、预约时间进行条件查询、清空信息。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4.实验库管理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各实验课程项目进行选择；实验项目具体信息按照创建人、创建时间、实验名称、实验类型、标准、仪器种类、实验指南、实验仪器信息进行显示。实验指南支持上传文件功能，实验仪器信息根据仪器、耗材分项选择显示仪器信息、计量单位、数量、操作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5.实验计划管理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（1）支持按照学年、学期、年级进行查询、清空；支持导入实验课程数据。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（2）根据学年、学期的各学科实验计划显示：创建人、创建时间、实验总数、学年、年级、学期、实验信息数据。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6.教师实验开出统计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（1）支持按照学年、学期进行选择查询、清空，支持导出功能。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（2）按照教师信息分项统计：演示实验：应做学时数、实做学时数、开出率%；分组实验：应做学时数、实做学时数、开出率%；合计：应做学时数、实做学时数、开出率%；操作支持详情页操作。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（3）详情页支持实现类型选项查询、清空；支持导出功能；返回统计页。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（4）根据学年学期显示实验统计应做学时数、实做学时数、开出率；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（5）页面按照实验名称、实验类型、是否必做、实验教师、开课地点、开课时间、实验人数、实验小组数、状态、备注、操作显示各项数据；操作支持添加备注。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7.班级实验开出统计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（1）支持按照学年、学期、班级进行选择查询、清空，支持导出功能。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（2）按照年级信息分项统计：演示实验：应做学时数、实做学时数、开出率%；分组实验：应做学时数、实做学时数、开出率%；合计：应做学时数、实做学时数、开出率%；操作支持详情页操作。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（3）详情页支持实现类型选项查询、清空；支持导出功能；返回统计页。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（4）根据学年学期显示班级实验统计应做学时数、实做学时数、开出率；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（5）页面按照实验名称、实验类型、是否必做、实验教师、开课地点、开课时间、实验人数、实验小组数、状态、备注、操作显示各项数据；操作支持修改备注、显示实验报告单。</w:t>
            </w:r>
          </w:p>
          <w:p w14:paraId="6EFCBA91">
            <w:pPr>
              <w:pStyle w:val="15"/>
              <w:spacing w:line="360" w:lineRule="auto"/>
              <w:ind w:left="0" w:leftChars="0" w:firstLine="0" w:firstLineChars="0"/>
              <w:rPr>
                <w:rFonts w:hint="eastAsia"/>
              </w:rPr>
            </w:pPr>
            <w:r>
              <w:rPr>
                <w:rFonts w:hint="eastAsia" w:ascii="宋体" w:hAnsi="宋体" w:eastAsia="宋体" w:cs="宋体"/>
                <w:i w:val="0"/>
                <w:iCs w:val="0"/>
                <w:snapToGrid/>
                <w:color w:val="000000"/>
                <w:kern w:val="0"/>
                <w:sz w:val="24"/>
                <w:szCs w:val="24"/>
                <w:u w:val="none"/>
                <w:lang w:val="en-US" w:eastAsia="zh-CN" w:bidi="ar"/>
              </w:rPr>
              <w:t>投标人需提供满足上述1-7项功能的真实软件界面截图。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E95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78C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2EB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F1C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442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智能无感仪器管理模块</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2AF6A">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B73B">
            <w:pPr>
              <w:keepNext w:val="0"/>
              <w:keepLines w:val="0"/>
              <w:pageBreakBefore w:val="0"/>
              <w:widowControl/>
              <w:numPr>
                <w:ilvl w:val="0"/>
                <w:numId w:val="5"/>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仪器入库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支持将</w:t>
            </w:r>
            <w:r>
              <w:rPr>
                <w:rFonts w:hint="eastAsia" w:ascii="宋体" w:hAnsi="宋体" w:eastAsia="宋体" w:cs="宋体"/>
                <w:i w:val="0"/>
                <w:iCs w:val="0"/>
                <w:color w:val="000000"/>
                <w:kern w:val="0"/>
                <w:sz w:val="24"/>
                <w:szCs w:val="24"/>
                <w:u w:val="none"/>
                <w:lang w:val="en-US" w:eastAsia="zh-CN" w:bidi="ar"/>
              </w:rPr>
              <w:t>仪器上的RFID标签信息进行系统入库操作，系统支持批量入库及页面新增入库的功能。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（1）仪器入库软件页面信息包括：查询、清空、新增、导入、导出；批次号、导入人、导入类型、数量、金额、导入日期、操作。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新增入库仪器：在入库软件页面支持新增仪器，新增页面信息包括：信息包括：仪器名称、规格型号、仪器编号、标签编码、入库数量、计量单位、仪器类型、仪器分类、保养周期、有效期、库存预警阈值、仪器来源、保管人、入账日期、品牌、采购价格、采购日期、会计凭证号、经费来源、备注的字段信息；支持提交、取消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2.库存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（1）支持库存页面显示库存总金额、库存总量、支持按照仪器名称、规格型号进行查询、清空、导出。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（2）支持查询结果按仪器名称、规格型号进行同类合并显示，显示信息为：仪器名称、规格型号、库存总金额、库存总量、在用总量、闲置总量，操作支持查看详情；支持库存初始化操作.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进入详情展示信息包括：仪器编号、标签编码、仪器名称、规格型号、仪器类型、仪器分类、存放位置、领用人、保管人、创建时间、有效期、保养周期、采购日期、采购价格、入账日期、计量单位、仪器来源、经费来源、品牌、会记凭证号、状态、净残值、图片、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3.库存清单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展示所有仪器库存的清单列表，支持按照仪器编号、标签编码、仪器名称、规格、存放位置、仪器类型、仪器分类、状态、领用人、入账日期进行查询和清空查询条件；查询信息展示为：序号、仪器图片、仪器编号、标签编码、仪器名称、规格型号、仪器类型、仪器分类、有效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sz w:val="24"/>
                <w:szCs w:val="24"/>
                <w:u w:val="none"/>
                <w:lang w:eastAsia="zh-CN"/>
              </w:rPr>
              <w:t>◆</w:t>
            </w:r>
            <w:r>
              <w:rPr>
                <w:rFonts w:hint="eastAsia" w:ascii="宋体" w:hAnsi="宋体" w:eastAsia="宋体" w:cs="宋体"/>
                <w:i w:val="0"/>
                <w:iCs w:val="0"/>
                <w:color w:val="000000"/>
                <w:kern w:val="0"/>
                <w:sz w:val="24"/>
                <w:szCs w:val="24"/>
                <w:u w:val="none"/>
                <w:lang w:val="en-US" w:eastAsia="zh-CN" w:bidi="ar"/>
              </w:rPr>
              <w:t>4.仪器预约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（1）支持仪器预约记录显示字段：包括预约单号、用途、预约总数、预约人、状态、预约开始时间，预约结束时间、详情。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（2）仪器预约详情支持以下功能展示：仪器图片、仪器名称、规格型号、数量。新增预约单支持以下功能展示：预约人、预约时间、用途、仪器信息、数量、操作。</w:t>
            </w:r>
          </w:p>
          <w:p w14:paraId="3E506026">
            <w:pPr>
              <w:pStyle w:val="15"/>
              <w:spacing w:line="360" w:lineRule="auto"/>
              <w:ind w:left="0" w:leftChars="0" w:firstLine="0" w:firstLineChars="0"/>
              <w:rPr>
                <w:rFonts w:hint="eastAsia"/>
                <w:b/>
                <w:bCs/>
                <w:color w:val="auto"/>
                <w:sz w:val="24"/>
                <w:szCs w:val="24"/>
                <w:lang w:val="en-US" w:eastAsia="zh-CN"/>
              </w:rPr>
            </w:pPr>
            <w:r>
              <w:rPr>
                <w:rFonts w:hint="eastAsia" w:ascii="宋体" w:hAnsi="宋体" w:eastAsia="宋体" w:cs="宋体"/>
                <w:b/>
                <w:bCs/>
                <w:i w:val="0"/>
                <w:iCs w:val="0"/>
                <w:color w:val="auto"/>
                <w:kern w:val="0"/>
                <w:sz w:val="24"/>
                <w:szCs w:val="24"/>
                <w:u w:val="none"/>
                <w:lang w:val="en-US" w:eastAsia="zh-CN" w:bidi="ar"/>
              </w:rPr>
              <w:t>投标人需提供满足上述</w:t>
            </w:r>
            <w:r>
              <w:rPr>
                <w:rFonts w:hint="eastAsia" w:hAnsi="宋体" w:cs="宋体"/>
                <w:b/>
                <w:bCs/>
                <w:i w:val="0"/>
                <w:iCs w:val="0"/>
                <w:color w:val="auto"/>
                <w:kern w:val="0"/>
                <w:sz w:val="24"/>
                <w:szCs w:val="24"/>
                <w:u w:val="none"/>
                <w:lang w:val="en-US" w:eastAsia="zh-CN" w:bidi="ar"/>
              </w:rPr>
              <w:t>仪器预约</w:t>
            </w:r>
            <w:r>
              <w:rPr>
                <w:rFonts w:hint="eastAsia" w:ascii="宋体" w:hAnsi="宋体" w:eastAsia="宋体" w:cs="宋体"/>
                <w:b/>
                <w:bCs/>
                <w:i w:val="0"/>
                <w:iCs w:val="0"/>
                <w:color w:val="auto"/>
                <w:kern w:val="0"/>
                <w:sz w:val="24"/>
                <w:szCs w:val="24"/>
                <w:u w:val="none"/>
                <w:lang w:val="en-US" w:eastAsia="zh-CN" w:bidi="ar"/>
              </w:rPr>
              <w:t>功能的</w:t>
            </w:r>
            <w:r>
              <w:rPr>
                <w:rFonts w:hint="eastAsia" w:ascii="宋体" w:hAnsi="宋体" w:cs="宋体"/>
                <w:b/>
                <w:bCs/>
                <w:i w:val="0"/>
                <w:iCs w:val="0"/>
                <w:color w:val="auto"/>
                <w:kern w:val="0"/>
                <w:sz w:val="24"/>
                <w:szCs w:val="24"/>
                <w:u w:val="none"/>
                <w:lang w:val="en-US" w:eastAsia="zh-CN" w:bidi="ar"/>
              </w:rPr>
              <w:t>真实</w:t>
            </w:r>
            <w:r>
              <w:rPr>
                <w:rFonts w:hint="eastAsia" w:ascii="宋体" w:hAnsi="宋体" w:eastAsia="宋体" w:cs="宋体"/>
                <w:b/>
                <w:bCs/>
                <w:i w:val="0"/>
                <w:iCs w:val="0"/>
                <w:color w:val="auto"/>
                <w:kern w:val="0"/>
                <w:sz w:val="24"/>
                <w:szCs w:val="24"/>
                <w:u w:val="none"/>
                <w:lang w:val="en-US" w:eastAsia="zh-CN" w:bidi="ar"/>
              </w:rPr>
              <w:t>软件界面截图。</w:t>
            </w:r>
            <w:r>
              <w:rPr>
                <w:rFonts w:hint="eastAsia" w:ascii="宋体" w:hAnsi="宋体" w:cs="宋体"/>
                <w:b/>
                <w:bCs/>
                <w:i w:val="0"/>
                <w:iCs w:val="0"/>
                <w:color w:val="auto"/>
                <w:kern w:val="0"/>
                <w:sz w:val="24"/>
                <w:szCs w:val="24"/>
                <w:u w:val="none"/>
                <w:lang w:val="en-US" w:eastAsia="zh-CN" w:bidi="ar"/>
              </w:rPr>
              <w:t>并加盖投标人公章。</w:t>
            </w:r>
          </w:p>
          <w:p w14:paraId="7C982FCC">
            <w:pPr>
              <w:pStyle w:val="15"/>
              <w:spacing w:line="360" w:lineRule="auto"/>
              <w:ind w:left="0" w:leftChars="0" w:firstLine="0" w:firstLineChars="0"/>
              <w:rPr>
                <w:rFonts w:hint="eastAsia" w:ascii="宋体" w:hAnsi="宋体" w:eastAsia="宋体" w:cs="宋体"/>
                <w:i w:val="0"/>
                <w:iCs w:val="0"/>
                <w:snapToGrid/>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5、仪器借还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（1）支持仪器借还展示的为管理设备的借还操作记录。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（2）支持搜索功能按照：借还单号、操作人信息、操作时间、类型、进行检索。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（3）页面支持：查询、清空、导出功能操作。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（4）仪器借还详情页面展示信息包括：标签编码、仪器名称、规格型号、存放位置。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6、仪器</w:t>
            </w:r>
            <w:r>
              <w:rPr>
                <w:rFonts w:hint="eastAsia" w:ascii="宋体" w:hAnsi="宋体" w:eastAsia="宋体" w:cs="宋体"/>
                <w:i w:val="0"/>
                <w:iCs w:val="0"/>
                <w:color w:val="auto"/>
                <w:kern w:val="0"/>
                <w:sz w:val="24"/>
                <w:szCs w:val="24"/>
                <w:u w:val="none"/>
                <w:lang w:val="en-US" w:eastAsia="zh-CN" w:bidi="ar"/>
              </w:rPr>
              <w:t>处置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（1）搜索功能支持按照：处置单号、处置人、处置日期、进行查询，页面支持：查询、清空、导出操作。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（2）处置单详情展示包括：标签编码、仪器名称、规格型号、仪器类型、存放位置、采购价格、处置类型。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（3）平台支持批量导入处置，通过下载处置模板，填写需处置仪器的信息导入进行批量处置操作。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7.仪器维修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（1）搜索功能按照：维修单号、报修人、报修日期信息进行检索。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（2）支持：查询、清空、导出功能操作。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（3）维修单详情页面显示包括：标签编码、仪器名称、规格型号、仪器类型、仪器分类、存放位置、使用人、维修状态、备注、图片。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8.盘点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（1）盘点计划：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1.1支持根据盘点范围、计划完成时间、状态进行查询、清空。支持新增盘点计划、导出功能。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1.2软件页面支持按照盘点计划号、执行人、盘点范围、状态、计划完成日期、盘点完成时间、操作进行展示。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1.3新增盘点计划页面支持按照盘点范围、计划完成时间、执行人、添加仪器品类，进行盘点计划的创建。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（2）日常盘点：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2.1页面支持按照盘点单号、执行人、盘点范围、盘点数量、异常数量、状态、盘点时间、操作显示各项数据。操作支持详情页查看。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2.2日常盘点详情页支持按照不同状态显示，盘点结果、盘点范围、正常数量、异常数量数据。根据应盘、实盘、缺失、归属异常、识别异常、已处置进行分类数据统计。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2.3页面支持按照：标签编码、仪器名称、规格型号、仪器类型、仪器分类、应在存放位置、盘点结果、备注显示数据。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9.低值易耗品台账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（1）支持搜索功能按照：标签编码、低值易耗品名称、存放位置、操作人、操作时间、类型信息进行检索。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（2）页面支持：查询、清空、导出功能操作。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（3）软件页面显示支持按照：标签编码、低值易耗品名称、低值易耗品规格、操作人、操作时间、类型、数量、存放位置进行分项展示。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10.耗材库存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（1）支持软件页面显示库存总金额、库存总量、支持按照耗材名称、规格型号进行查询、清空、导出。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（2）支持软件界面查询结果按耗材名称、规格型号进行同类合并显示，软件页面信息包括：耗材名称、规格型号、入库总金额、入库总量、已处置总量、当前库存总量、当前库存总金额，操作支持查看详情；</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7FF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0D35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86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ED5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FB18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实验操作虚拟仿真训练模块</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375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123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（1）虚拟实验仿真系统（以下所有的软件内容及功能要求在同一软件系统平台中进行操作）</w:t>
            </w:r>
          </w:p>
          <w:p w14:paraId="57B2CAF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1）要求提供符合中学教材的实验数量不少于240节，实验内容涵盖需包括但不限于教材上的演示实验、探究实验、实验活动、课外实验、补充实验等，支持后续资源数量更新；</w:t>
            </w:r>
          </w:p>
          <w:p w14:paraId="48A6CBA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2）要求实验内容组成包括实验要点，实验要点具体内容至少需包含实验简介、实验目的、实验原理、实验步骤、实验结论等模块；</w:t>
            </w:r>
          </w:p>
          <w:p w14:paraId="479FEE8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3）所有实验器材模型均为3D高精度、高保真模型，支持在任意视角下对实验进行观察及交互；</w:t>
            </w:r>
          </w:p>
          <w:p w14:paraId="360401A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4）软件支持无账号使用资源内容，同时支持账号登录、微信/钉钉扫码的方式登录；用户根据角色登录平台使用相关功能，并提供相关的资源展示；</w:t>
            </w:r>
          </w:p>
          <w:p w14:paraId="7359513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5）要求资源支持通过触控、鼠标的方式，对实验器材/药品进行移动和右键菜单操作、对操作界面进行放大与缩小、旋转和移动；</w:t>
            </w:r>
          </w:p>
          <w:p w14:paraId="2491157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6）支持将单个实验器材/试剂摆放在操作界面上的任意位置，而非传统的线性移动；</w:t>
            </w:r>
          </w:p>
          <w:p w14:paraId="1CC545F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软件支持一键组装功能，用户可自主将实验器材进行拼装配置，或者借助一键组装功能高效整合并组建复杂的实验装置，满足教学场景中多元化的实验设备搭建需求</w:t>
            </w:r>
            <w:r>
              <w:rPr>
                <w:rFonts w:hint="eastAsia" w:ascii="宋体" w:hAnsi="宋体" w:eastAsia="宋体" w:cs="宋体"/>
                <w:b/>
                <w:bCs/>
                <w:i w:val="0"/>
                <w:iCs w:val="0"/>
                <w:color w:val="000000"/>
                <w:sz w:val="24"/>
                <w:szCs w:val="24"/>
                <w:u w:val="none"/>
              </w:rPr>
              <w:t>（证明材料：产品功能界面截图，复印件加盖投标人电子签名或公章）</w:t>
            </w:r>
            <w:r>
              <w:rPr>
                <w:rFonts w:hint="eastAsia" w:ascii="宋体" w:hAnsi="宋体" w:eastAsia="宋体" w:cs="宋体"/>
                <w:i w:val="0"/>
                <w:iCs w:val="0"/>
                <w:color w:val="000000"/>
                <w:sz w:val="24"/>
                <w:szCs w:val="24"/>
                <w:u w:val="none"/>
              </w:rPr>
              <w:t>；</w:t>
            </w:r>
          </w:p>
          <w:p w14:paraId="6D00990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8）软件支持画笔功能，能够在实验操作界面书写标注、进行重点区域圈划等；</w:t>
            </w:r>
          </w:p>
          <w:p w14:paraId="6CDD0FD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9）软件支持擦除功能，能够根据用户操作实时定位并精确擦除指定位置的笔迹，可按需局部清除而非一次性整体消除；</w:t>
            </w:r>
          </w:p>
          <w:p w14:paraId="0AF3672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10）支持实验教学任务模块，支持教师发布实验教学任务并查看学生完成情况，学生登录软件后完成教师发布的实验任务，实现课前预习和课后复习实验的教学效果</w:t>
            </w:r>
            <w:r>
              <w:rPr>
                <w:rFonts w:hint="eastAsia" w:ascii="宋体" w:hAnsi="宋体" w:eastAsia="宋体" w:cs="宋体"/>
                <w:b/>
                <w:bCs/>
                <w:i w:val="0"/>
                <w:iCs w:val="0"/>
                <w:color w:val="000000"/>
                <w:sz w:val="24"/>
                <w:szCs w:val="24"/>
                <w:u w:val="none"/>
              </w:rPr>
              <w:t>（证明材料：产品功能界面截图，复印件加盖投标人电子签名或公章）</w:t>
            </w:r>
            <w:r>
              <w:rPr>
                <w:rFonts w:hint="eastAsia" w:ascii="宋体" w:hAnsi="宋体" w:eastAsia="宋体" w:cs="宋体"/>
                <w:i w:val="0"/>
                <w:iCs w:val="0"/>
                <w:color w:val="000000"/>
                <w:sz w:val="24"/>
                <w:szCs w:val="24"/>
                <w:u w:val="none"/>
              </w:rPr>
              <w:t>；</w:t>
            </w:r>
          </w:p>
          <w:p w14:paraId="38D4906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11）软件支持一键截屏和视频录制功能，支持用户在实验教学过程中，根据教学需求保存重要教学板书等内容并制作微课。支持通过教学管控系统对学生端软件进行管理，在联播和自由模式下对包括统一打开同一个实验资源进行教学，限制使用个别学科的资源内容，软件黑屏、关闭软件应用等功能；</w:t>
            </w:r>
          </w:p>
          <w:p w14:paraId="360F83B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12）支持用户提交使用问题、操作日志、系统崩溃日志等问题；</w:t>
            </w:r>
          </w:p>
          <w:p w14:paraId="38B2178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13）支持提供用户界面交互操作指南，以图文形式直观展示触屏及鼠标在实验软件中的操作方法；</w:t>
            </w:r>
          </w:p>
          <w:p w14:paraId="1351E33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14）支持增量热更新技术，可将已修复的资源推送给用户更新并使用，用户只需更新一次推送的内容即可；</w:t>
            </w:r>
          </w:p>
          <w:p w14:paraId="24644F0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15）</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支持与“三个课堂”应用进行融合，将资源的AR效果实时与真实场景叠加并输出给录播系统进行呈现</w:t>
            </w:r>
            <w:r>
              <w:rPr>
                <w:rFonts w:hint="eastAsia" w:ascii="宋体" w:hAnsi="宋体" w:eastAsia="宋体" w:cs="宋体"/>
                <w:b/>
                <w:bCs/>
                <w:i w:val="0"/>
                <w:iCs w:val="0"/>
                <w:color w:val="000000"/>
                <w:sz w:val="24"/>
                <w:szCs w:val="24"/>
                <w:u w:val="none"/>
              </w:rPr>
              <w:t>（证明材料：产品功能界面截图，复印件加盖投标人电子签名或公章）</w:t>
            </w:r>
            <w:r>
              <w:rPr>
                <w:rFonts w:hint="eastAsia" w:ascii="宋体" w:hAnsi="宋体" w:eastAsia="宋体" w:cs="宋体"/>
                <w:i w:val="0"/>
                <w:iCs w:val="0"/>
                <w:color w:val="000000"/>
                <w:sz w:val="24"/>
                <w:szCs w:val="24"/>
                <w:u w:val="none"/>
              </w:rPr>
              <w:t>；</w:t>
            </w:r>
          </w:p>
          <w:p w14:paraId="492D025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16）软件系统支持多终端跨平台通过web访问，无需安装任何插件，师生一人一账号，不受时空限制，也支持客户端形式使用；</w:t>
            </w:r>
          </w:p>
          <w:p w14:paraId="117804F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17）软件服务支持“云、边、端”形式的资源服务部署；</w:t>
            </w:r>
          </w:p>
          <w:p w14:paraId="2D4462A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18）资源运行帧率不小于60帧/秒；</w:t>
            </w:r>
          </w:p>
          <w:p w14:paraId="558ECE9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19）主要物体的贴图精度不小于512像素/米；</w:t>
            </w:r>
          </w:p>
          <w:p w14:paraId="19D4395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20）软件要求提供中学常用的实验器材库，支持任意视角对实验器材进行独立观察、展示，数量不少于160个，要求重点实验器材支持部件拆分，组合；</w:t>
            </w:r>
          </w:p>
          <w:p w14:paraId="2CF43A2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21）软件要求提供的中学物理实验内容模块需包含声、光、热、电、力等多个实验模块与实验场景。其中需包含实验：水瓶琴、响度实验、平面镜成像、光的色散、凸透镜成像、探究水沸腾时温度变化的特点、探究固体熔化时温度的变化规律、怎样连接电路、通电螺线管的磁场、研究影响滑动摩擦力大小的因素、探究物体的动能跟哪些因素有关等；</w:t>
            </w:r>
          </w:p>
          <w:p w14:paraId="4A8D56F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22）提供实验教学中常见的电路图，用户可直接在电路图上进行编辑或新建电路图，电路图中可直观的查看电流走向，支持一键保存至用户账号中，在授课时可直接在软件中调用电路图；</w:t>
            </w:r>
          </w:p>
          <w:p w14:paraId="748F22B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23）在电与磁实验中可随时开启/关闭电流方向及磁感线；</w:t>
            </w:r>
          </w:p>
          <w:p w14:paraId="35FE44E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24）软件要求提供的中学生物内容模块包含动物学、植物学、人体生理、微生物等多个实验模块与实验场景。其中需要包含实验：制作并观察洋葱鳞片叶内表皮细胞临时装片、制作并观察人的口腔上皮细胞临时装片、动物细胞的基本结构、观察草履虫、观察细菌的形态和结构、食物链和食物网等；</w:t>
            </w:r>
          </w:p>
          <w:p w14:paraId="059DDC1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25）可为学生直观的展示生物实验的实验现象，并合理的对实验的时间周期进行加快；</w:t>
            </w:r>
          </w:p>
          <w:p w14:paraId="2038CCD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26）软件要求提供的中学化学实验内容模块需包含制备实验、检测实验、验证实验、探究实验、应用实验等多个实验模块与实验场景。其中需包含实验：硫分别在空气和氧气里燃烧、分解过氧化氢制氧气的反应中二氧化锰的作用、探究分子运动现象、电解水实验、木炭吸附性实验、二氧化碳与水的反应实验等；</w:t>
            </w:r>
          </w:p>
          <w:p w14:paraId="0B448AB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27）支持基于实验步骤需求，可直接点击实验用品，完成抓取、释放、移动、旋转、摇晃、搅拌等动作，从而完成器材/药品的取用和调配、仪器的连接、开关的启用等操作；</w:t>
            </w:r>
          </w:p>
          <w:p w14:paraId="2C392B8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28）支持直观展示化学实验的反应现象，如沉淀、爆炸、烟雾、火星喷溅、颜色变化等；</w:t>
            </w:r>
          </w:p>
          <w:p w14:paraId="263833F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（2）实验操作练测系统</w:t>
            </w:r>
          </w:p>
          <w:p w14:paraId="010DC61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1）软件系统支持多终端跨平台通过web访问，无需安装任何插件，师生一人一账号，不受时空限制。同时支持客户端形式使用；</w:t>
            </w:r>
          </w:p>
          <w:p w14:paraId="56F71A2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2）软件需支持账号登录、用户通过微信/钉钉扫码方式登录；</w:t>
            </w:r>
          </w:p>
          <w:p w14:paraId="05A276E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3）支持练习模式和自测两种测评模式，用户可根据自身学习情况选择对应的模式进行操作；</w:t>
            </w:r>
          </w:p>
          <w:p w14:paraId="4157CF6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4）软件需以考试操作步骤为标准，充分模拟真实实验操作中的各个环节，至少包括实验前器材检查、实验操作内容、填写实验报告数据、实验后器材整理；</w:t>
            </w:r>
          </w:p>
          <w:p w14:paraId="541342A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5）提供教学视频，为每个实验操作内容提供标准且正确的实验演示操作，快速知晓实验操作；</w:t>
            </w:r>
          </w:p>
          <w:p w14:paraId="6AC40F1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实验操作必须严格按照考试操作规范制作，比如显微镜的摆放与操作、弹簧测力计调零、天平的使用、称量固体药品时要在托盘中放称量纸、及胶头滴管如何吸取和滴加溶液、正确的量筒读数等内容都有规范的指导和说明；</w:t>
            </w:r>
          </w:p>
          <w:p w14:paraId="383BA58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7）在练习模式下，支持实验的每个关键节点采用文字、器材高亮等方式进行实验操作引导；</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7.1当操作错误、遗漏或操作不规范时，会有扣分提示及错误提示，并告知正确的操作步骤。</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7.2支持学生在进行实验操作的同时，同步记录和填写实验报告，使他们能够在动手操作的过程中，实时观察、分析和理解实验现象。</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7.3实验无时间限制，给予学生充分的时间去逐步熟悉并掌握实验操作流程以及严格遵守实验规范的重要性；</w:t>
            </w:r>
          </w:p>
          <w:p w14:paraId="7F34558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8）在自测模式下，系统具有倒计时功能，且无实验操作引导，学生根据实验知识点的掌握情况独立进行实验模拟测试，系统会根据预设的标准答案和评分规则，对学生提交的实验结果进行全面、客观的评价；</w:t>
            </w:r>
          </w:p>
          <w:p w14:paraId="51BA45D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9）系统可智能分析学生的操作行为，实时识别学生在实验过程中的错误操作，并在线分析错误操作内容，生成个人实验操作报告，报告需包含以下内容：</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9.1实验得分及用时：系统将精确记录学生的实验总得分以及实验操作所耗费的具体时间。得分部分会细化到各个操作步骤，用时则反映学生对实验步骤掌握的熟练程度和效率。</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9.2得分明细解析：系统将对实验得分进行逐项细致剖析，涵盖整个实验操作过程中的各个阶段，明确指出各项得分来源，以及与标准要求的对比情况。</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9.3</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易错点分析：基于学生的实验操作记录，统计出学生在操作过程中出现的各种问题，包括但不限于操作错误、操作遗漏、填写错误、填写遗漏</w:t>
            </w:r>
            <w:r>
              <w:rPr>
                <w:rFonts w:hint="eastAsia" w:ascii="宋体" w:hAnsi="宋体" w:eastAsia="宋体" w:cs="宋体"/>
                <w:b/>
                <w:bCs/>
                <w:i w:val="0"/>
                <w:iCs w:val="0"/>
                <w:color w:val="000000"/>
                <w:sz w:val="24"/>
                <w:szCs w:val="24"/>
                <w:u w:val="none"/>
              </w:rPr>
              <w:t>（证明材料：产品功能界面截图，复印件加盖投标人电子签名或公章）</w:t>
            </w:r>
            <w:r>
              <w:rPr>
                <w:rFonts w:hint="eastAsia" w:ascii="宋体" w:hAnsi="宋体" w:eastAsia="宋体" w:cs="宋体"/>
                <w:i w:val="0"/>
                <w:iCs w:val="0"/>
                <w:color w:val="000000"/>
                <w:sz w:val="24"/>
                <w:szCs w:val="24"/>
                <w:u w:val="none"/>
              </w:rPr>
              <w:t>；</w:t>
            </w:r>
          </w:p>
          <w:p w14:paraId="1193D6C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10）支持查看历史测评记录，帮助用户查阅及分析以往实验丢分项原因。</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（3）虚拟实验考评系统</w:t>
            </w:r>
          </w:p>
          <w:p w14:paraId="59DC1F9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1）软件系统支持多终端跨平台通过web访问，无需安装任何插件，师生均有独立账号；同时也支持客户端形式使用；</w:t>
            </w:r>
          </w:p>
          <w:p w14:paraId="178B2BF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支持教师端用户向单个或多个班级发布实验测评考试任务，且可设置考试任务相关信息，包含考试名称、测评实验、测评对象、起止时间信息，教师在资源首页即可查看并追踪学生的完成状况，包括但不限于完成人数、最高分、最低分、平均分等详细数据；</w:t>
            </w:r>
          </w:p>
          <w:p w14:paraId="4F64480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系统可根据全班学生提交的测评考试成绩进行统计分析，教师可通过查看每个实验的成绩总览、成绩分布、成绩排名、易错点分析、出错人数、完成人数等，掌握班级的学习情况，利用可视化的方式直观呈现全班测评考试的整体情况；也支持查看单个学生的测评实验报告；</w:t>
            </w:r>
          </w:p>
          <w:p w14:paraId="73A37EE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4）支持学生端用户在资源首页即可查看教师发布的实验测评考试任务，含学科、考试起止时间及实验状态等。</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5）系统可智能分析学生的操作行为，实时识别学生在实验过程中的错误操作，并在线分析错误操作内容，生成个人实验操作报告，报告需包含以下内容：</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5.1实验得分及用时：系统将精确记录学生的实验总得分以及实验操作所耗费的具体时间。得分部分会细化到各个操作步骤，以便学生了解自己在实验各个环节的表现；用时则反映学生对实验步骤掌握的熟练程度和效率。</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5.2得分明细解析：系统将对实验得分进行逐项细致剖析，涵盖整个实验操作过程中的各个阶段，明确指出各项得分来源，以及与标准要求的对比情况。</w:t>
            </w:r>
            <w:r>
              <w:rPr>
                <w:rFonts w:hint="eastAsia" w:ascii="宋体" w:hAnsi="宋体" w:eastAsia="宋体" w:cs="宋体"/>
                <w:i w:val="0"/>
                <w:iCs w:val="0"/>
                <w:color w:val="000000"/>
                <w:sz w:val="24"/>
                <w:szCs w:val="24"/>
                <w:u w:val="none"/>
              </w:rPr>
              <w:br w:type="textWrapping"/>
            </w:r>
            <w:r>
              <w:rPr>
                <w:rFonts w:hint="eastAsia" w:ascii="宋体" w:hAnsi="宋体" w:eastAsia="宋体" w:cs="宋体"/>
                <w:i w:val="0"/>
                <w:iCs w:val="0"/>
                <w:color w:val="000000"/>
                <w:sz w:val="24"/>
                <w:szCs w:val="24"/>
                <w:u w:val="none"/>
              </w:rPr>
              <w:t>5.3易错点分析：基于学生的实验操作记录，统计出学生在操作过程中出现的各种问题，包括但不限于操作错误、操作遗漏、填写错误、填写遗漏等；</w:t>
            </w:r>
          </w:p>
          <w:p w14:paraId="3FC7378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6）支持不少于100个用户并发登录，且平均响应时间小于1秒；</w:t>
            </w:r>
          </w:p>
          <w:p w14:paraId="2F108AB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7）同时在线用户数:支持不少于2000个用户同时在线，系统运行无卡顿；</w:t>
            </w:r>
          </w:p>
          <w:p w14:paraId="01A2026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8）软件需要支持账号登录、用户通过微信扫码、钉钉扫码的方式登录。</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D51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892A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045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225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AF3C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olor w:val="auto"/>
              </w:rPr>
              <w:t>智能实验终端设备</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041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0A9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一、智能实验终端设备配置</w:t>
            </w:r>
          </w:p>
          <w:p w14:paraId="4301E6F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 国产CPU，≥8核64位，主频≥2.2GHz；</w:t>
            </w:r>
          </w:p>
          <w:p w14:paraId="42C9F78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 内置算力≥6TOPS；</w:t>
            </w:r>
          </w:p>
          <w:p w14:paraId="65DF3B4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 内存≥4GB，存储≥128GB；</w:t>
            </w:r>
          </w:p>
          <w:p w14:paraId="11B586B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 内置操作系统，开机自启动，开放互联；</w:t>
            </w:r>
          </w:p>
          <w:p w14:paraId="716B8D0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 电容式触摸屏，支持多点（≥10点）触控，屏幕尺寸≥15.6英寸，分辨率≥1920*1080；</w:t>
            </w:r>
          </w:p>
          <w:p w14:paraId="0D0FAC7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 电源输入采用220V AC持续供电，并通过适配器转换；</w:t>
            </w:r>
          </w:p>
          <w:p w14:paraId="452D4C6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7. </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sz w:val="24"/>
                <w:szCs w:val="24"/>
                <w:u w:val="none"/>
              </w:rPr>
              <w:t>终端采用不少于3个USB2.0扩展接口，并支持通过USB接口接入电子目镜或数码显微镜显示图像；</w:t>
            </w:r>
            <w:r>
              <w:rPr>
                <w:rFonts w:hint="eastAsia" w:ascii="宋体" w:hAnsi="宋体" w:eastAsia="宋体" w:cs="宋体"/>
                <w:b/>
                <w:bCs/>
                <w:i w:val="0"/>
                <w:iCs w:val="0"/>
                <w:color w:val="000000"/>
                <w:sz w:val="24"/>
                <w:szCs w:val="24"/>
                <w:u w:val="none"/>
              </w:rPr>
              <w:t>（要求投标时提供具有CMA认证检测出具的检验报告复印件证明</w:t>
            </w:r>
            <w:r>
              <w:rPr>
                <w:rFonts w:hint="eastAsia" w:ascii="宋体" w:hAnsi="宋体" w:cs="宋体"/>
                <w:b/>
                <w:bCs/>
                <w:i w:val="0"/>
                <w:iCs w:val="0"/>
                <w:color w:val="000000"/>
                <w:sz w:val="24"/>
                <w:szCs w:val="24"/>
                <w:u w:val="none"/>
                <w:lang w:val="en-US" w:eastAsia="zh-CN"/>
              </w:rPr>
              <w:t>资料）</w:t>
            </w:r>
            <w:r>
              <w:rPr>
                <w:rFonts w:hint="eastAsia" w:ascii="宋体" w:hAnsi="宋体" w:cs="宋体"/>
                <w:i w:val="0"/>
                <w:iCs w:val="0"/>
                <w:color w:val="000000"/>
                <w:sz w:val="24"/>
                <w:szCs w:val="24"/>
                <w:u w:val="none"/>
                <w:lang w:val="en-US" w:eastAsia="zh-CN"/>
              </w:rPr>
              <w:t>。</w:t>
            </w:r>
          </w:p>
          <w:p w14:paraId="3F36C16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8. </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sz w:val="24"/>
                <w:szCs w:val="24"/>
                <w:u w:val="none"/>
              </w:rPr>
              <w:t>终端应具备有线或无线通信接口，支持采用1000M网口有线方式和WiFi6无线方式联网，其中支持802.11b/g/n/AC/AX协议、2.4GHz和5GHz双频段；</w:t>
            </w:r>
            <w:r>
              <w:rPr>
                <w:rFonts w:hint="eastAsia" w:ascii="宋体" w:hAnsi="宋体" w:eastAsia="宋体" w:cs="宋体"/>
                <w:b/>
                <w:bCs/>
                <w:i w:val="0"/>
                <w:iCs w:val="0"/>
                <w:color w:val="000000"/>
                <w:sz w:val="24"/>
                <w:szCs w:val="24"/>
                <w:u w:val="none"/>
              </w:rPr>
              <w:t>（要求投标时提供具有CMA认证检测出具的检验报告复印件证明</w:t>
            </w:r>
            <w:r>
              <w:rPr>
                <w:rFonts w:hint="eastAsia" w:ascii="宋体" w:hAnsi="宋体" w:cs="宋体"/>
                <w:b/>
                <w:bCs/>
                <w:i w:val="0"/>
                <w:iCs w:val="0"/>
                <w:color w:val="000000"/>
                <w:sz w:val="24"/>
                <w:szCs w:val="24"/>
                <w:u w:val="none"/>
                <w:lang w:val="en-US" w:eastAsia="zh-CN"/>
              </w:rPr>
              <w:t>资料）</w:t>
            </w:r>
            <w:r>
              <w:rPr>
                <w:rFonts w:hint="eastAsia" w:ascii="宋体" w:hAnsi="宋体" w:cs="宋体"/>
                <w:i w:val="0"/>
                <w:iCs w:val="0"/>
                <w:color w:val="000000"/>
                <w:sz w:val="24"/>
                <w:szCs w:val="24"/>
                <w:u w:val="none"/>
                <w:lang w:val="en-US" w:eastAsia="zh-CN"/>
              </w:rPr>
              <w:t>。</w:t>
            </w:r>
          </w:p>
          <w:p w14:paraId="1DA6E02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 终端应具备人证核验功能，支持将现场采集的活体人脸图像与人员证件照片或人脸特征信息进行1:1人脸识别，并给出人证一致性核验结果；</w:t>
            </w:r>
            <w:r>
              <w:rPr>
                <w:rFonts w:hint="eastAsia" w:ascii="宋体" w:hAnsi="宋体" w:eastAsia="宋体" w:cs="宋体"/>
                <w:b/>
                <w:bCs/>
                <w:i w:val="0"/>
                <w:iCs w:val="0"/>
                <w:color w:val="000000"/>
                <w:sz w:val="24"/>
                <w:szCs w:val="24"/>
                <w:u w:val="none"/>
              </w:rPr>
              <w:t>（要求投标时提供具有CMA认证检测出具的检验报告复印件证明</w:t>
            </w:r>
            <w:r>
              <w:rPr>
                <w:rFonts w:hint="eastAsia" w:ascii="宋体" w:hAnsi="宋体" w:cs="宋体"/>
                <w:b/>
                <w:bCs/>
                <w:i w:val="0"/>
                <w:iCs w:val="0"/>
                <w:color w:val="000000"/>
                <w:sz w:val="24"/>
                <w:szCs w:val="24"/>
                <w:u w:val="none"/>
                <w:lang w:val="en-US" w:eastAsia="zh-CN"/>
              </w:rPr>
              <w:t>资料）</w:t>
            </w:r>
            <w:r>
              <w:rPr>
                <w:rFonts w:hint="eastAsia" w:ascii="宋体" w:hAnsi="宋体" w:cs="宋体"/>
                <w:i w:val="0"/>
                <w:iCs w:val="0"/>
                <w:color w:val="000000"/>
                <w:sz w:val="24"/>
                <w:szCs w:val="24"/>
                <w:u w:val="none"/>
                <w:lang w:val="en-US" w:eastAsia="zh-CN"/>
              </w:rPr>
              <w:t>。</w:t>
            </w:r>
          </w:p>
          <w:p w14:paraId="04FF4C0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 终端底座应具备固定功能，用于标准实验桌。其中底座占用空间应在15cm×30cm范围内；</w:t>
            </w:r>
            <w:r>
              <w:rPr>
                <w:rFonts w:hint="eastAsia" w:ascii="宋体" w:hAnsi="宋体" w:eastAsia="宋体" w:cs="宋体"/>
                <w:b/>
                <w:bCs/>
                <w:i w:val="0"/>
                <w:iCs w:val="0"/>
                <w:color w:val="000000"/>
                <w:sz w:val="24"/>
                <w:szCs w:val="24"/>
                <w:u w:val="none"/>
              </w:rPr>
              <w:t>（要求投标时提供具有CMA认证检测出具的检验报告复印件证明</w:t>
            </w:r>
            <w:r>
              <w:rPr>
                <w:rFonts w:hint="eastAsia" w:ascii="宋体" w:hAnsi="宋体" w:cs="宋体"/>
                <w:b/>
                <w:bCs/>
                <w:i w:val="0"/>
                <w:iCs w:val="0"/>
                <w:color w:val="000000"/>
                <w:sz w:val="24"/>
                <w:szCs w:val="24"/>
                <w:u w:val="none"/>
                <w:lang w:val="en-US" w:eastAsia="zh-CN"/>
              </w:rPr>
              <w:t>资料）</w:t>
            </w:r>
            <w:r>
              <w:rPr>
                <w:rFonts w:hint="eastAsia" w:ascii="宋体" w:hAnsi="宋体" w:cs="宋体"/>
                <w:i w:val="0"/>
                <w:iCs w:val="0"/>
                <w:color w:val="000000"/>
                <w:sz w:val="24"/>
                <w:szCs w:val="24"/>
                <w:u w:val="none"/>
                <w:lang w:val="en-US" w:eastAsia="zh-CN"/>
              </w:rPr>
              <w:t>。</w:t>
            </w:r>
          </w:p>
          <w:p w14:paraId="0FC0AB3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11. </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sz w:val="24"/>
                <w:szCs w:val="24"/>
                <w:u w:val="none"/>
              </w:rPr>
              <w:t>终端应具备自带电子目镜放置槽，用于放置接入的电子目镜；终端应采用隐藏式设计的提手；</w:t>
            </w:r>
            <w:r>
              <w:rPr>
                <w:rFonts w:hint="eastAsia" w:ascii="宋体" w:hAnsi="宋体" w:eastAsia="宋体" w:cs="宋体"/>
                <w:b/>
                <w:bCs/>
                <w:i w:val="0"/>
                <w:iCs w:val="0"/>
                <w:color w:val="000000"/>
                <w:sz w:val="24"/>
                <w:szCs w:val="24"/>
                <w:u w:val="none"/>
              </w:rPr>
              <w:t>（要求投标时提供具有CMA认证检测出具的检验报告复印件证明</w:t>
            </w:r>
            <w:r>
              <w:rPr>
                <w:rFonts w:hint="eastAsia" w:ascii="宋体" w:hAnsi="宋体" w:cs="宋体"/>
                <w:b/>
                <w:bCs/>
                <w:i w:val="0"/>
                <w:iCs w:val="0"/>
                <w:color w:val="000000"/>
                <w:sz w:val="24"/>
                <w:szCs w:val="24"/>
                <w:u w:val="none"/>
                <w:lang w:val="en-US" w:eastAsia="zh-CN"/>
              </w:rPr>
              <w:t>资料）</w:t>
            </w:r>
            <w:r>
              <w:rPr>
                <w:rFonts w:hint="eastAsia" w:ascii="宋体" w:hAnsi="宋体" w:cs="宋体"/>
                <w:i w:val="0"/>
                <w:iCs w:val="0"/>
                <w:color w:val="000000"/>
                <w:sz w:val="24"/>
                <w:szCs w:val="24"/>
                <w:u w:val="none"/>
                <w:lang w:val="en-US" w:eastAsia="zh-CN"/>
              </w:rPr>
              <w:t>。</w:t>
            </w:r>
          </w:p>
          <w:p w14:paraId="6DE8F6E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二、采集装置</w:t>
            </w:r>
          </w:p>
          <w:p w14:paraId="6FA04A8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 采用俯视和侧视两路摄像头同时录制学生实验操作过程和评分点细节；</w:t>
            </w:r>
          </w:p>
          <w:p w14:paraId="45727EC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 俯视摄像头能在一个画面内拍摄整个实验台和半个水槽；</w:t>
            </w:r>
          </w:p>
          <w:p w14:paraId="199D9E4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 侧视摄像头支持拍摄核心操作区内操作细节；</w:t>
            </w:r>
          </w:p>
          <w:p w14:paraId="70E194E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 采用一体化支架，使用过程中稳定维持固定拍摄角度，不可自由伸缩和旋转，支持折叠收纳；</w:t>
            </w:r>
          </w:p>
          <w:p w14:paraId="7D8E696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 摄像头支架线材全隐藏，完全不外露；</w:t>
            </w:r>
          </w:p>
          <w:p w14:paraId="7E67C22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 支持在终端本地对俯视和侧视摄像头单独设置分辨率和视频编码格式，分辨率支持1080P（200万像素）、1440P（400万像素），编码格式支持H.264、H.265，最大帧率≥30FPS；</w:t>
            </w:r>
          </w:p>
          <w:p w14:paraId="2A479083">
            <w:pPr>
              <w:pStyle w:val="15"/>
              <w:spacing w:line="360" w:lineRule="auto"/>
              <w:ind w:left="0" w:leftChars="0" w:firstLine="0" w:firstLineChars="0"/>
              <w:rPr>
                <w:rFonts w:hint="eastAsia"/>
                <w:sz w:val="24"/>
                <w:szCs w:val="24"/>
                <w:lang w:val="en-US" w:eastAsia="zh-CN"/>
              </w:rPr>
            </w:pPr>
            <w:r>
              <w:rPr>
                <w:rFonts w:hint="eastAsia"/>
                <w:sz w:val="24"/>
                <w:szCs w:val="24"/>
                <w:lang w:val="en-US" w:eastAsia="zh-CN"/>
              </w:rPr>
              <w:t>三、</w:t>
            </w:r>
            <w:r>
              <w:rPr>
                <w:rFonts w:hint="eastAsia"/>
                <w:sz w:val="24"/>
                <w:szCs w:val="24"/>
              </w:rPr>
              <w:t>实验界面</w:t>
            </w:r>
          </w:p>
          <w:p w14:paraId="4E3D0CE4">
            <w:pPr>
              <w:pStyle w:val="15"/>
              <w:spacing w:line="360" w:lineRule="auto"/>
              <w:ind w:left="0" w:leftChars="0" w:firstLine="0" w:firstLineChars="0"/>
              <w:rPr>
                <w:rFonts w:hint="eastAsia"/>
                <w:sz w:val="24"/>
                <w:szCs w:val="24"/>
              </w:rPr>
            </w:pPr>
            <w:r>
              <w:rPr>
                <w:rFonts w:hint="eastAsia"/>
                <w:sz w:val="24"/>
                <w:szCs w:val="24"/>
              </w:rPr>
              <w:t>1. 开机自动进入实验界面，且无法通过触屏操作退出；</w:t>
            </w:r>
          </w:p>
          <w:p w14:paraId="31CC48FF">
            <w:pPr>
              <w:pStyle w:val="15"/>
              <w:spacing w:line="360" w:lineRule="auto"/>
              <w:ind w:left="0" w:leftChars="0" w:firstLine="0" w:firstLineChars="0"/>
              <w:rPr>
                <w:rFonts w:hint="eastAsia"/>
                <w:sz w:val="24"/>
                <w:szCs w:val="24"/>
              </w:rPr>
            </w:pPr>
            <w:r>
              <w:rPr>
                <w:rFonts w:hint="eastAsia"/>
                <w:sz w:val="24"/>
                <w:szCs w:val="24"/>
              </w:rPr>
              <w:t>2. 系统自动和管理平台建立连接，根据业务需要保持通信；</w:t>
            </w:r>
          </w:p>
          <w:p w14:paraId="1E4BA9DB">
            <w:pPr>
              <w:pStyle w:val="15"/>
              <w:spacing w:line="360" w:lineRule="auto"/>
              <w:ind w:left="0" w:leftChars="0" w:firstLine="0" w:firstLineChars="0"/>
              <w:rPr>
                <w:rFonts w:hint="eastAsia"/>
                <w:sz w:val="24"/>
                <w:szCs w:val="24"/>
              </w:rPr>
            </w:pPr>
            <w:r>
              <w:rPr>
                <w:rFonts w:hint="eastAsia"/>
                <w:sz w:val="24"/>
                <w:szCs w:val="24"/>
              </w:rPr>
              <w:t>3. 系统接收来自管理平台的指令，并在终端屏幕上显示</w:t>
            </w:r>
            <w:r>
              <w:rPr>
                <w:rFonts w:hint="eastAsia"/>
                <w:sz w:val="24"/>
                <w:szCs w:val="24"/>
                <w:lang w:val="en-US" w:eastAsia="zh-CN"/>
              </w:rPr>
              <w:t>学生</w:t>
            </w:r>
            <w:r>
              <w:rPr>
                <w:rFonts w:hint="eastAsia"/>
                <w:sz w:val="24"/>
                <w:szCs w:val="24"/>
              </w:rPr>
              <w:t>信息和座位号，以供核对身份；</w:t>
            </w:r>
          </w:p>
          <w:p w14:paraId="51A14B69">
            <w:pPr>
              <w:pStyle w:val="15"/>
              <w:spacing w:line="360" w:lineRule="auto"/>
              <w:ind w:left="0" w:leftChars="0" w:firstLine="0" w:firstLineChars="0"/>
              <w:rPr>
                <w:rFonts w:hint="eastAsia"/>
                <w:sz w:val="24"/>
                <w:szCs w:val="24"/>
              </w:rPr>
            </w:pPr>
            <w:r>
              <w:rPr>
                <w:rFonts w:hint="eastAsia"/>
                <w:sz w:val="24"/>
                <w:szCs w:val="24"/>
              </w:rPr>
              <w:t>4. 同屏显示</w:t>
            </w:r>
            <w:r>
              <w:rPr>
                <w:rFonts w:hint="eastAsia"/>
                <w:sz w:val="24"/>
                <w:szCs w:val="24"/>
                <w:lang w:val="en-US" w:eastAsia="zh-CN"/>
              </w:rPr>
              <w:t>实验</w:t>
            </w:r>
            <w:r>
              <w:rPr>
                <w:rFonts w:hint="eastAsia"/>
                <w:sz w:val="24"/>
                <w:szCs w:val="24"/>
              </w:rPr>
              <w:t>科目、完整</w:t>
            </w:r>
            <w:r>
              <w:rPr>
                <w:rFonts w:hint="eastAsia"/>
                <w:sz w:val="24"/>
                <w:szCs w:val="24"/>
                <w:lang w:val="en-US" w:eastAsia="zh-CN"/>
              </w:rPr>
              <w:t>流程</w:t>
            </w:r>
            <w:r>
              <w:rPr>
                <w:rFonts w:hint="eastAsia"/>
                <w:sz w:val="24"/>
                <w:szCs w:val="24"/>
              </w:rPr>
              <w:t>、以及倒计时、结束按钮等内容，无需翻页或跳转即可查看所列全部内容，简化操作；</w:t>
            </w:r>
          </w:p>
          <w:p w14:paraId="33B60C27">
            <w:pPr>
              <w:pStyle w:val="15"/>
              <w:spacing w:line="360" w:lineRule="auto"/>
              <w:ind w:left="0" w:leftChars="0" w:firstLine="0" w:firstLineChars="0"/>
              <w:rPr>
                <w:rFonts w:hint="eastAsia"/>
                <w:sz w:val="24"/>
                <w:szCs w:val="24"/>
              </w:rPr>
            </w:pPr>
            <w:r>
              <w:rPr>
                <w:rFonts w:hint="eastAsia"/>
                <w:sz w:val="24"/>
                <w:szCs w:val="24"/>
              </w:rPr>
              <w:t>5. 支持单选、多选、填空、画图、显微镜拍照等五种题型，以满足不同实验电子实验报告的需要；通过触摸屏填写，支持生成标准JPG格式的答题卡图像，200万像素单张图片大小不大于5MB，支持4:3长宽比；</w:t>
            </w:r>
          </w:p>
          <w:p w14:paraId="7257D48C">
            <w:pPr>
              <w:pStyle w:val="15"/>
              <w:spacing w:line="360" w:lineRule="auto"/>
              <w:ind w:left="0" w:leftChars="0" w:firstLine="0" w:firstLineChars="0"/>
              <w:rPr>
                <w:rFonts w:hint="eastAsia"/>
                <w:sz w:val="24"/>
                <w:szCs w:val="24"/>
              </w:rPr>
            </w:pPr>
            <w:r>
              <w:rPr>
                <w:rFonts w:hint="eastAsia"/>
                <w:sz w:val="24"/>
                <w:szCs w:val="24"/>
              </w:rPr>
              <w:t>6. 提前做完实验支持自主提交，或者在倒计时结束时系统自动提交；</w:t>
            </w:r>
          </w:p>
          <w:p w14:paraId="6C1CE414">
            <w:pPr>
              <w:pStyle w:val="15"/>
              <w:spacing w:line="360" w:lineRule="auto"/>
              <w:ind w:left="0" w:leftChars="0" w:firstLine="0" w:firstLineChars="0"/>
              <w:rPr>
                <w:rFonts w:hint="eastAsia"/>
                <w:sz w:val="24"/>
                <w:szCs w:val="24"/>
              </w:rPr>
            </w:pPr>
            <w:r>
              <w:rPr>
                <w:rFonts w:hint="eastAsia"/>
                <w:sz w:val="24"/>
                <w:szCs w:val="24"/>
              </w:rPr>
              <w:t>7. 生物学显微镜类实验支持电子目镜、数码显微镜拍照功能，采集200万像素的显微镜成像实时图片，并支持在显微镜拍照图像上涂写；</w:t>
            </w:r>
          </w:p>
          <w:p w14:paraId="59A8A5C7">
            <w:pPr>
              <w:pStyle w:val="15"/>
              <w:spacing w:line="360" w:lineRule="auto"/>
              <w:ind w:left="0" w:leftChars="0" w:firstLine="0" w:firstLineChars="0"/>
              <w:rPr>
                <w:rFonts w:hint="eastAsia"/>
                <w:sz w:val="24"/>
                <w:szCs w:val="24"/>
              </w:rPr>
            </w:pPr>
            <w:r>
              <w:rPr>
                <w:rFonts w:hint="eastAsia"/>
                <w:sz w:val="24"/>
                <w:szCs w:val="24"/>
              </w:rPr>
              <w:t>8. 实验视频和数据生成后，存储在终端本地，并上传到管理平台，可在终端查看视频文件的MD5码，对照管理平台的MD5码，二者MD5码值一致，用以校验终端和管理平台的视频文件一致；</w:t>
            </w:r>
          </w:p>
          <w:p w14:paraId="4E7B8EB3">
            <w:pPr>
              <w:pStyle w:val="15"/>
              <w:spacing w:line="360" w:lineRule="auto"/>
              <w:ind w:left="0" w:leftChars="0" w:firstLine="0" w:firstLineChars="0"/>
              <w:rPr>
                <w:rFonts w:hint="eastAsia"/>
                <w:sz w:val="24"/>
                <w:szCs w:val="24"/>
              </w:rPr>
            </w:pPr>
            <w:r>
              <w:rPr>
                <w:rFonts w:hint="eastAsia"/>
                <w:sz w:val="24"/>
                <w:szCs w:val="24"/>
              </w:rPr>
              <w:t>9. 设备实时显示网络、俯视和侧视摄像头的状态，实时监测摄像头、网络、存储及状态，可直接在页面查看所有终端设备状态信息；</w:t>
            </w:r>
          </w:p>
          <w:p w14:paraId="02EEC7BE">
            <w:pPr>
              <w:pStyle w:val="15"/>
              <w:spacing w:line="360" w:lineRule="auto"/>
              <w:ind w:left="0" w:leftChars="0" w:firstLine="0" w:firstLineChars="0"/>
              <w:rPr>
                <w:rFonts w:hint="eastAsia"/>
                <w:sz w:val="24"/>
                <w:szCs w:val="24"/>
              </w:rPr>
            </w:pPr>
            <w:r>
              <w:rPr>
                <w:rFonts w:hint="eastAsia"/>
                <w:sz w:val="24"/>
                <w:szCs w:val="24"/>
              </w:rPr>
              <w:t>10. 设备发生异常时及时在终端屏幕和页面告警提醒；</w:t>
            </w:r>
          </w:p>
          <w:p w14:paraId="3DDBE156">
            <w:pPr>
              <w:pStyle w:val="15"/>
              <w:spacing w:line="360" w:lineRule="auto"/>
              <w:ind w:left="0" w:leftChars="0" w:firstLine="0" w:firstLineChars="0"/>
              <w:rPr>
                <w:rFonts w:hint="eastAsia"/>
                <w:sz w:val="24"/>
                <w:szCs w:val="24"/>
              </w:rPr>
            </w:pPr>
            <w:r>
              <w:rPr>
                <w:rFonts w:hint="eastAsia"/>
                <w:sz w:val="24"/>
                <w:szCs w:val="24"/>
              </w:rPr>
              <w:t>11. 支持在本机设置录制分辨率和编码格式；</w:t>
            </w:r>
          </w:p>
          <w:p w14:paraId="26B9EE3F">
            <w:pPr>
              <w:pStyle w:val="15"/>
              <w:spacing w:line="360" w:lineRule="auto"/>
              <w:ind w:left="0" w:leftChars="0" w:firstLine="0" w:firstLineChars="0"/>
              <w:rPr>
                <w:rFonts w:hint="eastAsia"/>
                <w:sz w:val="24"/>
                <w:szCs w:val="24"/>
              </w:rPr>
            </w:pPr>
            <w:r>
              <w:rPr>
                <w:rFonts w:hint="eastAsia"/>
                <w:sz w:val="24"/>
                <w:szCs w:val="24"/>
              </w:rPr>
              <w:t>12. 支持通过管理平台远程批量升级；</w:t>
            </w:r>
          </w:p>
          <w:p w14:paraId="3592A317">
            <w:pPr>
              <w:pStyle w:val="15"/>
              <w:spacing w:line="360" w:lineRule="auto"/>
              <w:ind w:left="0" w:leftChars="0" w:firstLine="0" w:firstLineChars="0"/>
              <w:rPr>
                <w:rFonts w:hint="eastAsia"/>
                <w:sz w:val="24"/>
                <w:szCs w:val="24"/>
              </w:rPr>
            </w:pPr>
            <w:r>
              <w:rPr>
                <w:rFonts w:hint="eastAsia"/>
                <w:sz w:val="24"/>
                <w:szCs w:val="24"/>
              </w:rPr>
              <w:t>13. 支持通过管理平台远程清理学生终端设备本地数据存储；</w:t>
            </w:r>
          </w:p>
          <w:p w14:paraId="754368C2">
            <w:pPr>
              <w:pStyle w:val="15"/>
              <w:spacing w:line="360" w:lineRule="auto"/>
              <w:ind w:left="0" w:leftChars="0" w:firstLine="0" w:firstLineChars="0"/>
              <w:rPr>
                <w:rFonts w:hint="eastAsia"/>
                <w:sz w:val="24"/>
                <w:szCs w:val="24"/>
              </w:rPr>
            </w:pPr>
            <w:r>
              <w:rPr>
                <w:rFonts w:hint="eastAsia"/>
                <w:sz w:val="24"/>
                <w:szCs w:val="24"/>
              </w:rPr>
              <w:t>14. 支持通过管理平台远程控制学生终端设备重启，以便快捷重置终端状态。</w:t>
            </w:r>
          </w:p>
          <w:p w14:paraId="7DE2D59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15.在网络通畅条件下，发出重启后，终端软件应支持终端在1秒内响应，并重置终端状态。</w:t>
            </w:r>
            <w:r>
              <w:rPr>
                <w:rFonts w:hint="eastAsia" w:ascii="宋体" w:hAnsi="宋体" w:eastAsia="宋体" w:cs="宋体"/>
                <w:b/>
                <w:bCs/>
                <w:i w:val="0"/>
                <w:iCs w:val="0"/>
                <w:color w:val="000000"/>
                <w:sz w:val="24"/>
                <w:szCs w:val="24"/>
                <w:u w:val="none"/>
              </w:rPr>
              <w:t>（要求投标时提供具有CMA认证检测出具的检验报告复印件证明</w:t>
            </w:r>
            <w:r>
              <w:rPr>
                <w:rFonts w:hint="eastAsia" w:ascii="宋体" w:hAnsi="宋体" w:cs="宋体"/>
                <w:b/>
                <w:bCs/>
                <w:i w:val="0"/>
                <w:iCs w:val="0"/>
                <w:color w:val="000000"/>
                <w:sz w:val="24"/>
                <w:szCs w:val="24"/>
                <w:u w:val="none"/>
                <w:lang w:val="en-US" w:eastAsia="zh-CN"/>
              </w:rPr>
              <w:t>资料）</w:t>
            </w:r>
            <w:r>
              <w:rPr>
                <w:rFonts w:hint="eastAsia" w:ascii="宋体" w:hAnsi="宋体" w:cs="宋体"/>
                <w:i w:val="0"/>
                <w:iCs w:val="0"/>
                <w:color w:val="000000"/>
                <w:sz w:val="24"/>
                <w:szCs w:val="24"/>
                <w:u w:val="none"/>
                <w:lang w:val="en-US" w:eastAsia="zh-CN"/>
              </w:rPr>
              <w:t>。</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DDA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76D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FB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BFF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C39E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智能仪器管理车</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B6FE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246C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（一）</w:t>
            </w:r>
            <w:r>
              <w:rPr>
                <w:rFonts w:hint="eastAsia" w:ascii="宋体" w:hAnsi="宋体" w:eastAsia="宋体" w:cs="宋体"/>
                <w:i w:val="0"/>
                <w:iCs w:val="0"/>
                <w:color w:val="000000"/>
                <w:kern w:val="0"/>
                <w:sz w:val="24"/>
                <w:szCs w:val="24"/>
                <w:u w:val="none"/>
                <w:lang w:val="en-US" w:eastAsia="zh-CN" w:bidi="ar"/>
              </w:rPr>
              <w:t>智能仪器管理车硬件参数：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三层工作台结构设计，三层都具有识别区，数秒内可完成≥100件仪器识别，一键清点车上所有仪器，更便于仪器摆放及清点。无需再次移动仪器位置，大幅提高工作效率。</w:t>
            </w:r>
          </w:p>
          <w:p w14:paraId="0786C197">
            <w:pPr>
              <w:keepNext w:val="0"/>
              <w:keepLines w:val="0"/>
              <w:pageBreakBefore w:val="0"/>
              <w:widowControl/>
              <w:numPr>
                <w:ilvl w:val="0"/>
                <w:numId w:val="6"/>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材质：车体为钣金成型，层板为PC材质。</w:t>
            </w:r>
          </w:p>
          <w:p w14:paraId="19313265">
            <w:pPr>
              <w:keepNext w:val="0"/>
              <w:keepLines w:val="0"/>
              <w:pageBreakBefore w:val="0"/>
              <w:widowControl/>
              <w:numPr>
                <w:ilvl w:val="0"/>
                <w:numId w:val="6"/>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产品外观尺寸：1150mm*450mm*1300mm(±10mm)</w:t>
            </w:r>
            <w:r>
              <w:rPr>
                <w:rFonts w:hint="eastAsia" w:ascii="宋体" w:hAnsi="宋体" w:cs="宋体"/>
                <w:i w:val="0"/>
                <w:iCs w:val="0"/>
                <w:color w:val="000000"/>
                <w:kern w:val="0"/>
                <w:sz w:val="24"/>
                <w:szCs w:val="24"/>
                <w:u w:val="none"/>
                <w:lang w:val="en-US" w:eastAsia="zh-CN" w:bidi="ar"/>
              </w:rPr>
              <w:t>。</w:t>
            </w:r>
          </w:p>
          <w:p w14:paraId="4557BC85">
            <w:pPr>
              <w:keepNext w:val="0"/>
              <w:keepLines w:val="0"/>
              <w:pageBreakBefore w:val="0"/>
              <w:widowControl/>
              <w:numPr>
                <w:ilvl w:val="0"/>
                <w:numId w:val="6"/>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医疗级静音车轮，4个万向轮易于推拉转向操作。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.≥14寸 IP高清电容触摸屏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支持≥5点电容触控、屏幕分辨率：≥1920*1080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屏幕角度可调整，屏幕集成于车体，安全可靠。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.内置wifi模块，Wi-Fi：IEEE 802.11 a/b/g/n 2.4G  5G双频</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实时同步信息至《智</w:t>
            </w:r>
            <w:r>
              <w:rPr>
                <w:rFonts w:hint="eastAsia" w:ascii="宋体" w:hAnsi="宋体" w:cs="宋体"/>
                <w:i w:val="0"/>
                <w:iCs w:val="0"/>
                <w:color w:val="000000"/>
                <w:kern w:val="0"/>
                <w:sz w:val="24"/>
                <w:szCs w:val="24"/>
                <w:u w:val="none"/>
                <w:lang w:val="en-US" w:eastAsia="zh-CN" w:bidi="ar"/>
              </w:rPr>
              <w:t>能无感仪器管理</w:t>
            </w:r>
            <w:r>
              <w:rPr>
                <w:rFonts w:hint="eastAsia" w:ascii="宋体" w:hAnsi="宋体" w:eastAsia="宋体" w:cs="宋体"/>
                <w:i w:val="0"/>
                <w:iCs w:val="0"/>
                <w:color w:val="000000"/>
                <w:kern w:val="0"/>
                <w:sz w:val="24"/>
                <w:szCs w:val="24"/>
                <w:u w:val="none"/>
                <w:lang w:val="en-US" w:eastAsia="zh-CN" w:bidi="ar"/>
              </w:rPr>
              <w:t>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7.内置可充电锂电池，</w:t>
            </w:r>
            <w:r>
              <w:rPr>
                <w:rFonts w:hint="eastAsia" w:ascii="宋体" w:hAnsi="宋体" w:eastAsia="宋体" w:cs="宋体"/>
                <w:i w:val="0"/>
                <w:iCs w:val="0"/>
                <w:color w:val="000000"/>
                <w:kern w:val="0"/>
                <w:sz w:val="24"/>
                <w:szCs w:val="24"/>
                <w:u w:val="none"/>
                <w:lang w:val="en-US" w:eastAsia="zh-CN" w:bidi="ar"/>
              </w:rPr>
              <w:t>典型工作时长不小于10小时。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音频：内置立体声扬声器，音量90db±3db(测试距离10cm)。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按键：≥1个按键。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.超高频："协议标准：ISO18000-6C协议"。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.工作频率（840-960MHz）。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.功率：射频输出5dBm到30dBm(1W)，1dbm可调；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待机功耗 0.25W 左右，最大 5W(典型 4W).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.识别范围：30cm-100cm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（二）智能仪器管理车软件参数：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管理多个区域，管理软件主要实现对设备的控制，对仪器进行实际的管理操作，并同步信息到平台端，实现设备数据集中管理，极大提高设备管理效率；软件需要通过账号密码或身份卡识别进行登录操作，无权限人员无法进行具体操作，权限责任分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主要功能模块：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1.区域展示：区域分为楼-楼层-房间-柜子，可进行虚拟展示及查询每个区域内的数据信息，以便于更形象更清晰的进行管理。</w:t>
            </w:r>
            <w:r>
              <w:rPr>
                <w:rFonts w:hint="eastAsia" w:ascii="宋体" w:hAnsi="宋体" w:eastAsia="宋体" w:cs="宋体"/>
                <w:b/>
                <w:bCs/>
                <w:i w:val="0"/>
                <w:iCs w:val="0"/>
                <w:color w:val="000000"/>
                <w:kern w:val="0"/>
                <w:sz w:val="24"/>
                <w:szCs w:val="24"/>
                <w:u w:val="none"/>
                <w:lang w:val="en-US" w:eastAsia="zh-CN" w:bidi="ar"/>
              </w:rPr>
              <w:t>（提供满足上述功能的真实软件界面截图。并加盖投标人公章）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2.借还功能</w:t>
            </w:r>
            <w:r>
              <w:rPr>
                <w:rFonts w:hint="eastAsia" w:ascii="宋体" w:hAnsi="宋体" w:eastAsia="宋体" w:cs="宋体"/>
                <w:b/>
                <w:bCs/>
                <w:i w:val="0"/>
                <w:iCs w:val="0"/>
                <w:color w:val="000000"/>
                <w:kern w:val="0"/>
                <w:sz w:val="24"/>
                <w:szCs w:val="24"/>
                <w:u w:val="none"/>
                <w:lang w:val="en-US" w:eastAsia="zh-CN" w:bidi="ar"/>
              </w:rPr>
              <w:t>（提供满足一下功能的真实软件界面截图。并加盖投标人公章）</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2.1仪器借用只需将所借仪器放到任意层板识别区即可一键自动识别借用仪器的种类及数量，自动生成借用记录。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2.2仪器归还只需将要归还仪器放到任意层板识别区即可一键自动识别归还仪器的种类及数量，并提示仪器原存放位置。自动生成归还记录。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2.3支持与智能无感仪器管理模块信息互通：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自动生成仪器借还台账即时同步平台端，实现信息化数据管理。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2.4在平台端操作“仪器借还”，显示数据信息与智能仪器管理车信息一致，并可导出统计报表，报表内容为本次仪器借还详细数据。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3.寻址功能：输入仪器名称可快速查找仪器，显示所在位置，名称、规格、数量等信息。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4.登录软件需输入账户密码或绑定的身份识别卡，无权限人员无法操作，有效形成责任人管理制度。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5.智能仪器管理车软件软件界面显示具备：首页、库存、仪器、数据、借还、设置等功能界面。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6.首页界面上显示以下功能：总计、待归还、待采购、总报废等相关数据、长期未归还大于20天的相关实验器材、以及用虚拟楼层图像展示对应的教学楼、实验楼等。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7.库存功能界面有以下功能：仪器名称、规格型号、存放分布、实时库存、报废数量。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8.仪器功能界面有以下功能：仪器清单、仪器预约、仪器借还、仪器</w:t>
            </w:r>
            <w:r>
              <w:rPr>
                <w:rFonts w:hint="eastAsia" w:ascii="宋体" w:hAnsi="宋体" w:cs="宋体"/>
                <w:i w:val="0"/>
                <w:iCs w:val="0"/>
                <w:color w:val="000000"/>
                <w:kern w:val="0"/>
                <w:sz w:val="24"/>
                <w:szCs w:val="24"/>
                <w:u w:val="none"/>
                <w:lang w:val="en-US" w:eastAsia="zh-CN" w:bidi="ar"/>
              </w:rPr>
              <w:t>处置</w:t>
            </w:r>
            <w:r>
              <w:rPr>
                <w:rFonts w:hint="eastAsia" w:ascii="宋体" w:hAnsi="宋体" w:eastAsia="宋体" w:cs="宋体"/>
                <w:i w:val="0"/>
                <w:iCs w:val="0"/>
                <w:color w:val="000000"/>
                <w:kern w:val="0"/>
                <w:sz w:val="24"/>
                <w:szCs w:val="24"/>
                <w:u w:val="none"/>
                <w:lang w:val="en-US" w:eastAsia="zh-CN" w:bidi="ar"/>
              </w:rPr>
              <w:t>、仪器入库、日常盘点功能。在仪器清单界面可显示标签编码、仪器名称、规格型号、仪器类型、仪器分类、仪器有效期、保养周期、存放位置、状态（闲置、领用、已借用）。支持按照标签编码、仪器名称、规格型号、存放位置进行搜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数据功能界面有以下功能：统计图表、报废清单、保养记录、借还台账。统计图表中可显示实时库存统计、近一年趋势表相关数据；报废清单中可显示报废日期、报废数量、报废金额、操作人、操作等相关数据；保养记录中可显示标签编码、仪器名称、规格型号、保养日期、保养周期、存放位置、操作人、备注等相关数据。借还台账中可显示日期、操作、标签编码、仪器名称、规格型号、存放位置、操作人等相关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10.借还功能界面有以下功能：借用/归还按钮，页面内容包括标签编码、仪器名称、规格、存放位置；支持语音播报本次借用或归还仪器件数。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11.设置界面有以下功能：基本设置、区域部署、登录密码、退出登录等相关功能。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12.数据同步上传功能：智能仪器管理车的数据可实时上传同步致数字化实验室教学服务管理平台端下的智能无感仪器管理模块，在智能无感仪器管理模块可实时查看借还台账数据。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w:t>
            </w:r>
            <w:r>
              <w:rPr>
                <w:rFonts w:hint="eastAsia" w:ascii="宋体" w:hAnsi="宋体" w:eastAsia="宋体" w:cs="宋体"/>
                <w:b/>
                <w:bCs/>
                <w:i w:val="0"/>
                <w:iCs w:val="0"/>
                <w:color w:val="000000"/>
                <w:kern w:val="0"/>
                <w:sz w:val="24"/>
                <w:szCs w:val="24"/>
                <w:u w:val="none"/>
                <w:lang w:val="en-US" w:eastAsia="zh-CN" w:bidi="ar"/>
              </w:rPr>
              <w:t>◆投标人提供通过“CMA”认证的第三方检测机构出具的带有“CMA”标识的检测报告扫描件。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检测依据：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GB/T 9254.1-2021《信息技术设备、多媒体设备和接收机 电磁兼容 第1部分：发射要求》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GB 17625.1-2012《电磁兼容 限值 谐波电流发射限值（设备每相输入电流≤16A）》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检测内容要求：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（1）150kHz~30MHz电源端子的骚扰电压：检测结果合格；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（2）30-1000MHz电场辐射骚扰：检测结果合格；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（3）检测报告中需附上智能仪器管理车样品图片及测试过程图片，否则视为无效检测报告。</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D5D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E7CC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E1B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F3D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D47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智取终端</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790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AF13">
            <w:pPr>
              <w:keepNext w:val="0"/>
              <w:keepLines w:val="0"/>
              <w:pageBreakBefore w:val="0"/>
              <w:widowControl/>
              <w:numPr>
                <w:ilvl w:val="0"/>
                <w:numId w:val="7"/>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智取终端硬件参数：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1.处理器：≥8核 2.0GHz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2.RAM：≥4GB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.ROM：≥64GB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.显示器尺寸/类型：≥10.1寸 IPS高亮屏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.分辨率：≥1200*1920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.触摸屏：≥5点电容触摸屏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.尺寸：≥254*176*17.4mm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.重量（含电池）：≥800g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.电池容量：≥9000mAh可更换，典型工作时长不小于10小时。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.超高频：协议标准："ISO18000-6C协议"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中国（920-925MHz，840-845MHz）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天线：1.5dBi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功率：1-30db可调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识别范围：室内&gt;5m,室外空旷环境&gt;3m（视环境和标签而定）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群读速率：&gt;200标签每秒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.IP（防水防尘）等级：IP65（GB/T4208-2017《外壳防护等级（IP代码）》）。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.跌落防护：6面均可承受1米高度跌落到水泥地面的冲击(GB/T2423.7-2018)。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.高低温测试：55°恒温，95%RH开机持续6小时外观无变化、功能正常（GB/T2423.3-2016）。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.低温测试：-20°恒定低温开机持续6小时外观无变化、功能正常（GB/T2423.1-2008）。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手持附件：产品配备磁吸可分离式掌托，掌托通过球面强铷磁铁与智取终端产品背部中间位置的一个内凹圆形强磁铁连接，并且通过硅胶扣带与手掌固定，整体连接稳固且可根据需求任意改变屏幕角度，且移除掌托后，智取终端背部保持整体无任何突出部分，便于放置和桌面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（二）智取终端终端软件参数：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1.仪器管理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（1）实验楼层虚拟展示功能：可根据学校实际情况，建立虚拟实验楼虚拟图，可实现由楼到层到具体房间到具体仪器柜，并支持查询每栋实验楼数据，每层数据，每个房间数据，以及每个仪器柜的相关数据。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（2）领用功能：通过“智取终端”对需领用的仪器进行Rfid识别、并匹配相对应的仪器名称，规格、保管人信息、使用区域信息，进行快速领用操作。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（3）盘点功能：通过“智取终端”可对已录入的仪器进行准确盘点。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（4）寻址功能：“智取终端”可针对已经录入的仪器或仪器进行位置搜索，具体操作为：在搜索栏内搜索所需查找的仪器设备，系统将检索并列出所寻仪器的存放位置、在库数量、库存总数。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报废功能：用户如需对耗材或者已损坏的物品进行清理，可在库存中找到该物品，并点击报废按钮，智取终端将会弹出操作指引，用户按照指引进行操作，智取终端将自动清算报废数量并记录以及生成一条报废信息至报废清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2.数据管理功能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（1）统计图表：图表化使用状态一览：自动统计并输出实时库存统计图，设备比例图标，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（2）数据同步上传功能：智取终端的数据可实时上传同步致数字化实验室教学服务管理平台端下的智能无感仪器管理模块，在智能无感仪器管理模块可实时查看预约、借用、归还数据。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3.系统权限：软件需要通过管理员分配的权限人员登录账号及密码或绑定的身份卡进行登录操作，以确保此操作的合法性。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4.信息展示功能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信息显示：显示机构名，用户名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系统校验：实时显示网络连接状态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5.智取终端软件软件界面显示具备：首页、库存、仪器、盘点、数据、设置等功能界面。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w:t>
            </w:r>
            <w:r>
              <w:rPr>
                <w:rFonts w:hint="eastAsia" w:ascii="宋体" w:hAnsi="宋体" w:eastAsia="宋体" w:cs="宋体"/>
                <w:b/>
                <w:bCs/>
                <w:i w:val="0"/>
                <w:iCs w:val="0"/>
                <w:color w:val="000000"/>
                <w:kern w:val="0"/>
                <w:sz w:val="24"/>
                <w:szCs w:val="24"/>
                <w:u w:val="none"/>
                <w:lang w:val="en-US" w:eastAsia="zh-CN" w:bidi="ar"/>
              </w:rPr>
              <w:t>◆投标人提供通过CMA认证的检测机构出具的检测报告扫描件。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1、测试项目：跌落测试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检验依据：GB/T2423.7-2018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测试要求：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（1）跌落高度：100CM；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（2）跌落面：样品6个面，每个方向各1次，共6次；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（3）跌落地面：铁板；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（4）样品状态：裸机/非工作；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测试结果：测试后，样品外观无明显可视化损伤，样品功能正常；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检测报告需附上智取终端样品图片及测试过程照片，否则视为无效检测报告。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2、测试项目：高温测试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测试依据：GB/T 2423.3-2016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测试条件：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（1）温度：55℃；湿度：95％RH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（2）测试时间：6小时；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（3）样品测试状态：工作；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（4）判定要求：测试后，样品外观没有变化，产品功能可以正常使用。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测试结果：合格</w:t>
            </w:r>
          </w:p>
          <w:p w14:paraId="1835D3E2">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r>
              <w:rPr>
                <w:rFonts w:hint="eastAsia" w:ascii="宋体" w:hAnsi="宋体" w:eastAsia="宋体" w:cs="宋体"/>
                <w:b/>
                <w:bCs/>
                <w:i w:val="0"/>
                <w:iCs w:val="0"/>
                <w:color w:val="000000"/>
                <w:kern w:val="0"/>
                <w:sz w:val="24"/>
                <w:szCs w:val="24"/>
                <w:u w:val="none"/>
                <w:lang w:val="en-US" w:eastAsia="zh-CN" w:bidi="ar"/>
              </w:rPr>
              <w:t>投标人需提供智取终端实物彩色照片。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87D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8B37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782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8FED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39</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2A6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超高频仪器扫描枪</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7FC1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025F">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超高频仪器扫描枪硬件参数：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1.处理器：≥8核 2.0GHz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2.RAM：≥2GB；ROM：≥16GB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3.显示器尺寸/类型：5.7寸 IPS高亮屏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4.触摸屏：5点电容触摸屏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5.尺寸：≥143.3mmx169mm×90.5mm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6.重量（含电池）：≥600g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7.电池容量：≥6000mAh可更换，典型工作时长不小于10小时；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8.存储温度：-30℃ 至 +70℃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9.工作湿度：湿度5%至95%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10.超高频："协议标准：ISO18000-6C协议"，工作频率：中国（920-925MHz，840-845MHz），</w:t>
            </w:r>
          </w:p>
          <w:p w14:paraId="6D37CA28">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天线：1.5dBi，功率：1-30db可调。</w:t>
            </w:r>
          </w:p>
          <w:p w14:paraId="44A01A79">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识别范围：室内&gt;5m,室外空旷环境&gt;3m（视环境和标签而定）；群读速率：&gt;200标签每秒。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13.IP（防水防尘）等级：IP65（GB/T4208-2017《外壳防护等级（IP代码）》）</w:t>
            </w:r>
            <w:r>
              <w:rPr>
                <w:rFonts w:hint="eastAsia" w:ascii="宋体" w:hAnsi="宋体" w:eastAsia="宋体" w:cs="宋体"/>
                <w:b/>
                <w:bCs/>
                <w:i w:val="0"/>
                <w:iCs w:val="0"/>
                <w:color w:val="000000"/>
                <w:kern w:val="0"/>
                <w:sz w:val="24"/>
                <w:szCs w:val="24"/>
                <w:u w:val="none"/>
                <w:lang w:val="en-US" w:eastAsia="zh-CN" w:bidi="ar"/>
              </w:rPr>
              <w:t>（投标人提供通过CMA认证的检测机构出具的检测报告扫描件）。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（二）超高频仪器扫描枪终端软件参数：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主要功能模块：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1.支持区域部署：可按学校实际建筑情况虚拟创建区域模拟，层级：楼、楼层、房间、仪器柜，并可自由命名，方便逐层级查看各个区域内的详细信息。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领用：支持通过识别RFID标签编码后选择仪器名称、规格、添加保管人信息及使用位置信息，来完成仪器RFID标签的绑定，与领用操作；支持同时选中多个仪器，填写领用人信息，领用存放位置，提交即可完成仪器领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3.支持盘点：可通过RFID的无感识别进行快速盘点操作，支持选择指定区域盘点，盘点清单支持显示盘点数量分别按照有效清单、异常清单、显示数量；列表项显示仪器信息、存放位置、应盘/实盘数量。</w:t>
            </w:r>
            <w:r>
              <w:rPr>
                <w:rFonts w:hint="eastAsia" w:ascii="宋体" w:hAnsi="宋体" w:eastAsia="宋体" w:cs="宋体"/>
                <w:b/>
                <w:bCs/>
                <w:i w:val="0"/>
                <w:iCs w:val="0"/>
                <w:color w:val="000000"/>
                <w:kern w:val="0"/>
                <w:sz w:val="24"/>
                <w:szCs w:val="24"/>
                <w:u w:val="none"/>
                <w:lang w:val="en-US" w:eastAsia="zh-CN" w:bidi="ar"/>
              </w:rPr>
              <w:t>投标人需提供满足上述支持盘点功能的真实软件界面截图。</w:t>
            </w:r>
          </w:p>
          <w:p w14:paraId="066526D2">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4.支持处置：对需处置仪器进行处置操作，包括多种处置方式。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5.支持设置：软件基础设置。</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0E7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E63C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2BE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57E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58B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定制化射频标签</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F781">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DCE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1、采用超高频芯片设计，性能稳定可靠，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2、防水PET材质柔韧性强，复合强力背胶，不易脱落，不起泡卷翘，贴合平整无缝隙，适用于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3、各种非金属物体表面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4、芯片类型:NXP Ucode 8/9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5、工作频率:860~960MHz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6、工作协议:IS018000-6C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7、产品材质:PET防水溅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8、工作温度：-40℃～+85℃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9、适用期限：可擦写10万次以上，数据保存20年</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016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135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r>
      <w:tr w14:paraId="3ABF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F8B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017B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柔性抗金属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射频标签</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4FA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2D8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1、采用超高频芯片，性能稳定可靠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2、以抗金属千扰的思路设计而成，可以紧贴金属表面而不受干扰解决了UHF无源电子标签受金属干扰导致不读卡的现象，贴在金属表面读距更远，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3、材质柔韧性强可弯曲粘贴；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4、工作频率:860~960MHz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5、工作协议:IS018000-6C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6、芯片类型:NXP Ucode 8/9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7、EPC:128bit4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8、产品材质:表面PET防水溅、背胶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9、工作温度：-40℃～+85℃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适用期限：可擦写10万次以上，数据保存20年</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9AC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946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14:paraId="633A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38AAA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创新实训室</w:t>
            </w:r>
          </w:p>
        </w:tc>
      </w:tr>
      <w:tr w14:paraId="5696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45655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教师研讨区</w:t>
            </w:r>
          </w:p>
        </w:tc>
      </w:tr>
      <w:tr w14:paraId="3532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FD33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278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翻转梯形桌</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5B0F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800*550*800mm±5mm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8A41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1、钢木结构：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2、台面：采用12.7mm厚实芯理化板制作，切割处正反面去毛刺切口打磨平整。表面有良好的耐腐蚀性及具有良好的承重性能。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3、框架：采用35*1.5mm厚优质圆管，美观大方，承重300kG以上，表面经环氧树脂喷涂处理，耐腐蚀；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4、耐腐蚀连接件：采用采用专用连接组装件；</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629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B08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5125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2AC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8AF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矮背椅</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7CB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425*400*455±5mm</w:t>
            </w:r>
            <w:r>
              <w:rPr>
                <w:rFonts w:hint="eastAsia" w:ascii="宋体" w:hAnsi="宋体" w:eastAsia="宋体" w:cs="宋体"/>
                <w:i w:val="0"/>
                <w:iCs w:val="0"/>
                <w:color w:val="000000"/>
                <w:kern w:val="0"/>
                <w:sz w:val="24"/>
                <w:szCs w:val="24"/>
                <w:u w:val="none"/>
                <w:lang w:val="en-US" w:eastAsia="zh-CN" w:bidi="ar"/>
              </w:rPr>
              <w:br w:type="textWrapping"/>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70C5">
            <w:pPr>
              <w:keepNext w:val="0"/>
              <w:keepLines w:val="0"/>
              <w:pageBreakBefore w:val="0"/>
              <w:widowControl/>
              <w:numPr>
                <w:ilvl w:val="0"/>
                <w:numId w:val="8"/>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1、凳面材料为工程塑料，凳面尺寸不小于330*375mm，靠背高度不小于99mm,壁厚不低于5.0mm；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2、凳架采用外径22mm，壁厚不小于2MM钢管，机械一体弯管成型，环氧树脂静电粉末喷涂；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3、踏脚管带定制半封闭PVC套管。</w:t>
            </w:r>
          </w:p>
          <w:p w14:paraId="178D2DC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(不含椅子背高)</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3CE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27FC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4CAF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4F9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实验操作区</w:t>
            </w:r>
          </w:p>
        </w:tc>
      </w:tr>
      <w:tr w14:paraId="29F5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78D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3E0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中央台（带电）</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FC3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3650*1500*850mm±5mm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743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3、结构：全钢结构，实验台使用模块化任意组合，主箱体采用现代积木组合、分上中下三层重叠凸面设计;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实验室用柜体为片装组合结构，采用≥1、0mm高品质一级冷轧钢板，表面经酸洗、磷化防锈及静电处理，并喷涂≧75μm厚环氧树脂粉末。箱体组装用拉铆螺母经19kn以上拉力铆固，配合不锈钢机丝螺丝连接方便现场组装，不破坏防腐涂层，工件所有连接部分经过两次环氧喷涂，避免因水份或者试剂渗漏进接缝后出现腐蚀生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4、门板抽屉：采用≥1.0mm高品质冷轧钢板，喷涂75μm厚环氧树脂粉末，门面板为凸面双斜边设计，双层结构内外部都经过环氧树脂喷涂中间填充隔音材料；门板内含填充材料起到静音作用。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5、上梁：使用1.2mm铝型材经专用模具拉伸成型，可搭配柜体、门板及地围颜色进行配色选择；平整性强，能均匀承托台面，使台面更平整，承重能力更强。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6、地围：使用1.2mm铝型材经专用模具拉伸成型结合高强度工程塑料插件组合而成，易清洁，可搭配柜体、门板及上梁颜色进行配色选择；下斜面设计符合人体工体学。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6、导轨：采用1.2mm三节缓冲静音阻尼导轨，不用任何工具自由拆装，外轨两侧采用5*3（3个钢珠一组）单边15个钢珠保障导轨的拉动顺畅和高承重要求；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7、合页：采用缓冲铰链；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8、拉手：与柜门、抽面板一体折弯成型拉手，牢固耐用；</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818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13A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B685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7F2A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2FF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矮背椅</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FA5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425*400*455mm±5mm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744B">
            <w:pPr>
              <w:keepNext w:val="0"/>
              <w:keepLines w:val="0"/>
              <w:pageBreakBefore w:val="0"/>
              <w:widowControl/>
              <w:numPr>
                <w:ilvl w:val="0"/>
                <w:numId w:val="9"/>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凳面材料为工程塑料，凳面尺寸不小于330*375mm，靠背高度不小于99mm,壁厚不低于5.0mm；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2、凳架采用外径22mm，壁厚不小于2MM钢管，机械一体弯管成型，环氧树脂静电粉末喷涂；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3、踏脚管带定制半封闭PVC套管。</w:t>
            </w:r>
          </w:p>
          <w:p w14:paraId="690B0D95">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(不含椅子背高)</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83D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D63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7E54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5CB7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D2F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试剂架</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5F94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3500*400*800mm±5mm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2B8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1、铝合金多功能组合功能柱试剂架，方形外圆角设计形美观、安装方便、牢固承重性能好单层承达到50kg；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2、可调节试剂存放层板，采用12mm钢化玻璃，两侧为专用铝合金托梁外加椭圆铝合金护栏，托梁配合功能柱上专业设计的钩槽固定在功能柱上，层板可以无限制任意调整高度；</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593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198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42A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8BD5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BA68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全木仪器柜</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E0D1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1000*500*2000±5mm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1658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、结构：全木结构，现代工艺，结构牢固。柜身分上下两部分，上部玻璃板材拉门，放置两层活动层板，下部板材拉门，放置一层活动层板。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、材质：柜身材料采用18mm厚实木多层板；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板材所有截面均经全自动封边机封边处理，所用封边条分别为厚PVC封边条,热熔胶一次成型；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、配件：采用优质五金配件，结构牢固，经久耐用。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、性能：绿色环保、美观大方、安全实用、操作方便</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3CE1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64EE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9A6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AF8E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D79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电气布线（地面以上部分）</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DB1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B6C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DN25阻燃线管；4、2.5平方国标线材，符合国家标准。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D706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69A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23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CC6FC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化学顶装实验室（48座/间）</w:t>
            </w:r>
          </w:p>
        </w:tc>
      </w:tr>
      <w:tr w14:paraId="2651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365B9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r>
      <w:tr w14:paraId="1EA00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9BF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49</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E1FA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lang w:eastAsia="zh-CN"/>
              </w:rPr>
              <w:t>★</w:t>
            </w:r>
            <w:r>
              <w:rPr>
                <w:rFonts w:hint="eastAsia" w:ascii="宋体" w:hAnsi="宋体" w:eastAsia="宋体" w:cs="宋体"/>
                <w:i w:val="0"/>
                <w:iCs w:val="0"/>
                <w:color w:val="000000"/>
                <w:kern w:val="0"/>
                <w:sz w:val="24"/>
                <w:szCs w:val="24"/>
                <w:u w:val="none"/>
                <w:lang w:val="en-US" w:eastAsia="zh-CN" w:bidi="ar"/>
              </w:rPr>
              <w:t>教师演示台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E6E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3000*700*900mm±5mm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237E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面：台面采用15mm厚陶瓷台面。陶瓷台面坯体黑色一体实芯和釉面经高温一体煅烧而成。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3、拉手：采用不锈钢拉手。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5、不锈钢防腐合页：采用优质不锈钢模具一体成型。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6、防腐三节静音导轨：三节滚珠滑轨，承重性强，滑动顺滑。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7、固定桌脚：采用柜体内置可调ABS调整脚，保证调整脚前后都可以调节高低。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8、带给排水设备一套，洗眼器一套。</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6230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799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2C3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6B1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672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落地式紧急冲淋</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BF2C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7C07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1、紧急冲淋洗眼装置的关节采用插拔式的连接方式，既缩短整个产品的安装工时，又能彻底解决管件连接处的漏水问题，轻松满足360度任意定位安装的人性化需要，外观整洁大方，检修及部件更换更加便捷。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2、主体、底座、冲淋阀、洗眼阀、冲淋头、洗眼盆、拉手、推手和脚踏等部件均采用卫生级304不锈钢无缝钢管，镍含量超过8%，耐腐蚀性能出众。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3、采用冷轧工艺生产，不易变形，同时管壁光滑无油脂，经久耐用。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4、洗眼喷头内置减压装置，防止对眼睛二次伤害；配置水压调节系统来适应不同场所的水压。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5、冲淋球阀和洗眼球阀均采用双片式阀门结构，密封性和抗压性能更好，使用寿命更长。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6、阀门管道采用由任（即活接头）的管道连接设计，使维修保养费用极低，避免了由于阀门或部件损坏后无法更换而导致整个洗眼器报废的情况。</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A73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B237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1C9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02E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E0A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教室环境警示系统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B98A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6D66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（1）含服务器端中间件软件1套，PC端账户管理系统1套，手机端H5系统1套；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智能触控警示控制单元集成不小于4寸触摸显示屏可实时显示无线传感器数值（光照度、温度、PM2.5、CO2）；无线环境数据采集单元，内置Lora/433MHz无线采集器，内置光照度、温度、CO2、PM2.5传感器各一组，可发送环境数值至控制单元及远程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（3）◆可通过触摸设置光照度、PM2.5、CO2预警阈值和具有超阈值警示功能（若传感数值达阈值则使能对应的信号灯长亮，若传感数值恢复正常则信号灯熄灭，传感器数值更新默认周期为30秒钟）</w:t>
            </w:r>
            <w:r>
              <w:rPr>
                <w:rFonts w:hint="eastAsia" w:ascii="宋体" w:hAnsi="宋体" w:eastAsia="宋体" w:cs="宋体"/>
                <w:b/>
                <w:bCs/>
                <w:i w:val="0"/>
                <w:iCs w:val="0"/>
                <w:color w:val="000000"/>
                <w:kern w:val="0"/>
                <w:sz w:val="24"/>
                <w:szCs w:val="24"/>
                <w:u w:val="none"/>
                <w:lang w:val="en-US" w:eastAsia="zh-CN" w:bidi="ar"/>
              </w:rPr>
              <w:t>（提供满足要求的具有权威第三方检测机构出具的检测报告复印件）</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）智能触控警示控制单元：内置4G通信控制器；内置Lora/433MHz无线控制器；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）可远程读取传感器数值（光照度、温度、PM2.5、CO2、电量）。</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112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2F5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15A6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2FFDA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r>
      <w:tr w14:paraId="4F7F7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9897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1C9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生化实验桌</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120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1200*600*780mm±5mm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206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面采用15mm厚止滑陶瓷台面。陶瓷台面坯体黑色一体实芯和釉面经高温一体煅烧而成。台面操作边有止滑凹槽，有防止在实验过程中试管、液体等实验物品滑落造成意外伤害，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2、结构：新型钢塑结构，学生位镂空式，符合人体工程学设计，专用书包斗ABS注塑一体注塑成型尺寸不小于410*320*110mm，镂空设计，不屯垃圾，便于清理，中间设挂凳卡。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脚架：采用多材质组合结构，组合尺寸不小于760*530*55mm，定制不小于80*55*2mm椭圆管采用模具一体成型为”Y”字型，下开口采用磨具成型改性工程塑料材料镶嵌，上端连接件采用铸铝一体成型。上框采用不小于20*30*1.0mm距形管焊接成型，并用高强度内六角螺丝连接，便于组装及拆卸，外观流线形设计，易碰撞处全部采用倒圆角。金属表面经环氧树脂粉末喷涂高温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4、后档水板采用不小于105*12*2mm厚一体成型铝合金型材、左右堵头连接件采用铸铝件磨具一体成型，固定台面不易脱落，并用高强度内六角螺丝连接，便于组装及拆卸。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5、桌脚：采用一体注塑模具成型，采用防滑调整脚，后脚预留一寸定向轮安装位置。可以配置脚轮方便移动，同时可以与地面固定，防止桌移动。</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29A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1ED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51B9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vMerge w:val="restart"/>
            <w:tcBorders>
              <w:top w:val="single" w:color="000000" w:sz="4" w:space="0"/>
              <w:left w:val="single" w:color="000000" w:sz="4" w:space="0"/>
              <w:right w:val="single" w:color="000000" w:sz="4" w:space="0"/>
            </w:tcBorders>
            <w:shd w:val="clear" w:color="auto" w:fill="auto"/>
            <w:vAlign w:val="center"/>
          </w:tcPr>
          <w:p w14:paraId="69DEF21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53</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9473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多功能防溅水槽柜</w:t>
            </w:r>
            <w:r>
              <w:rPr>
                <w:rFonts w:hint="eastAsia" w:ascii="宋体" w:hAnsi="宋体" w:eastAsia="宋体" w:cs="宋体"/>
                <w:b/>
                <w:bCs/>
                <w:i w:val="0"/>
                <w:iCs w:val="0"/>
                <w:color w:val="000000"/>
                <w:kern w:val="0"/>
                <w:sz w:val="24"/>
                <w:szCs w:val="24"/>
                <w:u w:val="none"/>
                <w:lang w:val="en-US" w:eastAsia="zh-CN" w:bidi="ar"/>
              </w:rPr>
              <w:t>（投标时提供样品）</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F0B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600*450*820mm±5mm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4A842">
            <w:pPr>
              <w:keepNext w:val="0"/>
              <w:keepLines w:val="0"/>
              <w:pageBreakBefore w:val="0"/>
              <w:widowControl/>
              <w:numPr>
                <w:ilvl w:val="0"/>
                <w:numId w:val="1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底围：590x440x61.5mm，中间部分尺寸601x450x817mm；材质1.0mm镀锌钢板，表面经防锈处理、环氧树脂静电粉末涂装处理；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、一体水槽，PP改性材质，水槽上部内径尺寸为405x480mm，底部内径尺寸为346*436mm，水槽最高深度为360mm，洗涤时水不易外溅；水槽内部带滴水架，滴水架带不少于10根滴水棒，滴水棒可以翻转收纳；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、水槽柜预留收纳翻盖，有收纳水管功能；检修门带锁，底围安装1寸定向轮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多功能防溅水槽柜技术要求满足：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1、水槽柜尺寸：使用卷尺测量，水槽内径尺寸，底部：346m</w:t>
            </w:r>
            <w:r>
              <w:rPr>
                <w:rFonts w:hint="eastAsia" w:ascii="宋体" w:hAnsi="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宽×436mm长、上部：405mm宽×480mm长、高度：360mm；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2、水槽柜滴水架具有折叠隐藏功能；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3、水槽柜隐藏设计：柜体上部设计有隐藏式上下水管功能，可以搭配上走水电的需求；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4、水槽柜过滤功能：下水带2层过滤装置，可以过滤不同的杂质；</w:t>
            </w:r>
          </w:p>
          <w:p w14:paraId="490F4335">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水槽柜</w:t>
            </w:r>
            <w:r>
              <w:rPr>
                <w:rFonts w:hint="eastAsia" w:ascii="宋体" w:hAnsi="宋体" w:cs="宋体"/>
                <w:i w:val="0"/>
                <w:iCs w:val="0"/>
                <w:color w:val="000000"/>
                <w:kern w:val="0"/>
                <w:sz w:val="24"/>
                <w:szCs w:val="24"/>
                <w:u w:val="none"/>
                <w:lang w:val="en-US" w:eastAsia="zh-CN" w:bidi="ar"/>
              </w:rPr>
              <w:t>自由升降</w:t>
            </w:r>
            <w:r>
              <w:rPr>
                <w:rFonts w:hint="eastAsia" w:ascii="宋体" w:hAnsi="宋体" w:eastAsia="宋体" w:cs="宋体"/>
                <w:i w:val="0"/>
                <w:iCs w:val="0"/>
                <w:color w:val="000000"/>
                <w:kern w:val="0"/>
                <w:sz w:val="24"/>
                <w:szCs w:val="24"/>
                <w:u w:val="none"/>
                <w:lang w:val="en-US" w:eastAsia="zh-CN" w:bidi="ar"/>
              </w:rPr>
              <w:t>功能</w:t>
            </w:r>
            <w:r>
              <w:rPr>
                <w:rFonts w:hint="eastAsia" w:ascii="宋体" w:hAnsi="宋体" w:cs="宋体"/>
                <w:i w:val="0"/>
                <w:iCs w:val="0"/>
                <w:color w:val="000000"/>
                <w:kern w:val="0"/>
                <w:sz w:val="24"/>
                <w:szCs w:val="24"/>
                <w:u w:val="none"/>
                <w:lang w:val="en-US" w:eastAsia="zh-CN" w:bidi="ar"/>
              </w:rPr>
              <w:t>：水槽柜在使用过程中，出水口可以自由升降，以满足不同高度</w:t>
            </w:r>
            <w:bookmarkStart w:id="548" w:name="_GoBack"/>
            <w:bookmarkEnd w:id="548"/>
            <w:r>
              <w:rPr>
                <w:rFonts w:hint="eastAsia" w:ascii="宋体" w:hAnsi="宋体" w:cs="宋体"/>
                <w:i w:val="0"/>
                <w:iCs w:val="0"/>
                <w:color w:val="000000"/>
                <w:kern w:val="0"/>
                <w:sz w:val="24"/>
                <w:szCs w:val="24"/>
                <w:u w:val="none"/>
                <w:lang w:val="en-US" w:eastAsia="zh-CN" w:bidi="ar"/>
              </w:rPr>
              <w:t>仪器清洗要求使用。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、水槽柜排水功能：水槽底部设置矩形式下水口，可以快速排出水槽废水。</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65E0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1103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274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vMerge w:val="continue"/>
            <w:tcBorders>
              <w:left w:val="single" w:color="000000" w:sz="4" w:space="0"/>
              <w:bottom w:val="single" w:color="000000" w:sz="4" w:space="0"/>
              <w:right w:val="single" w:color="000000" w:sz="4" w:space="0"/>
            </w:tcBorders>
            <w:shd w:val="clear" w:color="auto" w:fill="auto"/>
            <w:vAlign w:val="center"/>
          </w:tcPr>
          <w:p w14:paraId="1C58486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77CFD">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5F0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双口</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486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1、主体材质为加厚铜管，主管管径26mm铜管，表面经环氧树脂喷涂处理。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2、可以独立折叠式设计，使用时打开，在使用过程中可以自由升降，以满足不同身高的高度仪器清洗要求使用。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4、采用壁式安装，壁厚大于2.5mm，固定底座直径50mm，底座锁母与台面中间添加齿形止退垫，使连接后不易松动稳定性强，与台面安装牢固。可以分开折叠90度收纳，保证实验室的整洁美观。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5、开关旋钮：材质PP，符合人体工学设计，启闭方式为平面式，开关标识清晰醒目，装配好的开关旋钮应平稳轻便无卡阻，与阀杆连接后不易松动稳定性强。</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EDAC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DC5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798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FFE5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CA3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516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Φ315*450-500mm±5mm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395B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Style w:val="121"/>
                <w:rFonts w:hint="eastAsia" w:ascii="宋体" w:hAnsi="宋体" w:cs="宋体"/>
                <w:sz w:val="24"/>
                <w:szCs w:val="24"/>
                <w:lang w:val="en-US" w:eastAsia="zh-CN" w:bidi="ar"/>
              </w:rPr>
              <w:t>1</w:t>
            </w:r>
            <w:r>
              <w:rPr>
                <w:rStyle w:val="121"/>
                <w:rFonts w:hint="eastAsia" w:ascii="宋体" w:hAnsi="宋体" w:eastAsia="宋体" w:cs="宋体"/>
                <w:sz w:val="24"/>
                <w:szCs w:val="24"/>
                <w:lang w:val="en-US" w:eastAsia="zh-CN" w:bidi="ar"/>
              </w:rPr>
              <w:t>、凳脚材质：4个凳脚采用不小于17*34*1.7mm钢管模具弯制一次成型，全圆满焊接完成，结构牢固，经高温粉体烤漆处理，长时间使用也不会产生表面烤漆剥落现象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2、聚丙烯凳面材质：采用聚丙烯共聚级注塑。表面细纹咬花，防滑不发光，凳面底部镶嵌4枚螺纹，采用标准螺栓与圆型托盘固定。</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3、脚垫材质：采用PP加耐磨纤维增强塑料，实心倒勾式一体射出成型。</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4、凳托与凳脚留有一定的空间便于凳子挂在挂凳扣上，方便教室的打扫。</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5、实验凳技术要求满足：</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（1）、重金属：1.1可溶性铅(Pb)；1.2可溶性镉(Cd)；1.3可溶性铬(Cr)；1.4可溶性汞(Hg)；均未检出。</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（2）、承重测试、跌落测试、凳面抗老化测试：2.1承重测试： 静态载荷150KG后应无破损，无断裂；2.2跌落测试 样品从20cm高度落下应无破损；2.3凳面抗老化测试 高温60℃,120h  低温-10℃,120h，凳面无变形。</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（3）、附着力、耐腐蚀测试：3.1附着力 根据SEFA-8M-2016检测，划正方形网格；划格间距：2mm  每方向划格线数：6;胶带类型：3M898   胶带剥离角度：180°;材质类型：硬质，检测结果不小于5B级；3.2耐腐蚀测试 耐酸性  温度：(23±2)℃  试液：30%H</w:t>
            </w:r>
            <w:r>
              <w:rPr>
                <w:rStyle w:val="970"/>
                <w:rFonts w:hint="eastAsia" w:ascii="宋体" w:hAnsi="宋体" w:eastAsia="宋体" w:cs="宋体"/>
                <w:sz w:val="24"/>
                <w:szCs w:val="24"/>
                <w:lang w:val="en-US" w:eastAsia="zh-CN" w:bidi="ar"/>
              </w:rPr>
              <w:t>₂</w:t>
            </w:r>
            <w:r>
              <w:rPr>
                <w:rStyle w:val="121"/>
                <w:rFonts w:hint="eastAsia" w:ascii="宋体" w:hAnsi="宋体" w:eastAsia="宋体" w:cs="宋体"/>
                <w:sz w:val="24"/>
                <w:szCs w:val="24"/>
                <w:lang w:val="en-US" w:eastAsia="zh-CN" w:bidi="ar"/>
              </w:rPr>
              <w:t>SO4溶液 时间：480h 凳面无腐蚀、变形；耐碱性  温度：   (23±2)℃  试液：30%NaOH溶液  时间：480h 凳面无腐蚀、变形</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971A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399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1844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A8E49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控制系统</w:t>
            </w:r>
          </w:p>
        </w:tc>
      </w:tr>
      <w:tr w14:paraId="4F594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277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964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教师演示电源</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1DD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500*260±5mm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FA6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1、教师演示台配备总漏电保护和分组保护，可分组控制学生的高低压电源，确保学生实验安全方便；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2、教师电源总控采用不小于225*127mm尺寸的面板，具备智能控制按键，并能显示电源电压；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5、低压大电流值为40A，自动关断；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教学电源：220V交流输出为带安全门的插座，带有电源指示，学生低压交流电源可通过智能控制按键直接选取0～24V电压，最小调节单元为1V，分组输送至学生桌；低压直流电压教师能准确控制，最小调节单元为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7、教师演示电源技术要求满足：JY/T0374-2004《教学实验室设备电源系统》、GB4943.1-2022《音视频、信息技术和通信技术设备第1部分：安全要求》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1、教师电源交流输出电压的测试符合标准。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2、教师电源直流稳压输出电压的测试符合标准。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3、机械强度之250N恒定力试验符合标准。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4、机械强度之外壳冲击试验符合标准。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5、未接地的可触及零部件符合标准。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6、抗电强度试验符合标准。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063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642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B3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E8AA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55C6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顶装智能控制平台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59F1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810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集中控制系统。可执行各分项分页控制。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给排水控制：控制顶装给排水。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电源控制：控制学生AC220V电源和低压电源。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摇臂控制：控制摇臂升降。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学生端分组控制系统：可以对学生端模块的电源控制系统、照明控制系统、给排水控制系统、智能摇臂控制系统经行独立分组控制，实现全选、反选、单选功能。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远程控制系统：APP登入有网络注册功能，注册后登入系统操作，使用者忘记密码方便找回，同时方便升级系统。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温湿度监视系统：内置精密温湿度传感装置，实时监控房间内的温度和湿度，保障室内舒适的环境舒适性，能在智能控制平台中实时显示当前环境的温度和湿度。</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339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F337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934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E2B1A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太空舱体</w:t>
            </w:r>
          </w:p>
        </w:tc>
      </w:tr>
      <w:tr w14:paraId="74B1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9026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7B0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摇臂升降动力系统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E22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D4CE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采用24V 250mm 14mm/s 4000N推杆电机，采用三支点式支撑设计，三点支撑材质采用三件压铸铝组合组装合成，每件之间采用轴销连接，三个压铸尺寸分别为：199*126*116、271*166*34、162*72*32mm，保证运动过程结构稳定，噪音不超过65分贝，抗腐蚀能力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CBE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AA8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1D0B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F1A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9B3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自动控制系统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D37D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1C85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整体产品的通信核心终端设备，与教师控制对接的控制系统；主要用单片机、电源模块、控制电路组成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给排水控制系统：给水系统：设有每个学生设有给水控制阀门，可以对给水进行控制，可以单独进行控制，进行单选、全选、反选，分组进行控制，教师可以方便对全室供水系统进行控制，学生功能板处设置给水接口，接口与学生水槽柜采用优质硅胶软管连接，接口均采用自动锁紧插拔式连接方式，用时接上，不用时可收起。自动排水系统：所有排水由智能化控制系统集中控制，学生功能板处设置排水接口，接口与学生水槽柜采用优质硅胶软管（具有防酸、防碱、耐腐蚀功能）连接，接口均采用自动锁紧插拔式连接方式（拔掉时没有污水流出），用时接上，不用时可收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2、智能摇臂控制系统：可以对摇臂进行控制，可以单独进行控制，进行单选、全选、反选，分组进行控制；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3、电源控制系统：可以对220V进行控制，可以单独进行控制，进行单选、全选、反选，分组进行控制</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249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B80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r>
      <w:tr w14:paraId="6EBD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4C16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59</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EB7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主体结构系统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D46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6F76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两侧采用1200*200*35铝合金一体成型工艺，底部采用钢制焊接而成，主框架沉重部分采用加厚钢板焊接，顶部设有防尘盖，防止灰尘进入影响设备运行，增加设备寿命。</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F33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6B8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2887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A9B33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多功能伸缩摇臂</w:t>
            </w:r>
          </w:p>
        </w:tc>
      </w:tr>
      <w:tr w14:paraId="3C50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698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8B01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多功能伸缩摇臂集成功能模块舱体</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692E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550*85*240mm±5mm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50C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1、分两段式设计，上部分由外壳、安装导轨、捆绑服务软管和桥式塑料拖链线槽等组成；下部分预留安装学生电源、供应端口、抽风管道空间位置，上下部分的运动间隙采用硅胶材质密封片，保证密闭性。</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9DA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459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0A2F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7F0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5565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智能摇臂升降系统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BB0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6C8A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1、由24V推杆机连接运动的摇臂和固定部分，运动范围从收纳的水平状态到使用时的垂直状态，摇臂可以随时停留的范围内的任意位置。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技术要求满足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投标文件中需提供具有CMA认证的第三方检测报告复印件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1、摇臂具有障碍物保护功能，在摇臂摇摆的过程中遇到障碍物会自动停止并复位。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2、摇臂具有漏水报警功能，当设备漏水时系统可以检测漏水型号，并发出声光报警，并通过短信发送至设定手机.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3.通电AC220，产品自动升降及伸缩，摇臂伸缩及摇臂摇摆次数达到 20000次，摇臂无损坏。</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F9B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16E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2761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7BC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8F9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F19B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CCB0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包含：低压交流0-24V输出1组、直流1.5-24V输出1组、输交流220V插座2个、USB输出5V电源1组。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2、学生电源采用耐磨、耐腐蚀、耐高温的PC亮光薄膜面板，学生电源的控制采用按钮式按键，可以随意设置电压，贴片元件生产技术，微电脑控制，采用不小于49*24mm尺寸面板，用于展示学生的交直流电压数据；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3、学生交流电源通过上下键0～24V电压，最小调节单元可达1V,额定电流3A；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4、学生直流电源也是通过上下键选取，调节范围为1.5～24V，分辨率可达0.1V,额定电流2A。</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354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5EA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r>
      <w:tr w14:paraId="62E3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3B1B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6A1A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供应端口</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6A83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F36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1、给排水端口：采用PVC材质,具有耐酸碱，拔插轻松，不生锈等特点；即插即用，带自动锁紧功能，即使在供水排水工作时，随时拔掉接口也不会有任何滴漏现象；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2、控制端口：采用航空插头供应装置，保证水槽柜供应电源及控制信号线。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◆技术要求满足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投标文件中需提供具有CMA认证的第三方检测报告复印件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摇臂的水电接口采用快接功能，在连接水电时不需要使用辅助工具，</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D6C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087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r>
      <w:tr w14:paraId="5B0B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4EBB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A21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故障显示系统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8F0B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CAD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接收智能平台控制，摇臂运动故障亮红灯警报故障。功能面板采用146*24mm，配置LED故障灯1个，灯罩采用ABS一次成型，设计安装磨砂透明均光板，不仅能使光线扩散均匀更能起到安全防护作用。</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5AC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A8C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57E06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8D13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939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废水存储过滤系统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09FE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EDD3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水过滤箱和排水装置组成。尺寸不小于280*330*290mm。水过滤箱包括箱体、过滤件组成，具有耐酸碱，箱体由一隔板分为上下两层，过滤件设置在上层，抽水装置设置在下层。入水口处设置有液位计传感器，检测箱体的水位，排水装置包含水泵和控制器，控制器接受控制系统信号，控制器与液位计信号连接，且与水泵的开关信号连接。设备下面配有一个万向轮，方便设备移动。</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306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E98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46DE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95C64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系统部分</w:t>
            </w:r>
          </w:p>
        </w:tc>
      </w:tr>
      <w:tr w14:paraId="35B0D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973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FAE8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959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1F7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采用φ20-32mmPP-R给水管，连接每组模块给水。</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FFC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A19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0D3E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1E6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4CF6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A83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1C8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采用φ50-75mmPVC-U国标管，连接每组模块排水。</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2C1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348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62F3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14E0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AF6B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电源供应线路</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C7B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2.5mm²</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4FDD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采用2.5mm²电线进行系统布线。连接每组模块供电。</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702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EE1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797A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CE6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69</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7913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智能控制系统线路</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7AA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1.mm²</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ED81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采用1mm²屏蔽电线进行系统布线，连接每组模块通讯。</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822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E2A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7C5C9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8D2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FD0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安装辅件</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04E4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C1A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采用双槽钢横梁吊装方式，减少楼板承重，防止左右晃动，可进行上下、左右的平衡调节，实验功能板离地2m左右，主要辅件有：槽钢等（不含桁架）</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DD0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D3E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8DB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307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562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D5B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1000*500*1970mm±5mm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682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、PP材质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2、柜体：侧板、顶底板采用改性PP材料增加强度，注塑模一次性成型，表面沙面和光面相结合处理,保证柜体之坚固及密封性，耐腐蚀性强。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3、下储物柜门：内框采用改性PP材质注塑模一次成型,外嵌4.6mm厚钢化烤漆玻璃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4、上柜视窗们：内框采用改性PP材质注塑模一次成型,外嵌4.6mm厚钢化烤漆玻璃，中间烤漆镂空制作。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6、门把手：采用经过改性PP材质注塑模一次成型，与柜门平行，开启方便。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7、门铰链：采用经过射出成型的PP材料制成，耐腐蚀性好。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8、螺丝：PP材质，可选不锈钢304材质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9、备注：可以用于各种腐蚀性化学品的储存，如硫酸、盐酸、硝酸、乙酸、硫磺酸等</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389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453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86E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28FD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8B4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实验室酸碱中和池</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5E5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预埋式</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547D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定制预埋式，日处理量不少于2T。</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94EC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966A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452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9F67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1601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墙面排风系统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82BB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95F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1、每台通风设备都可以独立操作，相互之间不受影响。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2、气流组织合理，排气顺畅，无气味溢出、气体排放符合国家规定排放标准</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D3E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7E3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r>
      <w:tr w14:paraId="306A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3B4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A5E7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实验用防护用品</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E60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86FF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包含地胶123.5平方（含走廊）、实验用护墙板80平方、防盗门2扇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EA1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72E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393F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EC58D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生化顶装实验室（48座/间）</w:t>
            </w:r>
          </w:p>
        </w:tc>
      </w:tr>
      <w:tr w14:paraId="045B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C15ED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r>
      <w:tr w14:paraId="26893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082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E1A1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9CB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3000*700*900mm±5mm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6736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面：台面采用15mm厚陶瓷台面。陶瓷台面坯体黑色一体实芯和釉面经高温一体煅烧而成。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3、拉手：采用不锈钢拉手。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5、不锈钢防腐合页：采用优质不锈钢模具一体成型。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6、防腐三节静音导轨：三节滚珠滑轨，承重性强，滑动顺滑。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7、固定桌脚：采用柜体内置可调ABS调整脚，保证调整脚前后都可以调节高低。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8、带给排水设备一套，洗眼器一套。</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3F0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901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B1C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EA4C">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3811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落地式紧急冲淋</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2B4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5D09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1、紧急冲淋洗眼装置的关节采用插拔式的连接方式，既缩短整个产品的安装工时，又能彻底解决管件连接处的漏水问题，轻松满足360度任意定位安装的人性化需要，外观整洁大方，检修及部件更换更加便捷。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2、主体、底座、冲淋阀、洗眼阀、冲淋头、洗眼盆、拉手、推手和脚踏等部件均采用卫生级304不锈钢无缝钢管，镍含量超过8%，耐腐蚀性能出众。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3、采用冷轧工艺生产，不易变形，同时管壁光滑无油脂，经久耐用。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4、洗眼喷头内置减压装置，防止对眼睛二次伤害；配置水压调节系统来适应不同场所的水压。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5、冲淋球阀和洗眼球阀均采用双片式阀门结构，密封性和抗压性能更好，使用寿命更长。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6、阀门管道采用由任（即活接头）的管道连接设计，使维修保养费用极低，避免了由于阀门或部件损坏后无法更换而导致整个洗眼器报废的情况。</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52A5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EA6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81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E2A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BE9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教室环境警示系统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77F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F06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（1）含服务器端中间件软件1套，PC端账户管理系统1套，手机端H5系统1套；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智能触控警示控制单元集成不小于4寸触摸显示屏可实时显示无线传感器数值（光照度、温度、PM2.5、CO2）；无线环境数据采集单元，内置Lora/433MHz无线采集器，内置光照度、温度、CO2、PM2.5传感器各一组，可发送环境数值至控制单元及远程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（3）可通过触摸设置光照度、PM2.5、CO2预警阈值和具有超阈值警示功能（若传感数值达阈值则使能对应的信号灯长亮，若传感数值恢复正常则信号灯熄灭，传感器数值更新默认周期为30秒钟）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（3）智能触控警示控制单元：内置4G通信控制器；内置Lora/433MHz无线控制器；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（4）可远程读取传感器数值（光照度、温度、PM2.5、CO2、电量）。</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EBB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CA06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1E1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D3E14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r>
      <w:tr w14:paraId="3131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DF70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FF8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生化实验桌</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381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1200*600*780mm±5mm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D73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面采用15mm厚止滑陶瓷台面。陶瓷台面坯体黑色一体实芯和釉面经高温一体煅烧而成。台面操作边有止滑凹槽，有防止在实验过程中试管、液体等实验物品滑落造成意外伤害，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2、结构：新型钢塑结构，学生位镂空式，符合人体工程学设计，专用书包斗ABS注塑一体注塑成型尺寸不小于410*320*110mm，镂空设计，不屯垃圾，便于清理，中间设挂凳卡。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脚架：采用多材质组合结构，组合尺寸不小于760*530*55mm，定制不小于80*55*2mm椭圆管采用模具一体成型为”Y”字型，下开口采用磨具成型改性工程塑料材料镶嵌，上端连接件采用铸铝一体成型。上框采用不小于20*30*1.0mm距形管焊接成型，并用高强度内六角螺丝连接，便于组装及拆卸，外观流线形设计，易碰撞处全部采用倒圆角。金属表面经环氧树脂粉末喷涂高温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4、后档水板采用不小于105*12*2mm厚一体成型铝合金型材、左右堵头连接件采用铸铝件磨具一体成型，固定台面不易脱落，并用高强度内六角螺丝连接，便于组装及拆卸。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5、桌脚：采用一体注塑模具成型，采用防滑调整脚，后脚预留一寸定向轮安装位置。可以配置脚轮方便移动，同时可以与地面固定，防止桌移动。</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2BD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595A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4285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vMerge w:val="restart"/>
            <w:tcBorders>
              <w:top w:val="single" w:color="000000" w:sz="4" w:space="0"/>
              <w:left w:val="single" w:color="000000" w:sz="4" w:space="0"/>
              <w:right w:val="single" w:color="000000" w:sz="4" w:space="0"/>
            </w:tcBorders>
            <w:shd w:val="clear" w:color="auto" w:fill="auto"/>
            <w:vAlign w:val="center"/>
          </w:tcPr>
          <w:p w14:paraId="0068842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79</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8AD2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多功能防溅水槽柜</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24F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600*450*820mm±5mm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C3D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1、底围：590x440x61.5mm，中间部分尺寸601x450x817mm；材质1.0mm镀锌钢板，表面经防锈处理、环氧树脂静电粉末涂装处理；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、一体水槽，PP改性材质，水槽上部内径尺寸为405x480mm，底部内径尺寸为346*436mm，水槽最高深度为360mm，洗涤时水不易外溅；水槽内部带滴水架，滴水架带不少于10根滴水棒，滴水棒可以翻转收纳；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、水槽柜预留收纳翻盖，有收纳水管功能；检修门带锁，底围安装1寸定向轮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、多功能防溅水槽柜技术要求满足：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(1)、密度：(23±2)℃，(50±5)%RH，24h，浸渍液：水，浸渍液密度：1.0168g/cm3，浸渍液温度23.5℃，块状试样，1.161g/cm3；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(2)、水槽柜尺寸：使用卷尺测量，水槽内径尺寸，底部：346m</w:t>
            </w:r>
            <w:r>
              <w:rPr>
                <w:rFonts w:hint="eastAsia" w:ascii="宋体" w:hAnsi="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宽×436mm长、上部：405mm宽×480mm长、高度：360mm；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(3)、水槽柜滴水架具有折叠隐藏功能；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(4)、水槽柜隐藏设计：柜体上部设计有隐藏式上下水管功能，可以搭配上走水电的需求；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(5)、水槽柜过滤功能：下水带2层过滤装置，可以过滤不同的杂质；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(6)、水槽柜排水功能：水槽底部设置矩形式下水口，可以快速排出水槽废水。</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95A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20D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5106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vMerge w:val="continue"/>
            <w:tcBorders>
              <w:left w:val="single" w:color="000000" w:sz="4" w:space="0"/>
              <w:bottom w:val="single" w:color="000000" w:sz="4" w:space="0"/>
              <w:right w:val="single" w:color="000000" w:sz="4" w:space="0"/>
            </w:tcBorders>
            <w:shd w:val="clear" w:color="auto" w:fill="auto"/>
            <w:vAlign w:val="center"/>
          </w:tcPr>
          <w:p w14:paraId="5BF67FD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E086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358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双口</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2999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1、主体材质为加厚铜管，主管管径26mm铜管，表面经环氧树脂喷涂处理。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2、双口可以独立折叠式设计，使用过程中可以自由升降，以满足不同身高的高度仪器清洗要求使用。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4、采用壁式安装，壁厚大于2.5mm，固定底座直径50mm，底座锁母与台面中间添加齿形止退垫，使连接后不易松动稳定性强，与台面安装牢固。可以分开折叠90度收纳，保证实验室的整洁美观。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5、开关旋钮：材质PP，符合人体工学设计，启闭方式为平面式，开关标识清晰醒目，装配好的开关旋钮应平稳轻便无卡阻，与阀杆连接后不易松动稳定性强。</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4D6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7FA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0C8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8C4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462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713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Φ315*450-500mm±5mm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BBF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Style w:val="121"/>
                <w:rFonts w:hint="eastAsia" w:ascii="宋体" w:hAnsi="宋体" w:eastAsia="宋体" w:cs="宋体"/>
                <w:sz w:val="24"/>
                <w:szCs w:val="24"/>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2、聚丙烯凳面材质：采用聚丙烯共聚级注塑。表面细纹咬花，防滑不发光，凳面底部镶嵌4枚螺纹，采用标准螺栓与圆型托盘固定。</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3、脚垫材质：采用PP加耐磨纤维增强塑料，实心倒勾式一体射出成型。</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4、凳托与凳脚留有一定的空间便于凳子挂在挂凳扣上，方便教室的打扫。</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5、实验凳技术要求满足：</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（1）、重金属：1.1可溶性铅(Pb)；1.2可溶性镉(Cd)；1.3可溶性铬(Cr)；1.4可溶性汞(Hg)；均未检出。</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（2）、承重测试、跌落测试、凳面抗老化测试：2.1承重测试： 静态载荷150KG后应无破损，无断裂；2.2跌落测试 样品从20cm高度落下应无破损；2.3凳面抗老化测试 高温60℃,120h  低温-10℃,120h，凳面无变形。</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（3）、附着力、耐腐蚀测试：3.1附着力 根据SEFA-8M-2016检测，划正方形网格；划格间距：2mm  每方向划格线数：6;胶带类型：3M898   胶带剥离角度：180°;材质类型：硬质，检测结果不小于5B级；3.2耐腐蚀测试 耐酸性  温度：(23±2)℃  试液：30%H</w:t>
            </w:r>
            <w:r>
              <w:rPr>
                <w:rStyle w:val="970"/>
                <w:rFonts w:hint="eastAsia" w:ascii="宋体" w:hAnsi="宋体" w:eastAsia="宋体" w:cs="宋体"/>
                <w:sz w:val="24"/>
                <w:szCs w:val="24"/>
                <w:lang w:val="en-US" w:eastAsia="zh-CN" w:bidi="ar"/>
              </w:rPr>
              <w:t>₂</w:t>
            </w:r>
            <w:r>
              <w:rPr>
                <w:rStyle w:val="121"/>
                <w:rFonts w:hint="eastAsia" w:ascii="宋体" w:hAnsi="宋体" w:eastAsia="宋体" w:cs="宋体"/>
                <w:sz w:val="24"/>
                <w:szCs w:val="24"/>
                <w:lang w:val="en-US" w:eastAsia="zh-CN" w:bidi="ar"/>
              </w:rPr>
              <w:t>SO4溶液 时间：480h 凳面无腐蚀、变形；耐碱性  温度：   (23±2)℃  试液：30%NaOH溶液  时间：480h 凳面无腐蚀、变形</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1D6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1A3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7E60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19A33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控制系统</w:t>
            </w:r>
          </w:p>
        </w:tc>
      </w:tr>
      <w:tr w14:paraId="477F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B0F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FC5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教师演示电源</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737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500*260±5mm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B91C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1、教师演示台配备总漏电保护和分组保护，可分组控制学生的高低压电源，确保学生实验安全方便；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2、教师电源总控采用不小于225*127mm尺寸的面板，具备智能控制按键，并能显示电源电压；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5、低压大电流值为40A，自动关断；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教学电源：220V交流输出为带安全门的插座，带有电源指示，学生低压交流电源可通过智能控制按键直接选取0～24V电压，最小调节单元为1V，分组输送至学生桌；低压直流电压教师能准确控制，最小调节单元为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7、教师演示电源技术要求满足：JY/T0374-2004《教学实验室设备电源系统》、GB4943.1-2022《音视频、信息技术和通信技术设备第1部分：安全要求》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1、教师电源交流输出电压的测试符合标准。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2、教师电源直流稳压输出电压的测试符合标准。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3、机械强度之250N恒定力试验符合标准。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4、机械强度之外壳冲击试验符合标准。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5、未接地的可触及零部件符合标准。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6、抗电强度试验符合标准。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E1AA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60D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DA92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BEA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6FB2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顶装智能控制平台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51C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10寸</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176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规格：10寸触摸屏。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集中控制系统。可执行各分项分页控制；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（1）通风控制：触摸数字无极变频控制，具有频率数字显示功能，可精确控制通风风量；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（2）供水控制：集中控制整室给排水；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（3）照明控制：分组控制整室照明；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（4）电源控制：控制学生AC220V电源；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（5）摇臂控制：可以实现单个控制，可以集中控制，可以任意组合控制。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学生端分组控制系统：可以对学生端模块的电源控制系统、照明控制系统、给排水控制系统、智能摇臂控制系统经行独立分组控制，实现全选、反选、单选功能。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远程控制系统：APP登入有网络注册功能，注册后登入系统操作，使用者忘记密码方便找回，同时方便升级系统。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温湿度监视系统：内置精密温湿度传感装置，实时监控房间内的温度和湿度，保障室内舒适的环境舒适性，能在智能控制平台中实时显示当前环境的温度和湿度。</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78E3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1893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343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13694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太空舱体</w:t>
            </w:r>
          </w:p>
        </w:tc>
      </w:tr>
      <w:tr w14:paraId="40DF7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BD92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9D2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摇臂升降动力系统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759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C9F2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采用24V 250mm 14mm/s 4000N推杆电机，采用三支点式支撑设计，三点支撑材质采用三件压铸铝组合组装合成，每件之间采用轴销连接，三个压铸尺寸分别为：199*126*116、271*166*34、162*72*32mm，保证运动过程结构稳定，噪音不超过65分贝，抗腐蚀能力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03F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DB3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27093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772C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2D1F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自动控制系统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725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CDC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集成式控制单元：主要用单片机、电源模块、控制电路组成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执行给排水控制：给水系统：设有每个学生设有给水控制阀门，可以对给水进行控制，可以单独进行控制，进行单选、全选、反选，分组进行控制，教师可以方便对全室供水系统进行控制，学生功能板处设置给水接口，接口与学生水槽柜采用优质硅胶软管连接，接口均采用自动锁紧插拔式连接方式，用时接上，不用时可收起。自动排水系统：所有排水由智能化控制系统集中控制，学生功能板处设置排水接口，接口与学生水槽柜采用优质硅胶软管（具有防酸、防碱、耐腐蚀功能）连接，接口均采用自动锁紧插拔式连接方式（拔掉时没有污水流出），用时接上，不用时可收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2、执行智能摇臂控制：可以对摇臂进行控制，可以单独进行控制，进行单选、全选、反选，分组进行控制；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3、执行电源控制：可以对220V和低压电源进行控制，可以单独进行控制，进行单选、全选、反选，分组进行控制。对低压电源的电压经行调节及锁定。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BBC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086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0C23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865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BFFC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主体结构系统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62D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7B24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两侧采用1200*200*35铝合金一体成型工艺，底部采用钢制焊接而成，主框架沉重部分采用加厚钢板焊接，顶部设有防尘盖，防止灰尘进入影响设备运行，增加设备寿命。</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8BC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802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462F0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30C0B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多功能伸缩摇臂</w:t>
            </w:r>
          </w:p>
        </w:tc>
      </w:tr>
      <w:tr w14:paraId="7042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F53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290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多功能伸缩摇臂集成功能模块舱体</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063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550*85*240mm±5mm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3E0D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1、分两段式设计，上部分由外壳、安装导轨、捆绑服务软管和桥式塑料拖链线槽等组成；下部分预留安装学生电源、供应端口、抽风管道空间位置，上下部分的运动间隙采用硅胶材质密封片，保证密闭性。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2、多功能伸缩摇臂集成功能模块舱体技术要求满足：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(1)、性能测试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功能面板的自动升降和伸缩范围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具有水，电，网三种接口，并且有USB供电接口(DC 5V，1.5A)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(2)、寿命测试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通电AC220V，产品能够承受20000次，能自动伸缩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(3)、抗电强度试验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试验电压为AC500V，50Hz，持续时间60s;试验中，不应有击穿和飞弧现象出现。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AD3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8E1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1D67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90FD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5583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智能摇臂升降系统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238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B3E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1、由24V推杆机连接运动的摇臂和固定部分，运动范围从收纳的水平状态到使用时的垂直状态，摇臂可以随时停留的范围内的任意位置。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2、提供由满足以下技术要求具有CMA认证的第三方检测机构出具的检测报告复印件。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（1）、摇臂可以自动仲缩，可以无机调节高度，摇臂伸展的长度不小于380mm。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（2）、摇臂具有障碍物保护功能，在摇臂摇摆的过程中遇到障碍物会自动停止并复位。</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0CF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3E0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563D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C5EE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DCA8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041D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739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包含：低压交流0-24V输出1组、直流1.5-24V输出1组、输交流220V插座2个、USB输出5V电源1组。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2、学生电源采用耐磨、耐腐蚀、耐高温的PC亮光薄膜面板，学生电源的控制采用按钮式按键，可以随意设置电压，贴片元件生产技术，微电脑控制，采用不小于49*24mm尺寸面板，用于展示学生的交直流电压数据；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3、学生交流电源通过上下键0～24V电压，最小调节单元可达1V,额定电流3A；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4、学生直流电源也是通过上下键选取，调节范围为1.5～24V，分辨率可达0.1V,额定电流2A。</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861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2B9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r>
      <w:tr w14:paraId="212A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0D44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89</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54C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供应端口</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396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A5B8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1、给排水端口：采用PVC材质,具有耐酸碱，拔插轻松，不生锈等特点；即插即用，带自动锁紧功能，即使在供水排水工作时，随时拔掉接口也不会有任何滴漏现象；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2、控制端口：采用航空插头供应装置，保证水槽柜供应电源及控制信号线。</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9D6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F5F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r>
      <w:tr w14:paraId="3A70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C2D6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C83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故障显示系统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BC09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479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接收智能平台控制，摇臂运动故障亮红灯警报故障。功能面板采用146*24mm，配置LED故障灯1个，灯罩采用ABS一次成型，设计安装磨砂透明均光板，不仅能使光线扩散均匀更能起到安全防护作用。</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89F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96C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25C8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F5AA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870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废水存储过滤系统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97C7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083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水过滤箱和排水装置组成。尺寸不小于280*330*290mm。水过滤箱包括箱体、过滤件组成，具有耐酸碱，箱体由一隔板分为上下两层，过滤件设置在上层，抽水装置设置在下层。入水口处设置有液位计传感器，检测箱体的水位，排水装置包含水泵和控制器，控制器接受控制系统信号，控制器与液位计信号连接，且与水泵的开关信号连接。设备下面配有一个万向轮，方便设备移动。</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97A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BC7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2B05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A67D2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系统部分</w:t>
            </w:r>
          </w:p>
        </w:tc>
      </w:tr>
      <w:tr w14:paraId="1DDA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5D63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C57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474F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9689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采用φ20-32mmPP-R给水管，连接每组模块给水。</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54A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B30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6586B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2A19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E9F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8B3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30E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采用φ50-75mmPVC-U国标管，连接每组模块排水。</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ADC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E28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7097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BA7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7C79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电源供应线路</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4AB3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2.5mm²</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1CD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采用2.5mm²电线进行系统布线。连接每组模块供电。</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E28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A3E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6B30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608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B388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智能控制系统线路</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70B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1.mm²</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32B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采用1mm²屏蔽电线进行系统布线，连接每组模块通讯。</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730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124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5266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116E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BF7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安装辅件</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861C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3C9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采用双槽钢横梁吊装方式，减少楼板承重，防止左右晃动，可进行上下、左右的平衡调节，实验功能板离地2m左右，主要辅件有：槽钢等（不含桁架）</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248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FA0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B14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1F19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7ED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A4F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1000*500*1970mm±5mm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E512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1、PP材质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2、柜体：侧板、顶底板采用改性PP材料增加强度，注塑模一次性成型，表面沙面和光面相结合处理,保证柜体之坚固及密封性，耐腐蚀性强。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3、下储物柜门：内框采用改性PP材质注塑模一次成型,外嵌4.6mm厚钢化烤漆玻璃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4、上柜视窗们：内框采用改性PP材质注塑模一次成型,外嵌4.6mm厚钢化烤漆玻璃，中间烤漆镂空制作。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6、门把手：采用经过改性PP材质注塑模一次成型，与柜门平行，开启方便。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7、门铰链：采用经过射出成型的PP材料制成，耐腐蚀性好。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8、螺丝：PP材质，可选不锈钢304材质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9、备注：可以用于各种腐蚀性化学品的储存，如硫酸、盐酸、硝酸、乙酸、硫磺酸等。</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6688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F8A6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AB80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0609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A5F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墙面排风系统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6CA9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81C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1、每台通风设备都可以独立操作，相互之间不受影响。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2、气流组织合理，排气顺畅，无气味溢出、气体排放符合国家规定排放标准</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A4C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37C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r>
      <w:tr w14:paraId="38F7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5A80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99</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87B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实验用防护用品</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F63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144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包含地胶123.5平方（含走廊）、实验用护墙板80平方、防盗门2扇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9D3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727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7FDD6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CBDF8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生物顶装实验室（48座/间）</w:t>
            </w:r>
          </w:p>
        </w:tc>
      </w:tr>
      <w:tr w14:paraId="533E9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7D999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r>
      <w:tr w14:paraId="1222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7646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9B8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BCEE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3000*700*900mm±5mm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694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面：台面采用15mm厚陶瓷台面。陶瓷台面坯体黑色一体实芯和釉面经高温一体煅烧而成。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3、拉手：采用不锈钢拉手。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5、不锈钢防腐合页：采用优质不锈钢模具一体成型。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6、防腐三节静音导轨：三节滚珠滑轨，承重性强，滑动顺滑。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7、固定桌脚：采用柜体内置可调ABS调整脚，保证调整脚前后都可以调节高低。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8、带给排水设备一套，洗眼器一套。</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0BB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65D7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965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7D877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r>
      <w:tr w14:paraId="39CC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FE1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D89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生化实验桌</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902D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1200*600*780mm±5mm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F4F7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面采用15mm厚止滑陶瓷台面。陶瓷台面坯体黑色一体实芯和釉面经高温一体煅烧而成。台面操作边有止滑凹槽，有防止在实验过程中试管、液体等实验物品滑落造成意外伤害，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2、结构：新型钢塑结构，学生位镂空式，符合人体工程学设计，专用书包斗ABS注塑一体注塑成型尺寸不小于410*320*110mm，镂空设计，不屯垃圾，便于清理，中间设挂凳卡。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脚架：采用多材质组合结构，组合尺寸不小于760*530*55mm，定制不小于80*55*2mm椭圆管采用模具一体成型为”Y”字型，下开口采用磨具成型改性工程塑料材料镶嵌，上端连接件采用铸铝一体成型。上框采用不小于20*30*1.0mm距形管焊接成型，并用高强度内六角螺丝连接，便于组装及拆卸，外观流线形设计，易碰撞处全部采用倒圆角。金属表面经环氧树脂粉末喷涂高温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4、后档水板采用不小于105*12*2mm厚一体成型铝合金型材、左右堵头连接件采用铸铝件磨具一体成型，固定台面不易脱落，并用高强度内六角螺丝连接，便于组装及拆卸。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5、桌脚：采用一体注塑模具成型，采用防滑调整脚，后脚预留一寸定向轮安装位置。可以配置脚轮方便移动，同时可以与地面固定，防止桌移动。</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89B6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7B2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1C0E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vMerge w:val="restart"/>
            <w:tcBorders>
              <w:top w:val="single" w:color="000000" w:sz="4" w:space="0"/>
              <w:left w:val="single" w:color="000000" w:sz="4" w:space="0"/>
              <w:right w:val="single" w:color="000000" w:sz="4" w:space="0"/>
            </w:tcBorders>
            <w:shd w:val="clear" w:color="auto" w:fill="auto"/>
            <w:vAlign w:val="center"/>
          </w:tcPr>
          <w:p w14:paraId="1F420A5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02</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1602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多功能防溅水槽柜</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361C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600*450*820mm±5mm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4076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1、底围：590x440x61.5mm，中间部分尺寸601x450x817mm；材质1.0mm镀锌钢板，表面经防锈处理、环氧树脂静电粉末涂装处理；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、一体水槽，PP改性材质，水槽上部内径尺寸为405x480mm，底部内径尺寸为346*436mm，水槽最高深度为360mm，洗涤时水不易外溅；水槽内部带滴水架，滴水架带不少于10根滴水棒，滴水棒可以翻转收纳；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、水槽柜预留收纳翻盖，有收纳水管功能；检修门带锁，底围安装1寸定向轮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、多功能防溅水槽柜技术要求满足：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(1)、密度：(23±2)℃，(50±5)%RH，24h，浸渍液：水，浸渍液密度：1.0168g/cm3，浸渍液温度23.5℃，块状试样，1.161g/cm3；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(2)、水槽柜尺寸：使用卷尺测量，水槽内径尺寸，底部：346m</w:t>
            </w:r>
            <w:r>
              <w:rPr>
                <w:rFonts w:hint="eastAsia" w:ascii="宋体" w:hAnsi="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宽×436mm长、上部：405mm宽×480mm长、高度：360mm；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(3)、水槽柜滴水架具有折叠隐藏功能；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(4)、水槽柜隐藏设计：柜体上部设计有隐藏式上下水管功能，可以搭配上走水电的需求；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(5)、水槽柜过滤功能：下水带2层过滤装置，可以过滤不同的杂质；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(6)、水槽柜排水功能：水槽底部设置矩形式下水口，可以快速排出水槽废水。</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698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9AED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56DD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vMerge w:val="continue"/>
            <w:tcBorders>
              <w:left w:val="single" w:color="000000" w:sz="4" w:space="0"/>
              <w:bottom w:val="single" w:color="000000" w:sz="4" w:space="0"/>
              <w:right w:val="single" w:color="000000" w:sz="4" w:space="0"/>
            </w:tcBorders>
            <w:shd w:val="clear" w:color="auto" w:fill="auto"/>
            <w:vAlign w:val="center"/>
          </w:tcPr>
          <w:p w14:paraId="4BA109E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87BB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2B54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双口</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F15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1、主体材质为加厚铜管，主管管径26mm铜管，表面经环氧树脂喷涂处理。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2、双口可以独立折叠式设计，使用时打开，在使用过程中可以自由升降，以满足不同身高的高度仪器清洗要求使用。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4、采用壁式安装，壁厚大于2.5mm，固定底座直径50mm，底座锁母与台面中间添加齿形止退垫，使连接后不易松动稳定性强，与台面安装牢固。可以分开折叠90度收纳，保证实验室的整洁美观。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5、开关旋钮：材质PP，符合人体工学设计，启闭方式为平面式，开关标识清晰醒目，装配好的开关旋钮应平稳轻便无卡阻，与阀杆连接后不易松动稳定性强。</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806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849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0838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2A5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1E5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7B6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Φ315*450-500mm±5mm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4999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Style w:val="121"/>
                <w:rFonts w:hint="eastAsia" w:ascii="宋体" w:hAnsi="宋体" w:eastAsia="宋体" w:cs="宋体"/>
                <w:sz w:val="24"/>
                <w:szCs w:val="24"/>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2、聚丙烯凳面材质：采用聚丙烯共聚级注塑。表面细纹咬花，防滑不发光，凳面底部镶嵌4枚螺纹，采用标准螺栓与圆型托盘固定。</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3、脚垫材质：采用PP加耐磨纤维增强塑料，实心倒勾式一体射出成型。</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4、凳托与凳脚留有一定的空间便于凳子挂在挂凳扣上，方便教室的打扫。</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5、实验凳技术要求满足：</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（1）、重金属：1.1可溶性铅(Pb)；1.2可溶性镉(Cd)；1.3可溶性铬(Cr)；1.4可溶性汞(Hg)；均未检出。</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（2）、承重测试、跌落测试、凳面抗老化测试：2.1承重测试： 静态载荷150KG后应无破损，无断裂；2.2跌落测试 样品从20cm高度落下应无破损；2.3凳面抗老化测试 高温60℃,120h  低温-10℃,120h，凳面无变形。</w:t>
            </w:r>
            <w:r>
              <w:rPr>
                <w:rStyle w:val="121"/>
                <w:rFonts w:hint="eastAsia" w:ascii="宋体" w:hAnsi="宋体" w:eastAsia="宋体" w:cs="宋体"/>
                <w:sz w:val="24"/>
                <w:szCs w:val="24"/>
                <w:lang w:val="en-US" w:eastAsia="zh-CN" w:bidi="ar"/>
              </w:rPr>
              <w:br w:type="textWrapping"/>
            </w:r>
            <w:r>
              <w:rPr>
                <w:rStyle w:val="121"/>
                <w:rFonts w:hint="eastAsia" w:ascii="宋体" w:hAnsi="宋体" w:eastAsia="宋体" w:cs="宋体"/>
                <w:sz w:val="24"/>
                <w:szCs w:val="24"/>
                <w:lang w:val="en-US" w:eastAsia="zh-CN" w:bidi="ar"/>
              </w:rPr>
              <w:t>（3）、附着力、耐腐蚀测试：3.1附着力 根据SEFA-8M-2016检测，划正方形网格；划格间距：2mm  每方向划格线数：6;胶带类型：3M898   胶带剥离角度：180°;材质类型：硬质，检测结果不小于5B级；3.2耐腐蚀测试 耐酸性  温度：(23±2)℃  试液：30%H</w:t>
            </w:r>
            <w:r>
              <w:rPr>
                <w:rStyle w:val="970"/>
                <w:rFonts w:hint="eastAsia" w:ascii="宋体" w:hAnsi="宋体" w:eastAsia="宋体" w:cs="宋体"/>
                <w:sz w:val="24"/>
                <w:szCs w:val="24"/>
                <w:lang w:val="en-US" w:eastAsia="zh-CN" w:bidi="ar"/>
              </w:rPr>
              <w:t>₂</w:t>
            </w:r>
            <w:r>
              <w:rPr>
                <w:rStyle w:val="121"/>
                <w:rFonts w:hint="eastAsia" w:ascii="宋体" w:hAnsi="宋体" w:eastAsia="宋体" w:cs="宋体"/>
                <w:sz w:val="24"/>
                <w:szCs w:val="24"/>
                <w:lang w:val="en-US" w:eastAsia="zh-CN" w:bidi="ar"/>
              </w:rPr>
              <w:t>SO4溶液 时间：480h 凳面无腐蚀、变形；耐碱性  温度：   (23±2)℃  试液：30%NaOH溶液  时间：480h 凳面无腐蚀、变形</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63C4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7FB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11A9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594D2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控制系统</w:t>
            </w:r>
          </w:p>
        </w:tc>
      </w:tr>
      <w:tr w14:paraId="14512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66F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D0A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教师演示电源</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FE3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500*260±5mm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298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1、教师演示台配备总漏电保护和分组保护，可分组控制学生的高低压电源，确保学生实验安全方便；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2、教师电源总控采用不小于225*127mm尺寸的面板，具备智能控制按键，并能显示电源电压；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5、低压大电流值为40A，自动关断；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教学电源：220V交流输出为带安全门的插座，带有电源指示，学生低压交流电源可通过智能控制按键直接选取0～24V电压，最小调节单元为1V，分组输送至学生桌；低压直流电压教师能准确控制，最小调节单元为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7、教师演示电源技术要求满足：JY/T0374-2004《教学实验室设备电源系统》、GB4943.1-2022《音视频、信息技术和通信技术设备第1部分：安全要求》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1、教师电源交流输出电压的测试符合标准。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2、教师电源直流稳压输出电压的测试符合标准。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3、机械强度之250N恒定力试验符合标准。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4、机械强度之外壳冲击试验符合标准。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5、未接地的可触及零部件符合标准。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6、抗电强度试验符合标准。</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BA0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E2C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EDD3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EE5B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44E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顶装智能控制平台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343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52E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集中控制系统。可执行各分项分页控制。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给排水控制：控制顶装给排水。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电源控制：控制学生AC220V电源和低压电源。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摇臂控制：控制摇臂升降。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学生端分组控制系统：可以对学生端模块的电源控制系统、照明控制系统、给排水控制系统、智能摇臂控制系统经行独立分组控制，实现全选、反选、单选功能。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远程控制系统：APP登入有网络注册功能，注册后登入系统操作，使用者忘记密码方便找回，同时方便升级系统。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温湿度监视系统：内置精密温湿度传感装置，实时监控房间内的温度和湿度，保障室内舒适的环境舒适性，能在智能控制平台中实时显示当前环境的温度和湿度。</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E47B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CC0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0B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5DC2F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太空舱体</w:t>
            </w:r>
          </w:p>
        </w:tc>
      </w:tr>
      <w:tr w14:paraId="219D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250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0254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摇臂升降动力系统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67C4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65D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采用24V 250mm 14mm/s 4000N推杆电机，采用三支点式支撑设计，三点支撑材质采用三件压铸铝组合组装合成，每件之间采用轴销连接，三个压铸尺寸分别为：199*126*116、271*166*34、162*72*32mm，保证运动过程结构稳定，噪音不超过65分贝，抗腐蚀能力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85D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766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03D66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24B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9E8B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自动控制系统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F826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688E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集成式控制单元：主要用单片机、电源模块、控制电路组成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执行给排水控制：给水系统：设有每个学生设有给水控制阀门，可以对给水进行控制，可以单独进行控制，进行单选、全选、反选，分组进行控制，教师可以方便对全室供水系统进行控制，学生功能板处设置给水接口，接口与学生水槽柜采用优质硅胶软管连接，接口均采用自动锁紧插拔式连接方式，用时接上，不用时可收起。自动排水系统：所有排水由智能化控制系统集中控制，学生功能板处设置排水接口，接口与学生水槽柜采用优质硅胶软管（具有防酸、防碱、耐腐蚀功能）连接，接口均采用自动锁紧插拔式连接方式（拔掉时没有污水流出），用时接上，不用时可收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2、执行智能摇臂控制：可以对摇臂进行控制，可以单独进行控制，进行单选、全选、反选，分组进行控制；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3、执行电源控制：可以对220V和低压电源进行控制，可以单独进行控制，进行单选、全选、反选，分组进行控制。对低压电源的电压经行调节及锁定。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5B9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519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4957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18B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81E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主体结构系统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82B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E23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两侧采用1200*200*35铝合金一体成型工艺，底部采用钢制焊接而成，主框架沉重部分采用加厚钢板焊接，顶部设有防尘盖，防止灰尘进入影响设备运行，增加设备寿命。</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EAF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358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30D5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25EAB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多功能伸缩摇臂</w:t>
            </w:r>
          </w:p>
        </w:tc>
      </w:tr>
      <w:tr w14:paraId="423C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3F88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09</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1ABC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多功能伸缩摇臂集成功能模块舱体</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7F8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550*85*240mm±5mm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C66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1、分两段式设计，上部分由外壳、安装导轨、捆绑服务软管和桥式塑料拖链线槽等组成；下部分预留安装学生电源、供应端口、抽风管道空间位置，上下部分的运动间隙采用硅胶材质密封片，保证密闭性。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2、多功能伸缩摇臂集成功能模块舱体技术要求满足：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(1)、性能测试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功能面板的自动升降和伸缩范围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具有水，电，网三种接口，并且有USB供电接口(DC 5V，1.5A)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(2)、寿命测试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通电AC220V，产品能够承受20000次，能自动伸缩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(3)、抗电强度试验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试验电压为AC500V，50Hz，持续时间60s;试验中，不应有击穿和飞弧现象出现。</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D2C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2CB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519E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A84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20DA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智能摇臂升降系统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D21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9B6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1、由24V推杆机连接运动的摇臂和固定部分，运动范围从收纳的水平状态到使用时的垂直状态，摇臂可以随时停留的范围内的任意位置。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2、提供由生产厂家送检满足以下技术要求具有CMA认证的第三方检测机构出具的检测报告复印件。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（1）、摇臂可以自动仲缩，可以无机调节高度，摇臂伸展的长度不小于380mm。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（2）、摇臂具有障碍物保护功能，在摇臂摇摆的过程中遇到障碍物会自动停止并复位。</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68E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11E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7062C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DAAE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F2E6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35C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EC1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包含：低压交流0-24V输出1组、直流1.5-24V输出1组、输交流220V插座2个、USB输出5V电源1组。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2、学生电源采用耐磨、耐腐蚀、耐高温的PC亮光薄膜面板，学生电源的控制采用按钮式按键，可以随意设置电压，贴片元件生产技术，微电脑控制，采用不小于49*24mm尺寸面板，用于展示学生的交直流电压数据；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3、学生交流电源通过上下键0～24V电压，最小调节单元可达1V,额定电流3A；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4、学生直流电源也是通过上下键选取，调节范围为1.5～24V，分辨率可达0.1V,额定电流2A。</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742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27E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r>
      <w:tr w14:paraId="363E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3BE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BD7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供应端口</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14E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D73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1、给排水端口：采用PVC材质,具有耐酸碱，拔插轻松，不生锈等特点；即插即用，带自动锁紧功能，即使在供水排水工作时，随时拔掉接口也不会有任何滴漏现象；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2、控制端口：采用航空插头供应装置，保证水槽柜供应电源及控制信号线。</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44B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E90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r>
      <w:tr w14:paraId="0ACA9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9CAA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E902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故障显示系统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5C39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677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接收智能平台控制，摇臂运动故障亮红灯警报故障。功能面板采用146*24mm，配置LED故障灯1个，灯罩采用ABS一次成型，设计安装磨砂透明均光板，不仅能使光线扩散均匀更能起到安全防护作用。</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E5B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969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477D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29F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8DE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废水存储过滤系统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10D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5BB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水过滤箱和排水装置组成。尺寸不小于280*330*290mm。水过滤箱包括箱体、过滤件组成，具有耐酸碱，箱体由一隔板分为上下两层，过滤件设置在上层，抽水装置设置在下层。入水口处设置有液位计传感器，检测箱体的水位，排水装置包含水泵和控制器，控制器接受控制系统信号，控制器与液位计信号连接，且与水泵的开关信号连接。设备下面配有一个万向轮，方便设备移动。</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9F0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065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r>
      <w:tr w14:paraId="0AA5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EDADE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系统部分</w:t>
            </w:r>
          </w:p>
        </w:tc>
      </w:tr>
      <w:tr w14:paraId="7D03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948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961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94E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B89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采用φ20-32mmPP-R给水管，连接每组模块给水。</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F42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271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5CBBB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61A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671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排水系统</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9AE8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BF3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采用φ50-75mmPVC-U国标管，连接每组模块排水。</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890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54C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4C47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C94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9340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电源供应线路</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25C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2.5mm²</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268E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采用2.5mm²电线进行系统布线。连接每组模块供电。</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50B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170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34AEC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0BB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128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智能控制系统线路</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4F4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1.mm²</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3CB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采用1mm²屏蔽电线进行系统布线，连接每组模块通讯。</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EFA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40B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50AA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48E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19</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22A7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安装辅件</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B468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CB5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采用双槽钢横梁吊装方式，减少楼板承重，防止左右晃动，可进行上下、左右的平衡调节，实验功能板离地2m左右，主要辅件有：槽钢等（不含桁架）</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0D1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A22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D4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016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4571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765E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1000*500*1970mm±5mm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262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1、PP材质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2、柜体：侧板、顶底板采用改性PP材料增加强度，注塑模一次性成型，表面沙面和光面相结合处理,保证柜体之坚固及密封性，耐腐蚀性强。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3、下储物柜门：内框采用改性PP材质注塑模一次成型,外嵌4.6mm厚钢化烤漆玻璃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4、上柜视窗们：内框采用改性PP材质注塑模一次成型,外嵌4.6mm厚钢化烤漆玻璃，中间烤漆镂空制作。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6、门把手：采用经过改性PP材质注塑模一次成型，与柜门平行，开启方便。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7、门铰链：采用经过射出成型的PP材料制成，耐腐蚀性好。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8、螺丝：PP材质，可选不锈钢304材质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9、备注：可以用于各种腐蚀性化学品的储存，如硫酸、盐酸、硝酸、乙酸、硫磺酸等</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3513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3800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1140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0E5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165D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实验用防护用品</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C39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A158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包含地胶123.5平方（含走廊）、实验用护墙板80平方、防盗门2扇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031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5BA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26C9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38362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实验室准备室</w:t>
            </w:r>
          </w:p>
        </w:tc>
      </w:tr>
      <w:tr w14:paraId="5529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C99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C16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CAEA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1000*500*1970mm±5mm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FE5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1、PP材质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2、柜体：侧板、顶底板采用改性PP材料增加强度，注塑模一次性成型，表面沙面和光面相结合处理,保证柜体之坚固及密封性，耐腐蚀性强。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3、下储物柜门：内框采用改性PP材质注塑模一次成型,外嵌4.6mm厚钢化烤漆玻璃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4、上柜视窗们：内框采用改性PP材质注塑模一次成型,外嵌4.6mm厚钢化烤漆玻璃，中间烤漆镂空制作。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6、门把手：采用经过改性PP材质注塑模一次成型，与柜门平行，开启方便。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7、门铰链：采用经过射出成型的PP材料制成，耐腐蚀性好。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8、螺丝：PP材质，可选不锈钢304材质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9、备注：可以用于各种腐蚀性化学品的储存，如硫酸、盐酸、硝酸、乙酸、硫磺酸等</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F7F8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B90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14:paraId="76A5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F75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E341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定制边台（带水电）</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7014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2400*750*850mm±5mm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001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面：采用20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3、结构：全钢结构，实验台使用模块化任意组合，主箱体采用现代积木组合、分上中下三层重叠凸面设计;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实验室用柜体为片装组合结构，采用≥1、0mm高品质一级冷轧钢板，表面经酸洗、磷化防锈及静电处理，并喷涂≧75μm厚环氧树脂粉末。箱体组装用拉铆螺母经19kn以上拉力铆固，配合不锈钢机丝螺丝连接方便现场组装，不破坏防腐涂层，工件所有连接部分经过两次环氧喷涂，避免因水份或者试剂渗漏进接缝后出现腐蚀生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4、门板抽屉：采用≥1.0mm高品质冷轧钢板，喷涂75μm厚环氧树脂粉末，门面板为凸面双斜边设计，双层结构内外部都经过环氧树脂喷涂中间填充隔音材料；门板内含填充材料起到静音作用。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5、上梁：使用1.2mm铝型材经专用模具拉伸成型，可搭配柜体、门板及地围颜色进行配色选择；平整性强，能均匀承托台面，使台面更平整，承重能力更强。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6、地围：使用1.2mm铝型材经专用模具拉伸成型结合高强度工程塑料插件组合而成，易清洁，可搭配柜体、门板及上梁颜色进行配色选择；下斜面设计符合人体工体学。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6、导轨：采用1.2mm三节缓冲静音阻尼导轨，不用任何工具自由拆装，外轨两侧采用5*3（3个钢珠一组）单边15个钢珠保障导轨的拉动顺畅和高承重要求；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7、合页：采用缓冲铰链；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8、拉手：与柜门、抽面板一体折弯成型拉手，牢固耐用；</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716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05E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C579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383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A77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通风柜</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3215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1500*850*2350mm±5mm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A38B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1、结构组合：采用三段组合式柜体，上部柜体（通风柜），中间（操作台面），下部柜体（内含单侧独立抽气式组成柜及另侧独立水、电、气体管线系统容纳柜设计。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2、外壳：全钢结构，采用1.0mm高强度镀锌钢板，表面经环氧树脂喷涂处理。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3、内壳：采用5mm厚耐酸碱、耐高温的抗倍特板制作。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4、台面：采用12.7mm厚实芯理化板制作，切割处正反面去毛刺切口打磨平整。表面有良好的耐腐蚀性及具有良好的承重性能。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5、照明：采用30W日光灯，并设有5mm厚磨沙玻璃。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6、移门拉手：采用铝合金一字拉手。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7、气流板：采用5mm厚抗倍特板，安装位置与角度满足排气顺畅。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8、化验水斗：采用PP制作，耐酸碱一体成型小水杯。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9、化验水咀：采用实验室专用单口烤漆水咀。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10、窗口：采用6mm厚的防爆钢化玻璃。内部采用垂体平衡装置，可以停留在上下任何位置。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钢化玻璃技术要求满足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投标文件中需提供具有CMA认证的第三方检测报告复印件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：GB 15763.2-2005 建筑用安全玻璃 第2部分：钢化玻璃，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1、碎片状态满足：取4块试样进行试验，每块试样在任何50mm*50mm区域内的最少碎片数不少于40片，且允许有少量长条形碎片，其长度不超过75mm；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2、表面应力满足：钢化玻璃的表面应力不应小于90MPa。取3块试样进行试验，当全部符合规定为合格，2块试样不符合则为不合格；当2块试样符合时，再追加3块试样，如果3块全部符合规定则为合格。</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793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2E3A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C87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0B1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88A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通风系统耗材及附件</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371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C6B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含风管安装及支架，安装螺杆，密封垫</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A34A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E8A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17A8E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336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3640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实验室小推车</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4C3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B61A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8D0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7BA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6F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B59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危化品室</w:t>
            </w:r>
          </w:p>
        </w:tc>
      </w:tr>
      <w:tr w14:paraId="61BA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296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127</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466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通风药品柜</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941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1000*500*1970mm±5mm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A90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1、PP材质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2、柜体：侧板、顶底板采用改性PP材料增加强度，注塑模一次性成型，表面沙面和光面相结合处理,保证柜体之坚固及密封性，耐腐蚀性强。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3、下储物柜门：内框采用改性PP材质注塑模一次成型,外嵌4.6mm厚钢化烤漆玻璃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4、上柜视窗们：内框采用改性PP材质注塑模一次成型,外嵌4.6mm厚钢化烤漆玻璃，中间烤漆镂空制作。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5、层板：上部配置阶梯层板，下部配置一块活动层板，层板全部采用改性PP材质注塑模一次成型，表面沙面和光面相结合处理，承重力强。整体设计为活动式，可随意抽取放在合适的隔层，自由组合各层空间。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6、门把手：采用经过改性PP材质注塑模一次成型，与柜门平行，开启方便。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7、门铰链：采用经过射出成型的PP材料制成，耐腐蚀性好。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8、螺丝：PP材质，可选不锈钢304材质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9、备注：可以用于各种腐蚀性化学品的储存，如硫酸、盐酸、硝酸、乙酸、硫磺酸等</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9EB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4EB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3F4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FF9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28</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556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危化品柜</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962F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900*515*1850±5mm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8DDC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  风：可自主设置每日的排气换气时间（可设6个时间）。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远控系统：可通过手机端，电脑端随时查看储存柜内部的温度，湿度，VOC浓度。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报警提示：当柜内温度，湿度和VOC浓度超标时，储存柜自身会发出强烈的声光报警提醒管理员，直至报警消除。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自主排风: 当储存柜内部监测值（温/湿度，VOC浓度）超标时，储存柜会自主发出报警并启动排风装置，及时降低内部温度，湿度和VOC浓度。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柜体采用1.0mm优质冷轧钢板，底座采用2.0mm的冷轧钢板制作，经酸洗磷化后静电喷涂，高温固化处理。保持高光洁度并最大限度的降低腐蚀和湿气及紫外线的影响。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顶板有直径110mm出风口，风口内置一个AC2200V、50HZ、0.22A大风扇，最大风量大于300m³/h、转速2550转/min,控制开关置于柜体顶部右上角（当风机开机前要把柜门下方中间的进风口推置打开状态）。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部（上、下、左、右）采用5mm抗强酸碱耐冲击的瓷白色PP板做内胆，隔层防火棉填充，采用PP螺丝与柜体连接.突破传统铁板易腐，易锈的诟病。同时还配置3块三层阶梯的PP活动层板，层板设有5MM的通气孔。柜体底部设置进风口及可调风阀，控制风量大小。内部最下层还留有可以存放不少于120mm厚黄沙的填充腔（漏液槽），用于存放金属钠、黄磷（白磷）等易燃物品；挡板应与柜体连为一体.底部加装4个16寸活动轮，便于储存柜的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门采用连续平滑钢琴式铰链，确保门能开180度，配置锌合金拉手。柜门与柜体之间安装防火膨胀密封件，当温度为150℃-180℃时密封条局部膨胀，温度达到750℃时密封条全部膨胀，膨胀比例1：5，以确保储存药品的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温湿度控制面板位于柜体右上角：柜体顶部配置温湿度传感器，对柜内相对温湿度实时监控，数字显示设定和测量值，如超过设定的测量值即时报警提示。电源AC220V 50HZ,温度启控0～99.9℃（用户设定），湿度启控0～99.9﹪（用户设定）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报警功能:VOC、温湿度超过设定值，报警提示，报警方式采用声光报警。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（含设备穿线布电及通风管道敷设）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950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BBB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090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054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29</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DDE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边台（带电）</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359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2400*750*850mm±5mm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53B0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面：采用20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3、结构：全钢结构，实验台使用模块化任意组合，主箱体采用现代积木组合、分上中下三层重叠凸面设计;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实验室用柜体为片装组合结构，采用≥1、0mm高品质一级冷轧钢板，表面经酸洗、磷化防锈及静电处理，并喷涂≧75μm厚环氧树脂粉末。箱体组装用拉铆螺母经19kn以上拉力铆固，配合不锈钢机丝螺丝连接方便现场组装，不破坏防腐涂层，工件所有连接部分经过两次环氧喷涂，避免因水份或者试剂渗漏进接缝后出现腐蚀生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4、门板抽屉：采用≥1.0mm高品质冷轧钢板，喷涂75μm厚环氧树脂粉末，门面板为凸面双斜边设计，双层结构内外部都经过环氧树脂喷涂中间填充隔音材料；门板内含填充材料起到静音作用。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5、上梁：使用1.2mm铝型材经专用模具拉伸成型，可搭配柜体、门板及地围颜色进行配色选择；平整性强，能均匀承托台面，使台面更平整，承重能力更强。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6、地围：使用1.2mm铝型材经专用模具拉伸成型结合高强度工程塑料插件组合而成，易清洁，可搭配柜体、门板及上梁颜色进行配色选择；下斜面设计符合人体工体学。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6、导轨：采用1.2mm三节缓冲静音阻尼导轨，不用任何工具自由拆装，外轨两侧采用5*3（3个钢珠一组）单边15个钢珠保障导轨的拉动顺畅和高承重要求；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7、合页：采用缓冲铰链；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8、拉手：与柜门、抽面板一体折弯成型拉手，牢固耐用；</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8CE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FCC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443B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F27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424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实验室小推车</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2BB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2A3E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10A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7AA5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0E7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662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AAA8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通风系统耗材及附件</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EEF2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915C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含风管安装及支架，安装螺杆，密封垫</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5C5F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58D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3B95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E60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36B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危化品仓库围挡</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E827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3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7ED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甲级防</w:t>
            </w:r>
            <w:r>
              <w:rPr>
                <w:rFonts w:hint="eastAsia" w:ascii="宋体" w:hAnsi="宋体" w:cs="宋体"/>
                <w:i w:val="0"/>
                <w:iCs w:val="0"/>
                <w:color w:val="000000"/>
                <w:kern w:val="0"/>
                <w:sz w:val="24"/>
                <w:szCs w:val="24"/>
                <w:u w:val="none"/>
                <w:lang w:val="en-US" w:eastAsia="zh-CN" w:bidi="ar"/>
              </w:rPr>
              <w:t>盗</w:t>
            </w:r>
            <w:r>
              <w:rPr>
                <w:rFonts w:hint="eastAsia" w:ascii="宋体" w:hAnsi="宋体" w:eastAsia="宋体" w:cs="宋体"/>
                <w:i w:val="0"/>
                <w:iCs w:val="0"/>
                <w:color w:val="000000"/>
                <w:kern w:val="0"/>
                <w:sz w:val="24"/>
                <w:szCs w:val="24"/>
                <w:u w:val="none"/>
                <w:lang w:val="en-US" w:eastAsia="zh-CN" w:bidi="ar"/>
              </w:rPr>
              <w:t>门一扇，3025*3000*200mm轻质砖围挡</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F40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A33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019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8FA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C711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电气布线（地面以上部分）</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DF1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DN25mm</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3FD3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DN25阻燃线管；4、2.5平方国标线材，符合国家标准。</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38F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109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2DE724FB">
      <w:pPr>
        <w:pStyle w:val="79"/>
        <w:rPr>
          <w:rFonts w:hint="eastAsia" w:ascii="宋体" w:hAnsi="宋体" w:eastAsia="宋体" w:cs="宋体"/>
          <w:lang w:val="en-US" w:eastAsia="zh-CN"/>
        </w:rPr>
      </w:pPr>
      <w:r>
        <w:rPr>
          <w:rFonts w:hint="eastAsia" w:ascii="宋体" w:hAnsi="宋体" w:eastAsia="宋体" w:cs="宋体"/>
          <w:lang w:val="en-US" w:eastAsia="zh-CN"/>
        </w:rPr>
        <w:t>商务要求：</w:t>
      </w:r>
    </w:p>
    <w:p w14:paraId="29CBE5D5">
      <w:pPr>
        <w:pStyle w:val="15"/>
        <w:adjustRightInd/>
        <w:snapToGri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注：</w:t>
      </w:r>
    </w:p>
    <w:p w14:paraId="1EC47D22">
      <w:pPr>
        <w:pStyle w:val="15"/>
        <w:adjustRightInd/>
        <w:snapToGrid/>
        <w:spacing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1</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rPr>
        <w:t>、打◆的条款为重要指标，允许偏离，但在技术评分时会重点扣分。</w:t>
      </w:r>
    </w:p>
    <w:p w14:paraId="7364D49F">
      <w:pPr>
        <w:widowControl/>
        <w:spacing w:line="360" w:lineRule="auto"/>
        <w:ind w:firstLine="482" w:firstLineChars="200"/>
        <w:jc w:val="left"/>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eastAsia="zh-CN" w:bidi="ar"/>
        </w:rPr>
        <w:t>（</w:t>
      </w:r>
      <w:r>
        <w:rPr>
          <w:rFonts w:hint="eastAsia" w:ascii="宋体" w:hAnsi="宋体" w:eastAsia="宋体" w:cs="宋体"/>
          <w:b/>
          <w:bCs/>
          <w:kern w:val="0"/>
          <w:sz w:val="24"/>
          <w:szCs w:val="24"/>
          <w:highlight w:val="none"/>
          <w:lang w:val="en-US" w:eastAsia="zh-CN" w:bidi="ar"/>
        </w:rPr>
        <w:t>2</w:t>
      </w:r>
      <w:r>
        <w:rPr>
          <w:rFonts w:hint="eastAsia" w:ascii="宋体" w:hAnsi="宋体" w:eastAsia="宋体" w:cs="宋体"/>
          <w:b/>
          <w:bCs/>
          <w:kern w:val="0"/>
          <w:sz w:val="24"/>
          <w:szCs w:val="24"/>
          <w:highlight w:val="none"/>
          <w:lang w:eastAsia="zh-CN" w:bidi="ar"/>
        </w:rPr>
        <w:t>）</w:t>
      </w:r>
      <w:r>
        <w:rPr>
          <w:rFonts w:hint="eastAsia" w:ascii="宋体" w:hAnsi="宋体" w:eastAsia="宋体" w:cs="宋体"/>
          <w:b/>
          <w:bCs/>
          <w:kern w:val="0"/>
          <w:sz w:val="24"/>
          <w:szCs w:val="24"/>
          <w:highlight w:val="none"/>
          <w:lang w:bidi="ar"/>
        </w:rPr>
        <w:t>、以上标注★的产品为核心产品：</w:t>
      </w:r>
      <w:r>
        <w:rPr>
          <w:rFonts w:hint="eastAsia" w:ascii="宋体" w:hAnsi="宋体" w:eastAsia="宋体" w:cs="宋体"/>
          <w:b/>
          <w:bCs/>
          <w:kern w:val="0"/>
          <w:sz w:val="24"/>
          <w:szCs w:val="24"/>
          <w:highlight w:val="none"/>
          <w:lang w:val="en-US" w:eastAsia="zh-CN" w:bidi="ar"/>
        </w:rPr>
        <w:t>物理学生实验桌和教师演示台</w:t>
      </w:r>
      <w:r>
        <w:rPr>
          <w:rFonts w:hint="eastAsia" w:ascii="宋体" w:hAnsi="宋体" w:eastAsia="宋体" w:cs="宋体"/>
          <w:b/>
          <w:bCs/>
          <w:kern w:val="0"/>
          <w:sz w:val="24"/>
          <w:szCs w:val="24"/>
          <w:highlight w:val="none"/>
          <w:lang w:bidi="ar"/>
        </w:rPr>
        <w:t>（序号</w:t>
      </w:r>
      <w:r>
        <w:rPr>
          <w:rFonts w:hint="eastAsia" w:ascii="宋体" w:hAnsi="宋体" w:eastAsia="宋体" w:cs="宋体"/>
          <w:b/>
          <w:bCs/>
          <w:kern w:val="0"/>
          <w:sz w:val="24"/>
          <w:szCs w:val="24"/>
          <w:highlight w:val="none"/>
          <w:lang w:val="en-US" w:eastAsia="zh-CN" w:bidi="ar"/>
        </w:rPr>
        <w:t>3</w:t>
      </w:r>
      <w:r>
        <w:rPr>
          <w:rFonts w:hint="eastAsia" w:ascii="宋体" w:hAnsi="宋体" w:eastAsia="宋体" w:cs="宋体"/>
          <w:b/>
          <w:bCs/>
          <w:kern w:val="0"/>
          <w:sz w:val="24"/>
          <w:szCs w:val="24"/>
          <w:highlight w:val="none"/>
          <w:lang w:bidi="ar"/>
        </w:rPr>
        <w:t>和</w:t>
      </w:r>
      <w:r>
        <w:rPr>
          <w:rFonts w:hint="eastAsia" w:ascii="宋体" w:hAnsi="宋体" w:eastAsia="宋体" w:cs="宋体"/>
          <w:b/>
          <w:bCs/>
          <w:kern w:val="0"/>
          <w:sz w:val="24"/>
          <w:szCs w:val="24"/>
          <w:highlight w:val="none"/>
          <w:lang w:val="en-US" w:eastAsia="zh-CN" w:bidi="ar"/>
        </w:rPr>
        <w:t>49</w:t>
      </w:r>
      <w:r>
        <w:rPr>
          <w:rFonts w:hint="eastAsia" w:ascii="宋体" w:hAnsi="宋体" w:eastAsia="宋体" w:cs="宋体"/>
          <w:b/>
          <w:bCs/>
          <w:kern w:val="0"/>
          <w:sz w:val="24"/>
          <w:szCs w:val="24"/>
          <w:highlight w:val="none"/>
          <w:lang w:bidi="ar"/>
        </w:rPr>
        <w:t>）。若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FA9551">
      <w:pPr>
        <w:spacing w:line="360" w:lineRule="auto"/>
        <w:ind w:firstLine="482" w:firstLineChars="200"/>
        <w:jc w:val="left"/>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eastAsia="zh-CN" w:bidi="ar"/>
        </w:rPr>
        <w:t>（</w:t>
      </w:r>
      <w:r>
        <w:rPr>
          <w:rFonts w:hint="eastAsia" w:ascii="宋体" w:hAnsi="宋体" w:eastAsia="宋体" w:cs="宋体"/>
          <w:b/>
          <w:bCs/>
          <w:kern w:val="0"/>
          <w:sz w:val="24"/>
          <w:szCs w:val="24"/>
          <w:highlight w:val="none"/>
          <w:lang w:val="en-US" w:eastAsia="zh-CN" w:bidi="ar"/>
        </w:rPr>
        <w:t>3</w:t>
      </w:r>
      <w:r>
        <w:rPr>
          <w:rFonts w:hint="eastAsia" w:ascii="宋体" w:hAnsi="宋体" w:eastAsia="宋体" w:cs="宋体"/>
          <w:b/>
          <w:bCs/>
          <w:kern w:val="0"/>
          <w:sz w:val="24"/>
          <w:szCs w:val="24"/>
          <w:highlight w:val="none"/>
          <w:lang w:eastAsia="zh-CN" w:bidi="ar"/>
        </w:rPr>
        <w:t>）</w:t>
      </w:r>
      <w:r>
        <w:rPr>
          <w:rFonts w:hint="eastAsia" w:ascii="宋体" w:hAnsi="宋体" w:eastAsia="宋体" w:cs="宋体"/>
          <w:b/>
          <w:bCs/>
          <w:kern w:val="0"/>
          <w:sz w:val="24"/>
          <w:szCs w:val="24"/>
          <w:highlight w:val="none"/>
          <w:lang w:bidi="ar"/>
        </w:rPr>
        <w:t>、以上技术标准如有更新的，按最新标准执行。</w:t>
      </w:r>
    </w:p>
    <w:p w14:paraId="210EE56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、项目实施期限</w:t>
      </w:r>
    </w:p>
    <w:p w14:paraId="3F5695EB">
      <w:pPr>
        <w:keepNext w:val="0"/>
        <w:keepLines w:val="0"/>
        <w:pageBreakBefore w:val="0"/>
        <w:widowControl w:val="0"/>
        <w:kinsoku w:val="0"/>
        <w:wordWrap/>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合同签订后</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天内完成供货安装。</w:t>
      </w:r>
    </w:p>
    <w:p w14:paraId="040A6C5D">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、货物提供的地点、方式</w:t>
      </w:r>
    </w:p>
    <w:p w14:paraId="2A4F50A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sz w:val="24"/>
          <w:szCs w:val="24"/>
          <w:highlight w:val="none"/>
        </w:rPr>
        <w:t>采购人指定地点、采用车辆运输的方式</w:t>
      </w:r>
    </w:p>
    <w:p w14:paraId="5DD9DF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交货时应对提供的货物列出清单，在完全符合要求后，在交付清单上双方签字确认，如有产品达不到技术标准，采购人有权拒绝签字，直到符合技术要求，采购人才做交付验收，该清单作为验收必备技术文档。</w:t>
      </w:r>
    </w:p>
    <w:p w14:paraId="541EA89E">
      <w:pPr>
        <w:spacing w:line="360" w:lineRule="auto"/>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售后服务：</w:t>
      </w:r>
    </w:p>
    <w:p w14:paraId="7086A69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（1）设备质保期必须验收合格后</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年</w:t>
      </w:r>
      <w:r>
        <w:rPr>
          <w:rFonts w:hint="eastAsia" w:ascii="宋体" w:hAnsi="宋体" w:eastAsia="宋体" w:cs="宋体"/>
          <w:color w:val="auto"/>
          <w:sz w:val="24"/>
          <w:highlight w:val="none"/>
        </w:rPr>
        <w:t>，设施设备质保期满后提供上门服务，仅收取材料费</w:t>
      </w:r>
      <w:r>
        <w:rPr>
          <w:rFonts w:hint="eastAsia" w:ascii="宋体" w:hAnsi="宋体" w:eastAsia="宋体" w:cs="宋体"/>
          <w:color w:val="auto"/>
          <w:sz w:val="24"/>
          <w:highlight w:val="none"/>
          <w:lang w:eastAsia="zh-CN"/>
        </w:rPr>
        <w:t>。</w:t>
      </w:r>
    </w:p>
    <w:p w14:paraId="126BCB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（2）投标方在保修期内，应承诺提供7×24小时免备件费、免人工费、免服务费的服务，软硬件系统出现故障影响正常运行的，半小时内响应，2小时内到现场，4小时内解决问题</w:t>
      </w:r>
      <w:r>
        <w:rPr>
          <w:rFonts w:hint="eastAsia" w:ascii="宋体" w:hAnsi="宋体" w:eastAsia="宋体" w:cs="宋体"/>
          <w:color w:val="auto"/>
          <w:kern w:val="0"/>
          <w:sz w:val="24"/>
          <w:highlight w:val="none"/>
          <w:lang w:val="zh-CN"/>
        </w:rPr>
        <w:t>。若</w:t>
      </w:r>
      <w:r>
        <w:rPr>
          <w:rFonts w:hint="eastAsia" w:ascii="宋体" w:hAnsi="宋体" w:eastAsia="宋体" w:cs="宋体"/>
          <w:color w:val="auto"/>
          <w:kern w:val="0"/>
          <w:sz w:val="24"/>
          <w:highlight w:val="none"/>
        </w:rPr>
        <w:t>24</w:t>
      </w:r>
      <w:r>
        <w:rPr>
          <w:rFonts w:hint="eastAsia" w:ascii="宋体" w:hAnsi="宋体" w:eastAsia="宋体" w:cs="宋体"/>
          <w:color w:val="auto"/>
          <w:kern w:val="0"/>
          <w:sz w:val="24"/>
          <w:highlight w:val="none"/>
          <w:lang w:val="zh-CN"/>
        </w:rPr>
        <w:t>小时内不能解决问题的，必须提供备机或其他保障措施，以保证采购单位的正常使用。</w:t>
      </w:r>
    </w:p>
    <w:p w14:paraId="639E6A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（3）投标人应具有完善的售后服务体系，建有零配件仓库，提供售后服务部门及维修网点的联系电话。</w:t>
      </w:r>
    </w:p>
    <w:p w14:paraId="2F0A8212">
      <w:pPr>
        <w:pStyle w:val="3"/>
        <w:keepNext w:val="0"/>
        <w:numPr>
          <w:ilvl w:val="0"/>
          <w:numId w:val="0"/>
        </w:numPr>
        <w:spacing w:before="0" w:after="0" w:line="360" w:lineRule="auto"/>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其它</w:t>
      </w:r>
    </w:p>
    <w:p w14:paraId="24888039">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、建设周期</w:t>
      </w:r>
    </w:p>
    <w:p w14:paraId="50EB706A">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为保证杭州市保俶塔实验学校智慧实验室建设</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的顺利建设，本次设备采购、到货、安装、调试工作应在合同签订后</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0天</w:t>
      </w:r>
      <w:r>
        <w:rPr>
          <w:rFonts w:hint="eastAsia" w:ascii="宋体" w:hAnsi="宋体" w:eastAsia="宋体" w:cs="宋体"/>
          <w:color w:val="auto"/>
          <w:sz w:val="24"/>
          <w:highlight w:val="none"/>
        </w:rPr>
        <w:t>内完成全部建设内容；正常试运行1个月，培训并交付使用，并制定相应的项目实施详细进度计划。</w:t>
      </w:r>
    </w:p>
    <w:p w14:paraId="69C367D2">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、培训</w:t>
      </w:r>
    </w:p>
    <w:p w14:paraId="0A2690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应对用户进行培训，并承担所有费用，使其能对设备进行日常的维护保养及能对一般故障进行维修，并向培训人员提供详细的技术维修及调试参数资料；中标人应对用户的操作人员进行技术操作培训并提供详细的操作手册，所有费用由中标人承担；上述两种培训的培训方式、地点、人数、时间，投标商应在投标文件中详细说明。</w:t>
      </w:r>
    </w:p>
    <w:p w14:paraId="7DAC33D8">
      <w:pPr>
        <w:numPr>
          <w:ilvl w:val="0"/>
          <w:numId w:val="0"/>
        </w:numPr>
        <w:spacing w:line="360" w:lineRule="auto"/>
        <w:ind w:leftChars="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安装、调试与验收</w:t>
      </w:r>
    </w:p>
    <w:p w14:paraId="3A6F27EF">
      <w:pPr>
        <w:numPr>
          <w:ilvl w:val="0"/>
          <w:numId w:val="0"/>
        </w:numPr>
        <w:spacing w:line="360" w:lineRule="auto"/>
        <w:ind w:leftChars="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本项目有旧设备拆除事宜，中标供应商需负责旧设备的拆除，现场修复，</w:t>
      </w:r>
      <w:r>
        <w:rPr>
          <w:rFonts w:hint="eastAsia" w:ascii="宋体" w:hAnsi="宋体" w:eastAsia="宋体" w:cs="宋体"/>
          <w:b/>
          <w:bCs/>
          <w:color w:val="auto"/>
          <w:sz w:val="24"/>
          <w:highlight w:val="none"/>
        </w:rPr>
        <w:t>检查安装现场是否符合</w:t>
      </w:r>
      <w:r>
        <w:rPr>
          <w:rFonts w:hint="eastAsia" w:ascii="宋体" w:hAnsi="宋体" w:eastAsia="宋体" w:cs="宋体"/>
          <w:b/>
          <w:bCs/>
          <w:color w:val="auto"/>
          <w:sz w:val="24"/>
          <w:highlight w:val="none"/>
          <w:lang w:val="en-US" w:eastAsia="zh-CN"/>
        </w:rPr>
        <w:t>本项目</w:t>
      </w:r>
      <w:r>
        <w:rPr>
          <w:rFonts w:hint="eastAsia" w:ascii="宋体" w:hAnsi="宋体" w:eastAsia="宋体" w:cs="宋体"/>
          <w:b/>
          <w:bCs/>
          <w:color w:val="auto"/>
          <w:sz w:val="24"/>
          <w:highlight w:val="none"/>
        </w:rPr>
        <w:t>产品安装条件</w:t>
      </w:r>
      <w:r>
        <w:rPr>
          <w:rFonts w:hint="eastAsia" w:ascii="宋体" w:hAnsi="宋体" w:eastAsia="宋体" w:cs="宋体"/>
          <w:b/>
          <w:bCs/>
          <w:color w:val="auto"/>
          <w:sz w:val="24"/>
          <w:highlight w:val="none"/>
          <w:lang w:val="en-US" w:eastAsia="zh-CN"/>
        </w:rPr>
        <w:t>，直至本项目所有设备安装、调试完成。</w:t>
      </w:r>
    </w:p>
    <w:p w14:paraId="3619ACAA">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本项目涉及的设备由投标人负责测试、安装、调试和有关配置工作，投标人应提供详细的具有时效性的测试、安装、调试方案，经用户确认后，作为设备验收的标准，投</w:t>
      </w:r>
      <w:r>
        <w:rPr>
          <w:rFonts w:hint="eastAsia" w:ascii="宋体" w:hAnsi="宋体" w:eastAsia="宋体" w:cs="宋体"/>
          <w:sz w:val="24"/>
        </w:rPr>
        <w:t>标人应按上述方案完成测试、安装、调试和有关配置工作。</w:t>
      </w:r>
    </w:p>
    <w:p w14:paraId="63E01B1C">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需保证设备均为制造商原产原装产品，保证所提供货物是全新的、未使用过的，并完全符合合同规定的质量、规格和性能的要求。货物到达用户指定的现场后，由投标人与用户共同核对装箱单，共同开箱（若有争议，请质检机构检验确定），依照合同的货物清单清点，并进行签字确认。</w:t>
      </w:r>
    </w:p>
    <w:p w14:paraId="07A5F25B">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项目实验过程中，若牵涉到与第三方产品集成工作，投标人应与其他供应商通力合作，并提供必要的技术支持。</w:t>
      </w:r>
    </w:p>
    <w:p w14:paraId="23C78A25">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投标人保证其提供的货物在正确安装、正常使用和保养条件下，在使用寿命期内具有满意的性能，投标人对由于产品设计、工艺或材料的缺陷而产生的故障负责与原制造厂商并协助解决。</w:t>
      </w:r>
    </w:p>
    <w:p w14:paraId="30173B71">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承诺本次提供的所有设备满足标书要求，对标书中的变更修改内容以本合同的设备配置附件为准。投标人承诺所有的设备满足技术完整性要求。如有线缆、附件等遗漏，影响设备安装和运行，由投标人承担并负责解决。</w:t>
      </w:r>
    </w:p>
    <w:p w14:paraId="7BF6A4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kern w:val="2"/>
          <w:sz w:val="24"/>
          <w:szCs w:val="24"/>
          <w:highlight w:val="none"/>
          <w:lang w:val="en-US" w:eastAsia="zh-CN" w:bidi="ar"/>
        </w:rPr>
      </w:pPr>
      <w:r>
        <w:rPr>
          <w:rFonts w:hint="eastAsia" w:ascii="宋体" w:hAnsi="宋体" w:eastAsia="宋体" w:cs="宋体"/>
          <w:b/>
          <w:bCs/>
          <w:i w:val="0"/>
          <w:iCs w:val="0"/>
          <w:color w:val="auto"/>
          <w:kern w:val="2"/>
          <w:sz w:val="24"/>
          <w:szCs w:val="24"/>
          <w:highlight w:val="none"/>
          <w:lang w:val="en-US" w:eastAsia="zh-CN" w:bidi="ar"/>
        </w:rPr>
        <w:t>4、 验收要求：</w:t>
      </w:r>
    </w:p>
    <w:p w14:paraId="4C8BCBFC">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（1）产品涉及的设计标准、规范，产品标准、规范，工程标准、规范，验收标准、规范，应符合国家卫生及消防等有关条例及规范，如有新的标准应采纳新标准。</w:t>
      </w:r>
    </w:p>
    <w:p w14:paraId="0345D3DA">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（2）产品安装调试后，中标人负责安装质量，由采购人负责组织验收。</w:t>
      </w:r>
    </w:p>
    <w:p w14:paraId="1E7D02A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（3）如验收时发现产品达不到招标文件规定或投标文件提供的性能指标或不符合相关规定，则必须更换部件，进行调整，使产品最终能达到合同规定的技术要求，并且要赔偿由此对采购人造成的损失。</w:t>
      </w:r>
    </w:p>
    <w:p w14:paraId="71107D0F">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（4）对相应使用人员是否有相关培训工作，且有相应记录。</w:t>
      </w:r>
    </w:p>
    <w:p w14:paraId="5EBF4B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i w:val="0"/>
          <w:iCs w:val="0"/>
          <w:color w:val="auto"/>
          <w:sz w:val="24"/>
          <w:szCs w:val="24"/>
          <w:highlight w:val="none"/>
        </w:rPr>
        <w:t>带</w:t>
      </w:r>
      <w:r>
        <w:rPr>
          <w:rFonts w:hint="eastAsia" w:ascii="宋体" w:hAnsi="宋体" w:eastAsia="宋体" w:cs="宋体"/>
          <w:i w:val="0"/>
          <w:iCs w:val="0"/>
          <w:caps w:val="0"/>
          <w:spacing w:val="0"/>
          <w:sz w:val="24"/>
          <w:szCs w:val="24"/>
          <w:highlight w:val="none"/>
          <w:lang w:val="en-US" w:eastAsia="zh-CN"/>
        </w:rPr>
        <w:t>◆</w:t>
      </w:r>
      <w:r>
        <w:rPr>
          <w:rFonts w:hint="eastAsia" w:ascii="宋体" w:hAnsi="宋体" w:eastAsia="宋体" w:cs="宋体"/>
          <w:i w:val="0"/>
          <w:iCs w:val="0"/>
          <w:color w:val="auto"/>
          <w:sz w:val="24"/>
          <w:szCs w:val="24"/>
          <w:highlight w:val="none"/>
        </w:rPr>
        <w:t>技术要求提供</w:t>
      </w:r>
      <w:r>
        <w:rPr>
          <w:rFonts w:hint="eastAsia" w:ascii="宋体" w:hAnsi="宋体" w:cs="宋体"/>
          <w:i w:val="0"/>
          <w:iCs w:val="0"/>
          <w:color w:val="auto"/>
          <w:sz w:val="24"/>
          <w:szCs w:val="24"/>
          <w:highlight w:val="none"/>
          <w:lang w:eastAsia="zh-CN"/>
        </w:rPr>
        <w:t>权威</w:t>
      </w:r>
      <w:r>
        <w:rPr>
          <w:rFonts w:hint="eastAsia" w:ascii="宋体" w:hAnsi="宋体" w:eastAsia="宋体" w:cs="宋体"/>
          <w:i w:val="0"/>
          <w:iCs w:val="0"/>
          <w:color w:val="auto"/>
          <w:sz w:val="24"/>
          <w:szCs w:val="24"/>
          <w:highlight w:val="none"/>
        </w:rPr>
        <w:t>检测机构出具的检测报告复印件（原件备查）。</w:t>
      </w:r>
    </w:p>
    <w:p w14:paraId="309CA1B1">
      <w:pPr>
        <w:spacing w:line="360" w:lineRule="auto"/>
        <w:rPr>
          <w:rFonts w:hint="eastAsia" w:ascii="宋体" w:hAnsi="宋体" w:eastAsia="宋体" w:cs="宋体"/>
          <w:sz w:val="24"/>
          <w:szCs w:val="24"/>
          <w:highlight w:val="none"/>
          <w:lang w:eastAsia="zh-CN"/>
        </w:rPr>
      </w:pPr>
    </w:p>
    <w:p w14:paraId="19B424EF">
      <w:pPr>
        <w:spacing w:line="360" w:lineRule="auto"/>
        <w:rPr>
          <w:rFonts w:hint="eastAsia" w:ascii="宋体" w:hAnsi="宋体" w:eastAsia="宋体" w:cs="宋体"/>
          <w:sz w:val="24"/>
          <w:szCs w:val="24"/>
          <w:highlight w:val="none"/>
          <w:lang w:eastAsia="zh-CN"/>
        </w:rPr>
      </w:pPr>
    </w:p>
    <w:p w14:paraId="4387F31F">
      <w:pPr>
        <w:spacing w:line="360" w:lineRule="auto"/>
        <w:rPr>
          <w:rFonts w:hint="eastAsia" w:ascii="宋体" w:hAnsi="宋体" w:eastAsia="宋体" w:cs="宋体"/>
          <w:sz w:val="24"/>
          <w:szCs w:val="24"/>
          <w:highlight w:val="none"/>
          <w:lang w:eastAsia="zh-CN"/>
        </w:rPr>
      </w:pPr>
    </w:p>
    <w:p w14:paraId="7DE53BA0">
      <w:pPr>
        <w:spacing w:line="360" w:lineRule="auto"/>
        <w:rPr>
          <w:rFonts w:hint="eastAsia" w:ascii="宋体" w:hAnsi="宋体" w:eastAsia="宋体" w:cs="宋体"/>
          <w:sz w:val="24"/>
          <w:szCs w:val="24"/>
          <w:highlight w:val="none"/>
          <w:lang w:eastAsia="zh-CN"/>
        </w:rPr>
      </w:pPr>
    </w:p>
    <w:p w14:paraId="33E85365">
      <w:pPr>
        <w:spacing w:line="360" w:lineRule="auto"/>
        <w:rPr>
          <w:rFonts w:hint="eastAsia" w:ascii="宋体" w:hAnsi="宋体" w:eastAsia="宋体" w:cs="宋体"/>
          <w:sz w:val="24"/>
          <w:szCs w:val="24"/>
          <w:highlight w:val="none"/>
          <w:lang w:eastAsia="zh-CN"/>
        </w:rPr>
      </w:pPr>
    </w:p>
    <w:p w14:paraId="772CCFBD">
      <w:pPr>
        <w:spacing w:line="360" w:lineRule="auto"/>
        <w:rPr>
          <w:rFonts w:hint="eastAsia" w:ascii="宋体" w:hAnsi="宋体" w:eastAsia="宋体" w:cs="宋体"/>
          <w:sz w:val="24"/>
          <w:szCs w:val="24"/>
          <w:highlight w:val="none"/>
          <w:lang w:eastAsia="zh-CN"/>
        </w:rPr>
      </w:pPr>
    </w:p>
    <w:p w14:paraId="3701E116">
      <w:pPr>
        <w:spacing w:line="360" w:lineRule="auto"/>
        <w:rPr>
          <w:rFonts w:hint="eastAsia" w:ascii="宋体" w:hAnsi="宋体" w:eastAsia="宋体" w:cs="宋体"/>
          <w:sz w:val="24"/>
          <w:szCs w:val="24"/>
          <w:highlight w:val="none"/>
          <w:lang w:eastAsia="zh-CN"/>
        </w:rPr>
      </w:pPr>
    </w:p>
    <w:p w14:paraId="061DD4A4">
      <w:pPr>
        <w:spacing w:line="360" w:lineRule="auto"/>
        <w:rPr>
          <w:rFonts w:hint="eastAsia" w:ascii="宋体" w:hAnsi="宋体" w:eastAsia="宋体" w:cs="宋体"/>
          <w:sz w:val="24"/>
          <w:szCs w:val="24"/>
          <w:highlight w:val="none"/>
          <w:lang w:eastAsia="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727C539">
      <w:pPr>
        <w:rPr>
          <w:rFonts w:hint="eastAsia" w:ascii="宋体" w:hAnsi="宋体" w:eastAsia="宋体" w:cs="宋体"/>
          <w:sz w:val="24"/>
          <w:szCs w:val="24"/>
          <w:highlight w:val="none"/>
          <w:lang w:eastAsia="zh-CN"/>
        </w:rPr>
      </w:pPr>
      <w:r>
        <w:rPr>
          <w:rFonts w:hint="eastAsia" w:ascii="仿宋" w:hAnsi="仿宋" w:eastAsia="仿宋" w:cs="仿宋"/>
          <w:b/>
          <w:color w:val="auto"/>
          <w:sz w:val="28"/>
          <w:szCs w:val="28"/>
          <w:highlight w:val="none"/>
          <w:lang w:val="en-US" w:eastAsia="zh-CN"/>
        </w:rPr>
        <w:t>教室平面图</w:t>
      </w:r>
      <w:r>
        <w:rPr>
          <w:rFonts w:hint="eastAsia" w:ascii="宋体" w:hAnsi="宋体" w:eastAsia="宋体" w:cs="宋体"/>
          <w:sz w:val="24"/>
          <w:szCs w:val="24"/>
          <w:highlight w:val="none"/>
          <w:lang w:eastAsia="zh-CN"/>
        </w:rPr>
        <w:t>：</w:t>
      </w:r>
    </w:p>
    <w:p w14:paraId="5B65500E">
      <w:pPr>
        <w:rPr>
          <w:rFonts w:hint="eastAsia"/>
          <w:highlight w:val="none"/>
          <w:lang w:eastAsia="zh-CN"/>
        </w:rPr>
      </w:pPr>
    </w:p>
    <w:p w14:paraId="655B5056">
      <w:pPr>
        <w:pStyle w:val="61"/>
        <w:numPr>
          <w:ilvl w:val="0"/>
          <w:numId w:val="0"/>
        </w:numPr>
        <w:ind w:leftChars="400"/>
        <w:rPr>
          <w:rFonts w:ascii="宋体" w:hAnsi="宋体" w:cs="宋体"/>
          <w:sz w:val="24"/>
          <w:szCs w:val="24"/>
          <w:highlight w:val="none"/>
        </w:rPr>
      </w:pPr>
      <w:bookmarkStart w:id="33" w:name="_Toc330734302"/>
      <w:r>
        <w:rPr>
          <w:rFonts w:hint="eastAsia" w:eastAsia="H Yb 2gj"/>
          <w:lang w:eastAsia="zh-CN"/>
        </w:rPr>
        <w:drawing>
          <wp:inline distT="0" distB="0" distL="114300" distR="114300">
            <wp:extent cx="5804535" cy="4104005"/>
            <wp:effectExtent l="9525" t="9525" r="15240" b="20320"/>
            <wp:docPr id="2" name="图片 2" descr="11(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_00"/>
                    <pic:cNvPicPr>
                      <a:picLocks noChangeAspect="1"/>
                    </pic:cNvPicPr>
                  </pic:nvPicPr>
                  <pic:blipFill>
                    <a:blip r:embed="rId23"/>
                    <a:stretch>
                      <a:fillRect/>
                    </a:stretch>
                  </pic:blipFill>
                  <pic:spPr>
                    <a:xfrm>
                      <a:off x="0" y="0"/>
                      <a:ext cx="5804535" cy="4104005"/>
                    </a:xfrm>
                    <a:prstGeom prst="rect">
                      <a:avLst/>
                    </a:prstGeom>
                    <a:ln>
                      <a:solidFill>
                        <a:schemeClr val="tx1"/>
                      </a:solidFill>
                    </a:ln>
                  </pic:spPr>
                </pic:pic>
              </a:graphicData>
            </a:graphic>
          </wp:inline>
        </w:drawing>
      </w:r>
      <w:r>
        <w:rPr>
          <w:rFonts w:hint="eastAsia" w:eastAsia="H Yb 2gj"/>
          <w:lang w:eastAsia="zh-CN"/>
        </w:rPr>
        <w:drawing>
          <wp:inline distT="0" distB="0" distL="114300" distR="114300">
            <wp:extent cx="5855970" cy="4140200"/>
            <wp:effectExtent l="9525" t="9525" r="20955" b="22225"/>
            <wp:docPr id="5" name="图片 5" descr="22(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2(1)_00"/>
                    <pic:cNvPicPr>
                      <a:picLocks noChangeAspect="1"/>
                    </pic:cNvPicPr>
                  </pic:nvPicPr>
                  <pic:blipFill>
                    <a:blip r:embed="rId24"/>
                    <a:stretch>
                      <a:fillRect/>
                    </a:stretch>
                  </pic:blipFill>
                  <pic:spPr>
                    <a:xfrm>
                      <a:off x="0" y="0"/>
                      <a:ext cx="5855970" cy="4140200"/>
                    </a:xfrm>
                    <a:prstGeom prst="rect">
                      <a:avLst/>
                    </a:prstGeom>
                    <a:ln>
                      <a:solidFill>
                        <a:schemeClr val="tx1"/>
                      </a:solidFill>
                    </a:ln>
                  </pic:spPr>
                </pic:pic>
              </a:graphicData>
            </a:graphic>
          </wp:inline>
        </w:drawing>
      </w:r>
    </w:p>
    <w:p w14:paraId="7AC9A33D">
      <w:pPr>
        <w:rPr>
          <w:rFonts w:ascii="宋体" w:hAnsi="宋体" w:cs="宋体"/>
          <w:sz w:val="24"/>
          <w:szCs w:val="24"/>
          <w:highlight w:val="none"/>
        </w:rPr>
        <w:sectPr>
          <w:pgSz w:w="16838" w:h="11906" w:orient="landscape"/>
          <w:pgMar w:top="1418" w:right="1276" w:bottom="1418" w:left="1247" w:header="851" w:footer="992" w:gutter="0"/>
          <w:cols w:space="720" w:num="1"/>
          <w:titlePg/>
          <w:docGrid w:linePitch="312" w:charSpace="0"/>
        </w:sectPr>
      </w:pPr>
    </w:p>
    <w:bookmarkEnd w:id="33"/>
    <w:p w14:paraId="101CFDB9">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4" w:name="_Toc184312092"/>
      <w:bookmarkEnd w:id="34"/>
      <w:bookmarkStart w:id="35" w:name="_Toc184312111"/>
      <w:bookmarkEnd w:id="35"/>
      <w:bookmarkStart w:id="36" w:name="_Toc184310285"/>
      <w:bookmarkEnd w:id="36"/>
      <w:bookmarkStart w:id="37" w:name="_Toc184310289"/>
      <w:bookmarkEnd w:id="37"/>
      <w:bookmarkStart w:id="38" w:name="_Toc184314480"/>
      <w:bookmarkEnd w:id="38"/>
      <w:bookmarkStart w:id="39" w:name="_Toc184314444"/>
      <w:bookmarkEnd w:id="39"/>
      <w:bookmarkStart w:id="40" w:name="_Toc184312074"/>
      <w:bookmarkEnd w:id="40"/>
      <w:bookmarkStart w:id="41" w:name="_Toc184313238"/>
      <w:bookmarkEnd w:id="41"/>
      <w:bookmarkStart w:id="42" w:name="_Toc184308041"/>
      <w:bookmarkEnd w:id="42"/>
      <w:bookmarkStart w:id="43" w:name="_Toc184313265"/>
      <w:bookmarkEnd w:id="43"/>
      <w:bookmarkStart w:id="44" w:name="_Toc184312093"/>
      <w:bookmarkEnd w:id="44"/>
      <w:bookmarkStart w:id="45" w:name="_Toc184314432"/>
      <w:bookmarkEnd w:id="45"/>
      <w:bookmarkStart w:id="46" w:name="_Toc184312129"/>
      <w:bookmarkEnd w:id="46"/>
      <w:bookmarkStart w:id="47" w:name="_Toc184310339"/>
      <w:bookmarkEnd w:id="47"/>
      <w:bookmarkStart w:id="48" w:name="_Toc184312102"/>
      <w:bookmarkEnd w:id="48"/>
      <w:bookmarkStart w:id="49" w:name="_Toc184308066"/>
      <w:bookmarkEnd w:id="49"/>
      <w:bookmarkStart w:id="50" w:name="_Toc184314420"/>
      <w:bookmarkEnd w:id="50"/>
      <w:bookmarkStart w:id="51" w:name="_Toc184312075"/>
      <w:bookmarkEnd w:id="51"/>
      <w:bookmarkStart w:id="52" w:name="_Toc184314415"/>
      <w:bookmarkEnd w:id="52"/>
      <w:bookmarkStart w:id="53" w:name="_Toc184313274"/>
      <w:bookmarkEnd w:id="53"/>
      <w:bookmarkStart w:id="54" w:name="_Toc184308079"/>
      <w:bookmarkEnd w:id="54"/>
      <w:bookmarkStart w:id="55" w:name="_Toc184308059"/>
      <w:bookmarkEnd w:id="55"/>
      <w:bookmarkStart w:id="56" w:name="_Toc184310312"/>
      <w:bookmarkEnd w:id="56"/>
      <w:bookmarkStart w:id="57" w:name="_Toc184313306"/>
      <w:bookmarkEnd w:id="57"/>
      <w:bookmarkStart w:id="58" w:name="_Toc184312099"/>
      <w:bookmarkEnd w:id="58"/>
      <w:bookmarkStart w:id="59" w:name="_Toc184310272"/>
      <w:bookmarkEnd w:id="59"/>
      <w:bookmarkStart w:id="60" w:name="_Toc184310284"/>
      <w:bookmarkEnd w:id="60"/>
      <w:bookmarkStart w:id="61" w:name="_Toc184308104"/>
      <w:bookmarkEnd w:id="61"/>
      <w:bookmarkStart w:id="62" w:name="_Toc184308096"/>
      <w:bookmarkEnd w:id="62"/>
      <w:bookmarkStart w:id="63" w:name="_Toc184308039"/>
      <w:bookmarkEnd w:id="63"/>
      <w:bookmarkStart w:id="64" w:name="_Toc184314482"/>
      <w:bookmarkEnd w:id="64"/>
      <w:bookmarkStart w:id="65" w:name="_Toc184310292"/>
      <w:bookmarkEnd w:id="65"/>
      <w:bookmarkStart w:id="66" w:name="_Toc184314460"/>
      <w:bookmarkEnd w:id="66"/>
      <w:bookmarkStart w:id="67" w:name="_Toc184313256"/>
      <w:bookmarkEnd w:id="67"/>
      <w:bookmarkStart w:id="68" w:name="_Toc184313269"/>
      <w:bookmarkEnd w:id="68"/>
      <w:bookmarkStart w:id="69" w:name="_Toc184313268"/>
      <w:bookmarkEnd w:id="69"/>
      <w:bookmarkStart w:id="70" w:name="_Toc184312079"/>
      <w:bookmarkEnd w:id="70"/>
      <w:bookmarkStart w:id="71" w:name="_Toc184314462"/>
      <w:bookmarkEnd w:id="71"/>
      <w:bookmarkStart w:id="72" w:name="_Toc184308100"/>
      <w:bookmarkEnd w:id="72"/>
      <w:bookmarkStart w:id="73" w:name="_Toc184313271"/>
      <w:bookmarkEnd w:id="73"/>
      <w:bookmarkStart w:id="74" w:name="_Toc184314478"/>
      <w:bookmarkEnd w:id="74"/>
      <w:bookmarkStart w:id="75" w:name="_Toc184312107"/>
      <w:bookmarkEnd w:id="75"/>
      <w:bookmarkStart w:id="76" w:name="_Toc184313262"/>
      <w:bookmarkEnd w:id="76"/>
      <w:bookmarkStart w:id="77" w:name="_Toc184310323"/>
      <w:bookmarkEnd w:id="77"/>
      <w:bookmarkStart w:id="78" w:name="_Toc184310287"/>
      <w:bookmarkEnd w:id="78"/>
      <w:bookmarkStart w:id="79" w:name="_Toc184310343"/>
      <w:bookmarkEnd w:id="79"/>
      <w:bookmarkStart w:id="80" w:name="_Toc184310295"/>
      <w:bookmarkEnd w:id="80"/>
      <w:bookmarkStart w:id="81" w:name="_Toc184310299"/>
      <w:bookmarkEnd w:id="81"/>
      <w:bookmarkStart w:id="82" w:name="_Toc184312070"/>
      <w:bookmarkEnd w:id="82"/>
      <w:bookmarkStart w:id="83" w:name="_Toc184308108"/>
      <w:bookmarkEnd w:id="83"/>
      <w:bookmarkStart w:id="84" w:name="_Toc184314421"/>
      <w:bookmarkEnd w:id="84"/>
      <w:bookmarkStart w:id="85" w:name="_Toc184314428"/>
      <w:bookmarkEnd w:id="85"/>
      <w:bookmarkStart w:id="86" w:name="_Toc184308045"/>
      <w:bookmarkEnd w:id="86"/>
      <w:bookmarkStart w:id="87" w:name="_Toc184312110"/>
      <w:bookmarkEnd w:id="87"/>
      <w:bookmarkStart w:id="88" w:name="_Toc184314414"/>
      <w:bookmarkEnd w:id="88"/>
      <w:bookmarkStart w:id="89" w:name="_Toc184308063"/>
      <w:bookmarkEnd w:id="89"/>
      <w:bookmarkStart w:id="90" w:name="_Toc184312101"/>
      <w:bookmarkEnd w:id="90"/>
      <w:bookmarkStart w:id="91" w:name="_Toc184312067"/>
      <w:bookmarkEnd w:id="91"/>
      <w:bookmarkStart w:id="92" w:name="_Toc184314429"/>
      <w:bookmarkEnd w:id="92"/>
      <w:bookmarkStart w:id="93" w:name="_Toc184313252"/>
      <w:bookmarkEnd w:id="93"/>
      <w:bookmarkStart w:id="94" w:name="_Toc184308050"/>
      <w:bookmarkEnd w:id="94"/>
      <w:bookmarkStart w:id="95" w:name="_Toc184310283"/>
      <w:bookmarkEnd w:id="95"/>
      <w:bookmarkStart w:id="96" w:name="_Toc184312080"/>
      <w:bookmarkEnd w:id="96"/>
      <w:bookmarkStart w:id="97" w:name="_Toc184312115"/>
      <w:bookmarkEnd w:id="97"/>
      <w:bookmarkStart w:id="98" w:name="_Toc184310296"/>
      <w:bookmarkEnd w:id="98"/>
      <w:bookmarkStart w:id="99" w:name="_Toc184314464"/>
      <w:bookmarkEnd w:id="99"/>
      <w:bookmarkStart w:id="100" w:name="_Toc184312139"/>
      <w:bookmarkEnd w:id="100"/>
      <w:bookmarkStart w:id="101" w:name="_Toc184310282"/>
      <w:bookmarkEnd w:id="101"/>
      <w:bookmarkStart w:id="102" w:name="_Toc184308052"/>
      <w:bookmarkEnd w:id="102"/>
      <w:bookmarkStart w:id="103" w:name="_Toc184314451"/>
      <w:bookmarkEnd w:id="103"/>
      <w:bookmarkStart w:id="104" w:name="_Toc184310293"/>
      <w:bookmarkEnd w:id="104"/>
      <w:bookmarkStart w:id="105" w:name="_Toc184312124"/>
      <w:bookmarkEnd w:id="105"/>
      <w:bookmarkStart w:id="106" w:name="_Toc184308069"/>
      <w:bookmarkEnd w:id="106"/>
      <w:bookmarkStart w:id="107" w:name="_Toc184313292"/>
      <w:bookmarkEnd w:id="107"/>
      <w:bookmarkStart w:id="108" w:name="_Toc184313275"/>
      <w:bookmarkEnd w:id="108"/>
      <w:bookmarkStart w:id="109" w:name="_Toc184313277"/>
      <w:bookmarkEnd w:id="109"/>
      <w:bookmarkStart w:id="110" w:name="_Toc184313284"/>
      <w:bookmarkEnd w:id="110"/>
      <w:bookmarkStart w:id="111" w:name="_Toc184308082"/>
      <w:bookmarkEnd w:id="111"/>
      <w:bookmarkStart w:id="112" w:name="_Toc184310313"/>
      <w:bookmarkEnd w:id="112"/>
      <w:bookmarkStart w:id="113" w:name="_Toc184314450"/>
      <w:bookmarkEnd w:id="113"/>
      <w:bookmarkStart w:id="114" w:name="_Toc184314472"/>
      <w:bookmarkEnd w:id="114"/>
      <w:bookmarkStart w:id="115" w:name="_Toc184312128"/>
      <w:bookmarkEnd w:id="115"/>
      <w:bookmarkStart w:id="116" w:name="_Toc184313283"/>
      <w:bookmarkEnd w:id="116"/>
      <w:bookmarkStart w:id="117" w:name="_Toc184314465"/>
      <w:bookmarkEnd w:id="117"/>
      <w:bookmarkStart w:id="118" w:name="_Toc184313307"/>
      <w:bookmarkEnd w:id="118"/>
      <w:bookmarkStart w:id="119" w:name="_Toc184313249"/>
      <w:bookmarkEnd w:id="119"/>
      <w:bookmarkStart w:id="120" w:name="_Toc184313302"/>
      <w:bookmarkEnd w:id="120"/>
      <w:bookmarkStart w:id="121" w:name="_Toc184313276"/>
      <w:bookmarkEnd w:id="121"/>
      <w:bookmarkStart w:id="122" w:name="_Toc184313240"/>
      <w:bookmarkEnd w:id="122"/>
      <w:bookmarkStart w:id="123" w:name="_Toc184312105"/>
      <w:bookmarkEnd w:id="123"/>
      <w:bookmarkStart w:id="124" w:name="_Toc184314455"/>
      <w:bookmarkEnd w:id="124"/>
      <w:bookmarkStart w:id="125" w:name="_Toc184310300"/>
      <w:bookmarkEnd w:id="125"/>
      <w:bookmarkStart w:id="126" w:name="_Toc184314439"/>
      <w:bookmarkEnd w:id="126"/>
      <w:bookmarkStart w:id="127" w:name="_Toc184314453"/>
      <w:bookmarkEnd w:id="127"/>
      <w:bookmarkStart w:id="128" w:name="_Toc184314471"/>
      <w:bookmarkEnd w:id="128"/>
      <w:bookmarkStart w:id="129" w:name="_Toc184312087"/>
      <w:bookmarkEnd w:id="129"/>
      <w:bookmarkStart w:id="130" w:name="_Toc184312137"/>
      <w:bookmarkEnd w:id="130"/>
      <w:bookmarkStart w:id="131" w:name="_Toc184310317"/>
      <w:bookmarkEnd w:id="131"/>
      <w:bookmarkStart w:id="132" w:name="_Toc184312117"/>
      <w:bookmarkEnd w:id="132"/>
      <w:bookmarkStart w:id="133" w:name="_Toc184312130"/>
      <w:bookmarkEnd w:id="133"/>
      <w:bookmarkStart w:id="134" w:name="_Toc184312094"/>
      <w:bookmarkEnd w:id="134"/>
      <w:bookmarkStart w:id="135" w:name="_Toc184312132"/>
      <w:bookmarkEnd w:id="135"/>
      <w:bookmarkStart w:id="136" w:name="_Toc184312123"/>
      <w:bookmarkEnd w:id="136"/>
      <w:bookmarkStart w:id="137" w:name="_Toc184313241"/>
      <w:bookmarkEnd w:id="137"/>
      <w:bookmarkStart w:id="138" w:name="_Toc184310308"/>
      <w:bookmarkEnd w:id="138"/>
      <w:bookmarkStart w:id="139" w:name="_Toc184308085"/>
      <w:bookmarkEnd w:id="139"/>
      <w:bookmarkStart w:id="140" w:name="_Toc184308040"/>
      <w:bookmarkEnd w:id="140"/>
      <w:bookmarkStart w:id="141" w:name="_Toc184310337"/>
      <w:bookmarkEnd w:id="141"/>
      <w:bookmarkStart w:id="142" w:name="_Toc184308075"/>
      <w:bookmarkEnd w:id="142"/>
      <w:bookmarkStart w:id="143" w:name="_Toc184310304"/>
      <w:bookmarkEnd w:id="143"/>
      <w:bookmarkStart w:id="144" w:name="_Toc184312088"/>
      <w:bookmarkEnd w:id="144"/>
      <w:bookmarkStart w:id="145" w:name="_Toc184310278"/>
      <w:bookmarkEnd w:id="145"/>
      <w:bookmarkStart w:id="146" w:name="_Toc184312114"/>
      <w:bookmarkEnd w:id="146"/>
      <w:bookmarkStart w:id="147" w:name="_Toc184314475"/>
      <w:bookmarkEnd w:id="147"/>
      <w:bookmarkStart w:id="148" w:name="_Toc184310325"/>
      <w:bookmarkEnd w:id="148"/>
      <w:bookmarkStart w:id="149" w:name="_Toc184314459"/>
      <w:bookmarkEnd w:id="149"/>
      <w:bookmarkStart w:id="150" w:name="_Toc184308049"/>
      <w:bookmarkEnd w:id="150"/>
      <w:bookmarkStart w:id="151" w:name="_Toc184310328"/>
      <w:bookmarkEnd w:id="151"/>
      <w:bookmarkStart w:id="152" w:name="_Toc184314445"/>
      <w:bookmarkEnd w:id="152"/>
      <w:bookmarkStart w:id="153" w:name="_Toc184312078"/>
      <w:bookmarkEnd w:id="153"/>
      <w:bookmarkStart w:id="154" w:name="_Toc184308071"/>
      <w:bookmarkEnd w:id="154"/>
      <w:bookmarkStart w:id="155" w:name="_Toc184310324"/>
      <w:bookmarkEnd w:id="155"/>
      <w:bookmarkStart w:id="156" w:name="_Toc184310279"/>
      <w:bookmarkEnd w:id="156"/>
      <w:bookmarkStart w:id="157" w:name="_Toc184308062"/>
      <w:bookmarkEnd w:id="157"/>
      <w:bookmarkStart w:id="158" w:name="_Toc184313260"/>
      <w:bookmarkEnd w:id="158"/>
      <w:bookmarkStart w:id="159" w:name="_Toc184308106"/>
      <w:bookmarkEnd w:id="159"/>
      <w:bookmarkStart w:id="160" w:name="_Toc184313261"/>
      <w:bookmarkEnd w:id="160"/>
      <w:bookmarkStart w:id="161" w:name="_Toc184314433"/>
      <w:bookmarkEnd w:id="161"/>
      <w:bookmarkStart w:id="162" w:name="_Toc184308067"/>
      <w:bookmarkEnd w:id="162"/>
      <w:bookmarkStart w:id="163" w:name="_Toc184308038"/>
      <w:bookmarkEnd w:id="163"/>
      <w:bookmarkStart w:id="164" w:name="_Toc184310342"/>
      <w:bookmarkEnd w:id="164"/>
      <w:bookmarkStart w:id="165" w:name="_Toc184314417"/>
      <w:bookmarkEnd w:id="165"/>
      <w:bookmarkStart w:id="166" w:name="_Toc184310314"/>
      <w:bookmarkEnd w:id="166"/>
      <w:bookmarkStart w:id="167" w:name="_Toc184314449"/>
      <w:bookmarkEnd w:id="167"/>
      <w:bookmarkStart w:id="168" w:name="_Toc184312106"/>
      <w:bookmarkEnd w:id="168"/>
      <w:bookmarkStart w:id="169" w:name="_Toc184312095"/>
      <w:bookmarkEnd w:id="169"/>
      <w:bookmarkStart w:id="170" w:name="_Toc184313254"/>
      <w:bookmarkEnd w:id="170"/>
      <w:bookmarkStart w:id="171" w:name="_Toc184313264"/>
      <w:bookmarkEnd w:id="171"/>
      <w:bookmarkStart w:id="172" w:name="_Toc184310303"/>
      <w:bookmarkEnd w:id="172"/>
      <w:bookmarkStart w:id="173" w:name="_Toc184310301"/>
      <w:bookmarkEnd w:id="173"/>
      <w:bookmarkStart w:id="174" w:name="_Toc184313294"/>
      <w:bookmarkEnd w:id="174"/>
      <w:bookmarkStart w:id="175" w:name="_Toc184308057"/>
      <w:bookmarkEnd w:id="175"/>
      <w:bookmarkStart w:id="176" w:name="_Toc184310291"/>
      <w:bookmarkEnd w:id="176"/>
      <w:bookmarkStart w:id="177" w:name="_Toc184308083"/>
      <w:bookmarkEnd w:id="177"/>
      <w:bookmarkStart w:id="178" w:name="_Toc184312071"/>
      <w:bookmarkEnd w:id="178"/>
      <w:bookmarkStart w:id="179" w:name="_Toc184312084"/>
      <w:bookmarkEnd w:id="179"/>
      <w:bookmarkStart w:id="180" w:name="_Toc184310341"/>
      <w:bookmarkEnd w:id="180"/>
      <w:bookmarkStart w:id="181" w:name="_Toc184313239"/>
      <w:bookmarkEnd w:id="181"/>
      <w:bookmarkStart w:id="182" w:name="_Toc184313257"/>
      <w:bookmarkEnd w:id="182"/>
      <w:bookmarkStart w:id="183" w:name="_Toc184314463"/>
      <w:bookmarkEnd w:id="183"/>
      <w:bookmarkStart w:id="184" w:name="_Toc184310276"/>
      <w:bookmarkEnd w:id="184"/>
      <w:bookmarkStart w:id="185" w:name="_Toc184312120"/>
      <w:bookmarkEnd w:id="185"/>
      <w:bookmarkStart w:id="186" w:name="_Toc184314440"/>
      <w:bookmarkEnd w:id="186"/>
      <w:bookmarkStart w:id="187" w:name="_Toc184310274"/>
      <w:bookmarkEnd w:id="187"/>
      <w:bookmarkStart w:id="188" w:name="_Toc184308042"/>
      <w:bookmarkEnd w:id="188"/>
      <w:bookmarkStart w:id="189" w:name="_Toc184308105"/>
      <w:bookmarkEnd w:id="189"/>
      <w:bookmarkStart w:id="190" w:name="_Toc184310326"/>
      <w:bookmarkEnd w:id="190"/>
      <w:bookmarkStart w:id="191" w:name="_Toc184312108"/>
      <w:bookmarkEnd w:id="191"/>
      <w:bookmarkStart w:id="192" w:name="_Toc184313272"/>
      <w:bookmarkEnd w:id="192"/>
      <w:bookmarkStart w:id="193" w:name="_Toc184308064"/>
      <w:bookmarkEnd w:id="193"/>
      <w:bookmarkStart w:id="194" w:name="_Toc184312121"/>
      <w:bookmarkEnd w:id="194"/>
      <w:bookmarkStart w:id="195" w:name="_Toc184312112"/>
      <w:bookmarkEnd w:id="195"/>
      <w:bookmarkStart w:id="196" w:name="_Toc184314416"/>
      <w:bookmarkEnd w:id="196"/>
      <w:bookmarkStart w:id="197" w:name="_Toc184314419"/>
      <w:bookmarkEnd w:id="197"/>
      <w:bookmarkStart w:id="198" w:name="_Toc184313248"/>
      <w:bookmarkEnd w:id="198"/>
      <w:bookmarkStart w:id="199" w:name="_Toc184312068"/>
      <w:bookmarkEnd w:id="199"/>
      <w:bookmarkStart w:id="200" w:name="_Toc184308061"/>
      <w:bookmarkEnd w:id="200"/>
      <w:bookmarkStart w:id="201" w:name="_Toc184308065"/>
      <w:bookmarkEnd w:id="201"/>
      <w:bookmarkStart w:id="202" w:name="_Toc184314425"/>
      <w:bookmarkEnd w:id="202"/>
      <w:bookmarkStart w:id="203" w:name="_Toc184308087"/>
      <w:bookmarkEnd w:id="203"/>
      <w:bookmarkStart w:id="204" w:name="_Toc184308099"/>
      <w:bookmarkEnd w:id="204"/>
      <w:bookmarkStart w:id="205" w:name="_Toc184308043"/>
      <w:bookmarkEnd w:id="205"/>
      <w:bookmarkStart w:id="206" w:name="_Toc184313285"/>
      <w:bookmarkEnd w:id="206"/>
      <w:bookmarkStart w:id="207" w:name="_Toc184312072"/>
      <w:bookmarkEnd w:id="207"/>
      <w:bookmarkStart w:id="208" w:name="_Toc184312125"/>
      <w:bookmarkEnd w:id="208"/>
      <w:bookmarkStart w:id="209" w:name="_Toc184312091"/>
      <w:bookmarkEnd w:id="209"/>
      <w:bookmarkStart w:id="210" w:name="_Toc184308097"/>
      <w:bookmarkEnd w:id="210"/>
      <w:bookmarkStart w:id="211" w:name="_Toc184314476"/>
      <w:bookmarkEnd w:id="211"/>
      <w:bookmarkStart w:id="212" w:name="_Toc184312134"/>
      <w:bookmarkEnd w:id="212"/>
      <w:bookmarkStart w:id="213" w:name="_Toc184308103"/>
      <w:bookmarkEnd w:id="213"/>
      <w:bookmarkStart w:id="214" w:name="_Toc184308092"/>
      <w:bookmarkEnd w:id="214"/>
      <w:bookmarkStart w:id="215" w:name="_Toc184308095"/>
      <w:bookmarkEnd w:id="215"/>
      <w:bookmarkStart w:id="216" w:name="_Toc184313296"/>
      <w:bookmarkEnd w:id="216"/>
      <w:bookmarkStart w:id="217" w:name="_Toc184310298"/>
      <w:bookmarkEnd w:id="217"/>
      <w:bookmarkStart w:id="218" w:name="_Toc184313293"/>
      <w:bookmarkEnd w:id="218"/>
      <w:bookmarkStart w:id="219" w:name="_Toc184308080"/>
      <w:bookmarkEnd w:id="219"/>
      <w:bookmarkStart w:id="220" w:name="_Toc184313242"/>
      <w:bookmarkEnd w:id="220"/>
      <w:bookmarkStart w:id="221" w:name="_Toc184313279"/>
      <w:bookmarkEnd w:id="221"/>
      <w:bookmarkStart w:id="222" w:name="_Toc184308058"/>
      <w:bookmarkEnd w:id="222"/>
      <w:bookmarkStart w:id="223" w:name="_Toc184308074"/>
      <w:bookmarkEnd w:id="223"/>
      <w:bookmarkStart w:id="224" w:name="_Toc184314456"/>
      <w:bookmarkEnd w:id="224"/>
      <w:bookmarkStart w:id="225" w:name="_Toc184313250"/>
      <w:bookmarkEnd w:id="225"/>
      <w:bookmarkStart w:id="226" w:name="_Toc184312109"/>
      <w:bookmarkEnd w:id="226"/>
      <w:bookmarkStart w:id="227" w:name="_Toc184312118"/>
      <w:bookmarkEnd w:id="227"/>
      <w:bookmarkStart w:id="228" w:name="_Toc184308090"/>
      <w:bookmarkEnd w:id="228"/>
      <w:bookmarkStart w:id="229" w:name="_Toc184312131"/>
      <w:bookmarkEnd w:id="229"/>
      <w:bookmarkStart w:id="230" w:name="_Toc184313278"/>
      <w:bookmarkEnd w:id="230"/>
      <w:bookmarkStart w:id="231" w:name="_Toc184313297"/>
      <w:bookmarkEnd w:id="231"/>
      <w:bookmarkStart w:id="232" w:name="_Toc184314413"/>
      <w:bookmarkEnd w:id="232"/>
      <w:bookmarkStart w:id="233" w:name="_Toc184314469"/>
      <w:bookmarkEnd w:id="233"/>
      <w:bookmarkStart w:id="234" w:name="_Toc184310310"/>
      <w:bookmarkEnd w:id="234"/>
      <w:bookmarkStart w:id="235" w:name="_Toc184308036"/>
      <w:bookmarkEnd w:id="235"/>
      <w:bookmarkStart w:id="236" w:name="_Toc184310306"/>
      <w:bookmarkEnd w:id="236"/>
      <w:bookmarkStart w:id="237" w:name="_Toc184312082"/>
      <w:bookmarkEnd w:id="237"/>
      <w:bookmarkStart w:id="238" w:name="_Toc184308089"/>
      <w:bookmarkEnd w:id="238"/>
      <w:bookmarkStart w:id="239" w:name="_Toc184314470"/>
      <w:bookmarkEnd w:id="239"/>
      <w:bookmarkStart w:id="240" w:name="_Toc184314457"/>
      <w:bookmarkEnd w:id="240"/>
      <w:bookmarkStart w:id="241" w:name="_Toc184312076"/>
      <w:bookmarkEnd w:id="241"/>
      <w:bookmarkStart w:id="242" w:name="_Toc184312077"/>
      <w:bookmarkEnd w:id="242"/>
      <w:bookmarkStart w:id="243" w:name="_Toc184314434"/>
      <w:bookmarkEnd w:id="243"/>
      <w:bookmarkStart w:id="244" w:name="_Toc184310331"/>
      <w:bookmarkEnd w:id="244"/>
      <w:bookmarkStart w:id="245" w:name="_Toc184313299"/>
      <w:bookmarkEnd w:id="245"/>
      <w:bookmarkStart w:id="246" w:name="_Toc184313270"/>
      <w:bookmarkEnd w:id="246"/>
      <w:bookmarkStart w:id="247" w:name="_Toc184308048"/>
      <w:bookmarkEnd w:id="247"/>
      <w:bookmarkStart w:id="248" w:name="_Toc184310275"/>
      <w:bookmarkEnd w:id="248"/>
      <w:bookmarkStart w:id="249" w:name="_Toc184308055"/>
      <w:bookmarkEnd w:id="249"/>
      <w:bookmarkStart w:id="250" w:name="_Toc184314474"/>
      <w:bookmarkEnd w:id="250"/>
      <w:bookmarkStart w:id="251" w:name="_Toc184313308"/>
      <w:bookmarkEnd w:id="251"/>
      <w:bookmarkStart w:id="252" w:name="_Toc184310290"/>
      <w:bookmarkEnd w:id="252"/>
      <w:bookmarkStart w:id="253" w:name="_Toc184310344"/>
      <w:bookmarkEnd w:id="253"/>
      <w:bookmarkStart w:id="254" w:name="_Toc184308093"/>
      <w:bookmarkEnd w:id="254"/>
      <w:bookmarkStart w:id="255" w:name="_Toc184313267"/>
      <w:bookmarkEnd w:id="255"/>
      <w:bookmarkStart w:id="256" w:name="_Toc184310335"/>
      <w:bookmarkEnd w:id="256"/>
      <w:bookmarkStart w:id="257" w:name="_Toc184314447"/>
      <w:bookmarkEnd w:id="257"/>
      <w:bookmarkStart w:id="258" w:name="_Toc184313300"/>
      <w:bookmarkEnd w:id="258"/>
      <w:bookmarkStart w:id="259" w:name="_Toc184313289"/>
      <w:bookmarkEnd w:id="259"/>
      <w:bookmarkStart w:id="260" w:name="_Toc184313245"/>
      <w:bookmarkEnd w:id="260"/>
      <w:bookmarkStart w:id="261" w:name="_Toc184310336"/>
      <w:bookmarkEnd w:id="261"/>
      <w:bookmarkStart w:id="262" w:name="_Toc184314437"/>
      <w:bookmarkEnd w:id="262"/>
      <w:bookmarkStart w:id="263" w:name="_Toc184310281"/>
      <w:bookmarkEnd w:id="263"/>
      <w:bookmarkStart w:id="264" w:name="_Toc184308094"/>
      <w:bookmarkEnd w:id="264"/>
      <w:bookmarkStart w:id="265" w:name="_Toc184312103"/>
      <w:bookmarkEnd w:id="265"/>
      <w:bookmarkStart w:id="266" w:name="_Toc184308060"/>
      <w:bookmarkEnd w:id="266"/>
      <w:bookmarkStart w:id="267" w:name="_Toc184312133"/>
      <w:bookmarkEnd w:id="267"/>
      <w:bookmarkStart w:id="268" w:name="_Toc184313286"/>
      <w:bookmarkEnd w:id="268"/>
      <w:bookmarkStart w:id="269" w:name="_Toc184310340"/>
      <w:bookmarkEnd w:id="269"/>
      <w:bookmarkStart w:id="270" w:name="_Toc184314411"/>
      <w:bookmarkEnd w:id="270"/>
      <w:bookmarkStart w:id="271" w:name="_Toc184310327"/>
      <w:bookmarkEnd w:id="271"/>
      <w:bookmarkStart w:id="272" w:name="_Toc184308101"/>
      <w:bookmarkEnd w:id="272"/>
      <w:bookmarkStart w:id="273" w:name="_Toc184310332"/>
      <w:bookmarkEnd w:id="273"/>
      <w:bookmarkStart w:id="274" w:name="_Toc184308047"/>
      <w:bookmarkEnd w:id="274"/>
      <w:bookmarkStart w:id="275" w:name="_Toc184314424"/>
      <w:bookmarkEnd w:id="275"/>
      <w:bookmarkStart w:id="276" w:name="_Toc184314427"/>
      <w:bookmarkEnd w:id="276"/>
      <w:bookmarkStart w:id="277" w:name="_Toc184313309"/>
      <w:bookmarkEnd w:id="277"/>
      <w:bookmarkStart w:id="278" w:name="_Toc184310320"/>
      <w:bookmarkEnd w:id="278"/>
      <w:bookmarkStart w:id="279" w:name="_Toc184314448"/>
      <w:bookmarkEnd w:id="279"/>
      <w:bookmarkStart w:id="280" w:name="_Toc184313305"/>
      <w:bookmarkEnd w:id="280"/>
      <w:bookmarkStart w:id="281" w:name="_Toc184310302"/>
      <w:bookmarkEnd w:id="281"/>
      <w:bookmarkStart w:id="282" w:name="_Toc184308053"/>
      <w:bookmarkEnd w:id="282"/>
      <w:bookmarkStart w:id="283" w:name="_Toc184314426"/>
      <w:bookmarkEnd w:id="283"/>
      <w:bookmarkStart w:id="284" w:name="_Toc184314435"/>
      <w:bookmarkEnd w:id="284"/>
      <w:bookmarkStart w:id="285" w:name="_Toc184314422"/>
      <w:bookmarkEnd w:id="285"/>
      <w:bookmarkStart w:id="286" w:name="_Toc184314410"/>
      <w:bookmarkEnd w:id="286"/>
      <w:bookmarkStart w:id="287" w:name="_Toc184308070"/>
      <w:bookmarkEnd w:id="287"/>
      <w:bookmarkStart w:id="288" w:name="_Toc184308068"/>
      <w:bookmarkEnd w:id="288"/>
      <w:bookmarkStart w:id="289" w:name="_Toc184314430"/>
      <w:bookmarkEnd w:id="289"/>
      <w:bookmarkStart w:id="290" w:name="_Toc184308076"/>
      <w:bookmarkEnd w:id="290"/>
      <w:bookmarkStart w:id="291" w:name="_Toc184313255"/>
      <w:bookmarkEnd w:id="291"/>
      <w:bookmarkStart w:id="292" w:name="_Toc184313291"/>
      <w:bookmarkEnd w:id="292"/>
      <w:bookmarkStart w:id="293" w:name="_Toc184310309"/>
      <w:bookmarkEnd w:id="293"/>
      <w:bookmarkStart w:id="294" w:name="_Toc184308073"/>
      <w:bookmarkEnd w:id="294"/>
      <w:bookmarkStart w:id="295" w:name="_Toc184313247"/>
      <w:bookmarkEnd w:id="295"/>
      <w:bookmarkStart w:id="296" w:name="_Toc184310321"/>
      <w:bookmarkEnd w:id="296"/>
      <w:bookmarkStart w:id="297" w:name="_Toc184312098"/>
      <w:bookmarkEnd w:id="297"/>
      <w:bookmarkStart w:id="298" w:name="_Toc184314454"/>
      <w:bookmarkEnd w:id="298"/>
      <w:bookmarkStart w:id="299" w:name="_Toc184308098"/>
      <w:bookmarkEnd w:id="299"/>
      <w:bookmarkStart w:id="300" w:name="_Toc184308051"/>
      <w:bookmarkEnd w:id="300"/>
      <w:bookmarkStart w:id="301" w:name="_Toc184308056"/>
      <w:bookmarkEnd w:id="301"/>
      <w:bookmarkStart w:id="302" w:name="_Toc184310288"/>
      <w:bookmarkEnd w:id="302"/>
      <w:bookmarkStart w:id="303" w:name="_Toc184308077"/>
      <w:bookmarkEnd w:id="303"/>
      <w:bookmarkStart w:id="304" w:name="_Toc184313280"/>
      <w:bookmarkEnd w:id="304"/>
      <w:bookmarkStart w:id="305" w:name="_Toc184313290"/>
      <w:bookmarkEnd w:id="305"/>
      <w:bookmarkStart w:id="306" w:name="_Toc184310307"/>
      <w:bookmarkEnd w:id="306"/>
      <w:bookmarkStart w:id="307" w:name="_Toc184312126"/>
      <w:bookmarkEnd w:id="307"/>
      <w:bookmarkStart w:id="308" w:name="_Toc184312090"/>
      <w:bookmarkEnd w:id="308"/>
      <w:bookmarkStart w:id="309" w:name="_Toc184310315"/>
      <w:bookmarkEnd w:id="309"/>
      <w:bookmarkStart w:id="310" w:name="_Toc184313258"/>
      <w:bookmarkEnd w:id="310"/>
      <w:bookmarkStart w:id="311" w:name="_Toc184308107"/>
      <w:bookmarkEnd w:id="311"/>
      <w:bookmarkStart w:id="312" w:name="_Toc184308054"/>
      <w:bookmarkEnd w:id="312"/>
      <w:bookmarkStart w:id="313" w:name="_Toc184310330"/>
      <w:bookmarkEnd w:id="313"/>
      <w:bookmarkStart w:id="314" w:name="_Toc184310329"/>
      <w:bookmarkEnd w:id="314"/>
      <w:bookmarkStart w:id="315" w:name="_Toc184314446"/>
      <w:bookmarkEnd w:id="315"/>
      <w:bookmarkStart w:id="316" w:name="_Toc184312122"/>
      <w:bookmarkEnd w:id="316"/>
      <w:bookmarkStart w:id="317" w:name="_Toc184310338"/>
      <w:bookmarkEnd w:id="317"/>
      <w:bookmarkStart w:id="318" w:name="_Toc184310280"/>
      <w:bookmarkEnd w:id="318"/>
      <w:bookmarkStart w:id="319" w:name="_Toc184313253"/>
      <w:bookmarkEnd w:id="319"/>
      <w:bookmarkStart w:id="320" w:name="_Toc184310334"/>
      <w:bookmarkEnd w:id="320"/>
      <w:bookmarkStart w:id="321" w:name="_Toc184313304"/>
      <w:bookmarkEnd w:id="321"/>
      <w:bookmarkStart w:id="322" w:name="_Toc184308072"/>
      <w:bookmarkEnd w:id="322"/>
      <w:bookmarkStart w:id="323" w:name="_Toc184310294"/>
      <w:bookmarkEnd w:id="323"/>
      <w:bookmarkStart w:id="324" w:name="_Toc184314441"/>
      <w:bookmarkEnd w:id="324"/>
      <w:bookmarkStart w:id="325" w:name="_Toc184312136"/>
      <w:bookmarkEnd w:id="325"/>
      <w:bookmarkStart w:id="326" w:name="_Toc184312135"/>
      <w:bookmarkEnd w:id="326"/>
      <w:bookmarkStart w:id="327" w:name="_Toc184313303"/>
      <w:bookmarkEnd w:id="327"/>
      <w:bookmarkStart w:id="328" w:name="_Toc184314436"/>
      <w:bookmarkEnd w:id="328"/>
      <w:bookmarkStart w:id="329" w:name="_Toc184312119"/>
      <w:bookmarkEnd w:id="329"/>
      <w:bookmarkStart w:id="330" w:name="_Toc184310322"/>
      <w:bookmarkEnd w:id="330"/>
      <w:bookmarkStart w:id="331" w:name="_Toc184308078"/>
      <w:bookmarkEnd w:id="331"/>
      <w:bookmarkStart w:id="332" w:name="_Toc184312069"/>
      <w:bookmarkEnd w:id="332"/>
      <w:bookmarkStart w:id="333" w:name="_Toc184310273"/>
      <w:bookmarkEnd w:id="333"/>
      <w:bookmarkStart w:id="334" w:name="_Toc184314481"/>
      <w:bookmarkEnd w:id="334"/>
      <w:bookmarkStart w:id="335" w:name="_Toc184313287"/>
      <w:bookmarkEnd w:id="335"/>
      <w:bookmarkStart w:id="336" w:name="_Toc184314412"/>
      <w:bookmarkEnd w:id="336"/>
      <w:bookmarkStart w:id="337" w:name="_Toc184313310"/>
      <w:bookmarkEnd w:id="337"/>
      <w:bookmarkStart w:id="338" w:name="_Toc184310305"/>
      <w:bookmarkEnd w:id="338"/>
      <w:bookmarkStart w:id="339" w:name="_Toc184314452"/>
      <w:bookmarkEnd w:id="339"/>
      <w:bookmarkStart w:id="340" w:name="_Toc184314466"/>
      <w:bookmarkEnd w:id="340"/>
      <w:bookmarkStart w:id="341" w:name="_Toc184312083"/>
      <w:bookmarkEnd w:id="341"/>
      <w:bookmarkStart w:id="342" w:name="_Toc184308102"/>
      <w:bookmarkEnd w:id="342"/>
      <w:bookmarkStart w:id="343" w:name="_Toc184313281"/>
      <w:bookmarkEnd w:id="343"/>
      <w:bookmarkStart w:id="344" w:name="_Toc184308084"/>
      <w:bookmarkEnd w:id="344"/>
      <w:bookmarkStart w:id="345" w:name="_Toc184313251"/>
      <w:bookmarkEnd w:id="345"/>
      <w:bookmarkStart w:id="346" w:name="_Toc184312096"/>
      <w:bookmarkEnd w:id="346"/>
      <w:bookmarkStart w:id="347" w:name="_Toc184313273"/>
      <w:bookmarkEnd w:id="347"/>
      <w:bookmarkStart w:id="348" w:name="_Toc184310286"/>
      <w:bookmarkEnd w:id="348"/>
      <w:bookmarkStart w:id="349" w:name="_Toc184308088"/>
      <w:bookmarkEnd w:id="349"/>
      <w:bookmarkStart w:id="350" w:name="_Toc184314438"/>
      <w:bookmarkEnd w:id="350"/>
      <w:bookmarkStart w:id="351" w:name="_Toc184308081"/>
      <w:bookmarkEnd w:id="351"/>
      <w:bookmarkStart w:id="352" w:name="_Toc184314468"/>
      <w:bookmarkEnd w:id="352"/>
      <w:bookmarkStart w:id="353" w:name="_Toc184312113"/>
      <w:bookmarkEnd w:id="353"/>
      <w:bookmarkStart w:id="354" w:name="_Toc184313263"/>
      <w:bookmarkEnd w:id="354"/>
      <w:bookmarkStart w:id="355" w:name="_Toc184312116"/>
      <w:bookmarkEnd w:id="355"/>
      <w:bookmarkStart w:id="356" w:name="_Toc184314443"/>
      <w:bookmarkEnd w:id="356"/>
      <w:bookmarkStart w:id="357" w:name="_Toc184308046"/>
      <w:bookmarkEnd w:id="357"/>
      <w:bookmarkStart w:id="358" w:name="_Toc184314477"/>
      <w:bookmarkEnd w:id="358"/>
      <w:bookmarkStart w:id="359" w:name="_Toc184314423"/>
      <w:bookmarkEnd w:id="359"/>
      <w:bookmarkStart w:id="360" w:name="_Toc184312100"/>
      <w:bookmarkEnd w:id="360"/>
      <w:bookmarkStart w:id="361" w:name="_Toc184308037"/>
      <w:bookmarkEnd w:id="361"/>
      <w:bookmarkStart w:id="362" w:name="_Toc184313243"/>
      <w:bookmarkEnd w:id="362"/>
      <w:bookmarkStart w:id="363" w:name="_Toc184313298"/>
      <w:bookmarkEnd w:id="363"/>
      <w:bookmarkStart w:id="364" w:name="_Toc184314458"/>
      <w:bookmarkEnd w:id="364"/>
      <w:bookmarkStart w:id="365" w:name="_Toc184312138"/>
      <w:bookmarkEnd w:id="365"/>
      <w:bookmarkStart w:id="366" w:name="_Toc184313266"/>
      <w:bookmarkEnd w:id="366"/>
      <w:bookmarkStart w:id="367" w:name="_Toc184313246"/>
      <w:bookmarkEnd w:id="367"/>
      <w:bookmarkStart w:id="368" w:name="_Toc184312127"/>
      <w:bookmarkEnd w:id="368"/>
      <w:bookmarkStart w:id="369" w:name="_Toc184314442"/>
      <w:bookmarkEnd w:id="369"/>
      <w:bookmarkStart w:id="370" w:name="_Toc184313301"/>
      <w:bookmarkEnd w:id="370"/>
      <w:bookmarkStart w:id="371" w:name="_Toc184312073"/>
      <w:bookmarkEnd w:id="371"/>
      <w:bookmarkStart w:id="372" w:name="_Toc184313288"/>
      <w:bookmarkEnd w:id="372"/>
      <w:bookmarkStart w:id="373" w:name="_Toc184314467"/>
      <w:bookmarkEnd w:id="373"/>
      <w:bookmarkStart w:id="374" w:name="_Toc184308091"/>
      <w:bookmarkEnd w:id="374"/>
      <w:bookmarkStart w:id="375" w:name="_Toc184310311"/>
      <w:bookmarkEnd w:id="375"/>
      <w:bookmarkStart w:id="376" w:name="_Toc184310297"/>
      <w:bookmarkEnd w:id="376"/>
      <w:bookmarkStart w:id="377" w:name="_Toc184312097"/>
      <w:bookmarkEnd w:id="377"/>
      <w:bookmarkStart w:id="378" w:name="_Toc184312081"/>
      <w:bookmarkEnd w:id="378"/>
      <w:bookmarkStart w:id="379" w:name="_Toc184310316"/>
      <w:bookmarkEnd w:id="379"/>
      <w:bookmarkStart w:id="380" w:name="_Toc184310333"/>
      <w:bookmarkEnd w:id="380"/>
      <w:bookmarkStart w:id="381" w:name="_Toc184314479"/>
      <w:bookmarkEnd w:id="381"/>
      <w:bookmarkStart w:id="382" w:name="_Toc184310319"/>
      <w:bookmarkEnd w:id="382"/>
      <w:bookmarkStart w:id="383" w:name="_Toc184310277"/>
      <w:bookmarkEnd w:id="383"/>
      <w:bookmarkStart w:id="384" w:name="_Toc184314418"/>
      <w:bookmarkEnd w:id="384"/>
      <w:bookmarkStart w:id="385" w:name="_Toc184308086"/>
      <w:bookmarkEnd w:id="385"/>
      <w:bookmarkStart w:id="386" w:name="_Toc184313244"/>
      <w:bookmarkEnd w:id="386"/>
      <w:bookmarkStart w:id="387" w:name="_Toc184310318"/>
      <w:bookmarkEnd w:id="387"/>
      <w:bookmarkStart w:id="388" w:name="_Toc184308044"/>
      <w:bookmarkEnd w:id="388"/>
      <w:bookmarkStart w:id="389" w:name="_Toc184312089"/>
      <w:bookmarkEnd w:id="389"/>
      <w:bookmarkStart w:id="390" w:name="_Toc184314461"/>
      <w:bookmarkEnd w:id="390"/>
      <w:bookmarkStart w:id="391" w:name="_Toc184314431"/>
      <w:bookmarkEnd w:id="391"/>
      <w:bookmarkStart w:id="392" w:name="_Toc184313259"/>
      <w:bookmarkEnd w:id="392"/>
      <w:bookmarkStart w:id="393" w:name="_Toc184312085"/>
      <w:bookmarkEnd w:id="393"/>
      <w:bookmarkStart w:id="394" w:name="_Toc184314473"/>
      <w:bookmarkEnd w:id="394"/>
      <w:bookmarkStart w:id="395" w:name="_Toc184313282"/>
      <w:bookmarkEnd w:id="395"/>
      <w:bookmarkStart w:id="396" w:name="_Toc184312104"/>
      <w:bookmarkEnd w:id="396"/>
      <w:bookmarkStart w:id="397" w:name="_Toc184312086"/>
      <w:bookmarkEnd w:id="397"/>
      <w:bookmarkStart w:id="398" w:name="_Toc184313295"/>
      <w:bookmarkEnd w:id="398"/>
      <w:r>
        <w:rPr>
          <w:rFonts w:hint="eastAsia" w:ascii="宋体" w:hAnsi="宋体" w:cs="宋体"/>
          <w:b/>
          <w:color w:val="auto"/>
          <w:sz w:val="36"/>
          <w:szCs w:val="36"/>
          <w:highlight w:val="none"/>
        </w:rPr>
        <w:t>评标办法</w:t>
      </w:r>
    </w:p>
    <w:p w14:paraId="15EAF6D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6445"/>
        <w:gridCol w:w="647"/>
        <w:gridCol w:w="1285"/>
      </w:tblGrid>
      <w:tr w14:paraId="643CE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298" w:type="pct"/>
            <w:vMerge w:val="restart"/>
            <w:noWrap w:val="0"/>
            <w:vAlign w:val="center"/>
          </w:tcPr>
          <w:p w14:paraId="118BB1AE">
            <w:pPr>
              <w:pStyle w:val="782"/>
              <w:widowControl w:val="0"/>
              <w:spacing w:line="46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序号</w:t>
            </w:r>
          </w:p>
        </w:tc>
        <w:tc>
          <w:tcPr>
            <w:tcW w:w="3616" w:type="pct"/>
            <w:noWrap w:val="0"/>
            <w:vAlign w:val="center"/>
          </w:tcPr>
          <w:p w14:paraId="2C60C133">
            <w:pPr>
              <w:pStyle w:val="782"/>
              <w:widowControl w:val="0"/>
              <w:spacing w:line="46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评标标准</w:t>
            </w:r>
          </w:p>
        </w:tc>
        <w:tc>
          <w:tcPr>
            <w:tcW w:w="363" w:type="pct"/>
            <w:vMerge w:val="restart"/>
            <w:noWrap w:val="0"/>
            <w:vAlign w:val="center"/>
          </w:tcPr>
          <w:p w14:paraId="0B6FA7B4">
            <w:pPr>
              <w:pStyle w:val="782"/>
              <w:widowControl w:val="0"/>
              <w:spacing w:line="46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权重</w:t>
            </w:r>
          </w:p>
        </w:tc>
        <w:tc>
          <w:tcPr>
            <w:tcW w:w="721" w:type="pct"/>
            <w:vMerge w:val="restart"/>
            <w:noWrap w:val="0"/>
            <w:vAlign w:val="center"/>
          </w:tcPr>
          <w:p w14:paraId="00ADC991">
            <w:pPr>
              <w:pStyle w:val="782"/>
              <w:widowControl w:val="0"/>
              <w:spacing w:line="46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投标文件中评标标准相应的商务技术资料目录*</w:t>
            </w:r>
          </w:p>
        </w:tc>
      </w:tr>
      <w:tr w14:paraId="10C9A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0" w:hRule="atLeast"/>
          <w:tblHeader/>
        </w:trPr>
        <w:tc>
          <w:tcPr>
            <w:tcW w:w="298" w:type="pct"/>
            <w:vMerge w:val="continue"/>
            <w:noWrap w:val="0"/>
            <w:vAlign w:val="center"/>
          </w:tcPr>
          <w:p w14:paraId="1369E195">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rPr>
            </w:pPr>
          </w:p>
        </w:tc>
        <w:tc>
          <w:tcPr>
            <w:tcW w:w="3616" w:type="pct"/>
            <w:noWrap w:val="0"/>
            <w:vAlign w:val="center"/>
          </w:tcPr>
          <w:p w14:paraId="605ABB48">
            <w:pPr>
              <w:widowControl/>
              <w:spacing w:line="46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评分细则</w:t>
            </w:r>
          </w:p>
        </w:tc>
        <w:tc>
          <w:tcPr>
            <w:tcW w:w="363" w:type="pct"/>
            <w:vMerge w:val="continue"/>
            <w:noWrap w:val="0"/>
            <w:vAlign w:val="center"/>
          </w:tcPr>
          <w:p w14:paraId="59916000">
            <w:pPr>
              <w:pStyle w:val="782"/>
              <w:widowControl w:val="0"/>
              <w:spacing w:line="460" w:lineRule="exact"/>
              <w:jc w:val="center"/>
              <w:rPr>
                <w:rFonts w:hint="eastAsia" w:ascii="宋体" w:hAnsi="宋体" w:eastAsia="宋体" w:cs="宋体"/>
                <w:b/>
                <w:bCs/>
                <w:i w:val="0"/>
                <w:iCs w:val="0"/>
                <w:color w:val="auto"/>
                <w:sz w:val="21"/>
                <w:szCs w:val="21"/>
                <w:highlight w:val="none"/>
                <w:shd w:val="clear" w:color="auto" w:fill="auto"/>
              </w:rPr>
            </w:pPr>
          </w:p>
        </w:tc>
        <w:tc>
          <w:tcPr>
            <w:tcW w:w="721" w:type="pct"/>
            <w:vMerge w:val="continue"/>
            <w:noWrap w:val="0"/>
            <w:vAlign w:val="center"/>
          </w:tcPr>
          <w:p w14:paraId="20077CA1">
            <w:pPr>
              <w:pStyle w:val="782"/>
              <w:widowControl w:val="0"/>
              <w:spacing w:line="460" w:lineRule="exact"/>
              <w:jc w:val="center"/>
              <w:rPr>
                <w:rFonts w:hint="eastAsia" w:ascii="宋体" w:hAnsi="宋体" w:eastAsia="宋体" w:cs="宋体"/>
                <w:b/>
                <w:bCs/>
                <w:i w:val="0"/>
                <w:iCs w:val="0"/>
                <w:color w:val="auto"/>
                <w:sz w:val="21"/>
                <w:szCs w:val="21"/>
                <w:highlight w:val="none"/>
                <w:shd w:val="clear" w:color="auto" w:fill="auto"/>
              </w:rPr>
            </w:pPr>
          </w:p>
        </w:tc>
      </w:tr>
      <w:tr w14:paraId="3819F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98" w:type="pct"/>
            <w:noWrap w:val="0"/>
            <w:vAlign w:val="center"/>
          </w:tcPr>
          <w:p w14:paraId="4D468C93">
            <w:pPr>
              <w:pStyle w:val="782"/>
              <w:widowControl w:val="0"/>
              <w:numPr>
                <w:ilvl w:val="0"/>
                <w:numId w:val="11"/>
              </w:numPr>
              <w:spacing w:line="460" w:lineRule="exact"/>
              <w:ind w:left="425" w:leftChars="0" w:hanging="425" w:firstLineChars="0"/>
              <w:jc w:val="center"/>
              <w:rPr>
                <w:rFonts w:hint="eastAsia" w:ascii="宋体" w:hAnsi="宋体" w:eastAsia="宋体" w:cs="宋体"/>
                <w:i w:val="0"/>
                <w:iCs w:val="0"/>
                <w:color w:val="auto"/>
                <w:kern w:val="2"/>
                <w:sz w:val="21"/>
                <w:szCs w:val="21"/>
                <w:highlight w:val="none"/>
                <w:shd w:val="clear" w:color="auto" w:fill="auto"/>
                <w:lang w:val="en-US" w:eastAsia="zh-CN" w:bidi="ar-SA"/>
              </w:rPr>
            </w:pPr>
          </w:p>
        </w:tc>
        <w:tc>
          <w:tcPr>
            <w:tcW w:w="3616" w:type="pct"/>
            <w:noWrap w:val="0"/>
            <w:vAlign w:val="center"/>
          </w:tcPr>
          <w:p w14:paraId="7162D511">
            <w:pPr>
              <w:pStyle w:val="60"/>
              <w:ind w:left="0" w:leftChars="0" w:firstLine="0" w:firstLineChars="0"/>
              <w:rPr>
                <w:rFonts w:hint="eastAsia" w:ascii="宋体" w:hAnsi="宋体" w:eastAsia="宋体" w:cs="宋体"/>
                <w:i w:val="0"/>
                <w:iCs w:val="0"/>
                <w:caps w:val="0"/>
                <w:spacing w:val="0"/>
                <w:sz w:val="24"/>
                <w:szCs w:val="24"/>
                <w:highlight w:val="none"/>
                <w:lang w:val="en-US" w:eastAsia="zh-CN"/>
              </w:rPr>
            </w:pPr>
            <w:r>
              <w:rPr>
                <w:rFonts w:hint="eastAsia" w:ascii="宋体" w:hAnsi="宋体" w:eastAsia="宋体" w:cs="宋体"/>
                <w:i w:val="0"/>
                <w:iCs w:val="0"/>
                <w:caps w:val="0"/>
                <w:spacing w:val="0"/>
                <w:sz w:val="24"/>
                <w:szCs w:val="24"/>
                <w:highlight w:val="none"/>
                <w:lang w:val="en-US" w:eastAsia="zh-CN"/>
              </w:rPr>
              <w:t>标“◆”参数</w:t>
            </w:r>
            <w:r>
              <w:rPr>
                <w:rFonts w:hint="eastAsia" w:ascii="宋体" w:hAnsi="宋体" w:eastAsia="宋体" w:cs="宋体"/>
                <w:i w:val="0"/>
                <w:iCs w:val="0"/>
                <w:caps w:val="0"/>
                <w:spacing w:val="0"/>
                <w:sz w:val="24"/>
                <w:szCs w:val="24"/>
                <w:highlight w:val="none"/>
              </w:rPr>
              <w:t>没有</w:t>
            </w:r>
            <w:r>
              <w:rPr>
                <w:rFonts w:hint="eastAsia" w:ascii="宋体" w:hAnsi="宋体" w:eastAsia="宋体" w:cs="宋体"/>
                <w:i w:val="0"/>
                <w:iCs w:val="0"/>
                <w:caps w:val="0"/>
                <w:spacing w:val="0"/>
                <w:sz w:val="24"/>
                <w:szCs w:val="24"/>
                <w:highlight w:val="none"/>
                <w:lang w:val="en-US" w:eastAsia="zh-CN"/>
              </w:rPr>
              <w:t>按</w:t>
            </w:r>
            <w:r>
              <w:rPr>
                <w:rFonts w:hint="eastAsia" w:ascii="宋体" w:hAnsi="宋体" w:eastAsia="宋体" w:cs="宋体"/>
                <w:i w:val="0"/>
                <w:iCs w:val="0"/>
                <w:caps w:val="0"/>
                <w:spacing w:val="0"/>
                <w:sz w:val="24"/>
                <w:szCs w:val="24"/>
                <w:highlight w:val="none"/>
              </w:rPr>
              <w:t>要求提供证明材料的，</w:t>
            </w:r>
            <w:r>
              <w:rPr>
                <w:rFonts w:hint="eastAsia" w:ascii="宋体" w:hAnsi="宋体" w:eastAsia="宋体" w:cs="宋体"/>
                <w:i w:val="0"/>
                <w:iCs w:val="0"/>
                <w:caps w:val="0"/>
                <w:spacing w:val="0"/>
                <w:sz w:val="24"/>
                <w:szCs w:val="24"/>
                <w:highlight w:val="none"/>
                <w:lang w:val="en-US" w:eastAsia="zh-CN"/>
              </w:rPr>
              <w:t>每偏离一项扣2分，其他参数每偏离一项扣1分，扣完为止</w:t>
            </w:r>
          </w:p>
          <w:p w14:paraId="6DF07FED">
            <w:pPr>
              <w:pStyle w:val="60"/>
              <w:ind w:left="0" w:leftChars="0" w:firstLine="0" w:firstLineChars="0"/>
              <w:rPr>
                <w:rStyle w:val="329"/>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highlight w:val="none"/>
              </w:rPr>
              <w:t>根据技术参数（参数规格）要求提供证明/证书/报告/功能截图/说明书/图片等资料证明的，应当提供上述</w:t>
            </w:r>
            <w:r>
              <w:rPr>
                <w:rFonts w:hint="eastAsia" w:ascii="宋体" w:hAnsi="宋体" w:eastAsia="宋体" w:cs="宋体"/>
                <w:i w:val="0"/>
                <w:iCs w:val="0"/>
                <w:caps w:val="0"/>
                <w:spacing w:val="0"/>
                <w:sz w:val="24"/>
                <w:szCs w:val="24"/>
                <w:highlight w:val="none"/>
                <w:lang w:eastAsia="zh-CN"/>
              </w:rPr>
              <w:t>某一项</w:t>
            </w:r>
            <w:r>
              <w:rPr>
                <w:rFonts w:hint="eastAsia" w:ascii="宋体" w:hAnsi="宋体" w:eastAsia="宋体" w:cs="宋体"/>
                <w:i w:val="0"/>
                <w:iCs w:val="0"/>
                <w:caps w:val="0"/>
                <w:spacing w:val="0"/>
                <w:sz w:val="24"/>
                <w:szCs w:val="24"/>
                <w:highlight w:val="none"/>
              </w:rPr>
              <w:t>证明材料；没有要求提供证明材料的，应当根据技术参数要求进行响应。否则视为不满足或不响应或负偏离该项指标或要求</w:t>
            </w:r>
          </w:p>
        </w:tc>
        <w:tc>
          <w:tcPr>
            <w:tcW w:w="363" w:type="pct"/>
            <w:noWrap w:val="0"/>
            <w:vAlign w:val="center"/>
          </w:tcPr>
          <w:p w14:paraId="47FE8018">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32</w:t>
            </w:r>
          </w:p>
        </w:tc>
        <w:tc>
          <w:tcPr>
            <w:tcW w:w="721" w:type="pct"/>
            <w:noWrap w:val="0"/>
            <w:vAlign w:val="center"/>
          </w:tcPr>
          <w:p w14:paraId="77E2C28D">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color w:val="auto"/>
                <w:sz w:val="21"/>
                <w:szCs w:val="21"/>
                <w:highlight w:val="none"/>
                <w:shd w:val="clear" w:color="auto" w:fill="auto"/>
                <w:lang w:val="en-US" w:eastAsia="zh-CN"/>
              </w:rPr>
              <w:t>技术指标响应</w:t>
            </w:r>
          </w:p>
        </w:tc>
      </w:tr>
      <w:tr w14:paraId="57ACD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 w:type="pct"/>
            <w:vMerge w:val="restart"/>
            <w:noWrap w:val="0"/>
            <w:vAlign w:val="center"/>
          </w:tcPr>
          <w:p w14:paraId="238FC58F">
            <w:pPr>
              <w:pStyle w:val="782"/>
              <w:widowControl w:val="0"/>
              <w:numPr>
                <w:ilvl w:val="0"/>
                <w:numId w:val="11"/>
              </w:numPr>
              <w:spacing w:line="460" w:lineRule="exact"/>
              <w:ind w:left="425" w:leftChars="0" w:hanging="425" w:firstLineChars="0"/>
              <w:jc w:val="center"/>
              <w:rPr>
                <w:rFonts w:hint="eastAsia" w:ascii="宋体" w:hAnsi="宋体" w:eastAsia="宋体" w:cs="宋体"/>
                <w:i w:val="0"/>
                <w:iCs w:val="0"/>
                <w:color w:val="auto"/>
                <w:sz w:val="21"/>
                <w:szCs w:val="21"/>
                <w:highlight w:val="none"/>
                <w:shd w:val="clear" w:color="auto" w:fill="auto"/>
                <w:lang w:val="en-US" w:eastAsia="zh-CN"/>
              </w:rPr>
            </w:pPr>
          </w:p>
        </w:tc>
        <w:tc>
          <w:tcPr>
            <w:tcW w:w="3616" w:type="pct"/>
            <w:noWrap w:val="0"/>
            <w:vAlign w:val="center"/>
          </w:tcPr>
          <w:p w14:paraId="3D072C5F">
            <w:pPr>
              <w:spacing w:line="440" w:lineRule="exact"/>
              <w:rPr>
                <w:rFonts w:hint="eastAsia" w:ascii="宋体" w:hAnsi="宋体" w:eastAsia="宋体" w:cs="宋体"/>
                <w:i w:val="0"/>
                <w:iCs w:val="0"/>
                <w:caps w:val="0"/>
                <w:snapToGrid/>
                <w:spacing w:val="0"/>
                <w:kern w:val="2"/>
                <w:sz w:val="24"/>
                <w:szCs w:val="24"/>
                <w:highlight w:val="none"/>
                <w:lang w:val="en-US" w:eastAsia="zh-CN" w:bidi="ar-SA"/>
              </w:rPr>
            </w:pPr>
            <w:r>
              <w:rPr>
                <w:rFonts w:hint="eastAsia" w:ascii="宋体" w:hAnsi="宋体" w:eastAsia="宋体" w:cs="宋体"/>
                <w:i w:val="0"/>
                <w:iCs w:val="0"/>
                <w:caps w:val="0"/>
                <w:snapToGrid/>
                <w:spacing w:val="0"/>
                <w:kern w:val="2"/>
                <w:sz w:val="24"/>
                <w:szCs w:val="24"/>
                <w:highlight w:val="none"/>
                <w:lang w:val="en-US" w:eastAsia="zh-CN" w:bidi="ar-SA"/>
              </w:rPr>
              <w:t>提供平面布置图、水位、电点位图设计方案可实施性及操作性，充分考虑采购人实际情况。（完全满足得3分，部分满足</w:t>
            </w:r>
            <w:r>
              <w:rPr>
                <w:rFonts w:hint="eastAsia" w:ascii="宋体" w:hAnsi="宋体" w:cs="宋体"/>
                <w:i w:val="0"/>
                <w:iCs w:val="0"/>
                <w:caps w:val="0"/>
                <w:snapToGrid/>
                <w:spacing w:val="0"/>
                <w:kern w:val="2"/>
                <w:sz w:val="24"/>
                <w:szCs w:val="24"/>
                <w:highlight w:val="none"/>
                <w:lang w:val="en-US" w:eastAsia="zh-CN" w:bidi="ar-SA"/>
              </w:rPr>
              <w:t>1.5</w:t>
            </w:r>
            <w:r>
              <w:rPr>
                <w:rFonts w:hint="eastAsia" w:ascii="宋体" w:hAnsi="宋体" w:eastAsia="宋体" w:cs="宋体"/>
                <w:i w:val="0"/>
                <w:iCs w:val="0"/>
                <w:caps w:val="0"/>
                <w:snapToGrid/>
                <w:spacing w:val="0"/>
                <w:kern w:val="2"/>
                <w:sz w:val="24"/>
                <w:szCs w:val="24"/>
                <w:highlight w:val="none"/>
                <w:lang w:val="en-US" w:eastAsia="zh-CN" w:bidi="ar-SA"/>
              </w:rPr>
              <w:t>分，</w:t>
            </w:r>
            <w:r>
              <w:rPr>
                <w:rFonts w:hint="eastAsia" w:ascii="宋体" w:hAnsi="宋体" w:eastAsia="宋体" w:cs="宋体"/>
                <w:i w:val="0"/>
                <w:iCs w:val="0"/>
                <w:caps w:val="0"/>
                <w:snapToGrid/>
                <w:spacing w:val="0"/>
                <w:kern w:val="2"/>
                <w:sz w:val="24"/>
                <w:szCs w:val="24"/>
                <w:highlight w:val="none"/>
                <w:lang w:val="zh-TW" w:eastAsia="zh-CN" w:bidi="ar-SA"/>
              </w:rPr>
              <w:t>不满足要求不得分。</w:t>
            </w:r>
          </w:p>
          <w:p w14:paraId="2D3C69F7">
            <w:pPr>
              <w:spacing w:line="440" w:lineRule="exac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aps w:val="0"/>
                <w:snapToGrid/>
                <w:spacing w:val="0"/>
                <w:kern w:val="2"/>
                <w:sz w:val="24"/>
                <w:szCs w:val="24"/>
                <w:highlight w:val="none"/>
                <w:lang w:val="en-US" w:eastAsia="zh-CN" w:bidi="ar-SA"/>
              </w:rPr>
              <w:t>（提供相关图纸及说明材料）不提供不得分。</w:t>
            </w:r>
          </w:p>
        </w:tc>
        <w:tc>
          <w:tcPr>
            <w:tcW w:w="363" w:type="pct"/>
            <w:noWrap w:val="0"/>
            <w:vAlign w:val="center"/>
          </w:tcPr>
          <w:p w14:paraId="593C1EE3">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3</w:t>
            </w:r>
          </w:p>
        </w:tc>
        <w:tc>
          <w:tcPr>
            <w:tcW w:w="721" w:type="pct"/>
            <w:vMerge w:val="restart"/>
            <w:noWrap w:val="0"/>
            <w:vAlign w:val="center"/>
          </w:tcPr>
          <w:p w14:paraId="0BD4E9C0">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color w:val="auto"/>
                <w:sz w:val="21"/>
                <w:szCs w:val="21"/>
                <w:highlight w:val="none"/>
                <w:shd w:val="clear" w:color="auto" w:fill="auto"/>
              </w:rPr>
              <w:t>设计方案</w:t>
            </w:r>
          </w:p>
        </w:tc>
      </w:tr>
      <w:tr w14:paraId="0CD2CB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 w:type="pct"/>
            <w:vMerge w:val="continue"/>
            <w:noWrap w:val="0"/>
            <w:vAlign w:val="center"/>
          </w:tcPr>
          <w:p w14:paraId="59AF1E26">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lang w:val="en-US" w:eastAsia="zh-CN"/>
              </w:rPr>
            </w:pPr>
          </w:p>
        </w:tc>
        <w:tc>
          <w:tcPr>
            <w:tcW w:w="3616" w:type="pct"/>
            <w:noWrap w:val="0"/>
            <w:vAlign w:val="center"/>
          </w:tcPr>
          <w:p w14:paraId="3F5DDD4A">
            <w:pPr>
              <w:spacing w:line="440" w:lineRule="exact"/>
              <w:rPr>
                <w:rFonts w:hint="eastAsia" w:ascii="宋体" w:hAnsi="宋体" w:eastAsia="宋体" w:cs="宋体"/>
                <w:i w:val="0"/>
                <w:iCs w:val="0"/>
                <w:caps w:val="0"/>
                <w:snapToGrid/>
                <w:spacing w:val="0"/>
                <w:kern w:val="2"/>
                <w:sz w:val="24"/>
                <w:szCs w:val="24"/>
                <w:highlight w:val="none"/>
                <w:lang w:val="en-US" w:eastAsia="zh-CN" w:bidi="ar-SA"/>
              </w:rPr>
            </w:pPr>
            <w:r>
              <w:rPr>
                <w:rFonts w:hint="eastAsia" w:ascii="宋体" w:hAnsi="宋体" w:eastAsia="宋体" w:cs="宋体"/>
                <w:i w:val="0"/>
                <w:iCs w:val="0"/>
                <w:caps w:val="0"/>
                <w:snapToGrid/>
                <w:spacing w:val="0"/>
                <w:kern w:val="2"/>
                <w:sz w:val="24"/>
                <w:szCs w:val="24"/>
                <w:highlight w:val="none"/>
                <w:lang w:val="en-US" w:eastAsia="zh-CN" w:bidi="ar-SA"/>
              </w:rPr>
              <w:t>实验室（6间）实景效果图展示深化设计方案，</w:t>
            </w:r>
            <w:r>
              <w:rPr>
                <w:rFonts w:hint="eastAsia" w:ascii="宋体" w:hAnsi="宋体" w:eastAsia="宋体" w:cs="宋体"/>
                <w:sz w:val="24"/>
                <w:szCs w:val="24"/>
                <w:lang w:val="en-US" w:eastAsia="zh-CN"/>
              </w:rPr>
              <w:t>体现出专业性，特色性，设计方案可实施性及操作性</w:t>
            </w:r>
            <w:r>
              <w:rPr>
                <w:rFonts w:hint="eastAsia" w:ascii="宋体" w:hAnsi="宋体" w:eastAsia="宋体" w:cs="宋体"/>
                <w:i w:val="0"/>
                <w:iCs w:val="0"/>
                <w:caps w:val="0"/>
                <w:snapToGrid/>
                <w:spacing w:val="0"/>
                <w:kern w:val="2"/>
                <w:sz w:val="24"/>
                <w:szCs w:val="24"/>
                <w:highlight w:val="none"/>
                <w:lang w:val="en-US" w:eastAsia="zh-CN" w:bidi="ar-SA"/>
              </w:rPr>
              <w:t>（提供一间效果图得1分，不提供不得分）。</w:t>
            </w:r>
          </w:p>
          <w:p w14:paraId="4DB6D7B8">
            <w:pPr>
              <w:spacing w:line="440" w:lineRule="exact"/>
              <w:rPr>
                <w:rFonts w:hint="eastAsia" w:ascii="宋体" w:hAnsi="宋体" w:eastAsia="宋体" w:cs="宋体"/>
                <w:i w:val="0"/>
                <w:iCs w:val="0"/>
                <w:caps w:val="0"/>
                <w:snapToGrid/>
                <w:spacing w:val="0"/>
                <w:kern w:val="2"/>
                <w:sz w:val="24"/>
                <w:szCs w:val="24"/>
                <w:highlight w:val="none"/>
                <w:lang w:val="en-US" w:eastAsia="zh-CN" w:bidi="ar-SA"/>
              </w:rPr>
            </w:pPr>
            <w:r>
              <w:rPr>
                <w:rFonts w:hint="eastAsia" w:ascii="宋体" w:hAnsi="宋体" w:eastAsia="宋体" w:cs="宋体"/>
                <w:i w:val="0"/>
                <w:iCs w:val="0"/>
                <w:caps w:val="0"/>
                <w:snapToGrid/>
                <w:spacing w:val="0"/>
                <w:kern w:val="2"/>
                <w:sz w:val="24"/>
                <w:szCs w:val="24"/>
                <w:highlight w:val="none"/>
                <w:lang w:val="en-US" w:eastAsia="zh-CN" w:bidi="ar-SA"/>
              </w:rPr>
              <w:t>（提供相关图纸及说明材料）</w:t>
            </w:r>
          </w:p>
        </w:tc>
        <w:tc>
          <w:tcPr>
            <w:tcW w:w="363" w:type="pct"/>
            <w:noWrap w:val="0"/>
            <w:vAlign w:val="center"/>
          </w:tcPr>
          <w:p w14:paraId="4588E6E6">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w:t>
            </w:r>
          </w:p>
        </w:tc>
        <w:tc>
          <w:tcPr>
            <w:tcW w:w="721" w:type="pct"/>
            <w:vMerge w:val="continue"/>
            <w:noWrap w:val="0"/>
            <w:vAlign w:val="center"/>
          </w:tcPr>
          <w:p w14:paraId="0779EB92">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p>
        </w:tc>
      </w:tr>
      <w:tr w14:paraId="1C500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98" w:type="pct"/>
            <w:vMerge w:val="continue"/>
            <w:noWrap w:val="0"/>
            <w:vAlign w:val="center"/>
          </w:tcPr>
          <w:p w14:paraId="5C14ACD5">
            <w:pPr>
              <w:pStyle w:val="782"/>
              <w:widowControl w:val="0"/>
              <w:spacing w:line="460" w:lineRule="exact"/>
              <w:ind w:left="425" w:leftChars="0" w:hanging="425" w:firstLineChars="0"/>
              <w:jc w:val="both"/>
              <w:rPr>
                <w:rFonts w:hint="default" w:ascii="宋体" w:hAnsi="宋体" w:eastAsia="宋体" w:cs="宋体"/>
                <w:i w:val="0"/>
                <w:iCs w:val="0"/>
                <w:color w:val="auto"/>
                <w:sz w:val="21"/>
                <w:szCs w:val="21"/>
                <w:highlight w:val="none"/>
                <w:shd w:val="clear" w:color="auto" w:fill="auto"/>
                <w:lang w:val="en-US" w:eastAsia="zh-CN"/>
              </w:rPr>
            </w:pPr>
          </w:p>
        </w:tc>
        <w:tc>
          <w:tcPr>
            <w:tcW w:w="3616" w:type="pct"/>
            <w:noWrap w:val="0"/>
            <w:vAlign w:val="center"/>
          </w:tcPr>
          <w:p w14:paraId="16CEDF0C">
            <w:pPr>
              <w:spacing w:line="440" w:lineRule="exact"/>
              <w:rPr>
                <w:rFonts w:hint="default" w:ascii="宋体" w:hAnsi="宋体" w:eastAsia="宋体" w:cs="宋体"/>
                <w:i w:val="0"/>
                <w:iCs w:val="0"/>
                <w:caps w:val="0"/>
                <w:snapToGrid/>
                <w:spacing w:val="0"/>
                <w:kern w:val="2"/>
                <w:sz w:val="24"/>
                <w:szCs w:val="24"/>
                <w:highlight w:val="none"/>
                <w:lang w:val="en-US" w:eastAsia="zh-CN" w:bidi="ar-SA"/>
              </w:rPr>
            </w:pPr>
            <w:r>
              <w:rPr>
                <w:rFonts w:hint="eastAsia" w:ascii="宋体" w:hAnsi="宋体" w:eastAsia="宋体" w:cs="宋体"/>
                <w:color w:val="000000" w:themeColor="text1"/>
                <w:sz w:val="24"/>
                <w14:textFill>
                  <w14:solidFill>
                    <w14:schemeClr w14:val="tx1"/>
                  </w14:solidFill>
                </w14:textFill>
              </w:rPr>
              <w:t>投标人在投标时应当按照采购要求，</w:t>
            </w:r>
            <w:r>
              <w:rPr>
                <w:rFonts w:hint="eastAsia" w:ascii="宋体" w:hAnsi="宋体" w:eastAsia="宋体" w:cs="宋体"/>
                <w:color w:val="000000" w:themeColor="text1"/>
                <w:sz w:val="24"/>
                <w:lang w:val="en-US" w:eastAsia="zh-CN"/>
                <w14:textFill>
                  <w14:solidFill>
                    <w14:schemeClr w14:val="tx1"/>
                  </w14:solidFill>
                </w14:textFill>
              </w:rPr>
              <w:t>提供</w:t>
            </w:r>
            <w:r>
              <w:rPr>
                <w:rFonts w:hint="eastAsia" w:ascii="宋体" w:hAnsi="宋体" w:cs="宋体"/>
                <w:color w:val="000000" w:themeColor="text1"/>
                <w:sz w:val="24"/>
                <w:lang w:val="en-US" w:eastAsia="zh-CN"/>
                <w14:textFill>
                  <w14:solidFill>
                    <w14:schemeClr w14:val="tx1"/>
                  </w14:solidFill>
                </w14:textFill>
              </w:rPr>
              <w:t>①</w:t>
            </w:r>
            <w:r>
              <w:rPr>
                <w:rFonts w:hint="eastAsia" w:ascii="宋体" w:hAnsi="宋体" w:cs="宋体"/>
                <w:color w:val="auto"/>
                <w:sz w:val="24"/>
                <w:lang w:val="en-US" w:eastAsia="zh-CN"/>
              </w:rPr>
              <w:t>序号52</w:t>
            </w:r>
            <w:r>
              <w:rPr>
                <w:rFonts w:hint="eastAsia" w:ascii="宋体" w:hAnsi="宋体" w:eastAsia="宋体" w:cs="宋体"/>
                <w:color w:val="auto"/>
                <w:sz w:val="24"/>
                <w:lang w:val="en-US" w:eastAsia="zh-CN"/>
              </w:rPr>
              <w:t>生化实验桌、</w:t>
            </w:r>
            <w:r>
              <w:rPr>
                <w:rFonts w:hint="eastAsia" w:ascii="宋体" w:hAnsi="宋体" w:cs="宋体"/>
                <w:color w:val="auto"/>
                <w:sz w:val="24"/>
                <w:lang w:val="en-US" w:eastAsia="zh-CN"/>
              </w:rPr>
              <w:t>②序号102</w:t>
            </w:r>
            <w:r>
              <w:rPr>
                <w:rFonts w:hint="eastAsia" w:ascii="宋体" w:hAnsi="宋体" w:eastAsia="宋体" w:cs="宋体"/>
                <w:color w:val="auto"/>
                <w:sz w:val="24"/>
                <w:lang w:val="en-US" w:eastAsia="zh-CN"/>
              </w:rPr>
              <w:t>多功能防溅水槽柜、</w:t>
            </w:r>
            <w:r>
              <w:rPr>
                <w:rFonts w:hint="eastAsia" w:ascii="宋体" w:hAnsi="宋体" w:cs="宋体"/>
                <w:color w:val="auto"/>
                <w:sz w:val="24"/>
                <w:lang w:val="en-US" w:eastAsia="zh-CN"/>
              </w:rPr>
              <w:t>③</w:t>
            </w:r>
            <w:r>
              <w:rPr>
                <w:rFonts w:hint="eastAsia" w:ascii="宋体" w:hAnsi="宋体" w:eastAsia="宋体" w:cs="宋体"/>
                <w:b/>
                <w:bCs/>
                <w:i w:val="0"/>
                <w:iCs w:val="0"/>
                <w:color w:val="auto"/>
                <w:kern w:val="0"/>
                <w:sz w:val="24"/>
                <w:szCs w:val="24"/>
                <w:u w:val="none"/>
                <w:lang w:val="en-US" w:eastAsia="zh-CN" w:bidi="ar"/>
              </w:rPr>
              <w:t>生物顶装实验室中（序号106-108）</w:t>
            </w:r>
            <w:r>
              <w:rPr>
                <w:rFonts w:hint="eastAsia" w:ascii="宋体" w:hAnsi="宋体" w:eastAsia="宋体" w:cs="宋体"/>
                <w:color w:val="auto"/>
                <w:sz w:val="24"/>
                <w:lang w:val="en-US" w:eastAsia="zh-CN"/>
              </w:rPr>
              <w:t>太空舱体</w:t>
            </w:r>
            <w:r>
              <w:rPr>
                <w:rFonts w:hint="eastAsia" w:ascii="宋体" w:hAnsi="宋体" w:eastAsia="宋体" w:cs="宋体"/>
                <w:color w:val="000000" w:themeColor="text1"/>
                <w:sz w:val="24"/>
                <w14:textFill>
                  <w14:solidFill>
                    <w14:schemeClr w14:val="tx1"/>
                  </w14:solidFill>
                </w14:textFill>
              </w:rPr>
              <w:t>提供完整的设计图（具体见第三章采购要求），设计图内容应当包含对产品结构、功能、布局、尺寸等指标的完整描述。</w:t>
            </w:r>
            <w:r>
              <w:rPr>
                <w:rFonts w:hint="eastAsia" w:ascii="宋体" w:hAnsi="宋体" w:eastAsia="宋体" w:cs="宋体"/>
                <w:b/>
                <w:color w:val="000000" w:themeColor="text1"/>
                <w:sz w:val="24"/>
                <w14:textFill>
                  <w14:solidFill>
                    <w14:schemeClr w14:val="tx1"/>
                  </w14:solidFill>
                </w14:textFill>
              </w:rPr>
              <w:t>投标人按照采购要求提供了完整的设计图的得</w:t>
            </w:r>
            <w:r>
              <w:rPr>
                <w:rFonts w:hint="eastAsia" w:ascii="宋体" w:hAnsi="宋体" w:eastAsia="宋体" w:cs="宋体"/>
                <w:b/>
                <w:color w:val="000000" w:themeColor="text1"/>
                <w:sz w:val="24"/>
                <w:lang w:val="en-US" w:eastAsia="zh-CN"/>
                <w14:textFill>
                  <w14:solidFill>
                    <w14:schemeClr w14:val="tx1"/>
                  </w14:solidFill>
                </w14:textFill>
              </w:rPr>
              <w:t>1</w:t>
            </w:r>
            <w:r>
              <w:rPr>
                <w:rFonts w:hint="eastAsia" w:ascii="宋体" w:hAnsi="宋体" w:eastAsia="宋体" w:cs="宋体"/>
                <w:b/>
                <w:color w:val="000000" w:themeColor="text1"/>
                <w:sz w:val="24"/>
                <w14:textFill>
                  <w14:solidFill>
                    <w14:schemeClr w14:val="tx1"/>
                  </w14:solidFill>
                </w14:textFill>
              </w:rPr>
              <w:t>分，每缺少1项产品扣</w:t>
            </w:r>
            <w:r>
              <w:rPr>
                <w:rFonts w:hint="eastAsia" w:ascii="宋体" w:hAnsi="宋体" w:eastAsia="宋体" w:cs="宋体"/>
                <w:b/>
                <w:color w:val="000000" w:themeColor="text1"/>
                <w:sz w:val="24"/>
                <w:lang w:val="en-US" w:eastAsia="zh-CN"/>
                <w14:textFill>
                  <w14:solidFill>
                    <w14:schemeClr w14:val="tx1"/>
                  </w14:solidFill>
                </w14:textFill>
              </w:rPr>
              <w:t>1</w:t>
            </w:r>
            <w:r>
              <w:rPr>
                <w:rFonts w:hint="eastAsia" w:ascii="宋体" w:hAnsi="宋体" w:eastAsia="宋体" w:cs="宋体"/>
                <w:b/>
                <w:color w:val="000000" w:themeColor="text1"/>
                <w:sz w:val="24"/>
                <w14:textFill>
                  <w14:solidFill>
                    <w14:schemeClr w14:val="tx1"/>
                  </w14:solidFill>
                </w14:textFill>
              </w:rPr>
              <w:t>分，最低得0分。</w:t>
            </w:r>
          </w:p>
        </w:tc>
        <w:tc>
          <w:tcPr>
            <w:tcW w:w="363" w:type="pct"/>
            <w:noWrap w:val="0"/>
            <w:vAlign w:val="center"/>
          </w:tcPr>
          <w:p w14:paraId="4D7DD969">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721" w:type="pct"/>
            <w:vMerge w:val="continue"/>
            <w:noWrap w:val="0"/>
            <w:vAlign w:val="center"/>
          </w:tcPr>
          <w:p w14:paraId="38DEE403">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p>
        </w:tc>
      </w:tr>
      <w:tr w14:paraId="47E3E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 w:type="pct"/>
            <w:vMerge w:val="restart"/>
            <w:noWrap w:val="0"/>
            <w:vAlign w:val="center"/>
          </w:tcPr>
          <w:p w14:paraId="23AB4ADD">
            <w:pPr>
              <w:pStyle w:val="782"/>
              <w:widowControl w:val="0"/>
              <w:numPr>
                <w:ilvl w:val="0"/>
                <w:numId w:val="11"/>
              </w:numPr>
              <w:spacing w:line="460" w:lineRule="exact"/>
              <w:ind w:left="425" w:leftChars="0" w:hanging="425" w:firstLineChars="0"/>
              <w:jc w:val="center"/>
              <w:rPr>
                <w:rFonts w:hint="default" w:ascii="宋体" w:hAnsi="宋体" w:eastAsia="宋体" w:cs="宋体"/>
                <w:i w:val="0"/>
                <w:iCs w:val="0"/>
                <w:color w:val="auto"/>
                <w:sz w:val="21"/>
                <w:szCs w:val="21"/>
                <w:highlight w:val="none"/>
                <w:shd w:val="clear" w:color="auto" w:fill="auto"/>
                <w:lang w:val="en-US" w:eastAsia="zh-CN"/>
              </w:rPr>
            </w:pPr>
          </w:p>
        </w:tc>
        <w:tc>
          <w:tcPr>
            <w:tcW w:w="3616" w:type="pct"/>
            <w:noWrap w:val="0"/>
            <w:vAlign w:val="center"/>
          </w:tcPr>
          <w:p w14:paraId="1DF36EE3">
            <w:pPr>
              <w:spacing w:line="440" w:lineRule="exact"/>
              <w:rPr>
                <w:rFonts w:hint="eastAsia" w:ascii="宋体" w:hAnsi="宋体" w:eastAsia="宋体" w:cs="宋体"/>
                <w:i w:val="0"/>
                <w:iCs w:val="0"/>
                <w:caps w:val="0"/>
                <w:snapToGrid/>
                <w:spacing w:val="0"/>
                <w:kern w:val="2"/>
                <w:sz w:val="24"/>
                <w:szCs w:val="24"/>
                <w:highlight w:val="none"/>
                <w:lang w:val="en-US" w:eastAsia="zh-CN" w:bidi="ar-SA"/>
              </w:rPr>
            </w:pPr>
            <w:r>
              <w:rPr>
                <w:rFonts w:hint="eastAsia" w:ascii="宋体" w:hAnsi="宋体" w:eastAsia="宋体" w:cs="宋体"/>
                <w:i w:val="0"/>
                <w:iCs w:val="0"/>
                <w:caps w:val="0"/>
                <w:snapToGrid/>
                <w:spacing w:val="0"/>
                <w:kern w:val="2"/>
                <w:sz w:val="24"/>
                <w:szCs w:val="24"/>
                <w:highlight w:val="none"/>
                <w:lang w:val="en-US" w:eastAsia="zh-CN" w:bidi="ar-SA"/>
              </w:rPr>
              <w:t>总体施工部署、工期保证措施、质量保证措施，施工时间进度、运输计划安排、现场安装管理计划是否全面、科学、合理，方案完整、合理、可行得3分；方案较完整、合理、可行得2分；方案有欠缺得1分，不提供不得分。</w:t>
            </w:r>
          </w:p>
        </w:tc>
        <w:tc>
          <w:tcPr>
            <w:tcW w:w="363" w:type="pct"/>
            <w:noWrap w:val="0"/>
            <w:vAlign w:val="center"/>
          </w:tcPr>
          <w:p w14:paraId="5EFCFFAB">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3</w:t>
            </w:r>
          </w:p>
        </w:tc>
        <w:tc>
          <w:tcPr>
            <w:tcW w:w="721" w:type="pct"/>
            <w:vMerge w:val="restart"/>
            <w:noWrap w:val="0"/>
            <w:vAlign w:val="center"/>
          </w:tcPr>
          <w:p w14:paraId="1CCA70DD">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color w:val="auto"/>
                <w:sz w:val="21"/>
                <w:szCs w:val="21"/>
                <w:highlight w:val="none"/>
                <w:shd w:val="clear" w:color="auto" w:fill="auto"/>
              </w:rPr>
              <w:t>生产、安装调试等方案</w:t>
            </w:r>
          </w:p>
        </w:tc>
      </w:tr>
      <w:tr w14:paraId="1E92E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 w:type="pct"/>
            <w:vMerge w:val="continue"/>
            <w:noWrap w:val="0"/>
            <w:vAlign w:val="center"/>
          </w:tcPr>
          <w:p w14:paraId="31A80C70">
            <w:pPr>
              <w:pStyle w:val="782"/>
              <w:widowControl w:val="0"/>
              <w:spacing w:line="460" w:lineRule="exact"/>
              <w:ind w:left="425" w:leftChars="0" w:hanging="425" w:firstLineChars="0"/>
              <w:jc w:val="center"/>
              <w:rPr>
                <w:rFonts w:hint="default" w:ascii="宋体" w:hAnsi="宋体" w:eastAsia="宋体" w:cs="宋体"/>
                <w:i w:val="0"/>
                <w:iCs w:val="0"/>
                <w:color w:val="auto"/>
                <w:sz w:val="21"/>
                <w:szCs w:val="21"/>
                <w:highlight w:val="none"/>
                <w:shd w:val="clear" w:color="auto" w:fill="auto"/>
                <w:lang w:val="en-US" w:eastAsia="zh-CN"/>
              </w:rPr>
            </w:pPr>
          </w:p>
        </w:tc>
        <w:tc>
          <w:tcPr>
            <w:tcW w:w="3616" w:type="pct"/>
            <w:noWrap w:val="0"/>
            <w:vAlign w:val="center"/>
          </w:tcPr>
          <w:p w14:paraId="543D6DDA">
            <w:pPr>
              <w:spacing w:line="440" w:lineRule="exact"/>
              <w:rPr>
                <w:rFonts w:hint="eastAsia" w:ascii="宋体" w:hAnsi="宋体" w:eastAsia="宋体" w:cs="宋体"/>
                <w:i w:val="0"/>
                <w:iCs w:val="0"/>
                <w:caps w:val="0"/>
                <w:snapToGrid/>
                <w:spacing w:val="0"/>
                <w:kern w:val="2"/>
                <w:sz w:val="24"/>
                <w:szCs w:val="24"/>
                <w:highlight w:val="none"/>
                <w:lang w:val="en-US" w:eastAsia="zh-CN" w:bidi="ar-SA"/>
              </w:rPr>
            </w:pPr>
            <w:r>
              <w:rPr>
                <w:rFonts w:hint="eastAsia" w:ascii="宋体" w:hAnsi="宋体" w:eastAsia="宋体" w:cs="宋体"/>
                <w:i w:val="0"/>
                <w:iCs w:val="0"/>
                <w:caps w:val="0"/>
                <w:snapToGrid/>
                <w:spacing w:val="0"/>
                <w:kern w:val="2"/>
                <w:sz w:val="24"/>
                <w:szCs w:val="24"/>
                <w:highlight w:val="none"/>
                <w:lang w:val="en-US" w:eastAsia="zh-CN" w:bidi="ar-SA"/>
              </w:rPr>
              <w:t>设备进场前准备措施充分；产品进场后对突发状况考虑全面方案具体、详细、可行。满足得2分，部分满足得1分，不满足得0分。</w:t>
            </w:r>
          </w:p>
        </w:tc>
        <w:tc>
          <w:tcPr>
            <w:tcW w:w="363" w:type="pct"/>
            <w:noWrap w:val="0"/>
            <w:vAlign w:val="center"/>
          </w:tcPr>
          <w:p w14:paraId="4374CDA9">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2</w:t>
            </w:r>
          </w:p>
        </w:tc>
        <w:tc>
          <w:tcPr>
            <w:tcW w:w="721" w:type="pct"/>
            <w:vMerge w:val="continue"/>
            <w:noWrap w:val="0"/>
            <w:vAlign w:val="center"/>
          </w:tcPr>
          <w:p w14:paraId="5AD0CE79">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p>
        </w:tc>
      </w:tr>
      <w:tr w14:paraId="65DB3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center"/>
          </w:tcPr>
          <w:p w14:paraId="2322CF13">
            <w:pPr>
              <w:pStyle w:val="782"/>
              <w:widowControl w:val="0"/>
              <w:numPr>
                <w:ilvl w:val="0"/>
                <w:numId w:val="11"/>
              </w:numPr>
              <w:spacing w:line="460" w:lineRule="exact"/>
              <w:ind w:left="425" w:leftChars="0" w:hanging="425" w:firstLineChars="0"/>
              <w:jc w:val="center"/>
              <w:rPr>
                <w:rFonts w:hint="default" w:ascii="宋体" w:hAnsi="宋体" w:eastAsia="宋体" w:cs="宋体"/>
                <w:i w:val="0"/>
                <w:iCs w:val="0"/>
                <w:color w:val="auto"/>
                <w:sz w:val="21"/>
                <w:szCs w:val="21"/>
                <w:highlight w:val="none"/>
                <w:shd w:val="clear" w:color="auto" w:fill="auto"/>
                <w:lang w:val="en-US" w:eastAsia="zh-CN"/>
              </w:rPr>
            </w:pPr>
          </w:p>
        </w:tc>
        <w:tc>
          <w:tcPr>
            <w:tcW w:w="3616" w:type="pct"/>
            <w:noWrap w:val="0"/>
            <w:vAlign w:val="center"/>
          </w:tcPr>
          <w:p w14:paraId="20170021">
            <w:pPr>
              <w:spacing w:line="440" w:lineRule="exact"/>
              <w:rPr>
                <w:rFonts w:hint="eastAsia" w:ascii="宋体" w:hAnsi="宋体" w:eastAsia="宋体" w:cs="宋体"/>
                <w:i w:val="0"/>
                <w:iCs w:val="0"/>
                <w:caps w:val="0"/>
                <w:snapToGrid/>
                <w:spacing w:val="0"/>
                <w:kern w:val="2"/>
                <w:sz w:val="24"/>
                <w:szCs w:val="24"/>
                <w:highlight w:val="none"/>
                <w:lang w:val="en-US" w:eastAsia="zh-CN" w:bidi="ar-SA"/>
              </w:rPr>
            </w:pPr>
            <w:r>
              <w:rPr>
                <w:rFonts w:hint="eastAsia" w:ascii="宋体" w:hAnsi="宋体" w:eastAsia="宋体" w:cs="宋体"/>
                <w:i w:val="0"/>
                <w:iCs w:val="0"/>
                <w:caps w:val="0"/>
                <w:snapToGrid/>
                <w:spacing w:val="0"/>
                <w:kern w:val="2"/>
                <w:sz w:val="24"/>
                <w:szCs w:val="24"/>
                <w:highlight w:val="none"/>
                <w:lang w:val="en-US" w:eastAsia="zh-CN" w:bidi="ar-SA"/>
              </w:rPr>
              <w:t>项目组成员经验丰富、结构合理，提供项目组人员稳定性承诺，有利于项目实施，提供相关证明材料。方案完整、合理、可行得</w:t>
            </w:r>
            <w:r>
              <w:rPr>
                <w:rFonts w:hint="eastAsia" w:ascii="宋体" w:hAnsi="宋体" w:cs="宋体"/>
                <w:i w:val="0"/>
                <w:iCs w:val="0"/>
                <w:caps w:val="0"/>
                <w:snapToGrid/>
                <w:spacing w:val="0"/>
                <w:kern w:val="2"/>
                <w:sz w:val="24"/>
                <w:szCs w:val="24"/>
                <w:highlight w:val="none"/>
                <w:lang w:val="en-US" w:eastAsia="zh-CN" w:bidi="ar-SA"/>
              </w:rPr>
              <w:t>3</w:t>
            </w:r>
            <w:r>
              <w:rPr>
                <w:rFonts w:hint="eastAsia" w:ascii="宋体" w:hAnsi="宋体" w:eastAsia="宋体" w:cs="宋体"/>
                <w:i w:val="0"/>
                <w:iCs w:val="0"/>
                <w:caps w:val="0"/>
                <w:snapToGrid/>
                <w:spacing w:val="0"/>
                <w:kern w:val="2"/>
                <w:sz w:val="24"/>
                <w:szCs w:val="24"/>
                <w:highlight w:val="none"/>
                <w:lang w:val="en-US" w:eastAsia="zh-CN" w:bidi="ar-SA"/>
              </w:rPr>
              <w:t>分；方案较完整、合理、可行得1</w:t>
            </w:r>
            <w:r>
              <w:rPr>
                <w:rFonts w:hint="eastAsia" w:ascii="宋体" w:hAnsi="宋体" w:cs="宋体"/>
                <w:i w:val="0"/>
                <w:iCs w:val="0"/>
                <w:caps w:val="0"/>
                <w:snapToGrid/>
                <w:spacing w:val="0"/>
                <w:kern w:val="2"/>
                <w:sz w:val="24"/>
                <w:szCs w:val="24"/>
                <w:highlight w:val="none"/>
                <w:lang w:val="en-US" w:eastAsia="zh-CN" w:bidi="ar-SA"/>
              </w:rPr>
              <w:t>.5</w:t>
            </w:r>
            <w:r>
              <w:rPr>
                <w:rFonts w:hint="eastAsia" w:ascii="宋体" w:hAnsi="宋体" w:eastAsia="宋体" w:cs="宋体"/>
                <w:i w:val="0"/>
                <w:iCs w:val="0"/>
                <w:caps w:val="0"/>
                <w:snapToGrid/>
                <w:spacing w:val="0"/>
                <w:kern w:val="2"/>
                <w:sz w:val="24"/>
                <w:szCs w:val="24"/>
                <w:highlight w:val="none"/>
                <w:lang w:val="en-US" w:eastAsia="zh-CN" w:bidi="ar-SA"/>
              </w:rPr>
              <w:t>分；不提供不得分。</w:t>
            </w:r>
          </w:p>
        </w:tc>
        <w:tc>
          <w:tcPr>
            <w:tcW w:w="363" w:type="pct"/>
            <w:noWrap w:val="0"/>
            <w:vAlign w:val="center"/>
          </w:tcPr>
          <w:p w14:paraId="6302AEBC">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3</w:t>
            </w:r>
          </w:p>
        </w:tc>
        <w:tc>
          <w:tcPr>
            <w:tcW w:w="721" w:type="pct"/>
            <w:noWrap w:val="0"/>
            <w:vAlign w:val="center"/>
          </w:tcPr>
          <w:p w14:paraId="0CAD7215">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color w:val="auto"/>
                <w:sz w:val="21"/>
                <w:szCs w:val="21"/>
                <w:highlight w:val="none"/>
                <w:shd w:val="clear" w:color="auto" w:fill="auto"/>
              </w:rPr>
              <w:t>项目组人员情况</w:t>
            </w:r>
          </w:p>
        </w:tc>
      </w:tr>
      <w:tr w14:paraId="60BEF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center"/>
          </w:tcPr>
          <w:p w14:paraId="49742D67">
            <w:pPr>
              <w:pStyle w:val="782"/>
              <w:widowControl w:val="0"/>
              <w:numPr>
                <w:ilvl w:val="0"/>
                <w:numId w:val="11"/>
              </w:numPr>
              <w:spacing w:line="460" w:lineRule="exact"/>
              <w:ind w:left="425" w:leftChars="0" w:hanging="425" w:firstLineChars="0"/>
              <w:jc w:val="center"/>
              <w:rPr>
                <w:rFonts w:hint="default" w:ascii="宋体" w:hAnsi="宋体" w:eastAsia="宋体" w:cs="宋体"/>
                <w:i w:val="0"/>
                <w:iCs w:val="0"/>
                <w:color w:val="auto"/>
                <w:sz w:val="21"/>
                <w:szCs w:val="21"/>
                <w:highlight w:val="none"/>
                <w:shd w:val="clear" w:color="auto" w:fill="auto"/>
                <w:lang w:val="en-US" w:eastAsia="zh-CN"/>
              </w:rPr>
            </w:pPr>
          </w:p>
        </w:tc>
        <w:tc>
          <w:tcPr>
            <w:tcW w:w="3616" w:type="pct"/>
            <w:noWrap w:val="0"/>
            <w:vAlign w:val="center"/>
          </w:tcPr>
          <w:p w14:paraId="2C326C81">
            <w:pPr>
              <w:spacing w:line="440" w:lineRule="exact"/>
              <w:rPr>
                <w:rFonts w:hint="eastAsia" w:ascii="宋体" w:hAnsi="宋体" w:eastAsia="宋体" w:cs="宋体"/>
                <w:i w:val="0"/>
                <w:iCs w:val="0"/>
                <w:caps w:val="0"/>
                <w:snapToGrid/>
                <w:spacing w:val="0"/>
                <w:kern w:val="2"/>
                <w:sz w:val="24"/>
                <w:szCs w:val="24"/>
                <w:highlight w:val="none"/>
                <w:lang w:val="en-US" w:eastAsia="zh-CN" w:bidi="ar-SA"/>
              </w:rPr>
            </w:pPr>
            <w:r>
              <w:rPr>
                <w:rFonts w:hint="eastAsia" w:ascii="宋体" w:hAnsi="宋体" w:eastAsia="宋体" w:cs="宋体"/>
                <w:i w:val="0"/>
                <w:iCs w:val="0"/>
                <w:caps w:val="0"/>
                <w:snapToGrid/>
                <w:spacing w:val="0"/>
                <w:kern w:val="2"/>
                <w:sz w:val="24"/>
                <w:szCs w:val="24"/>
                <w:highlight w:val="none"/>
                <w:lang w:val="en-US" w:eastAsia="zh-CN" w:bidi="ar-SA"/>
              </w:rPr>
              <w:t>充分考虑学生这个特殊群体，有完整、合理、可行的产品安全保证体系，提供相关安全保证方案。满足得2分，部分满足得1分，不满足得0分。</w:t>
            </w:r>
          </w:p>
        </w:tc>
        <w:tc>
          <w:tcPr>
            <w:tcW w:w="363" w:type="pct"/>
            <w:noWrap w:val="0"/>
            <w:vAlign w:val="center"/>
          </w:tcPr>
          <w:p w14:paraId="69C1F9E0">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rPr>
              <w:t>2</w:t>
            </w:r>
          </w:p>
        </w:tc>
        <w:tc>
          <w:tcPr>
            <w:tcW w:w="721" w:type="pct"/>
            <w:noWrap w:val="0"/>
            <w:vAlign w:val="center"/>
          </w:tcPr>
          <w:p w14:paraId="022DE429">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color w:val="auto"/>
                <w:kern w:val="0"/>
                <w:sz w:val="21"/>
                <w:szCs w:val="21"/>
                <w:highlight w:val="none"/>
                <w:shd w:val="clear" w:color="auto" w:fill="auto"/>
                <w:lang w:eastAsia="zh-CN"/>
              </w:rPr>
              <w:t>产品</w:t>
            </w:r>
            <w:r>
              <w:rPr>
                <w:rFonts w:hint="eastAsia" w:ascii="宋体" w:hAnsi="宋体" w:eastAsia="宋体" w:cs="宋体"/>
                <w:color w:val="auto"/>
                <w:kern w:val="0"/>
                <w:sz w:val="21"/>
                <w:szCs w:val="21"/>
                <w:highlight w:val="none"/>
                <w:shd w:val="clear" w:color="auto" w:fill="auto"/>
              </w:rPr>
              <w:t>安全保证体系</w:t>
            </w:r>
          </w:p>
        </w:tc>
      </w:tr>
      <w:tr w14:paraId="6D4862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center"/>
          </w:tcPr>
          <w:p w14:paraId="32CED359">
            <w:pPr>
              <w:pStyle w:val="782"/>
              <w:widowControl w:val="0"/>
              <w:numPr>
                <w:ilvl w:val="0"/>
                <w:numId w:val="11"/>
              </w:numPr>
              <w:spacing w:line="460" w:lineRule="exact"/>
              <w:ind w:left="425" w:leftChars="0" w:hanging="425" w:firstLineChars="0"/>
              <w:jc w:val="center"/>
              <w:rPr>
                <w:rFonts w:hint="default" w:ascii="宋体" w:hAnsi="宋体" w:eastAsia="宋体" w:cs="宋体"/>
                <w:i w:val="0"/>
                <w:iCs w:val="0"/>
                <w:color w:val="auto"/>
                <w:sz w:val="21"/>
                <w:szCs w:val="21"/>
                <w:highlight w:val="none"/>
                <w:shd w:val="clear" w:color="auto" w:fill="auto"/>
                <w:lang w:val="en-US" w:eastAsia="zh-CN"/>
              </w:rPr>
            </w:pPr>
          </w:p>
        </w:tc>
        <w:tc>
          <w:tcPr>
            <w:tcW w:w="3616" w:type="pct"/>
            <w:noWrap w:val="0"/>
            <w:vAlign w:val="center"/>
          </w:tcPr>
          <w:p w14:paraId="6BC19D50">
            <w:pPr>
              <w:spacing w:line="440" w:lineRule="exact"/>
              <w:rPr>
                <w:rFonts w:hint="eastAsia" w:ascii="宋体" w:hAnsi="宋体" w:eastAsia="宋体" w:cs="宋体"/>
                <w:i w:val="0"/>
                <w:iCs w:val="0"/>
                <w:caps w:val="0"/>
                <w:snapToGrid/>
                <w:spacing w:val="0"/>
                <w:kern w:val="2"/>
                <w:sz w:val="24"/>
                <w:szCs w:val="24"/>
                <w:highlight w:val="none"/>
                <w:lang w:val="en-US" w:eastAsia="zh-CN" w:bidi="ar-SA"/>
              </w:rPr>
            </w:pPr>
            <w:r>
              <w:rPr>
                <w:rFonts w:hint="eastAsia" w:ascii="宋体" w:hAnsi="宋体" w:eastAsia="宋体" w:cs="宋体"/>
                <w:i w:val="0"/>
                <w:iCs w:val="0"/>
                <w:caps w:val="0"/>
                <w:snapToGrid/>
                <w:spacing w:val="0"/>
                <w:kern w:val="2"/>
                <w:sz w:val="24"/>
                <w:szCs w:val="24"/>
                <w:highlight w:val="none"/>
                <w:lang w:val="en-US" w:eastAsia="zh-CN" w:bidi="ar-SA"/>
              </w:rPr>
              <w:t>提供常用备品附件，备品附件齐全满足日常使用需要。备品备件完整得2分，较完整得1分，不满足不得分。</w:t>
            </w:r>
          </w:p>
        </w:tc>
        <w:tc>
          <w:tcPr>
            <w:tcW w:w="363" w:type="pct"/>
            <w:noWrap w:val="0"/>
            <w:vAlign w:val="center"/>
          </w:tcPr>
          <w:p w14:paraId="4446E5B7">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2</w:t>
            </w:r>
          </w:p>
        </w:tc>
        <w:tc>
          <w:tcPr>
            <w:tcW w:w="721" w:type="pct"/>
            <w:noWrap w:val="0"/>
            <w:vAlign w:val="center"/>
          </w:tcPr>
          <w:p w14:paraId="0EF8AD57">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color w:val="auto"/>
                <w:sz w:val="21"/>
                <w:szCs w:val="21"/>
                <w:highlight w:val="none"/>
                <w:shd w:val="clear" w:color="auto" w:fill="auto"/>
              </w:rPr>
              <w:t>备品配件情况</w:t>
            </w:r>
          </w:p>
        </w:tc>
      </w:tr>
      <w:tr w14:paraId="09325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center"/>
          </w:tcPr>
          <w:p w14:paraId="0B0BFB46">
            <w:pPr>
              <w:pStyle w:val="782"/>
              <w:widowControl w:val="0"/>
              <w:numPr>
                <w:ilvl w:val="0"/>
                <w:numId w:val="11"/>
              </w:numPr>
              <w:spacing w:line="460" w:lineRule="exact"/>
              <w:ind w:left="425" w:leftChars="0" w:hanging="425" w:firstLineChars="0"/>
              <w:jc w:val="center"/>
              <w:rPr>
                <w:rFonts w:hint="default" w:ascii="宋体" w:hAnsi="宋体" w:eastAsia="宋体" w:cs="宋体"/>
                <w:i w:val="0"/>
                <w:iCs w:val="0"/>
                <w:color w:val="auto"/>
                <w:sz w:val="21"/>
                <w:szCs w:val="21"/>
                <w:highlight w:val="none"/>
                <w:shd w:val="clear" w:color="auto" w:fill="auto"/>
                <w:lang w:val="en-US" w:eastAsia="zh-CN"/>
              </w:rPr>
            </w:pPr>
          </w:p>
        </w:tc>
        <w:tc>
          <w:tcPr>
            <w:tcW w:w="3616" w:type="pct"/>
            <w:noWrap w:val="0"/>
            <w:vAlign w:val="center"/>
          </w:tcPr>
          <w:p w14:paraId="253C394C">
            <w:pPr>
              <w:spacing w:line="440" w:lineRule="exact"/>
              <w:rPr>
                <w:rFonts w:hint="eastAsia" w:ascii="宋体" w:hAnsi="宋体" w:eastAsia="宋体" w:cs="宋体"/>
                <w:i w:val="0"/>
                <w:iCs w:val="0"/>
                <w:caps w:val="0"/>
                <w:snapToGrid/>
                <w:spacing w:val="0"/>
                <w:kern w:val="2"/>
                <w:sz w:val="24"/>
                <w:szCs w:val="24"/>
                <w:highlight w:val="none"/>
                <w:lang w:val="en-US" w:eastAsia="zh-CN" w:bidi="ar-SA"/>
              </w:rPr>
            </w:pPr>
            <w:r>
              <w:rPr>
                <w:rFonts w:hint="eastAsia" w:ascii="宋体" w:hAnsi="宋体" w:eastAsia="宋体" w:cs="宋体"/>
                <w:i w:val="0"/>
                <w:iCs w:val="0"/>
                <w:caps w:val="0"/>
                <w:snapToGrid/>
                <w:spacing w:val="0"/>
                <w:kern w:val="2"/>
                <w:sz w:val="24"/>
                <w:szCs w:val="24"/>
                <w:highlight w:val="none"/>
                <w:lang w:val="en-US" w:eastAsia="zh-CN" w:bidi="ar-SA"/>
              </w:rPr>
              <w:t>售后人员配置充足合理、响应时间快速有效，维护方案全面、合理、可行；服务承诺具有可行性、完整性，服务承诺落实具有完善的保障措施。满足得3分，部分满足得1</w:t>
            </w:r>
            <w:r>
              <w:rPr>
                <w:rFonts w:hint="eastAsia" w:ascii="宋体" w:hAnsi="宋体" w:cs="宋体"/>
                <w:i w:val="0"/>
                <w:iCs w:val="0"/>
                <w:caps w:val="0"/>
                <w:snapToGrid/>
                <w:spacing w:val="0"/>
                <w:kern w:val="2"/>
                <w:sz w:val="24"/>
                <w:szCs w:val="24"/>
                <w:highlight w:val="none"/>
                <w:lang w:val="en-US" w:eastAsia="zh-CN" w:bidi="ar-SA"/>
              </w:rPr>
              <w:t>.5</w:t>
            </w:r>
            <w:r>
              <w:rPr>
                <w:rFonts w:hint="eastAsia" w:ascii="宋体" w:hAnsi="宋体" w:eastAsia="宋体" w:cs="宋体"/>
                <w:i w:val="0"/>
                <w:iCs w:val="0"/>
                <w:caps w:val="0"/>
                <w:snapToGrid/>
                <w:spacing w:val="0"/>
                <w:kern w:val="2"/>
                <w:sz w:val="24"/>
                <w:szCs w:val="24"/>
                <w:highlight w:val="none"/>
                <w:lang w:val="en-US" w:eastAsia="zh-CN" w:bidi="ar-SA"/>
              </w:rPr>
              <w:t>分，不满足得0分。</w:t>
            </w:r>
          </w:p>
        </w:tc>
        <w:tc>
          <w:tcPr>
            <w:tcW w:w="363" w:type="pct"/>
            <w:noWrap w:val="0"/>
            <w:vAlign w:val="center"/>
          </w:tcPr>
          <w:p w14:paraId="0C1322C4">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3</w:t>
            </w:r>
          </w:p>
        </w:tc>
        <w:tc>
          <w:tcPr>
            <w:tcW w:w="721" w:type="pct"/>
            <w:noWrap w:val="0"/>
            <w:vAlign w:val="center"/>
          </w:tcPr>
          <w:p w14:paraId="08C589EA">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color w:val="auto"/>
                <w:sz w:val="21"/>
                <w:szCs w:val="21"/>
                <w:highlight w:val="none"/>
                <w:shd w:val="clear" w:color="auto" w:fill="auto"/>
              </w:rPr>
              <w:t>售后服务</w:t>
            </w:r>
          </w:p>
        </w:tc>
      </w:tr>
      <w:tr w14:paraId="2FD3C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center"/>
          </w:tcPr>
          <w:p w14:paraId="4EBE6E48">
            <w:pPr>
              <w:pStyle w:val="782"/>
              <w:widowControl w:val="0"/>
              <w:numPr>
                <w:ilvl w:val="0"/>
                <w:numId w:val="11"/>
              </w:numPr>
              <w:spacing w:line="460" w:lineRule="exact"/>
              <w:ind w:left="425" w:leftChars="0" w:hanging="425" w:firstLineChars="0"/>
              <w:jc w:val="center"/>
              <w:rPr>
                <w:rFonts w:hint="default" w:ascii="宋体" w:hAnsi="宋体" w:eastAsia="宋体" w:cs="宋体"/>
                <w:i w:val="0"/>
                <w:iCs w:val="0"/>
                <w:color w:val="auto"/>
                <w:sz w:val="21"/>
                <w:szCs w:val="21"/>
                <w:highlight w:val="none"/>
                <w:shd w:val="clear" w:color="auto" w:fill="auto"/>
                <w:lang w:val="en-US" w:eastAsia="zh-CN"/>
              </w:rPr>
            </w:pPr>
          </w:p>
        </w:tc>
        <w:tc>
          <w:tcPr>
            <w:tcW w:w="3616" w:type="pct"/>
            <w:noWrap w:val="0"/>
            <w:vAlign w:val="center"/>
          </w:tcPr>
          <w:p w14:paraId="42F52190">
            <w:pPr>
              <w:spacing w:line="440" w:lineRule="exact"/>
              <w:rPr>
                <w:rFonts w:hint="eastAsia" w:ascii="宋体" w:hAnsi="宋体" w:eastAsia="宋体" w:cs="宋体"/>
                <w:i w:val="0"/>
                <w:iCs w:val="0"/>
                <w:caps w:val="0"/>
                <w:snapToGrid/>
                <w:spacing w:val="0"/>
                <w:kern w:val="2"/>
                <w:sz w:val="24"/>
                <w:szCs w:val="24"/>
                <w:highlight w:val="none"/>
                <w:lang w:val="en-US" w:eastAsia="zh-CN" w:bidi="ar-SA"/>
              </w:rPr>
            </w:pPr>
            <w:r>
              <w:rPr>
                <w:rFonts w:hint="eastAsia" w:ascii="宋体" w:hAnsi="宋体" w:eastAsia="宋体" w:cs="宋体"/>
                <w:i w:val="0"/>
                <w:iCs w:val="0"/>
                <w:caps w:val="0"/>
                <w:snapToGrid/>
                <w:spacing w:val="0"/>
                <w:kern w:val="2"/>
                <w:sz w:val="24"/>
                <w:szCs w:val="24"/>
                <w:highlight w:val="none"/>
                <w:lang w:val="en-US" w:eastAsia="zh-CN" w:bidi="ar-SA"/>
              </w:rPr>
              <w:t>技术培训方案评价</w:t>
            </w:r>
            <w:bookmarkStart w:id="399" w:name="_Hlk136458523"/>
            <w:r>
              <w:rPr>
                <w:rFonts w:hint="eastAsia" w:ascii="宋体" w:hAnsi="宋体" w:eastAsia="宋体" w:cs="宋体"/>
                <w:i w:val="0"/>
                <w:iCs w:val="0"/>
                <w:caps w:val="0"/>
                <w:snapToGrid/>
                <w:spacing w:val="0"/>
                <w:kern w:val="2"/>
                <w:sz w:val="24"/>
                <w:szCs w:val="24"/>
                <w:highlight w:val="none"/>
                <w:lang w:val="en-US" w:eastAsia="zh-CN" w:bidi="ar-SA"/>
              </w:rPr>
              <w:t>：本项目要求投标人在投标时根据自身所投产品的技术特点，结合采购需求和采购人实际情况，提供完整、具体、明确、合理及有效的技术培训方案，包括培训对象、培训形式、培训时长、培训内容、培训目标等。</w:t>
            </w:r>
            <w:bookmarkEnd w:id="399"/>
          </w:p>
          <w:p w14:paraId="0F7F832C">
            <w:pPr>
              <w:spacing w:line="440" w:lineRule="exact"/>
              <w:rPr>
                <w:rFonts w:hint="eastAsia" w:ascii="宋体" w:hAnsi="宋体" w:eastAsia="宋体" w:cs="宋体"/>
                <w:i w:val="0"/>
                <w:iCs w:val="0"/>
                <w:caps w:val="0"/>
                <w:snapToGrid/>
                <w:spacing w:val="0"/>
                <w:kern w:val="2"/>
                <w:sz w:val="24"/>
                <w:szCs w:val="24"/>
                <w:highlight w:val="none"/>
                <w:lang w:val="en-US" w:eastAsia="zh-CN" w:bidi="ar-SA"/>
              </w:rPr>
            </w:pPr>
            <w:r>
              <w:rPr>
                <w:rFonts w:hint="eastAsia" w:ascii="宋体" w:hAnsi="宋体" w:eastAsia="宋体" w:cs="宋体"/>
                <w:i w:val="0"/>
                <w:iCs w:val="0"/>
                <w:caps w:val="0"/>
                <w:snapToGrid/>
                <w:spacing w:val="0"/>
                <w:kern w:val="2"/>
                <w:sz w:val="24"/>
                <w:szCs w:val="24"/>
                <w:highlight w:val="none"/>
                <w:lang w:val="en-US" w:eastAsia="zh-CN" w:bidi="ar-SA"/>
              </w:rPr>
              <w:t>满足得</w:t>
            </w:r>
            <w:r>
              <w:rPr>
                <w:rFonts w:hint="eastAsia" w:ascii="宋体" w:hAnsi="宋体" w:cs="宋体"/>
                <w:i w:val="0"/>
                <w:iCs w:val="0"/>
                <w:caps w:val="0"/>
                <w:snapToGrid/>
                <w:spacing w:val="0"/>
                <w:kern w:val="2"/>
                <w:sz w:val="24"/>
                <w:szCs w:val="24"/>
                <w:highlight w:val="none"/>
                <w:lang w:val="en-US" w:eastAsia="zh-CN" w:bidi="ar-SA"/>
              </w:rPr>
              <w:t>2</w:t>
            </w:r>
            <w:r>
              <w:rPr>
                <w:rFonts w:hint="eastAsia" w:ascii="宋体" w:hAnsi="宋体" w:eastAsia="宋体" w:cs="宋体"/>
                <w:i w:val="0"/>
                <w:iCs w:val="0"/>
                <w:caps w:val="0"/>
                <w:snapToGrid/>
                <w:spacing w:val="0"/>
                <w:kern w:val="2"/>
                <w:sz w:val="24"/>
                <w:szCs w:val="24"/>
                <w:highlight w:val="none"/>
                <w:lang w:val="en-US" w:eastAsia="zh-CN" w:bidi="ar-SA"/>
              </w:rPr>
              <w:t>分，部分满足得1分，不满足得0分。</w:t>
            </w:r>
          </w:p>
        </w:tc>
        <w:tc>
          <w:tcPr>
            <w:tcW w:w="363" w:type="pct"/>
            <w:noWrap w:val="0"/>
            <w:vAlign w:val="center"/>
          </w:tcPr>
          <w:p w14:paraId="477FE6F1">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721" w:type="pct"/>
            <w:noWrap w:val="0"/>
            <w:vAlign w:val="center"/>
          </w:tcPr>
          <w:p w14:paraId="1A69E045">
            <w:pPr>
              <w:pStyle w:val="782"/>
              <w:widowControl w:val="0"/>
              <w:spacing w:line="460" w:lineRule="exact"/>
              <w:jc w:val="center"/>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技术培训</w:t>
            </w:r>
          </w:p>
        </w:tc>
      </w:tr>
      <w:tr w14:paraId="2A235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center"/>
          </w:tcPr>
          <w:p w14:paraId="066B95EE">
            <w:pPr>
              <w:pStyle w:val="782"/>
              <w:widowControl w:val="0"/>
              <w:numPr>
                <w:ilvl w:val="0"/>
                <w:numId w:val="11"/>
              </w:numPr>
              <w:spacing w:line="460" w:lineRule="exact"/>
              <w:ind w:left="425" w:leftChars="0" w:hanging="425" w:firstLineChars="0"/>
              <w:jc w:val="center"/>
              <w:rPr>
                <w:rFonts w:hint="default" w:ascii="宋体" w:hAnsi="宋体" w:eastAsia="宋体" w:cs="宋体"/>
                <w:i w:val="0"/>
                <w:iCs w:val="0"/>
                <w:color w:val="auto"/>
                <w:sz w:val="21"/>
                <w:szCs w:val="21"/>
                <w:highlight w:val="none"/>
                <w:shd w:val="clear" w:color="auto" w:fill="auto"/>
                <w:lang w:val="en-US" w:eastAsia="zh-CN"/>
              </w:rPr>
            </w:pPr>
          </w:p>
        </w:tc>
        <w:tc>
          <w:tcPr>
            <w:tcW w:w="3616" w:type="pct"/>
            <w:noWrap w:val="0"/>
            <w:vAlign w:val="center"/>
          </w:tcPr>
          <w:p w14:paraId="2436B0AC">
            <w:pPr>
              <w:spacing w:line="440" w:lineRule="exac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aps w:val="0"/>
                <w:snapToGrid/>
                <w:spacing w:val="0"/>
                <w:kern w:val="2"/>
                <w:sz w:val="24"/>
                <w:szCs w:val="24"/>
                <w:highlight w:val="none"/>
                <w:lang w:val="en-US" w:eastAsia="zh-CN" w:bidi="ar-SA"/>
              </w:rPr>
              <w:t>2021年1月1日以来（以合同签订时间为准）投标人具有类似成功案例和业绩证明，提供合同证明材料，每个合同得1分，最高2分。</w:t>
            </w:r>
            <w:r>
              <w:rPr>
                <w:rFonts w:hint="eastAsia" w:ascii="宋体" w:hAnsi="宋体" w:cs="宋体"/>
                <w:i w:val="0"/>
                <w:iCs w:val="0"/>
                <w:caps w:val="0"/>
                <w:snapToGrid/>
                <w:spacing w:val="0"/>
                <w:kern w:val="2"/>
                <w:sz w:val="24"/>
                <w:szCs w:val="24"/>
                <w:highlight w:val="none"/>
                <w:lang w:val="en-US" w:eastAsia="zh-CN" w:bidi="ar-SA"/>
              </w:rPr>
              <w:t>（</w:t>
            </w:r>
            <w:r>
              <w:rPr>
                <w:rFonts w:hint="eastAsia" w:ascii="宋体" w:hAnsi="宋体" w:eastAsia="宋体" w:cs="宋体"/>
                <w:i w:val="0"/>
                <w:iCs w:val="0"/>
                <w:caps w:val="0"/>
                <w:snapToGrid/>
                <w:spacing w:val="0"/>
                <w:kern w:val="2"/>
                <w:sz w:val="24"/>
                <w:szCs w:val="24"/>
                <w:highlight w:val="none"/>
                <w:lang w:val="en-US" w:eastAsia="zh-CN" w:bidi="ar-SA"/>
              </w:rPr>
              <w:t>提供合同复印件，需体现项目签订时间、项目名称、项目内容、项目签订双方盖章</w:t>
            </w:r>
            <w:r>
              <w:rPr>
                <w:rFonts w:hint="eastAsia" w:ascii="宋体" w:hAnsi="宋体" w:cs="宋体"/>
                <w:i w:val="0"/>
                <w:iCs w:val="0"/>
                <w:caps w:val="0"/>
                <w:snapToGrid/>
                <w:spacing w:val="0"/>
                <w:kern w:val="2"/>
                <w:sz w:val="24"/>
                <w:szCs w:val="24"/>
                <w:highlight w:val="none"/>
                <w:lang w:val="en-US" w:eastAsia="zh-CN" w:bidi="ar-SA"/>
              </w:rPr>
              <w:t>）</w:t>
            </w:r>
            <w:r>
              <w:rPr>
                <w:rFonts w:hint="eastAsia" w:ascii="宋体" w:hAnsi="宋体" w:eastAsia="宋体" w:cs="宋体"/>
                <w:i w:val="0"/>
                <w:iCs w:val="0"/>
                <w:caps w:val="0"/>
                <w:snapToGrid/>
                <w:spacing w:val="0"/>
                <w:kern w:val="2"/>
                <w:sz w:val="24"/>
                <w:szCs w:val="24"/>
                <w:highlight w:val="none"/>
                <w:lang w:val="en-US" w:eastAsia="zh-CN" w:bidi="ar-SA"/>
              </w:rPr>
              <w:t>。</w:t>
            </w:r>
          </w:p>
        </w:tc>
        <w:tc>
          <w:tcPr>
            <w:tcW w:w="363" w:type="pct"/>
            <w:noWrap w:val="0"/>
            <w:vAlign w:val="center"/>
          </w:tcPr>
          <w:p w14:paraId="2B9E5284">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2</w:t>
            </w:r>
          </w:p>
        </w:tc>
        <w:tc>
          <w:tcPr>
            <w:tcW w:w="721" w:type="pct"/>
            <w:noWrap w:val="0"/>
            <w:vAlign w:val="center"/>
          </w:tcPr>
          <w:p w14:paraId="5A3FAC47">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color w:val="auto"/>
                <w:sz w:val="21"/>
                <w:szCs w:val="21"/>
                <w:highlight w:val="none"/>
                <w:shd w:val="clear" w:color="auto" w:fill="auto"/>
              </w:rPr>
              <w:t>类似业绩</w:t>
            </w:r>
          </w:p>
        </w:tc>
      </w:tr>
      <w:tr w14:paraId="6DA97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98" w:type="pct"/>
            <w:noWrap w:val="0"/>
            <w:vAlign w:val="center"/>
          </w:tcPr>
          <w:p w14:paraId="176CA7B2">
            <w:pPr>
              <w:pStyle w:val="782"/>
              <w:widowControl w:val="0"/>
              <w:numPr>
                <w:ilvl w:val="0"/>
                <w:numId w:val="11"/>
              </w:numPr>
              <w:spacing w:line="460" w:lineRule="exact"/>
              <w:ind w:left="425" w:leftChars="0" w:hanging="425" w:firstLineChars="0"/>
              <w:jc w:val="center"/>
              <w:rPr>
                <w:rFonts w:hint="default" w:ascii="宋体" w:hAnsi="宋体" w:eastAsia="宋体" w:cs="宋体"/>
                <w:i w:val="0"/>
                <w:iCs w:val="0"/>
                <w:color w:val="auto"/>
                <w:sz w:val="21"/>
                <w:szCs w:val="21"/>
                <w:highlight w:val="none"/>
                <w:shd w:val="clear" w:color="auto" w:fill="auto"/>
                <w:lang w:val="en-US" w:eastAsia="zh-CN"/>
              </w:rPr>
            </w:pPr>
          </w:p>
        </w:tc>
        <w:tc>
          <w:tcPr>
            <w:tcW w:w="3616" w:type="pct"/>
            <w:noWrap w:val="0"/>
            <w:vAlign w:val="center"/>
          </w:tcPr>
          <w:p w14:paraId="34DD35CB">
            <w:pPr>
              <w:widowControl/>
              <w:numPr>
                <w:ilvl w:val="0"/>
                <w:numId w:val="0"/>
              </w:numPr>
              <w:spacing w:line="360" w:lineRule="auto"/>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14:textFill>
                  <w14:solidFill>
                    <w14:schemeClr w14:val="tx1"/>
                  </w14:solidFill>
                </w14:textFill>
              </w:rPr>
              <w:t>投标样品尺寸准确度评价：</w:t>
            </w:r>
            <w:r>
              <w:rPr>
                <w:rFonts w:hint="eastAsia" w:asciiTheme="minorEastAsia" w:hAnsiTheme="minorEastAsia" w:eastAsiaTheme="minorEastAsia" w:cstheme="minorEastAsia"/>
                <w:color w:val="000000" w:themeColor="text1"/>
                <w:sz w:val="24"/>
                <w14:textFill>
                  <w14:solidFill>
                    <w14:schemeClr w14:val="tx1"/>
                  </w14:solidFill>
                </w14:textFill>
              </w:rPr>
              <w:t>产品尺寸准确度是评价产品制造工艺的重要指标，</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满足①</w:t>
            </w:r>
            <w:r>
              <w:rPr>
                <w:rFonts w:hint="eastAsia" w:asciiTheme="minorEastAsia" w:hAnsiTheme="minorEastAsia" w:eastAsiaTheme="minorEastAsia" w:cstheme="minorEastAsia"/>
                <w:color w:val="000000" w:themeColor="text1"/>
                <w:sz w:val="24"/>
                <w14:textFill>
                  <w14:solidFill>
                    <w14:schemeClr w14:val="tx1"/>
                  </w14:solidFill>
                </w14:textFill>
              </w:rPr>
              <w:t>投标样品整体尺寸符合采购要求600*450*820mm±5mm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②</w:t>
            </w:r>
            <w:r>
              <w:rPr>
                <w:rFonts w:hint="eastAsia" w:ascii="宋体" w:hAnsi="宋体" w:eastAsia="宋体" w:cs="宋体"/>
                <w:i w:val="0"/>
                <w:iCs w:val="0"/>
                <w:color w:val="000000"/>
                <w:kern w:val="0"/>
                <w:sz w:val="24"/>
                <w:szCs w:val="24"/>
                <w:u w:val="none"/>
                <w:lang w:val="en-US" w:eastAsia="zh-CN" w:bidi="ar"/>
              </w:rPr>
              <w:t>水槽内径尺寸底部：346m</w:t>
            </w:r>
            <w:r>
              <w:rPr>
                <w:rFonts w:hint="eastAsia" w:ascii="宋体" w:hAnsi="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宽×436mm长</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上部：405mm宽×480mm长</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高度：360mm</w:t>
            </w:r>
            <w:r>
              <w:rPr>
                <w:rFonts w:hint="eastAsia" w:asciiTheme="minorEastAsia" w:hAnsiTheme="minorEastAsia" w:eastAsiaTheme="minorEastAsia" w:cstheme="minorEastAsia"/>
                <w:color w:val="000000" w:themeColor="text1"/>
                <w:sz w:val="24"/>
                <w14:textFill>
                  <w14:solidFill>
                    <w14:schemeClr w14:val="tx1"/>
                  </w14:solidFill>
                </w14:textFill>
              </w:rPr>
              <w:t>的得2分，否则不得分。</w:t>
            </w:r>
          </w:p>
          <w:p w14:paraId="78350CB2">
            <w:pPr>
              <w:widowControl/>
              <w:numPr>
                <w:ilvl w:val="0"/>
                <w:numId w:val="0"/>
              </w:numPr>
              <w:spacing w:line="360" w:lineRule="auto"/>
              <w:jc w:val="left"/>
              <w:rPr>
                <w:rFonts w:hint="eastAsia" w:ascii="仿宋" w:hAnsi="仿宋" w:eastAsia="仿宋" w:cs="Arial"/>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14:textFill>
                  <w14:solidFill>
                    <w14:schemeClr w14:val="tx1"/>
                  </w14:solidFill>
                </w14:textFill>
              </w:rPr>
              <w:t>投标样品功能完整性和整体稳固性评价：</w:t>
            </w:r>
            <w:r>
              <w:rPr>
                <w:rFonts w:hint="eastAsia" w:asciiTheme="minorEastAsia" w:hAnsiTheme="minorEastAsia" w:eastAsiaTheme="minorEastAsia" w:cstheme="minorEastAsia"/>
                <w:color w:val="000000" w:themeColor="text1"/>
                <w:sz w:val="24"/>
                <w14:textFill>
                  <w14:solidFill>
                    <w14:schemeClr w14:val="tx1"/>
                  </w14:solidFill>
                </w14:textFill>
              </w:rPr>
              <w:t>投标样品功能</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①具有折叠隐藏功能，②过滤功能，</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③</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具有</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自由升降</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功能，</w:t>
            </w:r>
            <w:r>
              <w:rPr>
                <w:rFonts w:hint="eastAsia" w:ascii="微软雅黑" w:hAnsi="微软雅黑" w:eastAsia="微软雅黑" w:cs="微软雅黑"/>
                <w:color w:val="000000" w:themeColor="text1"/>
                <w:sz w:val="24"/>
                <w:lang w:eastAsia="zh-CN"/>
                <w14:textFill>
                  <w14:solidFill>
                    <w14:schemeClr w14:val="tx1"/>
                  </w14:solidFill>
                </w14:textFill>
              </w:rPr>
              <w:t>④</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排水功能</w:t>
            </w:r>
            <w:r>
              <w:rPr>
                <w:rFonts w:hint="eastAsia" w:asciiTheme="minorEastAsia" w:hAnsiTheme="minorEastAsia" w:eastAsiaTheme="minorEastAsia" w:cstheme="minorEastAsia"/>
                <w:color w:val="000000" w:themeColor="text1"/>
                <w:sz w:val="24"/>
                <w14:textFill>
                  <w14:solidFill>
                    <w14:schemeClr w14:val="tx1"/>
                  </w14:solidFill>
                </w14:textFill>
              </w:rPr>
              <w:t>满足采购要求</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，⑤</w:t>
            </w:r>
            <w:r>
              <w:rPr>
                <w:rFonts w:hint="eastAsia" w:asciiTheme="minorEastAsia" w:hAnsiTheme="minorEastAsia" w:eastAsiaTheme="minorEastAsia" w:cstheme="minorEastAsia"/>
                <w:color w:val="000000" w:themeColor="text1"/>
                <w:sz w:val="24"/>
                <w14:textFill>
                  <w14:solidFill>
                    <w14:schemeClr w14:val="tx1"/>
                  </w14:solidFill>
                </w14:textFill>
              </w:rPr>
              <w:t>产品整体稳固性好的视为符合。</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每一项</w:t>
            </w:r>
            <w:r>
              <w:rPr>
                <w:rFonts w:hint="eastAsia" w:asciiTheme="minorEastAsia" w:hAnsiTheme="minorEastAsia" w:eastAsiaTheme="minorEastAsia" w:cstheme="minorEastAsia"/>
                <w:b/>
                <w:color w:val="000000" w:themeColor="text1"/>
                <w:sz w:val="24"/>
                <w14:textFill>
                  <w14:solidFill>
                    <w14:schemeClr w14:val="tx1"/>
                  </w14:solidFill>
                </w14:textFill>
              </w:rPr>
              <w:t>完全符合的得</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14:textFill>
                  <w14:solidFill>
                    <w14:schemeClr w14:val="tx1"/>
                  </w14:solidFill>
                </w14:textFill>
              </w:rPr>
              <w:t>分，</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基本</w:t>
            </w:r>
            <w:r>
              <w:rPr>
                <w:rFonts w:hint="eastAsia" w:asciiTheme="minorEastAsia" w:hAnsiTheme="minorEastAsia" w:eastAsiaTheme="minorEastAsia" w:cstheme="minorEastAsia"/>
                <w:b/>
                <w:color w:val="000000" w:themeColor="text1"/>
                <w:sz w:val="24"/>
                <w14:textFill>
                  <w14:solidFill>
                    <w14:schemeClr w14:val="tx1"/>
                  </w14:solidFill>
                </w14:textFill>
              </w:rPr>
              <w:t>符合的得</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0.5</w:t>
            </w:r>
            <w:r>
              <w:rPr>
                <w:rFonts w:hint="eastAsia" w:asciiTheme="minorEastAsia" w:hAnsiTheme="minorEastAsia" w:eastAsiaTheme="minorEastAsia" w:cstheme="minorEastAsia"/>
                <w:b/>
                <w:color w:val="000000" w:themeColor="text1"/>
                <w:sz w:val="24"/>
                <w14:textFill>
                  <w14:solidFill>
                    <w14:schemeClr w14:val="tx1"/>
                  </w14:solidFill>
                </w14:textFill>
              </w:rPr>
              <w:t>分，不符合的得0分</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，共</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5分</w:t>
            </w:r>
            <w:r>
              <w:rPr>
                <w:rFonts w:hint="eastAsia" w:asciiTheme="minorEastAsia" w:hAnsiTheme="minorEastAsia" w:eastAsiaTheme="minorEastAsia" w:cstheme="minorEastAsia"/>
                <w:b/>
                <w:color w:val="000000" w:themeColor="text1"/>
                <w:sz w:val="24"/>
                <w14:textFill>
                  <w14:solidFill>
                    <w14:schemeClr w14:val="tx1"/>
                  </w14:solidFill>
                </w14:textFill>
              </w:rPr>
              <w:t>。</w:t>
            </w:r>
          </w:p>
        </w:tc>
        <w:tc>
          <w:tcPr>
            <w:tcW w:w="363" w:type="pct"/>
            <w:shd w:val="clear" w:color="auto" w:fill="auto"/>
            <w:noWrap w:val="0"/>
            <w:vAlign w:val="center"/>
          </w:tcPr>
          <w:p w14:paraId="53B1A22E">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7</w:t>
            </w:r>
          </w:p>
        </w:tc>
        <w:tc>
          <w:tcPr>
            <w:tcW w:w="721" w:type="pct"/>
            <w:noWrap w:val="0"/>
            <w:vAlign w:val="center"/>
          </w:tcPr>
          <w:p w14:paraId="5849B308">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color w:val="auto"/>
                <w:sz w:val="21"/>
                <w:szCs w:val="21"/>
                <w:highlight w:val="none"/>
                <w:shd w:val="clear" w:color="auto" w:fill="auto"/>
                <w:lang w:val="en-US" w:eastAsia="zh-CN"/>
              </w:rPr>
              <w:t>样品</w:t>
            </w:r>
          </w:p>
        </w:tc>
      </w:tr>
      <w:tr w14:paraId="1A05C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center"/>
          </w:tcPr>
          <w:p w14:paraId="2237F3CB">
            <w:pPr>
              <w:pStyle w:val="782"/>
              <w:widowControl w:val="0"/>
              <w:spacing w:line="460" w:lineRule="exact"/>
              <w:jc w:val="center"/>
              <w:rPr>
                <w:rFonts w:hint="default" w:ascii="宋体" w:hAnsi="宋体" w:eastAsia="宋体" w:cs="宋体"/>
                <w:i w:val="0"/>
                <w:iCs w:val="0"/>
                <w:color w:val="auto"/>
                <w:sz w:val="21"/>
                <w:szCs w:val="21"/>
                <w:highlight w:val="none"/>
                <w:shd w:val="clear" w:color="auto" w:fill="auto"/>
                <w:lang w:val="en-US" w:eastAsia="zh-CN"/>
              </w:rPr>
            </w:pPr>
          </w:p>
        </w:tc>
        <w:tc>
          <w:tcPr>
            <w:tcW w:w="3616" w:type="pct"/>
            <w:noWrap w:val="0"/>
            <w:vAlign w:val="center"/>
          </w:tcPr>
          <w:p w14:paraId="6764E1C6">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有效投标报价的最低价作为评标基准价，其最低报价为满分；按［投标报价得分=（评标基准价/投标报价）*30］的计算公式计算。</w:t>
            </w:r>
          </w:p>
          <w:p w14:paraId="0EF01375">
            <w:pPr>
              <w:widowControl/>
              <w:shd w:val="clear" w:color="auto" w:fill="FFFFFF"/>
              <w:adjustRightInd/>
              <w:spacing w:after="225" w:line="360" w:lineRule="auto"/>
              <w:ind w:firstLine="42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评标过程中，不得去掉报价中的最高报价和最低报价。</w:t>
            </w:r>
          </w:p>
          <w:p w14:paraId="64CAB8F4">
            <w:pPr>
              <w:pStyle w:val="782"/>
              <w:widowControl w:val="0"/>
              <w:spacing w:line="46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b w:val="0"/>
                <w:bCs w:val="0"/>
                <w:color w:val="auto"/>
                <w:sz w:val="24"/>
                <w:szCs w:val="24"/>
                <w:highlight w:val="none"/>
              </w:rPr>
              <w:t>对于未预留份额专门面向中小企业的政府采购项目，以及预留份额政府采购项目中的非预留部分标项，对小型和微型企业的投标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w:t>
            </w:r>
            <w:r>
              <w:rPr>
                <w:rFonts w:hint="eastAsia" w:ascii="宋体" w:hAnsi="宋体" w:eastAsia="宋体" w:cs="宋体"/>
                <w:b w:val="0"/>
                <w:bCs w:val="0"/>
                <w:color w:val="auto"/>
                <w:sz w:val="24"/>
                <w:szCs w:val="24"/>
                <w:highlight w:val="none"/>
                <w:lang w:eastAsia="zh-CN"/>
              </w:rPr>
              <w:t>。</w:t>
            </w:r>
          </w:p>
        </w:tc>
        <w:tc>
          <w:tcPr>
            <w:tcW w:w="363" w:type="pct"/>
            <w:noWrap w:val="0"/>
            <w:vAlign w:val="center"/>
          </w:tcPr>
          <w:p w14:paraId="73934870">
            <w:pPr>
              <w:pStyle w:val="782"/>
              <w:widowControl w:val="0"/>
              <w:spacing w:line="46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30</w:t>
            </w:r>
          </w:p>
        </w:tc>
        <w:tc>
          <w:tcPr>
            <w:tcW w:w="721" w:type="pct"/>
            <w:noWrap w:val="0"/>
            <w:vAlign w:val="center"/>
          </w:tcPr>
          <w:p w14:paraId="140CB337">
            <w:pPr>
              <w:pStyle w:val="782"/>
              <w:widowControl w:val="0"/>
              <w:spacing w:line="46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bl>
    <w:p w14:paraId="52FFB00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CF8751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37BFA2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D867B6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22CFD2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F759803">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25B57A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820448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3F352D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B2C071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FC686F3">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705EE7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B1FAAD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77F115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33CAD6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50DF4A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D39477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EF0225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1BDA5A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A850A6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w:t>
      </w:r>
      <w:r>
        <w:rPr>
          <w:rFonts w:hint="eastAsia" w:ascii="宋体" w:hAnsi="宋体" w:cs="宋体"/>
          <w:sz w:val="24"/>
        </w:rPr>
        <w:t>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w:t>
      </w:r>
      <w:r>
        <w:rPr>
          <w:rFonts w:hint="eastAsia" w:ascii="宋体" w:hAnsi="宋体" w:cs="宋体"/>
          <w:kern w:val="0"/>
          <w:sz w:val="24"/>
        </w:rPr>
        <w:t>（招标文件第四部分评标办法明确具体的扣除比例，未明确的，给予20%的扣除）</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kern w:val="0"/>
          <w:sz w:val="24"/>
        </w:rPr>
        <w:t>（招标文件第四部分评标办法明确具体的扣除比例，未明确的，给予6%的扣除）</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kern w:val="0"/>
          <w:szCs w:val="24"/>
          <w:highlight w:val="none"/>
        </w:rPr>
        <w:t>。</w:t>
      </w:r>
    </w:p>
    <w:p w14:paraId="4B412D8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17494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33BB5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A8A3A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4CAC3A5">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B9FFB5">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97FEE4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85125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9908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2F77E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74E72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1C88285">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50D84B33">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51C0519D">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7073C7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7C2A7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835D4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FCBBF6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96CD5FC">
      <w:pPr>
        <w:pStyle w:val="525"/>
        <w:spacing w:line="360" w:lineRule="auto"/>
        <w:ind w:firstLine="48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w:t>
      </w:r>
      <w:r>
        <w:rPr>
          <w:rFonts w:hint="default"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 xml:space="preserve"> 对未提供样品或提供样品不满足采购需求实质性条件的供应商，投标无效；</w:t>
      </w:r>
    </w:p>
    <w:p w14:paraId="44EAE650">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w:t>
      </w:r>
      <w:r>
        <w:rPr>
          <w:rFonts w:hint="default"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 xml:space="preserve"> 投标文件不满足招标文件的其它实质性要求的；</w:t>
      </w:r>
    </w:p>
    <w:p w14:paraId="0C96D8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default" w:ascii="宋体" w:hAnsi="宋体" w:cs="宋体"/>
          <w:color w:val="auto"/>
          <w:kern w:val="0"/>
          <w:sz w:val="24"/>
          <w:highlight w:val="none"/>
          <w:lang w:val="en-US"/>
        </w:rPr>
        <w:t>5</w:t>
      </w:r>
      <w:r>
        <w:rPr>
          <w:rFonts w:hint="eastAsia" w:ascii="宋体" w:hAnsi="宋体" w:cs="宋体"/>
          <w:color w:val="auto"/>
          <w:kern w:val="0"/>
          <w:sz w:val="24"/>
          <w:highlight w:val="none"/>
        </w:rPr>
        <w:t>法律、法规、规章（适用本市的）及省级以上规范性文件（适用本市的）规定的其他无效情形。</w:t>
      </w:r>
    </w:p>
    <w:p w14:paraId="62464EC6">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822AF6C">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E2DBE2D">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0B9F4660">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767D2F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43984D3D">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5CB78B55">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57ADB59">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7DDA5E1">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8F05BCF">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8215522">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A363D8E">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977CD7F">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83D5FE4">
      <w:pPr>
        <w:pStyle w:val="24"/>
        <w:snapToGrid w:val="0"/>
        <w:spacing w:line="360" w:lineRule="auto"/>
        <w:ind w:firstLine="0" w:firstLineChars="0"/>
        <w:rPr>
          <w:rFonts w:cs="宋体"/>
          <w:color w:val="auto"/>
          <w:highlight w:val="none"/>
        </w:rPr>
      </w:pPr>
    </w:p>
    <w:p w14:paraId="128418C6">
      <w:pPr>
        <w:pStyle w:val="24"/>
        <w:snapToGrid w:val="0"/>
        <w:spacing w:line="360" w:lineRule="auto"/>
        <w:ind w:firstLine="0" w:firstLineChars="0"/>
        <w:rPr>
          <w:rFonts w:cs="宋体"/>
          <w:color w:val="auto"/>
          <w:highlight w:val="none"/>
        </w:rPr>
      </w:pPr>
    </w:p>
    <w:p w14:paraId="59F8E5A5">
      <w:pPr>
        <w:pStyle w:val="24"/>
        <w:snapToGrid w:val="0"/>
        <w:spacing w:line="360" w:lineRule="auto"/>
        <w:ind w:firstLine="0" w:firstLineChars="0"/>
        <w:rPr>
          <w:rFonts w:cs="宋体"/>
          <w:color w:val="auto"/>
          <w:highlight w:val="none"/>
        </w:rPr>
      </w:pPr>
    </w:p>
    <w:p w14:paraId="4D867DE8">
      <w:pPr>
        <w:rPr>
          <w:rFonts w:cs="宋体"/>
          <w:color w:val="auto"/>
          <w:highlight w:val="none"/>
        </w:rPr>
      </w:pPr>
    </w:p>
    <w:p w14:paraId="3F8A7731">
      <w:pPr>
        <w:pStyle w:val="15"/>
        <w:rPr>
          <w:rFonts w:cs="宋体"/>
          <w:color w:val="auto"/>
          <w:highlight w:val="none"/>
        </w:rPr>
      </w:pPr>
    </w:p>
    <w:p w14:paraId="7E84BD28">
      <w:pPr>
        <w:rPr>
          <w:rFonts w:cs="宋体"/>
          <w:color w:val="auto"/>
          <w:highlight w:val="none"/>
        </w:rPr>
      </w:pPr>
    </w:p>
    <w:p w14:paraId="39852FC8">
      <w:pPr>
        <w:rPr>
          <w:rFonts w:cs="宋体"/>
          <w:color w:val="auto"/>
          <w:highlight w:val="none"/>
        </w:rPr>
      </w:pPr>
    </w:p>
    <w:bookmarkEnd w:id="18"/>
    <w:p w14:paraId="1362C64F">
      <w:pPr>
        <w:spacing w:line="360" w:lineRule="auto"/>
        <w:ind w:left="720" w:leftChars="343" w:firstLine="1084" w:firstLineChars="300"/>
        <w:outlineLvl w:val="0"/>
        <w:rPr>
          <w:rFonts w:ascii="宋体" w:hAnsi="宋体" w:cs="宋体"/>
          <w:b/>
          <w:sz w:val="36"/>
          <w:szCs w:val="36"/>
        </w:rPr>
      </w:pPr>
      <w:bookmarkStart w:id="400" w:name="第五部分"/>
      <w:bookmarkStart w:id="401" w:name="_Toc86217003"/>
      <w:r>
        <w:rPr>
          <w:rFonts w:hint="eastAsia" w:ascii="宋体" w:hAnsi="宋体" w:cs="宋体"/>
          <w:b/>
          <w:sz w:val="36"/>
          <w:szCs w:val="36"/>
        </w:rPr>
        <w:t>第五部分 拟签订的合同文本</w:t>
      </w:r>
    </w:p>
    <w:p w14:paraId="32CBF9B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B9DDB66">
      <w:pPr>
        <w:spacing w:line="480" w:lineRule="auto"/>
        <w:rPr>
          <w:rFonts w:ascii="宋体" w:hAnsi="宋体" w:cs="宋体"/>
          <w:b/>
          <w:sz w:val="24"/>
        </w:rPr>
      </w:pPr>
    </w:p>
    <w:p w14:paraId="2FBCF1EB">
      <w:pPr>
        <w:spacing w:line="480" w:lineRule="auto"/>
        <w:jc w:val="center"/>
        <w:rPr>
          <w:rFonts w:ascii="宋体" w:hAnsi="宋体" w:cs="宋体"/>
          <w:b/>
          <w:sz w:val="24"/>
        </w:rPr>
      </w:pPr>
    </w:p>
    <w:p w14:paraId="45060CC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AA4910D">
      <w:pPr>
        <w:spacing w:line="480" w:lineRule="auto"/>
        <w:jc w:val="center"/>
        <w:rPr>
          <w:rFonts w:ascii="宋体" w:hAnsi="宋体" w:cs="宋体"/>
          <w:b/>
          <w:sz w:val="36"/>
          <w:szCs w:val="36"/>
        </w:rPr>
      </w:pPr>
      <w:r>
        <w:rPr>
          <w:rFonts w:hint="eastAsia" w:ascii="宋体" w:hAnsi="宋体" w:cs="宋体"/>
          <w:b/>
          <w:sz w:val="36"/>
          <w:szCs w:val="36"/>
        </w:rPr>
        <w:t>（货物类）</w:t>
      </w:r>
    </w:p>
    <w:p w14:paraId="553BAB52">
      <w:pPr>
        <w:pStyle w:val="700"/>
        <w:ind w:firstLine="2843" w:firstLineChars="1180"/>
        <w:rPr>
          <w:rFonts w:ascii="宋体" w:hAnsi="宋体" w:cs="宋体"/>
          <w:b/>
          <w:szCs w:val="24"/>
        </w:rPr>
      </w:pPr>
      <w:r>
        <w:rPr>
          <w:rFonts w:hint="eastAsia" w:ascii="宋体" w:hAnsi="宋体" w:cs="宋体"/>
          <w:b/>
          <w:szCs w:val="24"/>
        </w:rPr>
        <w:t>第一部分 合同书</w:t>
      </w:r>
    </w:p>
    <w:p w14:paraId="1B165579">
      <w:pPr>
        <w:pStyle w:val="700"/>
        <w:rPr>
          <w:rFonts w:ascii="宋体" w:hAnsi="宋体" w:cs="宋体"/>
          <w:szCs w:val="24"/>
        </w:rPr>
      </w:pPr>
    </w:p>
    <w:p w14:paraId="03E886B2">
      <w:pPr>
        <w:spacing w:before="120" w:line="22" w:lineRule="atLeast"/>
        <w:rPr>
          <w:rFonts w:ascii="宋体" w:hAnsi="宋体" w:cs="宋体"/>
          <w:sz w:val="24"/>
        </w:rPr>
      </w:pPr>
    </w:p>
    <w:p w14:paraId="49C30324">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杭州市保俶塔实验学校智慧实验室建设项目</w:t>
      </w:r>
      <w:r>
        <w:rPr>
          <w:rFonts w:hint="eastAsia" w:ascii="宋体" w:hAnsi="宋体" w:cs="宋体"/>
          <w:sz w:val="24"/>
          <w:u w:val="single"/>
        </w:rPr>
        <w:t xml:space="preserve"> </w:t>
      </w:r>
    </w:p>
    <w:p w14:paraId="5BDD9B6A">
      <w:pPr>
        <w:spacing w:before="120" w:line="22" w:lineRule="atLeast"/>
        <w:ind w:left="960"/>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u w:val="single"/>
          <w:lang w:eastAsia="zh-CN"/>
        </w:rPr>
        <w:t>XHZFCG-2024-G-77</w:t>
      </w:r>
      <w:r>
        <w:rPr>
          <w:rFonts w:hint="eastAsia" w:ascii="宋体" w:hAnsi="宋体" w:cs="宋体"/>
          <w:sz w:val="24"/>
          <w:u w:val="single"/>
        </w:rPr>
        <w:t xml:space="preserve">                 </w:t>
      </w:r>
    </w:p>
    <w:p w14:paraId="7BA48011">
      <w:pPr>
        <w:pStyle w:val="597"/>
        <w:spacing w:before="120" w:line="22" w:lineRule="atLeast"/>
        <w:rPr>
          <w:rFonts w:ascii="宋体" w:hAnsi="宋体" w:eastAsia="宋体" w:cs="宋体"/>
          <w:szCs w:val="24"/>
        </w:rPr>
      </w:pPr>
    </w:p>
    <w:p w14:paraId="3BC9D971">
      <w:pPr>
        <w:pStyle w:val="597"/>
        <w:spacing w:before="120" w:line="22" w:lineRule="atLeast"/>
        <w:rPr>
          <w:rFonts w:ascii="宋体" w:hAnsi="宋体" w:eastAsia="宋体" w:cs="宋体"/>
          <w:szCs w:val="24"/>
        </w:rPr>
      </w:pPr>
    </w:p>
    <w:p w14:paraId="32ED8743">
      <w:pPr>
        <w:rPr>
          <w:rFonts w:ascii="宋体" w:hAnsi="宋体" w:cs="宋体"/>
          <w:sz w:val="24"/>
        </w:rPr>
      </w:pPr>
    </w:p>
    <w:p w14:paraId="1B23D34F">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FCB20AD">
      <w:pPr>
        <w:spacing w:before="120" w:line="22" w:lineRule="atLeast"/>
        <w:rPr>
          <w:rFonts w:ascii="宋体" w:hAnsi="宋体" w:cs="宋体"/>
          <w:sz w:val="24"/>
        </w:rPr>
      </w:pPr>
    </w:p>
    <w:p w14:paraId="0EEBEC63">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B0D0F74">
      <w:pPr>
        <w:spacing w:before="120" w:line="22" w:lineRule="atLeast"/>
        <w:rPr>
          <w:rFonts w:ascii="宋体" w:hAnsi="宋体" w:cs="宋体"/>
          <w:sz w:val="24"/>
        </w:rPr>
      </w:pPr>
    </w:p>
    <w:p w14:paraId="4A4A9853">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5190109">
      <w:pPr>
        <w:spacing w:before="120" w:line="22" w:lineRule="atLeast"/>
        <w:rPr>
          <w:rFonts w:ascii="宋体" w:hAnsi="宋体" w:cs="宋体"/>
          <w:sz w:val="24"/>
        </w:rPr>
      </w:pPr>
    </w:p>
    <w:p w14:paraId="54BB694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DCAF684">
      <w:pPr>
        <w:widowControl/>
        <w:jc w:val="left"/>
        <w:rPr>
          <w:rFonts w:ascii="宋体" w:hAnsi="宋体" w:cs="宋体"/>
          <w:kern w:val="0"/>
          <w:sz w:val="24"/>
        </w:rPr>
        <w:sectPr>
          <w:pgSz w:w="11907" w:h="16840"/>
          <w:pgMar w:top="1276" w:right="1814" w:bottom="1474" w:left="1394" w:header="851" w:footer="851" w:gutter="0"/>
          <w:cols w:space="720" w:num="1"/>
        </w:sectPr>
      </w:pPr>
    </w:p>
    <w:p w14:paraId="698802C2">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eastAsia="zh-CN"/>
        </w:rPr>
        <w:t>杭州市保俶塔实验学校</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杭州市保俶塔实验学校智慧实验室建设项目</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为该项目中标供应商。现于中标通知书发出之日起10个工作日内，按照采购文件确定的事项签订本合同。</w:t>
      </w:r>
    </w:p>
    <w:p w14:paraId="1B13AA03">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eastAsia="zh-CN"/>
        </w:rPr>
        <w:t>杭州市保俶塔实验学校</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A1A8009">
      <w:pPr>
        <w:spacing w:line="560" w:lineRule="exact"/>
        <w:ind w:firstLine="482" w:firstLineChars="200"/>
        <w:outlineLvl w:val="0"/>
        <w:rPr>
          <w:rFonts w:ascii="宋体" w:hAnsi="宋体" w:cs="宋体"/>
          <w:b/>
          <w:sz w:val="24"/>
        </w:rPr>
      </w:pPr>
      <w:bookmarkStart w:id="402" w:name="_Toc3029"/>
      <w:bookmarkStart w:id="403" w:name="_Toc2232"/>
      <w:bookmarkStart w:id="404" w:name="_Toc24059"/>
      <w:r>
        <w:rPr>
          <w:rFonts w:hint="eastAsia" w:ascii="宋体" w:hAnsi="宋体" w:cs="宋体"/>
          <w:b/>
          <w:sz w:val="24"/>
        </w:rPr>
        <w:t>1.1 合同组成部分</w:t>
      </w:r>
      <w:bookmarkEnd w:id="402"/>
      <w:bookmarkEnd w:id="403"/>
      <w:bookmarkEnd w:id="404"/>
    </w:p>
    <w:p w14:paraId="1EA1DC78">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B2D55C3">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51C101DC">
      <w:pPr>
        <w:spacing w:line="560" w:lineRule="exact"/>
        <w:ind w:firstLine="480" w:firstLineChars="200"/>
        <w:rPr>
          <w:rFonts w:ascii="宋体" w:hAnsi="宋体" w:cs="宋体"/>
          <w:sz w:val="24"/>
        </w:rPr>
      </w:pPr>
      <w:r>
        <w:rPr>
          <w:rFonts w:hint="eastAsia" w:ascii="宋体" w:hAnsi="宋体" w:cs="宋体"/>
          <w:sz w:val="24"/>
        </w:rPr>
        <w:t>1.1.2 中标通知书；</w:t>
      </w:r>
    </w:p>
    <w:p w14:paraId="639544C9">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14:paraId="5278464E">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14:paraId="0695526F">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98045BF">
      <w:pPr>
        <w:spacing w:line="560" w:lineRule="exact"/>
        <w:ind w:firstLine="482" w:firstLineChars="200"/>
        <w:outlineLvl w:val="0"/>
        <w:rPr>
          <w:rFonts w:ascii="宋体" w:hAnsi="宋体" w:cs="宋体"/>
          <w:b/>
          <w:sz w:val="24"/>
        </w:rPr>
      </w:pPr>
      <w:bookmarkStart w:id="405" w:name="_Toc24300"/>
      <w:bookmarkStart w:id="406" w:name="_Toc27126"/>
      <w:bookmarkStart w:id="407" w:name="_Toc21295"/>
      <w:r>
        <w:rPr>
          <w:rFonts w:hint="eastAsia" w:ascii="宋体" w:hAnsi="宋体" w:cs="宋体"/>
          <w:b/>
          <w:sz w:val="24"/>
        </w:rPr>
        <w:t>1.2 货物</w:t>
      </w:r>
      <w:bookmarkEnd w:id="405"/>
      <w:bookmarkEnd w:id="406"/>
      <w:bookmarkEnd w:id="407"/>
    </w:p>
    <w:p w14:paraId="080C217F">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14:paraId="79103ABE">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详见开标一览表或附件（附件格式自拟）           </w:t>
      </w:r>
      <w:r>
        <w:rPr>
          <w:rFonts w:hint="eastAsia" w:ascii="宋体" w:hAnsi="宋体" w:cs="宋体"/>
          <w:sz w:val="24"/>
        </w:rPr>
        <w:t>；</w:t>
      </w:r>
    </w:p>
    <w:p w14:paraId="16BE8CF6">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14:paraId="3D5D148E">
      <w:pPr>
        <w:spacing w:line="560" w:lineRule="exact"/>
        <w:ind w:firstLine="482" w:firstLineChars="200"/>
        <w:outlineLvl w:val="0"/>
        <w:rPr>
          <w:rFonts w:ascii="宋体" w:hAnsi="宋体" w:cs="宋体"/>
          <w:b/>
          <w:sz w:val="24"/>
        </w:rPr>
      </w:pPr>
      <w:bookmarkStart w:id="408" w:name="_Toc23292"/>
      <w:bookmarkStart w:id="409" w:name="_Toc21551"/>
      <w:bookmarkStart w:id="410" w:name="_Toc21631"/>
      <w:r>
        <w:rPr>
          <w:rFonts w:hint="eastAsia" w:ascii="宋体" w:hAnsi="宋体" w:cs="宋体"/>
          <w:b/>
          <w:sz w:val="24"/>
        </w:rPr>
        <w:t>1.3 价款</w:t>
      </w:r>
      <w:bookmarkEnd w:id="408"/>
      <w:bookmarkEnd w:id="409"/>
      <w:bookmarkEnd w:id="410"/>
    </w:p>
    <w:p w14:paraId="02C878DA">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1839B745">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A0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86DBDB">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2E220EA">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6EA4621">
            <w:pPr>
              <w:pStyle w:val="318"/>
              <w:spacing w:line="560" w:lineRule="exact"/>
              <w:jc w:val="center"/>
              <w:rPr>
                <w:rFonts w:hAnsi="宋体" w:cs="宋体"/>
                <w:sz w:val="24"/>
                <w:szCs w:val="24"/>
              </w:rPr>
            </w:pPr>
            <w:r>
              <w:rPr>
                <w:rFonts w:hint="eastAsia" w:hAnsi="宋体" w:cs="宋体"/>
                <w:sz w:val="24"/>
                <w:szCs w:val="24"/>
              </w:rPr>
              <w:t>分项价格</w:t>
            </w:r>
          </w:p>
        </w:tc>
      </w:tr>
      <w:tr w14:paraId="7D36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6A2474">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88BB98E">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E1E045">
            <w:pPr>
              <w:pStyle w:val="318"/>
              <w:spacing w:line="560" w:lineRule="exact"/>
              <w:ind w:firstLine="200"/>
              <w:jc w:val="center"/>
              <w:rPr>
                <w:rFonts w:hAnsi="宋体" w:cs="宋体"/>
                <w:sz w:val="24"/>
                <w:szCs w:val="24"/>
              </w:rPr>
            </w:pPr>
          </w:p>
        </w:tc>
      </w:tr>
      <w:tr w14:paraId="51D1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DCDE6F">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D576BFA">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0076D6D">
            <w:pPr>
              <w:pStyle w:val="318"/>
              <w:spacing w:line="560" w:lineRule="exact"/>
              <w:ind w:firstLine="200"/>
              <w:jc w:val="center"/>
              <w:rPr>
                <w:rFonts w:hAnsi="宋体" w:cs="宋体"/>
                <w:sz w:val="24"/>
                <w:szCs w:val="24"/>
              </w:rPr>
            </w:pPr>
          </w:p>
        </w:tc>
      </w:tr>
      <w:tr w14:paraId="3B70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09B271">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D710B8">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5F9CFC9">
            <w:pPr>
              <w:pStyle w:val="318"/>
              <w:spacing w:line="560" w:lineRule="exact"/>
              <w:ind w:firstLine="200"/>
              <w:jc w:val="center"/>
              <w:rPr>
                <w:rFonts w:hAnsi="宋体" w:cs="宋体"/>
                <w:sz w:val="24"/>
                <w:szCs w:val="24"/>
              </w:rPr>
            </w:pPr>
          </w:p>
        </w:tc>
      </w:tr>
      <w:tr w14:paraId="6070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E5C0A3">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AF79BBF">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E14B517">
            <w:pPr>
              <w:pStyle w:val="318"/>
              <w:spacing w:line="560" w:lineRule="exact"/>
              <w:ind w:firstLine="200"/>
              <w:jc w:val="center"/>
              <w:rPr>
                <w:rFonts w:hAnsi="宋体" w:cs="宋体"/>
                <w:sz w:val="24"/>
                <w:szCs w:val="24"/>
              </w:rPr>
            </w:pPr>
          </w:p>
        </w:tc>
      </w:tr>
      <w:tr w14:paraId="4C1F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6AB8FB0">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09616ED">
            <w:pPr>
              <w:pStyle w:val="318"/>
              <w:spacing w:line="560" w:lineRule="exact"/>
              <w:ind w:firstLine="200"/>
              <w:jc w:val="center"/>
              <w:rPr>
                <w:rFonts w:hAnsi="宋体" w:cs="宋体"/>
                <w:sz w:val="24"/>
                <w:szCs w:val="24"/>
              </w:rPr>
            </w:pPr>
          </w:p>
        </w:tc>
      </w:tr>
    </w:tbl>
    <w:p w14:paraId="001D9F36">
      <w:pPr>
        <w:pStyle w:val="958"/>
        <w:spacing w:before="0" w:beforeAutospacing="0" w:after="0" w:afterAutospacing="0" w:line="360" w:lineRule="auto"/>
        <w:ind w:firstLine="480"/>
        <w:rPr>
          <w:b/>
        </w:rPr>
      </w:pPr>
      <w:bookmarkStart w:id="411" w:name="_Toc331685783"/>
      <w:r>
        <w:rPr>
          <w:rFonts w:hint="eastAsia"/>
          <w:b/>
        </w:rPr>
        <w:t>1.4履约保证金</w:t>
      </w:r>
    </w:p>
    <w:p w14:paraId="4A7ED39C">
      <w:pPr>
        <w:pStyle w:val="958"/>
        <w:spacing w:before="0" w:beforeAutospacing="0" w:after="0" w:afterAutospacing="0" w:line="360" w:lineRule="auto"/>
        <w:ind w:firstLine="480"/>
      </w:pPr>
      <w:r>
        <w:rPr>
          <w:rFonts w:hint="eastAsia"/>
        </w:rPr>
        <w:t>乙方</w:t>
      </w:r>
      <w:r>
        <w:rPr>
          <w:rFonts w:hint="eastAsia"/>
          <w:b/>
          <w:i/>
          <w:u w:val="single"/>
        </w:rPr>
        <w:t>合同专用条款</w:t>
      </w:r>
      <w:r>
        <w:rPr>
          <w:rFonts w:hint="eastAsia"/>
        </w:rPr>
        <w:t>（是</w:t>
      </w:r>
      <w:r>
        <w:rPr>
          <w:rFonts w:hint="eastAsia" w:ascii="仿宋" w:hAnsi="仿宋" w:eastAsia="仿宋" w:cs="仿宋"/>
        </w:rPr>
        <w:t>/</w:t>
      </w:r>
      <w:r>
        <w:rPr>
          <w:rFonts w:hint="eastAsia"/>
        </w:rPr>
        <w:t>否）需要支付履约保证金。若需要支付履约保证金的，则：</w:t>
      </w:r>
    </w:p>
    <w:p w14:paraId="4B331792">
      <w:pPr>
        <w:spacing w:line="360" w:lineRule="auto"/>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b/>
          <w:i/>
          <w:sz w:val="24"/>
          <w:u w:val="single"/>
        </w:rPr>
        <w:t>合同专用条款</w:t>
      </w:r>
      <w:r>
        <w:rPr>
          <w:rFonts w:hint="eastAsia" w:ascii="宋体" w:hAnsi="宋体" w:cs="宋体"/>
          <w:kern w:val="0"/>
          <w:sz w:val="24"/>
        </w:rPr>
        <w:t>%；</w:t>
      </w:r>
    </w:p>
    <w:p w14:paraId="0A5FE0D6">
      <w:pPr>
        <w:spacing w:line="360" w:lineRule="auto"/>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218ABF3A">
      <w:pPr>
        <w:pStyle w:val="2"/>
        <w:tabs>
          <w:tab w:val="left" w:pos="0"/>
          <w:tab w:val="clear" w:pos="432"/>
        </w:tabs>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4DEF39">
      <w:pPr>
        <w:spacing w:line="360" w:lineRule="auto"/>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5</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A2EE12D">
      <w:pPr>
        <w:spacing w:line="360" w:lineRule="auto"/>
        <w:ind w:firstLine="482" w:firstLineChars="200"/>
        <w:outlineLvl w:val="0"/>
        <w:rPr>
          <w:rFonts w:ascii="宋体" w:hAnsi="宋体" w:cs="宋体"/>
          <w:b/>
          <w:sz w:val="24"/>
        </w:rPr>
      </w:pPr>
      <w:r>
        <w:rPr>
          <w:rFonts w:hint="eastAsia" w:ascii="宋体" w:hAnsi="宋体" w:cs="宋体"/>
          <w:b/>
          <w:sz w:val="24"/>
        </w:rPr>
        <w:t>1.5预付款</w:t>
      </w:r>
    </w:p>
    <w:p w14:paraId="10320902">
      <w:pPr>
        <w:pStyle w:val="958"/>
        <w:spacing w:before="0" w:beforeAutospacing="0" w:after="0" w:afterAutospacing="0" w:line="360" w:lineRule="auto"/>
        <w:ind w:firstLine="480"/>
      </w:pPr>
      <w:r>
        <w:rPr>
          <w:rFonts w:hint="eastAsia"/>
        </w:rPr>
        <w:t>甲方</w:t>
      </w:r>
      <w:r>
        <w:rPr>
          <w:rFonts w:hint="eastAsia"/>
          <w:b/>
          <w:i/>
          <w:u w:val="single"/>
        </w:rPr>
        <w:t>合同专用条款</w:t>
      </w:r>
      <w:r>
        <w:rPr>
          <w:rFonts w:hint="eastAsia"/>
        </w:rPr>
        <w:t>（是</w:t>
      </w:r>
      <w:r>
        <w:rPr>
          <w:rFonts w:hint="eastAsia" w:ascii="仿宋" w:hAnsi="仿宋" w:eastAsia="仿宋" w:cs="仿宋"/>
        </w:rPr>
        <w:t>/</w:t>
      </w:r>
      <w:r>
        <w:rPr>
          <w:rFonts w:hint="eastAsia"/>
        </w:rPr>
        <w:t>否）需要支付预付款。若需要支付预付款的，则：</w:t>
      </w:r>
    </w:p>
    <w:p w14:paraId="2A2DC86D">
      <w:pPr>
        <w:spacing w:line="360" w:lineRule="auto"/>
        <w:ind w:right="105" w:rightChars="50"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4BA05803">
      <w:pPr>
        <w:pStyle w:val="958"/>
        <w:spacing w:before="0" w:beforeAutospacing="0" w:after="0" w:afterAutospacing="0" w:line="360" w:lineRule="auto"/>
        <w:ind w:right="105" w:rightChars="50" w:firstLine="480"/>
      </w:pPr>
      <w:r>
        <w:rPr>
          <w:rFonts w:hint="eastAsia"/>
        </w:rPr>
        <w:t>1.5.2预付款的扣回方式详见</w:t>
      </w:r>
      <w:r>
        <w:rPr>
          <w:rFonts w:hint="eastAsia"/>
          <w:b/>
          <w:i/>
          <w:u w:val="single"/>
        </w:rPr>
        <w:t>合同专用条款</w:t>
      </w:r>
      <w:r>
        <w:rPr>
          <w:rFonts w:hint="eastAsia"/>
        </w:rPr>
        <w:t>；</w:t>
      </w:r>
    </w:p>
    <w:p w14:paraId="6C4FE065">
      <w:pPr>
        <w:pStyle w:val="958"/>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4382A40E">
      <w:pPr>
        <w:pStyle w:val="958"/>
        <w:spacing w:before="0" w:beforeAutospacing="0" w:after="0" w:afterAutospacing="0" w:line="360" w:lineRule="auto"/>
        <w:ind w:firstLine="480"/>
        <w:rPr>
          <w:b/>
          <w:bCs/>
        </w:rPr>
      </w:pPr>
      <w:r>
        <w:rPr>
          <w:rFonts w:hint="eastAsia"/>
          <w:b/>
          <w:bCs/>
        </w:rPr>
        <w:t>1.6资金支付</w:t>
      </w:r>
    </w:p>
    <w:p w14:paraId="5F890001">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FE1EB6">
      <w:pPr>
        <w:spacing w:line="360" w:lineRule="auto"/>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DDF8E1E">
      <w:pPr>
        <w:spacing w:line="360" w:lineRule="auto"/>
        <w:ind w:firstLine="482" w:firstLineChars="200"/>
        <w:outlineLvl w:val="0"/>
        <w:rPr>
          <w:rFonts w:ascii="宋体" w:hAnsi="宋体" w:cs="宋体"/>
          <w:b/>
          <w:sz w:val="24"/>
        </w:rPr>
      </w:pPr>
      <w:r>
        <w:rPr>
          <w:rFonts w:hint="eastAsia" w:ascii="宋体" w:hAnsi="宋体" w:cs="宋体"/>
          <w:b/>
          <w:sz w:val="24"/>
        </w:rPr>
        <w:t>1.7货物交付期限、地点和方式</w:t>
      </w:r>
    </w:p>
    <w:p w14:paraId="1AD48FD2">
      <w:pPr>
        <w:spacing w:line="360" w:lineRule="auto"/>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419A7FCF">
      <w:pPr>
        <w:spacing w:line="360" w:lineRule="auto"/>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0A0AD28B">
      <w:pPr>
        <w:spacing w:line="360" w:lineRule="auto"/>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59364E12">
      <w:pPr>
        <w:spacing w:line="360" w:lineRule="auto"/>
        <w:ind w:firstLine="482" w:firstLineChars="200"/>
        <w:outlineLvl w:val="0"/>
        <w:rPr>
          <w:rFonts w:ascii="宋体" w:hAnsi="宋体" w:cs="宋体"/>
          <w:b/>
          <w:sz w:val="24"/>
        </w:rPr>
      </w:pPr>
      <w:r>
        <w:rPr>
          <w:rFonts w:hint="eastAsia" w:ascii="宋体" w:hAnsi="宋体" w:cs="宋体"/>
          <w:b/>
          <w:sz w:val="24"/>
        </w:rPr>
        <w:t>1.8违约责任</w:t>
      </w:r>
    </w:p>
    <w:p w14:paraId="071AF1FF">
      <w:pPr>
        <w:spacing w:line="360" w:lineRule="auto"/>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2A2E35E9">
      <w:pPr>
        <w:spacing w:line="360" w:lineRule="auto"/>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5CCC04ED">
      <w:pPr>
        <w:spacing w:line="360" w:lineRule="auto"/>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C473AE5">
      <w:pPr>
        <w:spacing w:line="360" w:lineRule="auto"/>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E7B8A8">
      <w:pPr>
        <w:spacing w:line="360" w:lineRule="auto"/>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0FDD21CC">
      <w:pPr>
        <w:spacing w:line="360" w:lineRule="auto"/>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07D9A537">
      <w:pPr>
        <w:spacing w:line="360" w:lineRule="auto"/>
        <w:ind w:firstLine="482" w:firstLineChars="200"/>
        <w:outlineLvl w:val="0"/>
        <w:rPr>
          <w:rFonts w:ascii="宋体" w:hAnsi="宋体" w:cs="宋体"/>
          <w:b/>
          <w:sz w:val="24"/>
        </w:rPr>
      </w:pPr>
      <w:r>
        <w:rPr>
          <w:rFonts w:hint="eastAsia" w:ascii="宋体" w:hAnsi="宋体" w:cs="宋体"/>
          <w:b/>
          <w:sz w:val="24"/>
        </w:rPr>
        <w:t>1.9合同争议的解决</w:t>
      </w:r>
    </w:p>
    <w:p w14:paraId="430AC9F4">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70253FD">
      <w:pPr>
        <w:spacing w:line="360" w:lineRule="auto"/>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2C0ADA9">
      <w:pPr>
        <w:spacing w:line="360" w:lineRule="auto"/>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842602E">
      <w:pPr>
        <w:spacing w:line="360" w:lineRule="auto"/>
        <w:ind w:firstLine="482" w:firstLineChars="200"/>
        <w:outlineLvl w:val="0"/>
        <w:rPr>
          <w:rFonts w:ascii="宋体" w:hAnsi="宋体" w:cs="宋体"/>
          <w:b/>
          <w:sz w:val="24"/>
        </w:rPr>
      </w:pPr>
      <w:r>
        <w:rPr>
          <w:rFonts w:hint="eastAsia" w:ascii="宋体" w:hAnsi="宋体" w:cs="宋体"/>
          <w:b/>
          <w:sz w:val="24"/>
        </w:rPr>
        <w:t>1.10 合同生效</w:t>
      </w:r>
    </w:p>
    <w:p w14:paraId="0DEACF3A">
      <w:pPr>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14:paraId="4061D009">
      <w:pPr>
        <w:autoSpaceDE w:val="0"/>
        <w:autoSpaceDN w:val="0"/>
        <w:spacing w:line="360" w:lineRule="auto"/>
        <w:rPr>
          <w:rFonts w:ascii="宋体" w:hAnsi="宋体" w:cs="宋体"/>
          <w:sz w:val="24"/>
          <w:lang w:val="zh-CN"/>
        </w:rPr>
      </w:pPr>
    </w:p>
    <w:p w14:paraId="09093E1F">
      <w:pPr>
        <w:autoSpaceDE w:val="0"/>
        <w:autoSpaceDN w:val="0"/>
        <w:spacing w:line="360" w:lineRule="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58FE518">
      <w:pPr>
        <w:autoSpaceDE w:val="0"/>
        <w:autoSpaceDN w:val="0"/>
        <w:spacing w:line="360" w:lineRule="auto"/>
        <w:rPr>
          <w:rFonts w:ascii="宋体" w:hAnsi="宋体" w:cs="宋体"/>
          <w:sz w:val="24"/>
          <w:lang w:val="zh-CN"/>
        </w:rPr>
      </w:pPr>
      <w:r>
        <w:rPr>
          <w:rFonts w:hint="eastAsia" w:ascii="宋体" w:hAnsi="宋体" w:cs="宋体"/>
          <w:sz w:val="24"/>
          <w:lang w:val="zh-CN"/>
        </w:rPr>
        <w:t>统一社会信用代码：                        统一社会信用代码或身份证号码：</w:t>
      </w:r>
    </w:p>
    <w:p w14:paraId="7C227B97">
      <w:pPr>
        <w:autoSpaceDE w:val="0"/>
        <w:autoSpaceDN w:val="0"/>
        <w:spacing w:line="360" w:lineRule="auto"/>
        <w:rPr>
          <w:rFonts w:ascii="宋体" w:hAnsi="宋体" w:cs="宋体"/>
          <w:sz w:val="24"/>
          <w:lang w:val="zh-CN"/>
        </w:rPr>
      </w:pPr>
    </w:p>
    <w:p w14:paraId="352F68C1">
      <w:pPr>
        <w:autoSpaceDE w:val="0"/>
        <w:autoSpaceDN w:val="0"/>
        <w:spacing w:line="360" w:lineRule="auto"/>
        <w:rPr>
          <w:rFonts w:ascii="宋体" w:hAnsi="宋体" w:cs="宋体"/>
          <w:sz w:val="24"/>
          <w:lang w:val="zh-CN"/>
        </w:rPr>
      </w:pPr>
      <w:r>
        <w:rPr>
          <w:rFonts w:hint="eastAsia" w:ascii="宋体" w:hAnsi="宋体" w:cs="宋体"/>
          <w:sz w:val="24"/>
          <w:lang w:val="zh-CN"/>
        </w:rPr>
        <w:t>住所：                                   住所：</w:t>
      </w:r>
    </w:p>
    <w:p w14:paraId="31D6DE3F">
      <w:pPr>
        <w:autoSpaceDE w:val="0"/>
        <w:autoSpaceDN w:val="0"/>
        <w:spacing w:line="360" w:lineRule="auto"/>
        <w:rPr>
          <w:rFonts w:ascii="宋体" w:hAnsi="宋体" w:cs="宋体"/>
          <w:sz w:val="24"/>
          <w:lang w:val="zh-CN"/>
        </w:rPr>
      </w:pPr>
      <w:r>
        <w:rPr>
          <w:rFonts w:hint="eastAsia" w:ascii="宋体" w:hAnsi="宋体" w:cs="宋体"/>
          <w:sz w:val="24"/>
          <w:lang w:val="zh-CN"/>
        </w:rPr>
        <w:t>法定代表人或                             法定代表人</w:t>
      </w:r>
    </w:p>
    <w:p w14:paraId="20B69A25">
      <w:pPr>
        <w:autoSpaceDE w:val="0"/>
        <w:autoSpaceDN w:val="0"/>
        <w:spacing w:line="360" w:lineRule="auto"/>
        <w:rPr>
          <w:rFonts w:ascii="宋体" w:hAnsi="宋体" w:cs="宋体"/>
          <w:sz w:val="24"/>
          <w:lang w:val="zh-CN"/>
        </w:rPr>
      </w:pPr>
      <w:r>
        <w:rPr>
          <w:rFonts w:hint="eastAsia" w:ascii="宋体" w:hAnsi="宋体" w:cs="宋体"/>
          <w:sz w:val="24"/>
          <w:lang w:val="zh-CN"/>
        </w:rPr>
        <w:t xml:space="preserve">授权代表（签字）：                        或授权代表（签字）: </w:t>
      </w:r>
    </w:p>
    <w:p w14:paraId="0DF36952">
      <w:pPr>
        <w:autoSpaceDE w:val="0"/>
        <w:autoSpaceDN w:val="0"/>
        <w:spacing w:line="360" w:lineRule="auto"/>
        <w:rPr>
          <w:rFonts w:ascii="宋体" w:hAnsi="宋体" w:cs="宋体"/>
          <w:sz w:val="24"/>
          <w:lang w:val="zh-CN"/>
        </w:rPr>
      </w:pPr>
      <w:r>
        <w:rPr>
          <w:rFonts w:hint="eastAsia" w:ascii="宋体" w:hAnsi="宋体" w:cs="宋体"/>
          <w:sz w:val="24"/>
          <w:lang w:val="zh-CN"/>
        </w:rPr>
        <w:t>联系人：                                 联系人：</w:t>
      </w:r>
    </w:p>
    <w:p w14:paraId="4EDDAE94">
      <w:pPr>
        <w:autoSpaceDE w:val="0"/>
        <w:autoSpaceDN w:val="0"/>
        <w:spacing w:line="360" w:lineRule="auto"/>
        <w:rPr>
          <w:rFonts w:ascii="宋体" w:hAnsi="宋体" w:cs="宋体"/>
          <w:sz w:val="24"/>
          <w:lang w:val="zh-CN"/>
        </w:rPr>
      </w:pPr>
      <w:r>
        <w:rPr>
          <w:rFonts w:hint="eastAsia" w:ascii="宋体" w:hAnsi="宋体" w:cs="宋体"/>
          <w:sz w:val="24"/>
          <w:lang w:val="zh-CN"/>
        </w:rPr>
        <w:t>约定送达地址：                           约定送达地址：</w:t>
      </w:r>
    </w:p>
    <w:p w14:paraId="7200E011">
      <w:pPr>
        <w:autoSpaceDE w:val="0"/>
        <w:autoSpaceDN w:val="0"/>
        <w:spacing w:line="360" w:lineRule="auto"/>
        <w:rPr>
          <w:rFonts w:ascii="宋体" w:hAnsi="宋体" w:cs="宋体"/>
          <w:sz w:val="24"/>
          <w:lang w:val="zh-CN"/>
        </w:rPr>
      </w:pPr>
      <w:r>
        <w:rPr>
          <w:rFonts w:hint="eastAsia" w:ascii="宋体" w:hAnsi="宋体" w:cs="宋体"/>
          <w:sz w:val="24"/>
          <w:lang w:val="zh-CN"/>
        </w:rPr>
        <w:t>邮政编码：                               邮政编码：</w:t>
      </w:r>
    </w:p>
    <w:p w14:paraId="6CF6E423">
      <w:pPr>
        <w:autoSpaceDE w:val="0"/>
        <w:autoSpaceDN w:val="0"/>
        <w:spacing w:line="360" w:lineRule="auto"/>
        <w:rPr>
          <w:rFonts w:ascii="宋体" w:hAnsi="宋体" w:cs="宋体"/>
          <w:sz w:val="24"/>
          <w:lang w:val="zh-CN"/>
        </w:rPr>
      </w:pPr>
      <w:r>
        <w:rPr>
          <w:rFonts w:hint="eastAsia" w:ascii="宋体" w:hAnsi="宋体" w:cs="宋体"/>
          <w:sz w:val="24"/>
          <w:lang w:val="zh-CN"/>
        </w:rPr>
        <w:t xml:space="preserve">电话:                                    电话: </w:t>
      </w:r>
    </w:p>
    <w:p w14:paraId="0A1230F4">
      <w:pPr>
        <w:autoSpaceDE w:val="0"/>
        <w:autoSpaceDN w:val="0"/>
        <w:spacing w:line="360" w:lineRule="auto"/>
        <w:rPr>
          <w:rFonts w:ascii="宋体" w:hAnsi="宋体" w:cs="宋体"/>
          <w:sz w:val="24"/>
          <w:lang w:val="zh-CN"/>
        </w:rPr>
      </w:pPr>
      <w:r>
        <w:rPr>
          <w:rFonts w:hint="eastAsia" w:ascii="宋体" w:hAnsi="宋体" w:cs="宋体"/>
          <w:sz w:val="24"/>
          <w:lang w:val="zh-CN"/>
        </w:rPr>
        <w:t>传真:                                    传真:</w:t>
      </w:r>
    </w:p>
    <w:p w14:paraId="1F8A79FB">
      <w:pPr>
        <w:autoSpaceDE w:val="0"/>
        <w:autoSpaceDN w:val="0"/>
        <w:spacing w:line="360" w:lineRule="auto"/>
        <w:rPr>
          <w:rFonts w:ascii="宋体" w:hAnsi="宋体" w:cs="宋体"/>
          <w:sz w:val="24"/>
        </w:rPr>
      </w:pPr>
      <w:r>
        <w:rPr>
          <w:rFonts w:hint="eastAsia" w:ascii="宋体" w:hAnsi="宋体" w:cs="宋体"/>
          <w:sz w:val="24"/>
          <w:lang w:val="zh-CN"/>
        </w:rPr>
        <w:t>电子邮箱：                               电子邮箱：</w:t>
      </w:r>
    </w:p>
    <w:p w14:paraId="2AB49C5B">
      <w:pPr>
        <w:autoSpaceDE w:val="0"/>
        <w:autoSpaceDN w:val="0"/>
        <w:spacing w:line="360" w:lineRule="auto"/>
        <w:rPr>
          <w:rFonts w:ascii="宋体" w:hAnsi="宋体" w:cs="宋体"/>
          <w:sz w:val="24"/>
        </w:rPr>
      </w:pPr>
      <w:r>
        <w:rPr>
          <w:rFonts w:hint="eastAsia" w:ascii="宋体" w:hAnsi="宋体" w:cs="宋体"/>
          <w:sz w:val="24"/>
        </w:rPr>
        <w:t xml:space="preserve">开户银行：                               开户银行： </w:t>
      </w:r>
    </w:p>
    <w:p w14:paraId="7CDAE8C1">
      <w:pPr>
        <w:autoSpaceDE w:val="0"/>
        <w:autoSpaceDN w:val="0"/>
        <w:spacing w:line="360" w:lineRule="auto"/>
        <w:rPr>
          <w:rFonts w:ascii="宋体" w:hAnsi="宋体" w:cs="宋体"/>
          <w:sz w:val="24"/>
        </w:rPr>
      </w:pPr>
      <w:r>
        <w:rPr>
          <w:rFonts w:hint="eastAsia" w:ascii="宋体" w:hAnsi="宋体" w:cs="宋体"/>
          <w:sz w:val="24"/>
        </w:rPr>
        <w:t xml:space="preserve">开户名称：                               开户名称： </w:t>
      </w:r>
    </w:p>
    <w:p w14:paraId="5747741B">
      <w:pPr>
        <w:autoSpaceDE w:val="0"/>
        <w:autoSpaceDN w:val="0"/>
        <w:spacing w:line="360" w:lineRule="auto"/>
        <w:rPr>
          <w:rFonts w:ascii="宋体" w:hAnsi="宋体" w:cs="宋体"/>
          <w:sz w:val="24"/>
        </w:rPr>
      </w:pPr>
      <w:r>
        <w:rPr>
          <w:rFonts w:hint="eastAsia" w:ascii="宋体" w:hAnsi="宋体" w:cs="宋体"/>
          <w:sz w:val="24"/>
        </w:rPr>
        <w:t>开户账号：开户账号：</w:t>
      </w:r>
    </w:p>
    <w:p w14:paraId="34ECEC16">
      <w:pPr>
        <w:pStyle w:val="2"/>
        <w:rPr>
          <w:rFonts w:ascii="宋体" w:hAnsi="宋体" w:cs="宋体"/>
          <w:sz w:val="24"/>
        </w:rPr>
      </w:pPr>
    </w:p>
    <w:p w14:paraId="3CD1DE77">
      <w:pPr>
        <w:widowControl/>
        <w:adjustRightInd/>
        <w:jc w:val="left"/>
        <w:rPr>
          <w:rFonts w:ascii="宋体" w:hAnsi="宋体" w:cs="宋体"/>
          <w:b/>
          <w:sz w:val="24"/>
        </w:rPr>
      </w:pPr>
      <w:r>
        <w:rPr>
          <w:rFonts w:ascii="宋体" w:hAnsi="宋体" w:cs="宋体"/>
          <w:b/>
        </w:rPr>
        <w:br w:type="page"/>
      </w:r>
    </w:p>
    <w:p w14:paraId="29C1D79E">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11"/>
    </w:p>
    <w:p w14:paraId="4B1E56F2">
      <w:pPr>
        <w:spacing w:line="560" w:lineRule="exact"/>
        <w:ind w:firstLine="482" w:firstLineChars="200"/>
        <w:outlineLvl w:val="0"/>
        <w:rPr>
          <w:rFonts w:ascii="宋体" w:hAnsi="宋体" w:cs="宋体"/>
          <w:b/>
          <w:sz w:val="24"/>
        </w:rPr>
      </w:pPr>
      <w:bookmarkStart w:id="412" w:name="_Ref467379205"/>
      <w:bookmarkStart w:id="413" w:name="_Ref467379214"/>
      <w:bookmarkStart w:id="414" w:name="_Toc487900349"/>
      <w:bookmarkStart w:id="415" w:name="_Ref467378499"/>
      <w:bookmarkStart w:id="416" w:name="_Ref467378404"/>
      <w:bookmarkStart w:id="417" w:name="_Toc19614"/>
      <w:bookmarkStart w:id="418" w:name="_Ref467379101"/>
      <w:bookmarkStart w:id="419" w:name="_Toc28763"/>
      <w:bookmarkStart w:id="420" w:name="_Toc16917"/>
      <w:bookmarkStart w:id="421" w:name="_Ref467379225"/>
      <w:bookmarkStart w:id="422" w:name="_Toc279701240"/>
      <w:bookmarkStart w:id="423" w:name="_Toc259093669"/>
      <w:bookmarkStart w:id="424" w:name="_Ref467379094"/>
      <w:bookmarkStart w:id="425" w:name="_Ref467379109"/>
      <w:bookmarkStart w:id="426" w:name="_Ref467378463"/>
      <w:bookmarkStart w:id="427" w:name="_Ref467379195"/>
      <w:r>
        <w:rPr>
          <w:rFonts w:hint="eastAsia" w:ascii="宋体" w:hAnsi="宋体" w:cs="宋体"/>
          <w:b/>
          <w:sz w:val="24"/>
        </w:rPr>
        <w:t>2.1 定义</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0B3225F">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5697C84E">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79A8DAFB">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5D7871BE">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14:paraId="70AC7CA8">
      <w:pPr>
        <w:spacing w:line="560" w:lineRule="exact"/>
        <w:ind w:firstLine="480" w:firstLineChars="200"/>
        <w:rPr>
          <w:rFonts w:ascii="宋体" w:hAnsi="宋体" w:cs="宋体"/>
          <w:sz w:val="24"/>
        </w:rPr>
      </w:pPr>
      <w:bookmarkStart w:id="428" w:name="_Ref467378840"/>
      <w:r>
        <w:rPr>
          <w:rFonts w:hint="eastAsia" w:ascii="宋体" w:hAnsi="宋体" w:cs="宋体"/>
          <w:sz w:val="24"/>
        </w:rPr>
        <w:t>2.1.4 “甲方”系指与中标供应商签署合同的采购人</w:t>
      </w:r>
      <w:bookmarkEnd w:id="428"/>
      <w:r>
        <w:rPr>
          <w:rFonts w:hint="eastAsia" w:ascii="宋体" w:hAnsi="宋体" w:cs="宋体"/>
          <w:sz w:val="24"/>
        </w:rPr>
        <w:t>；采购人委托采购代理机构代表其与乙方签订合同的，采购人的授权委托书作为合同附件。</w:t>
      </w:r>
    </w:p>
    <w:p w14:paraId="6DD221C9">
      <w:pPr>
        <w:spacing w:line="560" w:lineRule="exact"/>
        <w:ind w:firstLine="480" w:firstLineChars="200"/>
        <w:rPr>
          <w:rFonts w:ascii="宋体" w:hAnsi="宋体" w:cs="宋体"/>
          <w:sz w:val="24"/>
        </w:rPr>
      </w:pPr>
      <w:bookmarkStart w:id="429" w:name="_Ref467379400"/>
      <w:r>
        <w:rPr>
          <w:rFonts w:hint="eastAsia" w:ascii="宋体" w:hAnsi="宋体" w:cs="宋体"/>
          <w:sz w:val="24"/>
        </w:rPr>
        <w:t>2.1.5 “乙方”系指根据合同约定交付货物的中标供应商</w:t>
      </w:r>
      <w:bookmarkEnd w:id="429"/>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E5B7699">
      <w:pPr>
        <w:spacing w:line="560" w:lineRule="exact"/>
        <w:ind w:firstLine="480" w:firstLineChars="200"/>
        <w:rPr>
          <w:rFonts w:ascii="宋体" w:hAnsi="宋体" w:cs="宋体"/>
          <w:sz w:val="24"/>
        </w:rPr>
      </w:pPr>
      <w:bookmarkStart w:id="430" w:name="_Ref467379436"/>
      <w:r>
        <w:rPr>
          <w:rFonts w:hint="eastAsia" w:ascii="宋体" w:hAnsi="宋体" w:cs="宋体"/>
          <w:sz w:val="24"/>
        </w:rPr>
        <w:t>2.1.6 “现场”系指合同约定货物将要运至或者安装的地点。</w:t>
      </w:r>
      <w:bookmarkEnd w:id="430"/>
    </w:p>
    <w:p w14:paraId="31A47BB6">
      <w:pPr>
        <w:spacing w:line="560" w:lineRule="exact"/>
        <w:ind w:firstLine="482" w:firstLineChars="200"/>
        <w:outlineLvl w:val="0"/>
        <w:rPr>
          <w:rFonts w:ascii="宋体" w:hAnsi="宋体" w:cs="宋体"/>
          <w:b/>
          <w:sz w:val="24"/>
        </w:rPr>
      </w:pPr>
      <w:bookmarkStart w:id="431" w:name="_Toc27635"/>
      <w:bookmarkStart w:id="432" w:name="_Toc279701241"/>
      <w:bookmarkStart w:id="433" w:name="_Toc259093670"/>
      <w:bookmarkStart w:id="434" w:name="_Toc32504"/>
      <w:bookmarkStart w:id="435" w:name="_Toc487900350"/>
      <w:bookmarkStart w:id="436" w:name="_Toc13336"/>
      <w:r>
        <w:rPr>
          <w:rFonts w:hint="eastAsia" w:ascii="宋体" w:hAnsi="宋体" w:cs="宋体"/>
          <w:b/>
          <w:sz w:val="24"/>
        </w:rPr>
        <w:t>2.2 技术规范</w:t>
      </w:r>
      <w:bookmarkEnd w:id="431"/>
      <w:bookmarkEnd w:id="432"/>
      <w:bookmarkEnd w:id="433"/>
      <w:bookmarkEnd w:id="434"/>
      <w:bookmarkEnd w:id="435"/>
      <w:bookmarkEnd w:id="436"/>
    </w:p>
    <w:p w14:paraId="5AD9F05E">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F08AC10">
      <w:pPr>
        <w:spacing w:line="560" w:lineRule="exact"/>
        <w:ind w:firstLine="482" w:firstLineChars="200"/>
        <w:outlineLvl w:val="0"/>
        <w:rPr>
          <w:rFonts w:ascii="宋体" w:hAnsi="宋体" w:cs="宋体"/>
          <w:b/>
          <w:sz w:val="24"/>
        </w:rPr>
      </w:pPr>
      <w:bookmarkStart w:id="437" w:name="_Toc27853"/>
      <w:bookmarkStart w:id="438" w:name="_Toc259093671"/>
      <w:bookmarkStart w:id="439" w:name="_Toc9829"/>
      <w:bookmarkStart w:id="440" w:name="_Toc31634"/>
      <w:bookmarkStart w:id="441" w:name="_Toc487900351"/>
      <w:bookmarkStart w:id="442" w:name="_Toc279701242"/>
      <w:r>
        <w:rPr>
          <w:rFonts w:hint="eastAsia" w:ascii="宋体" w:hAnsi="宋体" w:cs="宋体"/>
          <w:b/>
          <w:sz w:val="24"/>
        </w:rPr>
        <w:t>2.3 知识产权</w:t>
      </w:r>
      <w:bookmarkEnd w:id="437"/>
      <w:bookmarkEnd w:id="438"/>
      <w:bookmarkEnd w:id="439"/>
      <w:bookmarkEnd w:id="440"/>
      <w:bookmarkEnd w:id="441"/>
      <w:bookmarkEnd w:id="442"/>
    </w:p>
    <w:p w14:paraId="063A9C17">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A55B08D">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34E24C82">
      <w:pPr>
        <w:spacing w:line="560" w:lineRule="exact"/>
        <w:ind w:firstLine="482" w:firstLineChars="200"/>
        <w:outlineLvl w:val="0"/>
        <w:rPr>
          <w:rFonts w:ascii="宋体" w:hAnsi="宋体" w:cs="宋体"/>
          <w:b/>
          <w:sz w:val="24"/>
        </w:rPr>
      </w:pPr>
      <w:bookmarkStart w:id="443" w:name="_Toc29149"/>
      <w:bookmarkStart w:id="444" w:name="_Toc11932"/>
      <w:bookmarkStart w:id="445" w:name="_Toc4194"/>
      <w:r>
        <w:rPr>
          <w:rFonts w:hint="eastAsia" w:ascii="宋体" w:hAnsi="宋体" w:cs="宋体"/>
          <w:b/>
          <w:sz w:val="24"/>
        </w:rPr>
        <w:t>2.4 包装和装运</w:t>
      </w:r>
      <w:bookmarkEnd w:id="443"/>
      <w:bookmarkEnd w:id="444"/>
      <w:bookmarkEnd w:id="445"/>
    </w:p>
    <w:p w14:paraId="1DFB125F">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F2595B3">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CDAD772">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6D4901E0">
      <w:pPr>
        <w:spacing w:line="560" w:lineRule="exact"/>
        <w:ind w:firstLine="482" w:firstLineChars="200"/>
        <w:outlineLvl w:val="0"/>
        <w:rPr>
          <w:rFonts w:ascii="宋体" w:hAnsi="宋体" w:cs="宋体"/>
          <w:b/>
          <w:sz w:val="24"/>
        </w:rPr>
      </w:pPr>
      <w:bookmarkStart w:id="446" w:name="_Toc259093674"/>
      <w:bookmarkStart w:id="447" w:name="_Toc279701245"/>
      <w:bookmarkStart w:id="448" w:name="_Ref467379527"/>
      <w:bookmarkStart w:id="449" w:name="_Ref467378541"/>
      <w:bookmarkStart w:id="450" w:name="_Ref467378591"/>
      <w:bookmarkStart w:id="451" w:name="_Ref467379536"/>
      <w:bookmarkStart w:id="452" w:name="_Toc487900354"/>
      <w:bookmarkStart w:id="453" w:name="_Ref467379542"/>
      <w:bookmarkStart w:id="454" w:name="_Toc30272"/>
      <w:bookmarkStart w:id="455" w:name="_Toc19074"/>
      <w:bookmarkStart w:id="456" w:name="_Toc26182"/>
      <w:r>
        <w:rPr>
          <w:rFonts w:hint="eastAsia" w:ascii="宋体" w:hAnsi="宋体" w:cs="宋体"/>
          <w:b/>
          <w:sz w:val="24"/>
        </w:rPr>
        <w:t>2.</w:t>
      </w:r>
      <w:bookmarkEnd w:id="446"/>
      <w:bookmarkEnd w:id="447"/>
      <w:bookmarkEnd w:id="448"/>
      <w:bookmarkEnd w:id="449"/>
      <w:bookmarkEnd w:id="450"/>
      <w:bookmarkEnd w:id="451"/>
      <w:bookmarkEnd w:id="452"/>
      <w:bookmarkEnd w:id="453"/>
      <w:r>
        <w:rPr>
          <w:rFonts w:hint="eastAsia" w:ascii="宋体" w:hAnsi="宋体" w:cs="宋体"/>
          <w:b/>
          <w:sz w:val="24"/>
        </w:rPr>
        <w:t>5 履约检查和问题反馈</w:t>
      </w:r>
      <w:bookmarkEnd w:id="454"/>
      <w:bookmarkEnd w:id="455"/>
      <w:bookmarkEnd w:id="456"/>
    </w:p>
    <w:p w14:paraId="67D9C261">
      <w:pPr>
        <w:spacing w:line="560" w:lineRule="exact"/>
        <w:ind w:firstLine="480" w:firstLineChars="200"/>
        <w:rPr>
          <w:rFonts w:ascii="宋体" w:hAnsi="宋体" w:cs="宋体"/>
          <w:sz w:val="24"/>
        </w:rPr>
      </w:pPr>
      <w:bookmarkStart w:id="457" w:name="_Ref467379657"/>
      <w:r>
        <w:rPr>
          <w:rFonts w:hint="eastAsia" w:ascii="宋体" w:hAnsi="宋体" w:cs="宋体"/>
          <w:sz w:val="24"/>
        </w:rPr>
        <w:t>2.5.1</w:t>
      </w:r>
      <w:bookmarkEnd w:id="457"/>
      <w:bookmarkStart w:id="458" w:name="_Toc186431854"/>
      <w:bookmarkStart w:id="459" w:name="_Ref467379793"/>
      <w:bookmarkStart w:id="460" w:name="_Toc487900357"/>
      <w:bookmarkStart w:id="461" w:name="_Ref467379807"/>
      <w:bookmarkStart w:id="462" w:name="_Toc259093676"/>
      <w:bookmarkStart w:id="463"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AA5CF32">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8"/>
      <w:bookmarkStart w:id="464" w:name="_Toc186431855"/>
      <w:r>
        <w:rPr>
          <w:rFonts w:hint="eastAsia" w:ascii="宋体" w:hAnsi="宋体" w:cs="宋体"/>
          <w:sz w:val="24"/>
        </w:rPr>
        <w:t>。</w:t>
      </w:r>
    </w:p>
    <w:bookmarkEnd w:id="459"/>
    <w:bookmarkEnd w:id="460"/>
    <w:bookmarkEnd w:id="461"/>
    <w:bookmarkEnd w:id="462"/>
    <w:bookmarkEnd w:id="463"/>
    <w:bookmarkEnd w:id="464"/>
    <w:p w14:paraId="326FBAB3">
      <w:pPr>
        <w:spacing w:line="560" w:lineRule="exact"/>
        <w:ind w:firstLine="482" w:firstLineChars="200"/>
        <w:outlineLvl w:val="0"/>
        <w:rPr>
          <w:rFonts w:ascii="宋体" w:hAnsi="宋体" w:cs="宋体"/>
          <w:b/>
          <w:sz w:val="24"/>
        </w:rPr>
      </w:pPr>
      <w:bookmarkStart w:id="465" w:name="_Ref467379863"/>
      <w:bookmarkStart w:id="466" w:name="_Ref467379852"/>
      <w:bookmarkStart w:id="467" w:name="_Toc259093677"/>
      <w:bookmarkStart w:id="468" w:name="_Ref467379923"/>
      <w:bookmarkStart w:id="469" w:name="_Toc487900358"/>
      <w:bookmarkStart w:id="470" w:name="_Toc279701248"/>
      <w:bookmarkStart w:id="471" w:name="_Toc3225"/>
      <w:bookmarkStart w:id="472" w:name="_Toc774"/>
      <w:bookmarkStart w:id="473" w:name="_Toc16110"/>
      <w:r>
        <w:rPr>
          <w:rFonts w:hint="eastAsia" w:ascii="宋体" w:hAnsi="宋体" w:cs="宋体"/>
          <w:b/>
          <w:sz w:val="24"/>
        </w:rPr>
        <w:t>2.6 技术资料</w:t>
      </w:r>
      <w:bookmarkEnd w:id="465"/>
      <w:bookmarkEnd w:id="466"/>
      <w:bookmarkEnd w:id="467"/>
      <w:bookmarkEnd w:id="468"/>
      <w:bookmarkEnd w:id="469"/>
      <w:bookmarkEnd w:id="470"/>
      <w:r>
        <w:rPr>
          <w:rFonts w:hint="eastAsia" w:ascii="宋体" w:hAnsi="宋体" w:cs="宋体"/>
          <w:b/>
          <w:sz w:val="24"/>
        </w:rPr>
        <w:t>和保密义务</w:t>
      </w:r>
      <w:bookmarkEnd w:id="471"/>
      <w:bookmarkEnd w:id="472"/>
      <w:bookmarkEnd w:id="473"/>
    </w:p>
    <w:p w14:paraId="7AFB1856">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06F8D75">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248FD63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ABEC95">
      <w:pPr>
        <w:spacing w:line="560" w:lineRule="exact"/>
        <w:ind w:firstLine="482" w:firstLineChars="200"/>
        <w:outlineLvl w:val="0"/>
        <w:rPr>
          <w:rFonts w:ascii="宋体" w:hAnsi="宋体" w:cs="宋体"/>
          <w:b/>
          <w:sz w:val="24"/>
        </w:rPr>
      </w:pPr>
      <w:bookmarkStart w:id="474" w:name="_Toc7860"/>
      <w:r>
        <w:rPr>
          <w:rFonts w:hint="eastAsia" w:ascii="宋体" w:hAnsi="宋体" w:cs="宋体"/>
          <w:b/>
          <w:sz w:val="24"/>
        </w:rPr>
        <w:t>2.7 质量保证</w:t>
      </w:r>
      <w:bookmarkEnd w:id="474"/>
    </w:p>
    <w:p w14:paraId="25E07683">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3A49BA68">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AF34E58">
      <w:pPr>
        <w:spacing w:line="560" w:lineRule="exact"/>
        <w:ind w:firstLine="482" w:firstLineChars="200"/>
        <w:outlineLvl w:val="0"/>
        <w:rPr>
          <w:rFonts w:ascii="宋体" w:hAnsi="宋体" w:cs="宋体"/>
          <w:b/>
          <w:sz w:val="24"/>
        </w:rPr>
      </w:pPr>
      <w:bookmarkStart w:id="475" w:name="_Toc17244"/>
      <w:bookmarkStart w:id="476" w:name="_Toc487900362"/>
      <w:bookmarkStart w:id="477" w:name="_Toc259093681"/>
      <w:bookmarkStart w:id="478" w:name="_Toc279701252"/>
      <w:r>
        <w:rPr>
          <w:rFonts w:hint="eastAsia" w:ascii="宋体" w:hAnsi="宋体" w:cs="宋体"/>
          <w:b/>
          <w:sz w:val="24"/>
        </w:rPr>
        <w:t>2.8 货物的风险负担</w:t>
      </w:r>
      <w:bookmarkEnd w:id="475"/>
    </w:p>
    <w:p w14:paraId="04910736">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957B22A">
      <w:pPr>
        <w:spacing w:line="560" w:lineRule="exact"/>
        <w:ind w:firstLine="482" w:firstLineChars="200"/>
        <w:outlineLvl w:val="0"/>
        <w:rPr>
          <w:rFonts w:ascii="宋体" w:hAnsi="宋体" w:cs="宋体"/>
          <w:b/>
          <w:sz w:val="24"/>
        </w:rPr>
      </w:pPr>
      <w:bookmarkStart w:id="479" w:name="_Toc14055"/>
      <w:r>
        <w:rPr>
          <w:rFonts w:hint="eastAsia" w:ascii="宋体" w:hAnsi="宋体" w:cs="宋体"/>
          <w:b/>
          <w:sz w:val="24"/>
        </w:rPr>
        <w:t>2.9 延迟交货</w:t>
      </w:r>
      <w:bookmarkEnd w:id="476"/>
      <w:bookmarkEnd w:id="477"/>
      <w:bookmarkEnd w:id="478"/>
      <w:bookmarkEnd w:id="479"/>
    </w:p>
    <w:p w14:paraId="679227EF">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F79B1DE">
      <w:pPr>
        <w:spacing w:line="560" w:lineRule="exact"/>
        <w:ind w:firstLine="482" w:firstLineChars="200"/>
        <w:outlineLvl w:val="0"/>
        <w:rPr>
          <w:rFonts w:ascii="宋体" w:hAnsi="宋体" w:cs="宋体"/>
          <w:b/>
          <w:sz w:val="24"/>
        </w:rPr>
      </w:pPr>
      <w:bookmarkStart w:id="480" w:name="_Toc7502"/>
      <w:bookmarkStart w:id="481" w:name="_Toc487900364"/>
      <w:bookmarkStart w:id="482" w:name="_Toc259093683"/>
      <w:bookmarkStart w:id="483" w:name="_Toc279701254"/>
      <w:bookmarkStart w:id="484" w:name="_Ref467378121"/>
      <w:r>
        <w:rPr>
          <w:rFonts w:hint="eastAsia" w:ascii="宋体" w:hAnsi="宋体" w:cs="宋体"/>
          <w:b/>
          <w:sz w:val="24"/>
        </w:rPr>
        <w:t>2.10 合同变更</w:t>
      </w:r>
      <w:bookmarkEnd w:id="480"/>
    </w:p>
    <w:p w14:paraId="443D2D8E">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5" w:name="_Toc259093688"/>
      <w:bookmarkStart w:id="486" w:name="_Toc487900369"/>
      <w:bookmarkStart w:id="487" w:name="_Toc279701259"/>
    </w:p>
    <w:p w14:paraId="0513AFF5">
      <w:pPr>
        <w:spacing w:line="560" w:lineRule="exact"/>
        <w:ind w:firstLine="482" w:firstLineChars="200"/>
        <w:outlineLvl w:val="0"/>
        <w:rPr>
          <w:rFonts w:ascii="宋体" w:hAnsi="宋体" w:cs="宋体"/>
          <w:b/>
          <w:sz w:val="24"/>
        </w:rPr>
      </w:pPr>
      <w:bookmarkStart w:id="488" w:name="_Toc15237"/>
      <w:bookmarkStart w:id="489" w:name="_Toc22955"/>
      <w:bookmarkStart w:id="490" w:name="_Toc10366"/>
      <w:r>
        <w:rPr>
          <w:rFonts w:hint="eastAsia" w:ascii="宋体" w:hAnsi="宋体" w:cs="宋体"/>
          <w:b/>
          <w:sz w:val="24"/>
        </w:rPr>
        <w:t>2.11 合同转让</w:t>
      </w:r>
      <w:bookmarkEnd w:id="485"/>
      <w:bookmarkEnd w:id="486"/>
      <w:bookmarkEnd w:id="487"/>
      <w:r>
        <w:rPr>
          <w:rFonts w:hint="eastAsia" w:ascii="宋体" w:hAnsi="宋体" w:cs="宋体"/>
          <w:b/>
          <w:sz w:val="24"/>
        </w:rPr>
        <w:t>和分包</w:t>
      </w:r>
      <w:bookmarkEnd w:id="488"/>
      <w:bookmarkEnd w:id="489"/>
      <w:bookmarkEnd w:id="490"/>
    </w:p>
    <w:p w14:paraId="688D11F9">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2D99D5">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28B56BF8">
      <w:pPr>
        <w:spacing w:line="560" w:lineRule="exact"/>
        <w:ind w:firstLine="482" w:firstLineChars="200"/>
        <w:outlineLvl w:val="0"/>
        <w:rPr>
          <w:rFonts w:ascii="宋体" w:hAnsi="宋体" w:cs="宋体"/>
          <w:b/>
          <w:sz w:val="24"/>
        </w:rPr>
      </w:pPr>
      <w:bookmarkStart w:id="491" w:name="_Toc14066"/>
      <w:bookmarkStart w:id="492" w:name="_Toc13566"/>
      <w:bookmarkStart w:id="493" w:name="_Toc16508"/>
      <w:r>
        <w:rPr>
          <w:rFonts w:hint="eastAsia" w:ascii="宋体" w:hAnsi="宋体" w:cs="宋体"/>
          <w:b/>
          <w:sz w:val="24"/>
        </w:rPr>
        <w:t>2.12 不可抗力</w:t>
      </w:r>
      <w:bookmarkEnd w:id="491"/>
      <w:bookmarkEnd w:id="492"/>
      <w:bookmarkEnd w:id="493"/>
    </w:p>
    <w:p w14:paraId="123C91F8">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2906A99F">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535FC37C">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338906F6">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4A54139E">
      <w:pPr>
        <w:spacing w:line="560" w:lineRule="exact"/>
        <w:ind w:firstLine="482" w:firstLineChars="200"/>
        <w:outlineLvl w:val="0"/>
        <w:rPr>
          <w:rFonts w:ascii="宋体" w:hAnsi="宋体" w:cs="宋体"/>
          <w:b/>
          <w:sz w:val="24"/>
        </w:rPr>
      </w:pPr>
      <w:bookmarkStart w:id="494" w:name="_Toc487900365"/>
      <w:bookmarkStart w:id="495" w:name="_Toc259093684"/>
      <w:bookmarkStart w:id="496" w:name="_Toc689"/>
      <w:bookmarkStart w:id="497" w:name="_Toc279701255"/>
      <w:bookmarkStart w:id="498" w:name="_Toc6969"/>
      <w:bookmarkStart w:id="499" w:name="_Toc30676"/>
      <w:r>
        <w:rPr>
          <w:rFonts w:hint="eastAsia" w:ascii="宋体" w:hAnsi="宋体" w:cs="宋体"/>
          <w:b/>
          <w:sz w:val="24"/>
        </w:rPr>
        <w:t>2.13 税费</w:t>
      </w:r>
      <w:bookmarkEnd w:id="494"/>
      <w:bookmarkEnd w:id="495"/>
      <w:bookmarkEnd w:id="496"/>
      <w:bookmarkEnd w:id="497"/>
      <w:bookmarkEnd w:id="498"/>
      <w:bookmarkEnd w:id="499"/>
    </w:p>
    <w:p w14:paraId="6C7CE119">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32CE336E">
      <w:pPr>
        <w:spacing w:line="560" w:lineRule="exact"/>
        <w:ind w:firstLine="482" w:firstLineChars="200"/>
        <w:outlineLvl w:val="0"/>
        <w:rPr>
          <w:rFonts w:ascii="宋体" w:hAnsi="宋体" w:cs="宋体"/>
          <w:b/>
          <w:sz w:val="24"/>
        </w:rPr>
      </w:pPr>
      <w:bookmarkStart w:id="500" w:name="_Toc279701258"/>
      <w:bookmarkStart w:id="501" w:name="_Toc8298"/>
      <w:bookmarkStart w:id="502" w:name="_Toc7102"/>
      <w:bookmarkStart w:id="503" w:name="_Toc487900368"/>
      <w:bookmarkStart w:id="504" w:name="_Toc259093687"/>
      <w:bookmarkStart w:id="505" w:name="_Toc16959"/>
      <w:r>
        <w:rPr>
          <w:rFonts w:hint="eastAsia" w:ascii="宋体" w:hAnsi="宋体" w:cs="宋体"/>
          <w:b/>
          <w:sz w:val="24"/>
        </w:rPr>
        <w:t>2.14乙方破产</w:t>
      </w:r>
      <w:bookmarkEnd w:id="500"/>
      <w:bookmarkEnd w:id="501"/>
      <w:bookmarkEnd w:id="502"/>
      <w:bookmarkEnd w:id="503"/>
      <w:bookmarkEnd w:id="504"/>
      <w:bookmarkEnd w:id="505"/>
    </w:p>
    <w:p w14:paraId="228467B1">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603B4F8">
      <w:pPr>
        <w:spacing w:line="560" w:lineRule="exact"/>
        <w:ind w:firstLine="482" w:firstLineChars="200"/>
        <w:outlineLvl w:val="0"/>
        <w:rPr>
          <w:rFonts w:ascii="宋体" w:hAnsi="宋体" w:cs="宋体"/>
          <w:b/>
          <w:sz w:val="24"/>
        </w:rPr>
      </w:pPr>
      <w:bookmarkStart w:id="506" w:name="_Toc15387"/>
      <w:bookmarkStart w:id="507" w:name="_Toc6134"/>
      <w:bookmarkStart w:id="508" w:name="_Toc29333"/>
      <w:r>
        <w:rPr>
          <w:rFonts w:hint="eastAsia" w:ascii="宋体" w:hAnsi="宋体" w:cs="宋体"/>
          <w:b/>
          <w:sz w:val="24"/>
        </w:rPr>
        <w:t>2.15 合同中止、终止</w:t>
      </w:r>
      <w:bookmarkEnd w:id="506"/>
      <w:bookmarkEnd w:id="507"/>
      <w:bookmarkEnd w:id="508"/>
    </w:p>
    <w:p w14:paraId="4F85B1B9">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3E9B4679">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624224C0">
      <w:pPr>
        <w:spacing w:line="560" w:lineRule="exact"/>
        <w:ind w:firstLine="482" w:firstLineChars="200"/>
        <w:outlineLvl w:val="0"/>
        <w:rPr>
          <w:rFonts w:ascii="宋体" w:hAnsi="宋体" w:cs="宋体"/>
          <w:b/>
          <w:sz w:val="24"/>
        </w:rPr>
      </w:pPr>
      <w:bookmarkStart w:id="509" w:name="_Toc14563"/>
      <w:bookmarkStart w:id="510" w:name="_Toc6596"/>
      <w:bookmarkStart w:id="511" w:name="_Toc1125"/>
      <w:r>
        <w:rPr>
          <w:rFonts w:hint="eastAsia" w:ascii="宋体" w:hAnsi="宋体" w:cs="宋体"/>
          <w:b/>
          <w:sz w:val="24"/>
        </w:rPr>
        <w:t>2.16检验和验收</w:t>
      </w:r>
      <w:bookmarkEnd w:id="509"/>
      <w:bookmarkEnd w:id="510"/>
      <w:bookmarkEnd w:id="511"/>
    </w:p>
    <w:p w14:paraId="2C37A062">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7C33D1E5">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A63C0DE">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1"/>
    <w:bookmarkEnd w:id="482"/>
    <w:bookmarkEnd w:id="483"/>
    <w:bookmarkEnd w:id="484"/>
    <w:p w14:paraId="200B735C">
      <w:pPr>
        <w:spacing w:line="560" w:lineRule="exact"/>
        <w:ind w:firstLine="482" w:firstLineChars="200"/>
        <w:outlineLvl w:val="0"/>
        <w:rPr>
          <w:rFonts w:ascii="宋体" w:hAnsi="宋体" w:cs="宋体"/>
          <w:b/>
          <w:sz w:val="24"/>
        </w:rPr>
      </w:pPr>
      <w:bookmarkStart w:id="512" w:name="_Toc487900371"/>
      <w:bookmarkStart w:id="513" w:name="_Toc279701261"/>
      <w:bookmarkStart w:id="514" w:name="_Toc259093690"/>
      <w:bookmarkStart w:id="515" w:name="_Toc19604"/>
      <w:bookmarkStart w:id="516" w:name="_Toc11284"/>
      <w:bookmarkStart w:id="517" w:name="_Toc25182"/>
      <w:r>
        <w:rPr>
          <w:rFonts w:hint="eastAsia" w:ascii="宋体" w:hAnsi="宋体" w:cs="宋体"/>
          <w:b/>
          <w:sz w:val="24"/>
        </w:rPr>
        <w:t>2.17 通知</w:t>
      </w:r>
      <w:bookmarkEnd w:id="512"/>
      <w:bookmarkEnd w:id="513"/>
      <w:bookmarkEnd w:id="514"/>
      <w:r>
        <w:rPr>
          <w:rFonts w:hint="eastAsia" w:ascii="宋体" w:hAnsi="宋体" w:cs="宋体"/>
          <w:b/>
          <w:sz w:val="24"/>
        </w:rPr>
        <w:t>和送达</w:t>
      </w:r>
      <w:bookmarkEnd w:id="515"/>
      <w:bookmarkEnd w:id="516"/>
      <w:bookmarkEnd w:id="517"/>
    </w:p>
    <w:p w14:paraId="104AEAD4">
      <w:pPr>
        <w:spacing w:line="560" w:lineRule="exact"/>
        <w:ind w:firstLine="480" w:firstLineChars="200"/>
        <w:rPr>
          <w:rFonts w:ascii="宋体" w:hAnsi="宋体" w:cs="宋体"/>
          <w:sz w:val="24"/>
        </w:rPr>
      </w:pPr>
      <w:bookmarkStart w:id="518" w:name="_Toc6698"/>
      <w:bookmarkStart w:id="519" w:name="_Toc3135"/>
      <w:bookmarkStart w:id="520" w:name="_Toc279701262"/>
      <w:bookmarkStart w:id="521" w:name="_Toc487900372"/>
      <w:bookmarkStart w:id="522"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8"/>
      <w:bookmarkEnd w:id="519"/>
    </w:p>
    <w:p w14:paraId="20E35C04">
      <w:pPr>
        <w:spacing w:line="560" w:lineRule="exact"/>
        <w:ind w:firstLine="480" w:firstLineChars="200"/>
        <w:rPr>
          <w:rFonts w:ascii="宋体" w:hAnsi="宋体" w:cs="宋体"/>
          <w:sz w:val="24"/>
        </w:rPr>
      </w:pPr>
      <w:bookmarkStart w:id="523" w:name="_Toc23294"/>
      <w:bookmarkStart w:id="524"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3"/>
      <w:bookmarkEnd w:id="524"/>
    </w:p>
    <w:p w14:paraId="4B1E76F2">
      <w:pPr>
        <w:spacing w:line="560" w:lineRule="exact"/>
        <w:ind w:firstLine="482" w:firstLineChars="200"/>
        <w:outlineLvl w:val="0"/>
        <w:rPr>
          <w:rFonts w:ascii="宋体" w:hAnsi="宋体" w:cs="宋体"/>
          <w:b/>
          <w:sz w:val="24"/>
        </w:rPr>
      </w:pPr>
      <w:bookmarkStart w:id="525" w:name="_Toc30599"/>
      <w:bookmarkStart w:id="526" w:name="_Toc18540"/>
      <w:bookmarkStart w:id="527" w:name="_Toc4355"/>
      <w:r>
        <w:rPr>
          <w:rFonts w:hint="eastAsia" w:ascii="宋体" w:hAnsi="宋体" w:cs="宋体"/>
          <w:b/>
          <w:sz w:val="24"/>
        </w:rPr>
        <w:t>2.18 计量单位</w:t>
      </w:r>
      <w:bookmarkEnd w:id="520"/>
      <w:bookmarkEnd w:id="521"/>
      <w:bookmarkEnd w:id="522"/>
      <w:bookmarkEnd w:id="525"/>
      <w:bookmarkEnd w:id="526"/>
      <w:bookmarkEnd w:id="527"/>
    </w:p>
    <w:p w14:paraId="3225AA40">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DD8CF74">
      <w:pPr>
        <w:spacing w:line="560" w:lineRule="exact"/>
        <w:ind w:firstLine="482" w:firstLineChars="200"/>
        <w:outlineLvl w:val="0"/>
        <w:rPr>
          <w:rFonts w:ascii="宋体" w:hAnsi="宋体" w:cs="宋体"/>
          <w:b/>
          <w:sz w:val="24"/>
        </w:rPr>
      </w:pPr>
      <w:bookmarkStart w:id="528" w:name="_Toc12773"/>
      <w:bookmarkStart w:id="529" w:name="_Toc10330"/>
      <w:bookmarkStart w:id="530" w:name="_Toc487900373"/>
      <w:bookmarkStart w:id="531" w:name="_Toc259093692"/>
      <w:bookmarkStart w:id="532" w:name="_Toc18567"/>
      <w:bookmarkStart w:id="533" w:name="_Toc279701263"/>
      <w:r>
        <w:rPr>
          <w:rFonts w:hint="eastAsia" w:ascii="宋体" w:hAnsi="宋体" w:cs="宋体"/>
          <w:b/>
          <w:sz w:val="24"/>
        </w:rPr>
        <w:t>2.19 合同使用的文字和适用的法律</w:t>
      </w:r>
      <w:bookmarkEnd w:id="528"/>
      <w:bookmarkEnd w:id="529"/>
      <w:bookmarkEnd w:id="530"/>
      <w:bookmarkEnd w:id="531"/>
      <w:bookmarkEnd w:id="532"/>
      <w:bookmarkEnd w:id="533"/>
    </w:p>
    <w:p w14:paraId="1CBC865C">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7B8CEB63">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409FEEB">
      <w:pPr>
        <w:spacing w:line="560" w:lineRule="exact"/>
        <w:ind w:firstLine="482" w:firstLineChars="200"/>
        <w:outlineLvl w:val="0"/>
        <w:rPr>
          <w:rFonts w:ascii="宋体" w:hAnsi="宋体" w:cs="宋体"/>
          <w:b/>
          <w:sz w:val="24"/>
        </w:rPr>
      </w:pPr>
      <w:bookmarkStart w:id="534" w:name="_Toc6885"/>
      <w:bookmarkStart w:id="535" w:name="_Toc14001"/>
      <w:bookmarkStart w:id="536" w:name="_Toc19890"/>
      <w:r>
        <w:rPr>
          <w:rFonts w:hint="eastAsia" w:ascii="宋体" w:hAnsi="宋体" w:cs="宋体"/>
          <w:b/>
          <w:sz w:val="24"/>
        </w:rPr>
        <w:t>2.22合同份数</w:t>
      </w:r>
      <w:bookmarkEnd w:id="534"/>
      <w:bookmarkEnd w:id="535"/>
      <w:bookmarkEnd w:id="536"/>
    </w:p>
    <w:p w14:paraId="3D057D9D">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54370A4D">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37" w:name="_Toc331685784"/>
      <w:r>
        <w:rPr>
          <w:rFonts w:hint="eastAsia" w:ascii="宋体" w:hAnsi="宋体" w:cs="宋体"/>
          <w:b/>
          <w:sz w:val="32"/>
          <w:szCs w:val="20"/>
        </w:rPr>
        <w:t xml:space="preserve"> </w:t>
      </w:r>
      <w:bookmarkEnd w:id="537"/>
      <w:r>
        <w:rPr>
          <w:rFonts w:hint="eastAsia" w:ascii="宋体" w:hAnsi="宋体" w:cs="宋体"/>
          <w:b/>
          <w:sz w:val="32"/>
          <w:szCs w:val="20"/>
        </w:rPr>
        <w:t>第三部分  合同专用条款</w:t>
      </w:r>
    </w:p>
    <w:p w14:paraId="62C67F52">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pPr w:leftFromText="180" w:rightFromText="180" w:vertAnchor="text" w:horzAnchor="page" w:tblpX="1395" w:tblpY="1666"/>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1A36D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2E58451A">
            <w:pPr>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cs="宋体"/>
                <w:b/>
                <w:sz w:val="24"/>
              </w:rPr>
            </w:pPr>
            <w:r>
              <w:rPr>
                <w:rFonts w:ascii="宋体" w:hAnsi="宋体" w:cs="宋体"/>
                <w:b/>
                <w:sz w:val="36"/>
                <w:szCs w:val="20"/>
              </w:rPr>
              <w:br w:type="page"/>
            </w:r>
            <w:r>
              <w:rPr>
                <w:rFonts w:hint="eastAsia" w:ascii="宋体" w:hAnsi="宋体" w:cs="宋体"/>
                <w:b/>
                <w:sz w:val="24"/>
              </w:rPr>
              <w:t>条款号</w:t>
            </w:r>
          </w:p>
        </w:tc>
        <w:tc>
          <w:tcPr>
            <w:tcW w:w="4533" w:type="pct"/>
            <w:vAlign w:val="center"/>
          </w:tcPr>
          <w:p w14:paraId="0F0EDCE6">
            <w:pPr>
              <w:keepNext w:val="0"/>
              <w:keepLines w:val="0"/>
              <w:pageBreakBefore w:val="0"/>
              <w:kinsoku/>
              <w:wordWrap/>
              <w:overflowPunct/>
              <w:topLinePunct w:val="0"/>
              <w:autoSpaceDE/>
              <w:autoSpaceDN/>
              <w:bidi w:val="0"/>
              <w:spacing w:line="360" w:lineRule="auto"/>
              <w:jc w:val="center"/>
              <w:textAlignment w:val="auto"/>
              <w:rPr>
                <w:rFonts w:ascii="宋体" w:hAnsi="宋体" w:cs="宋体"/>
                <w:b/>
                <w:sz w:val="24"/>
              </w:rPr>
            </w:pPr>
            <w:r>
              <w:rPr>
                <w:rFonts w:hint="eastAsia" w:ascii="宋体" w:hAnsi="宋体" w:cs="宋体"/>
                <w:b/>
                <w:sz w:val="24"/>
              </w:rPr>
              <w:t>约定内容</w:t>
            </w:r>
          </w:p>
        </w:tc>
      </w:tr>
      <w:tr w14:paraId="5053A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FF6C3AC">
            <w:pPr>
              <w:keepNext w:val="0"/>
              <w:keepLines w:val="0"/>
              <w:pageBreakBefore w:val="0"/>
              <w:kinsoku/>
              <w:wordWrap/>
              <w:overflowPunct/>
              <w:topLinePunct w:val="0"/>
              <w:autoSpaceDE/>
              <w:autoSpaceDN/>
              <w:bidi w:val="0"/>
              <w:spacing w:line="360" w:lineRule="auto"/>
              <w:textAlignment w:val="auto"/>
              <w:rPr>
                <w:sz w:val="24"/>
              </w:rPr>
            </w:pPr>
            <w:r>
              <w:rPr>
                <w:rFonts w:hint="eastAsia" w:ascii="宋体" w:hAnsi="宋体" w:cs="宋体"/>
                <w:sz w:val="24"/>
              </w:rPr>
              <w:t>1.4</w:t>
            </w:r>
          </w:p>
        </w:tc>
        <w:tc>
          <w:tcPr>
            <w:tcW w:w="4533" w:type="pct"/>
            <w:vAlign w:val="center"/>
          </w:tcPr>
          <w:p w14:paraId="64C4BCD3">
            <w:pPr>
              <w:keepNext w:val="0"/>
              <w:keepLines w:val="0"/>
              <w:pageBreakBefore w:val="0"/>
              <w:kinsoku/>
              <w:wordWrap/>
              <w:overflowPunct/>
              <w:topLinePunct w:val="0"/>
              <w:autoSpaceDE/>
              <w:autoSpaceDN/>
              <w:bidi w:val="0"/>
              <w:spacing w:line="360" w:lineRule="auto"/>
              <w:textAlignment w:val="auto"/>
              <w:rPr>
                <w:sz w:val="24"/>
              </w:rPr>
            </w:pPr>
            <w:r>
              <w:rPr>
                <w:rFonts w:hint="eastAsia"/>
                <w:sz w:val="24"/>
              </w:rPr>
              <w:t>乙方是需要支付履约保证金。</w:t>
            </w:r>
          </w:p>
        </w:tc>
      </w:tr>
      <w:tr w14:paraId="3DF9A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DAA9544">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1.4.1</w:t>
            </w:r>
          </w:p>
        </w:tc>
        <w:tc>
          <w:tcPr>
            <w:tcW w:w="4533" w:type="pct"/>
            <w:vAlign w:val="center"/>
          </w:tcPr>
          <w:p w14:paraId="056B9D9C">
            <w:pPr>
              <w:keepNext w:val="0"/>
              <w:keepLines w:val="0"/>
              <w:pageBreakBefore w:val="0"/>
              <w:kinsoku/>
              <w:wordWrap/>
              <w:overflowPunct/>
              <w:topLinePunct w:val="0"/>
              <w:autoSpaceDE/>
              <w:autoSpaceDN/>
              <w:bidi w:val="0"/>
              <w:spacing w:line="360" w:lineRule="auto"/>
              <w:textAlignment w:val="auto"/>
              <w:rPr>
                <w:sz w:val="24"/>
              </w:rPr>
            </w:pPr>
            <w:r>
              <w:rPr>
                <w:rFonts w:hint="eastAsia" w:ascii="宋体" w:hAnsi="宋体" w:cs="宋体"/>
                <w:kern w:val="0"/>
                <w:sz w:val="24"/>
              </w:rPr>
              <w:t>1%</w:t>
            </w:r>
          </w:p>
        </w:tc>
      </w:tr>
      <w:tr w14:paraId="02EC2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68FE099">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1.4.2</w:t>
            </w:r>
          </w:p>
        </w:tc>
        <w:tc>
          <w:tcPr>
            <w:tcW w:w="4533" w:type="pct"/>
            <w:vAlign w:val="center"/>
          </w:tcPr>
          <w:p w14:paraId="0F5CA83E">
            <w:pPr>
              <w:keepNext w:val="0"/>
              <w:keepLines w:val="0"/>
              <w:pageBreakBefore w:val="0"/>
              <w:kinsoku/>
              <w:wordWrap/>
              <w:overflowPunct/>
              <w:topLinePunct w:val="0"/>
              <w:autoSpaceDE/>
              <w:autoSpaceDN/>
              <w:bidi w:val="0"/>
              <w:spacing w:line="360" w:lineRule="auto"/>
              <w:textAlignment w:val="auto"/>
              <w:rPr>
                <w:sz w:val="24"/>
              </w:rPr>
            </w:pPr>
            <w:r>
              <w:rPr>
                <w:rFonts w:hint="eastAsia" w:ascii="宋体" w:hAnsi="宋体" w:cs="宋体"/>
                <w:sz w:val="24"/>
              </w:rPr>
              <w:t>签订合同之后支付合同总价的1%作为履约保证金，</w:t>
            </w:r>
            <w:r>
              <w:rPr>
                <w:rFonts w:hint="eastAsia" w:ascii="宋体" w:hAnsi="宋体" w:eastAsia="宋体" w:cs="宋体"/>
                <w:b w:val="0"/>
                <w:bCs w:val="0"/>
                <w:i w:val="0"/>
                <w:iCs w:val="0"/>
                <w:color w:val="auto"/>
                <w:kern w:val="2"/>
                <w:sz w:val="24"/>
                <w:szCs w:val="24"/>
                <w:highlight w:val="none"/>
                <w:lang w:val="en-US" w:eastAsia="zh-CN" w:bidi="ar"/>
              </w:rPr>
              <w:t>合同生效以及具备实施条件后</w:t>
            </w:r>
            <w:r>
              <w:rPr>
                <w:rFonts w:hint="default" w:ascii="宋体" w:hAnsi="宋体" w:cs="宋体"/>
                <w:b w:val="0"/>
                <w:bCs w:val="0"/>
                <w:i w:val="0"/>
                <w:iCs w:val="0"/>
                <w:color w:val="auto"/>
                <w:kern w:val="2"/>
                <w:sz w:val="24"/>
                <w:szCs w:val="24"/>
                <w:highlight w:val="none"/>
                <w:lang w:val="en-US" w:eastAsia="zh-CN" w:bidi="ar"/>
              </w:rPr>
              <w:t>5</w:t>
            </w:r>
            <w:r>
              <w:rPr>
                <w:rFonts w:hint="eastAsia" w:ascii="宋体" w:hAnsi="宋体" w:eastAsia="宋体" w:cs="宋体"/>
                <w:b w:val="0"/>
                <w:bCs w:val="0"/>
                <w:i w:val="0"/>
                <w:iCs w:val="0"/>
                <w:color w:val="auto"/>
                <w:kern w:val="2"/>
                <w:sz w:val="24"/>
                <w:szCs w:val="24"/>
                <w:highlight w:val="none"/>
                <w:lang w:val="en-US" w:eastAsia="zh-CN" w:bidi="ar"/>
              </w:rPr>
              <w:t>个工作日内支付</w:t>
            </w:r>
            <w:r>
              <w:rPr>
                <w:rFonts w:hint="eastAsia" w:ascii="宋体" w:hAnsi="宋体" w:cs="宋体"/>
                <w:sz w:val="24"/>
              </w:rPr>
              <w:t>合同金额的40％预付款，</w:t>
            </w:r>
            <w:r>
              <w:rPr>
                <w:rFonts w:hint="eastAsia" w:ascii="宋体" w:hAnsi="宋体" w:cs="宋体"/>
                <w:color w:val="auto"/>
                <w:kern w:val="0"/>
                <w:sz w:val="24"/>
                <w:szCs w:val="24"/>
                <w:highlight w:val="none"/>
                <w:lang w:val="en-US" w:eastAsia="zh-CN"/>
              </w:rPr>
              <w:t>货物进场完成安装后5个工作日内</w:t>
            </w:r>
            <w:r>
              <w:rPr>
                <w:rFonts w:hint="eastAsia" w:ascii="宋体" w:hAnsi="宋体" w:eastAsia="宋体" w:cs="宋体"/>
                <w:b w:val="0"/>
                <w:bCs w:val="0"/>
                <w:i w:val="0"/>
                <w:iCs w:val="0"/>
                <w:color w:val="auto"/>
                <w:kern w:val="2"/>
                <w:sz w:val="24"/>
                <w:szCs w:val="24"/>
                <w:highlight w:val="none"/>
                <w:lang w:val="en-US" w:eastAsia="zh-CN" w:bidi="ar"/>
              </w:rPr>
              <w:t>支付</w:t>
            </w:r>
            <w:r>
              <w:rPr>
                <w:rFonts w:hint="eastAsia" w:ascii="宋体" w:hAnsi="宋体" w:cs="宋体"/>
                <w:sz w:val="24"/>
              </w:rPr>
              <w:t>合同金额的40％</w:t>
            </w:r>
            <w:r>
              <w:rPr>
                <w:rFonts w:hint="eastAsia" w:ascii="宋体" w:hAnsi="宋体" w:cs="宋体"/>
                <w:sz w:val="24"/>
                <w:lang w:eastAsia="zh-CN"/>
              </w:rPr>
              <w:t>，</w:t>
            </w:r>
            <w:r>
              <w:rPr>
                <w:rFonts w:hint="eastAsia" w:ascii="宋体" w:hAnsi="宋体" w:cs="宋体"/>
                <w:color w:val="auto"/>
                <w:kern w:val="0"/>
                <w:sz w:val="24"/>
                <w:szCs w:val="24"/>
                <w:highlight w:val="none"/>
                <w:lang w:val="en-US" w:eastAsia="zh-CN"/>
              </w:rPr>
              <w:t>验收合格后5个工作日内</w:t>
            </w:r>
            <w:r>
              <w:rPr>
                <w:rFonts w:hint="eastAsia" w:ascii="宋体" w:hAnsi="宋体" w:eastAsia="宋体" w:cs="宋体"/>
                <w:b w:val="0"/>
                <w:bCs w:val="0"/>
                <w:i w:val="0"/>
                <w:iCs w:val="0"/>
                <w:color w:val="auto"/>
                <w:kern w:val="2"/>
                <w:sz w:val="24"/>
                <w:szCs w:val="24"/>
                <w:highlight w:val="none"/>
                <w:lang w:val="en-US" w:eastAsia="zh-CN" w:bidi="ar"/>
              </w:rPr>
              <w:t>支付</w:t>
            </w:r>
            <w:r>
              <w:rPr>
                <w:rFonts w:hint="eastAsia" w:ascii="宋体" w:hAnsi="宋体" w:cs="宋体"/>
                <w:sz w:val="24"/>
              </w:rPr>
              <w:t>合同金额的</w:t>
            </w:r>
            <w:r>
              <w:rPr>
                <w:rFonts w:hint="eastAsia" w:ascii="宋体" w:hAnsi="宋体" w:cs="宋体"/>
                <w:sz w:val="24"/>
                <w:lang w:val="en-US" w:eastAsia="zh-CN"/>
              </w:rPr>
              <w:t>2</w:t>
            </w:r>
            <w:r>
              <w:rPr>
                <w:rFonts w:hint="eastAsia" w:ascii="宋体" w:hAnsi="宋体" w:cs="宋体"/>
                <w:sz w:val="24"/>
              </w:rPr>
              <w:t>0％。</w:t>
            </w:r>
          </w:p>
        </w:tc>
      </w:tr>
      <w:tr w14:paraId="7AACA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039CF9D">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1.5</w:t>
            </w:r>
          </w:p>
        </w:tc>
        <w:tc>
          <w:tcPr>
            <w:tcW w:w="4533" w:type="pct"/>
            <w:vAlign w:val="center"/>
          </w:tcPr>
          <w:p w14:paraId="1409F07C">
            <w:pPr>
              <w:keepNext w:val="0"/>
              <w:keepLines w:val="0"/>
              <w:pageBreakBefore w:val="0"/>
              <w:kinsoku/>
              <w:wordWrap/>
              <w:overflowPunct/>
              <w:topLinePunct w:val="0"/>
              <w:autoSpaceDE/>
              <w:autoSpaceDN/>
              <w:bidi w:val="0"/>
              <w:spacing w:line="360" w:lineRule="auto"/>
              <w:textAlignment w:val="auto"/>
              <w:rPr>
                <w:rFonts w:ascii="宋体" w:hAnsi="宋体" w:cs="宋体"/>
                <w:sz w:val="24"/>
                <w:highlight w:val="yellow"/>
                <w:lang w:bidi="ar"/>
              </w:rPr>
            </w:pPr>
            <w:r>
              <w:rPr>
                <w:sz w:val="24"/>
              </w:rPr>
              <w:t>预付款比例、支付方式、时间</w:t>
            </w:r>
          </w:p>
        </w:tc>
      </w:tr>
      <w:tr w14:paraId="07694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CF77720">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1.5.1</w:t>
            </w:r>
          </w:p>
        </w:tc>
        <w:tc>
          <w:tcPr>
            <w:tcW w:w="4533" w:type="pct"/>
            <w:vAlign w:val="center"/>
          </w:tcPr>
          <w:p w14:paraId="2B84BBC9">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合同签订生效后</w:t>
            </w:r>
            <w:r>
              <w:rPr>
                <w:rFonts w:hint="eastAsia" w:ascii="宋体" w:hAnsi="宋体" w:cs="宋体"/>
                <w:sz w:val="24"/>
                <w:lang w:val="en-US" w:eastAsia="zh-CN"/>
              </w:rPr>
              <w:t>5</w:t>
            </w:r>
            <w:r>
              <w:rPr>
                <w:rFonts w:hint="eastAsia" w:ascii="宋体" w:hAnsi="宋体" w:cs="宋体"/>
                <w:sz w:val="24"/>
              </w:rPr>
              <w:t>个工作日内支付合同金额的40％预付款</w:t>
            </w:r>
          </w:p>
        </w:tc>
      </w:tr>
      <w:tr w14:paraId="110BB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C0A3B46">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1.6</w:t>
            </w:r>
          </w:p>
        </w:tc>
        <w:tc>
          <w:tcPr>
            <w:tcW w:w="4533" w:type="pct"/>
            <w:vAlign w:val="center"/>
          </w:tcPr>
          <w:p w14:paraId="387CE37A">
            <w:pPr>
              <w:pStyle w:val="57"/>
              <w:keepNext w:val="0"/>
              <w:keepLines w:val="0"/>
              <w:pageBreakBefore w:val="0"/>
              <w:kinsoku/>
              <w:wordWrap/>
              <w:overflowPunct/>
              <w:topLinePunct w:val="0"/>
              <w:autoSpaceDE/>
              <w:autoSpaceDN/>
              <w:bidi w:val="0"/>
              <w:snapToGrid w:val="0"/>
              <w:spacing w:before="0" w:beforeAutospacing="0" w:after="0" w:afterAutospacing="0" w:line="360" w:lineRule="auto"/>
              <w:textAlignment w:val="auto"/>
            </w:pPr>
            <w:r>
              <w:rPr>
                <w:rFonts w:ascii="Times New Roman" w:hAnsi="Times New Roman"/>
              </w:rPr>
              <w:t>资金支付的方式、时间和条件</w:t>
            </w:r>
          </w:p>
        </w:tc>
      </w:tr>
      <w:tr w14:paraId="241D9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990FCD0">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1.6.2</w:t>
            </w:r>
          </w:p>
        </w:tc>
        <w:tc>
          <w:tcPr>
            <w:tcW w:w="4533" w:type="pct"/>
            <w:vAlign w:val="center"/>
          </w:tcPr>
          <w:p w14:paraId="07B18EDC">
            <w:pPr>
              <w:keepNext w:val="0"/>
              <w:keepLines w:val="0"/>
              <w:pageBreakBefore w:val="0"/>
              <w:kinsoku/>
              <w:wordWrap/>
              <w:overflowPunct/>
              <w:topLinePunct w:val="0"/>
              <w:autoSpaceDE/>
              <w:autoSpaceDN/>
              <w:bidi w:val="0"/>
              <w:adjustRightInd/>
              <w:spacing w:line="360" w:lineRule="auto"/>
              <w:textAlignment w:val="auto"/>
              <w:rPr>
                <w:rFonts w:ascii="宋体" w:hAnsi="宋体"/>
                <w:kern w:val="0"/>
                <w:sz w:val="24"/>
              </w:rPr>
            </w:pPr>
            <w:r>
              <w:rPr>
                <w:rFonts w:hint="eastAsia" w:ascii="宋体" w:hAnsi="宋体" w:cs="宋体"/>
                <w:sz w:val="24"/>
              </w:rPr>
              <w:t>签订合同之后支付合同总价的1%作为履约保证金，</w:t>
            </w:r>
            <w:r>
              <w:rPr>
                <w:rFonts w:hint="eastAsia" w:ascii="宋体" w:hAnsi="宋体" w:eastAsia="宋体" w:cs="宋体"/>
                <w:b w:val="0"/>
                <w:bCs w:val="0"/>
                <w:i w:val="0"/>
                <w:iCs w:val="0"/>
                <w:color w:val="auto"/>
                <w:kern w:val="2"/>
                <w:sz w:val="24"/>
                <w:szCs w:val="24"/>
                <w:highlight w:val="none"/>
                <w:lang w:val="en-US" w:eastAsia="zh-CN" w:bidi="ar"/>
              </w:rPr>
              <w:t>合同生效以及具备实施条件后</w:t>
            </w:r>
            <w:r>
              <w:rPr>
                <w:rFonts w:hint="default" w:ascii="宋体" w:hAnsi="宋体" w:cs="宋体"/>
                <w:b w:val="0"/>
                <w:bCs w:val="0"/>
                <w:i w:val="0"/>
                <w:iCs w:val="0"/>
                <w:color w:val="auto"/>
                <w:kern w:val="2"/>
                <w:sz w:val="24"/>
                <w:szCs w:val="24"/>
                <w:highlight w:val="none"/>
                <w:lang w:val="en-US" w:eastAsia="zh-CN" w:bidi="ar"/>
              </w:rPr>
              <w:t>5</w:t>
            </w:r>
            <w:r>
              <w:rPr>
                <w:rFonts w:hint="eastAsia" w:ascii="宋体" w:hAnsi="宋体" w:eastAsia="宋体" w:cs="宋体"/>
                <w:b w:val="0"/>
                <w:bCs w:val="0"/>
                <w:i w:val="0"/>
                <w:iCs w:val="0"/>
                <w:color w:val="auto"/>
                <w:kern w:val="2"/>
                <w:sz w:val="24"/>
                <w:szCs w:val="24"/>
                <w:highlight w:val="none"/>
                <w:lang w:val="en-US" w:eastAsia="zh-CN" w:bidi="ar"/>
              </w:rPr>
              <w:t>个工作日内支付</w:t>
            </w:r>
            <w:r>
              <w:rPr>
                <w:rFonts w:hint="eastAsia" w:ascii="宋体" w:hAnsi="宋体" w:cs="宋体"/>
                <w:sz w:val="24"/>
              </w:rPr>
              <w:t>合同金额的40％预付款，</w:t>
            </w:r>
            <w:r>
              <w:rPr>
                <w:rFonts w:hint="eastAsia" w:ascii="宋体" w:hAnsi="宋体" w:cs="宋体"/>
                <w:color w:val="auto"/>
                <w:kern w:val="0"/>
                <w:sz w:val="24"/>
                <w:szCs w:val="24"/>
                <w:highlight w:val="none"/>
                <w:lang w:val="en-US" w:eastAsia="zh-CN"/>
              </w:rPr>
              <w:t>货物进场完成安装后5个工作日内</w:t>
            </w:r>
            <w:r>
              <w:rPr>
                <w:rFonts w:hint="eastAsia" w:ascii="宋体" w:hAnsi="宋体" w:eastAsia="宋体" w:cs="宋体"/>
                <w:b w:val="0"/>
                <w:bCs w:val="0"/>
                <w:i w:val="0"/>
                <w:iCs w:val="0"/>
                <w:color w:val="auto"/>
                <w:kern w:val="2"/>
                <w:sz w:val="24"/>
                <w:szCs w:val="24"/>
                <w:highlight w:val="none"/>
                <w:lang w:val="en-US" w:eastAsia="zh-CN" w:bidi="ar"/>
              </w:rPr>
              <w:t>支付</w:t>
            </w:r>
            <w:r>
              <w:rPr>
                <w:rFonts w:hint="eastAsia" w:ascii="宋体" w:hAnsi="宋体" w:cs="宋体"/>
                <w:sz w:val="24"/>
              </w:rPr>
              <w:t>合同金额的40％</w:t>
            </w:r>
            <w:r>
              <w:rPr>
                <w:rFonts w:hint="eastAsia" w:ascii="宋体" w:hAnsi="宋体" w:cs="宋体"/>
                <w:sz w:val="24"/>
                <w:lang w:eastAsia="zh-CN"/>
              </w:rPr>
              <w:t>，</w:t>
            </w:r>
            <w:r>
              <w:rPr>
                <w:rFonts w:hint="eastAsia" w:ascii="宋体" w:hAnsi="宋体" w:cs="宋体"/>
                <w:color w:val="auto"/>
                <w:kern w:val="0"/>
                <w:sz w:val="24"/>
                <w:szCs w:val="24"/>
                <w:highlight w:val="none"/>
                <w:lang w:val="en-US" w:eastAsia="zh-CN"/>
              </w:rPr>
              <w:t>验收合格后5个工作日内</w:t>
            </w:r>
            <w:r>
              <w:rPr>
                <w:rFonts w:hint="eastAsia" w:ascii="宋体" w:hAnsi="宋体" w:eastAsia="宋体" w:cs="宋体"/>
                <w:b w:val="0"/>
                <w:bCs w:val="0"/>
                <w:i w:val="0"/>
                <w:iCs w:val="0"/>
                <w:color w:val="auto"/>
                <w:kern w:val="2"/>
                <w:sz w:val="24"/>
                <w:szCs w:val="24"/>
                <w:highlight w:val="none"/>
                <w:lang w:val="en-US" w:eastAsia="zh-CN" w:bidi="ar"/>
              </w:rPr>
              <w:t>支付</w:t>
            </w:r>
            <w:r>
              <w:rPr>
                <w:rFonts w:hint="eastAsia" w:ascii="宋体" w:hAnsi="宋体" w:cs="宋体"/>
                <w:sz w:val="24"/>
              </w:rPr>
              <w:t>合同金额的</w:t>
            </w:r>
            <w:r>
              <w:rPr>
                <w:rFonts w:hint="eastAsia" w:ascii="宋体" w:hAnsi="宋体" w:cs="宋体"/>
                <w:sz w:val="24"/>
                <w:lang w:val="en-US" w:eastAsia="zh-CN"/>
              </w:rPr>
              <w:t>2</w:t>
            </w:r>
            <w:r>
              <w:rPr>
                <w:rFonts w:hint="eastAsia" w:ascii="宋体" w:hAnsi="宋体" w:cs="宋体"/>
                <w:sz w:val="24"/>
              </w:rPr>
              <w:t>0％</w:t>
            </w:r>
            <w:r>
              <w:rPr>
                <w:rFonts w:hint="eastAsia" w:ascii="宋体" w:hAnsi="宋体" w:cs="宋体"/>
                <w:sz w:val="24"/>
                <w:lang w:eastAsia="zh-CN"/>
              </w:rPr>
              <w:t>，</w:t>
            </w:r>
            <w:r>
              <w:rPr>
                <w:rFonts w:hint="eastAsia" w:ascii="宋体" w:hAnsi="宋体" w:cs="宋体"/>
                <w:sz w:val="24"/>
              </w:rPr>
              <w:t>并退还履约保证金。</w:t>
            </w:r>
          </w:p>
        </w:tc>
      </w:tr>
      <w:tr w14:paraId="60AD9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424A87D">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1.7</w:t>
            </w:r>
          </w:p>
        </w:tc>
        <w:tc>
          <w:tcPr>
            <w:tcW w:w="4533" w:type="pct"/>
            <w:vAlign w:val="center"/>
          </w:tcPr>
          <w:p w14:paraId="348F613A">
            <w:pPr>
              <w:keepNext w:val="0"/>
              <w:keepLines w:val="0"/>
              <w:pageBreakBefore w:val="0"/>
              <w:kinsoku/>
              <w:wordWrap/>
              <w:overflowPunct/>
              <w:topLinePunct w:val="0"/>
              <w:autoSpaceDE/>
              <w:autoSpaceDN/>
              <w:bidi w:val="0"/>
              <w:spacing w:line="360" w:lineRule="auto"/>
              <w:textAlignment w:val="auto"/>
              <w:rPr>
                <w:rFonts w:ascii="宋体" w:hAnsi="宋体"/>
                <w:kern w:val="0"/>
                <w:sz w:val="24"/>
              </w:rPr>
            </w:pPr>
            <w:r>
              <w:rPr>
                <w:b/>
                <w:sz w:val="24"/>
              </w:rPr>
              <w:t>货物交付期限、地点和方式</w:t>
            </w:r>
          </w:p>
        </w:tc>
      </w:tr>
      <w:tr w14:paraId="20051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E53D912">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1.7.1</w:t>
            </w:r>
          </w:p>
        </w:tc>
        <w:tc>
          <w:tcPr>
            <w:tcW w:w="4533" w:type="pct"/>
            <w:vAlign w:val="center"/>
          </w:tcPr>
          <w:p w14:paraId="2017A879">
            <w:pPr>
              <w:keepNext w:val="0"/>
              <w:keepLines w:val="0"/>
              <w:pageBreakBefore w:val="0"/>
              <w:kinsoku/>
              <w:wordWrap/>
              <w:overflowPunct/>
              <w:topLinePunct w:val="0"/>
              <w:autoSpaceDE/>
              <w:autoSpaceDN/>
              <w:bidi w:val="0"/>
              <w:snapToGrid w:val="0"/>
              <w:spacing w:line="360" w:lineRule="auto"/>
              <w:textAlignment w:val="auto"/>
              <w:rPr>
                <w:rFonts w:ascii="宋体" w:hAnsi="宋体"/>
                <w:kern w:val="0"/>
                <w:sz w:val="24"/>
              </w:rPr>
            </w:pPr>
            <w:r>
              <w:rPr>
                <w:b/>
                <w:bCs/>
                <w:sz w:val="24"/>
              </w:rPr>
              <w:t>交付期限：</w:t>
            </w:r>
            <w:r>
              <w:rPr>
                <w:rFonts w:hint="eastAsia" w:ascii="宋体" w:hAnsi="宋体" w:cs="宋体"/>
                <w:bCs/>
                <w:snapToGrid w:val="0"/>
                <w:kern w:val="28"/>
                <w:sz w:val="24"/>
                <w:szCs w:val="20"/>
              </w:rPr>
              <w:t>合同签订后</w:t>
            </w:r>
            <w:r>
              <w:rPr>
                <w:rFonts w:hint="eastAsia" w:ascii="宋体" w:hAnsi="宋体" w:cs="宋体"/>
                <w:bCs/>
                <w:snapToGrid w:val="0"/>
                <w:kern w:val="28"/>
                <w:sz w:val="24"/>
                <w:szCs w:val="20"/>
                <w:lang w:val="en-US" w:eastAsia="zh-CN"/>
              </w:rPr>
              <w:t>2</w:t>
            </w:r>
            <w:r>
              <w:rPr>
                <w:rFonts w:hint="eastAsia" w:ascii="宋体" w:hAnsi="宋体" w:cs="宋体"/>
                <w:bCs/>
                <w:snapToGrid w:val="0"/>
                <w:kern w:val="28"/>
                <w:sz w:val="24"/>
                <w:szCs w:val="20"/>
              </w:rPr>
              <w:t>0天内完成设备及材料供货、安装、调试、</w:t>
            </w:r>
            <w:r>
              <w:rPr>
                <w:rFonts w:hint="eastAsia" w:ascii="宋体" w:hAnsi="宋体" w:cs="宋体"/>
                <w:bCs/>
                <w:snapToGrid w:val="0"/>
                <w:kern w:val="28"/>
                <w:sz w:val="24"/>
                <w:szCs w:val="20"/>
                <w:lang w:eastAsia="zh-CN"/>
              </w:rPr>
              <w:t>培训、</w:t>
            </w:r>
            <w:r>
              <w:rPr>
                <w:rFonts w:hint="eastAsia" w:ascii="宋体" w:hAnsi="宋体" w:cs="宋体"/>
                <w:bCs/>
                <w:snapToGrid w:val="0"/>
                <w:kern w:val="28"/>
                <w:sz w:val="24"/>
                <w:szCs w:val="20"/>
              </w:rPr>
              <w:t>试运行、正式验收及交付使用，具体应与工程施工总进度计划同步</w:t>
            </w:r>
            <w:r>
              <w:rPr>
                <w:rFonts w:hint="eastAsia" w:asciiTheme="minorEastAsia" w:hAnsiTheme="minorEastAsia" w:eastAsiaTheme="minorEastAsia" w:cstheme="minorEastAsia"/>
                <w:sz w:val="24"/>
              </w:rPr>
              <w:t>。</w:t>
            </w:r>
          </w:p>
        </w:tc>
      </w:tr>
      <w:tr w14:paraId="0FB43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00F6F41">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1.7.2</w:t>
            </w:r>
          </w:p>
        </w:tc>
        <w:tc>
          <w:tcPr>
            <w:tcW w:w="4533" w:type="pct"/>
            <w:vAlign w:val="center"/>
          </w:tcPr>
          <w:p w14:paraId="78EFD1E2">
            <w:pPr>
              <w:keepNext w:val="0"/>
              <w:keepLines w:val="0"/>
              <w:pageBreakBefore w:val="0"/>
              <w:kinsoku/>
              <w:wordWrap/>
              <w:overflowPunct/>
              <w:topLinePunct w:val="0"/>
              <w:autoSpaceDE/>
              <w:autoSpaceDN/>
              <w:bidi w:val="0"/>
              <w:snapToGrid w:val="0"/>
              <w:spacing w:line="360" w:lineRule="auto"/>
              <w:textAlignment w:val="auto"/>
              <w:rPr>
                <w:rFonts w:eastAsia="仿宋"/>
                <w:b/>
                <w:bCs/>
                <w:sz w:val="24"/>
              </w:rPr>
            </w:pPr>
            <w:r>
              <w:rPr>
                <w:b/>
                <w:bCs/>
                <w:sz w:val="24"/>
              </w:rPr>
              <w:t>交付地点：</w:t>
            </w:r>
          </w:p>
          <w:p w14:paraId="3685BF52">
            <w:pPr>
              <w:keepNext w:val="0"/>
              <w:keepLines w:val="0"/>
              <w:pageBreakBefore w:val="0"/>
              <w:kinsoku/>
              <w:wordWrap/>
              <w:overflowPunct/>
              <w:topLinePunct w:val="0"/>
              <w:autoSpaceDE/>
              <w:autoSpaceDN/>
              <w:bidi w:val="0"/>
              <w:spacing w:line="360" w:lineRule="auto"/>
              <w:textAlignment w:val="auto"/>
              <w:rPr>
                <w:rFonts w:ascii="宋体" w:hAnsi="宋体"/>
                <w:kern w:val="0"/>
                <w:sz w:val="24"/>
              </w:rPr>
            </w:pPr>
            <w:r>
              <w:rPr>
                <w:rFonts w:hint="eastAsia" w:ascii="宋体" w:hAnsi="宋体"/>
                <w:kern w:val="0"/>
                <w:sz w:val="24"/>
              </w:rPr>
              <w:t>采购人指定学校</w:t>
            </w:r>
          </w:p>
        </w:tc>
      </w:tr>
      <w:tr w14:paraId="6379B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DC1B072">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1.7.3</w:t>
            </w:r>
          </w:p>
        </w:tc>
        <w:tc>
          <w:tcPr>
            <w:tcW w:w="4533" w:type="pct"/>
            <w:vAlign w:val="center"/>
          </w:tcPr>
          <w:p w14:paraId="4053ADC6">
            <w:pPr>
              <w:keepNext w:val="0"/>
              <w:keepLines w:val="0"/>
              <w:pageBreakBefore w:val="0"/>
              <w:kinsoku/>
              <w:wordWrap/>
              <w:overflowPunct/>
              <w:topLinePunct w:val="0"/>
              <w:autoSpaceDE/>
              <w:autoSpaceDN/>
              <w:bidi w:val="0"/>
              <w:snapToGrid w:val="0"/>
              <w:spacing w:line="360" w:lineRule="auto"/>
              <w:textAlignment w:val="auto"/>
              <w:rPr>
                <w:rFonts w:eastAsia="仿宋"/>
                <w:b/>
                <w:bCs/>
                <w:sz w:val="24"/>
              </w:rPr>
            </w:pPr>
            <w:r>
              <w:rPr>
                <w:b/>
                <w:bCs/>
                <w:sz w:val="24"/>
              </w:rPr>
              <w:t>交付方式：</w:t>
            </w:r>
          </w:p>
          <w:p w14:paraId="20966788">
            <w:pPr>
              <w:keepNext w:val="0"/>
              <w:keepLines w:val="0"/>
              <w:pageBreakBefore w:val="0"/>
              <w:kinsoku/>
              <w:wordWrap/>
              <w:overflowPunct/>
              <w:topLinePunct w:val="0"/>
              <w:autoSpaceDE/>
              <w:autoSpaceDN/>
              <w:bidi w:val="0"/>
              <w:adjustRightInd/>
              <w:spacing w:line="360" w:lineRule="auto"/>
              <w:textAlignment w:val="auto"/>
              <w:rPr>
                <w:rFonts w:ascii="宋体" w:hAnsi="宋体"/>
                <w:kern w:val="0"/>
                <w:sz w:val="24"/>
              </w:rPr>
            </w:pPr>
            <w:r>
              <w:rPr>
                <w:rFonts w:hint="eastAsia" w:ascii="宋体" w:hAnsi="宋体"/>
                <w:kern w:val="0"/>
                <w:sz w:val="24"/>
              </w:rPr>
              <w:t>现场交付。</w:t>
            </w:r>
          </w:p>
          <w:p w14:paraId="4C6459E9">
            <w:pPr>
              <w:keepNext w:val="0"/>
              <w:keepLines w:val="0"/>
              <w:pageBreakBefore w:val="0"/>
              <w:kinsoku/>
              <w:wordWrap/>
              <w:overflowPunct/>
              <w:topLinePunct w:val="0"/>
              <w:autoSpaceDE/>
              <w:autoSpaceDN/>
              <w:bidi w:val="0"/>
              <w:spacing w:line="360" w:lineRule="auto"/>
              <w:textAlignment w:val="auto"/>
            </w:pPr>
            <w:r>
              <w:rPr>
                <w:rFonts w:hint="eastAsia" w:ascii="宋体" w:hAnsi="宋体"/>
                <w:kern w:val="0"/>
                <w:sz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69FCB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1A90FF7">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1.8</w:t>
            </w:r>
          </w:p>
        </w:tc>
        <w:tc>
          <w:tcPr>
            <w:tcW w:w="4533" w:type="pct"/>
            <w:vAlign w:val="center"/>
          </w:tcPr>
          <w:p w14:paraId="5C0904AB">
            <w:pPr>
              <w:keepNext w:val="0"/>
              <w:keepLines w:val="0"/>
              <w:pageBreakBefore w:val="0"/>
              <w:kinsoku/>
              <w:wordWrap/>
              <w:overflowPunct/>
              <w:topLinePunct w:val="0"/>
              <w:autoSpaceDE/>
              <w:autoSpaceDN/>
              <w:bidi w:val="0"/>
              <w:spacing w:line="360" w:lineRule="auto"/>
              <w:textAlignment w:val="auto"/>
              <w:rPr>
                <w:rFonts w:ascii="宋体" w:hAnsi="宋体" w:cs="宋体"/>
                <w:kern w:val="0"/>
                <w:sz w:val="24"/>
              </w:rPr>
            </w:pPr>
            <w:r>
              <w:rPr>
                <w:rFonts w:hint="eastAsia" w:ascii="宋体" w:hAnsi="宋体" w:cs="宋体"/>
                <w:kern w:val="0"/>
                <w:sz w:val="24"/>
              </w:rPr>
              <w:t>违约责任</w:t>
            </w:r>
          </w:p>
        </w:tc>
      </w:tr>
      <w:tr w14:paraId="0183C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FDB3CE6">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1.8.6</w:t>
            </w:r>
          </w:p>
        </w:tc>
        <w:tc>
          <w:tcPr>
            <w:tcW w:w="4533" w:type="pct"/>
            <w:vAlign w:val="center"/>
          </w:tcPr>
          <w:p w14:paraId="39F08B78">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其他违约条款（可自行补充）</w:t>
            </w:r>
          </w:p>
          <w:p w14:paraId="471D9D58">
            <w:pPr>
              <w:keepNext w:val="0"/>
              <w:keepLines w:val="0"/>
              <w:pageBreakBefore w:val="0"/>
              <w:numPr>
                <w:ilvl w:val="0"/>
                <w:numId w:val="12"/>
              </w:numPr>
              <w:kinsoku/>
              <w:wordWrap/>
              <w:overflowPunct/>
              <w:topLinePunct w:val="0"/>
              <w:autoSpaceDE/>
              <w:autoSpaceDN/>
              <w:bidi w:val="0"/>
              <w:spacing w:line="360" w:lineRule="auto"/>
              <w:ind w:firstLine="240" w:firstLineChars="100"/>
              <w:textAlignment w:val="auto"/>
              <w:rPr>
                <w:rFonts w:ascii="宋体" w:hAnsi="宋体" w:cs="宋体"/>
                <w:sz w:val="24"/>
              </w:rPr>
            </w:pPr>
            <w:r>
              <w:rPr>
                <w:rFonts w:hint="eastAsia" w:ascii="宋体" w:hAnsi="宋体"/>
                <w:sz w:val="24"/>
              </w:rPr>
              <w:t>甲方有权对质量不合格产品进行拒收，由此产生的损失由乙方承担；</w:t>
            </w:r>
          </w:p>
          <w:p w14:paraId="30E014ED">
            <w:pPr>
              <w:keepNext w:val="0"/>
              <w:keepLines w:val="0"/>
              <w:pageBreakBefore w:val="0"/>
              <w:numPr>
                <w:ilvl w:val="0"/>
                <w:numId w:val="12"/>
              </w:numPr>
              <w:kinsoku/>
              <w:wordWrap/>
              <w:overflowPunct/>
              <w:topLinePunct w:val="0"/>
              <w:autoSpaceDE/>
              <w:autoSpaceDN/>
              <w:bidi w:val="0"/>
              <w:spacing w:line="360" w:lineRule="auto"/>
              <w:ind w:firstLine="240" w:firstLineChars="100"/>
              <w:textAlignment w:val="auto"/>
              <w:rPr>
                <w:rFonts w:ascii="宋体" w:hAnsi="宋体" w:cs="宋体"/>
                <w:sz w:val="24"/>
              </w:rPr>
            </w:pPr>
            <w:r>
              <w:rPr>
                <w:rFonts w:ascii="宋体" w:hAnsi="宋体" w:cs="宋体"/>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1522323B">
            <w:pPr>
              <w:keepNext w:val="0"/>
              <w:keepLines w:val="0"/>
              <w:pageBreakBefore w:val="0"/>
              <w:numPr>
                <w:ilvl w:val="0"/>
                <w:numId w:val="12"/>
              </w:numPr>
              <w:kinsoku/>
              <w:wordWrap/>
              <w:overflowPunct/>
              <w:topLinePunct w:val="0"/>
              <w:autoSpaceDE/>
              <w:autoSpaceDN/>
              <w:bidi w:val="0"/>
              <w:spacing w:line="360" w:lineRule="auto"/>
              <w:ind w:firstLine="240" w:firstLineChars="100"/>
              <w:textAlignment w:val="auto"/>
              <w:rPr>
                <w:rFonts w:ascii="宋体" w:hAnsi="宋体" w:cs="宋体"/>
                <w:sz w:val="24"/>
              </w:rPr>
            </w:pPr>
            <w:r>
              <w:rPr>
                <w:rFonts w:ascii="宋体" w:hAnsi="宋体" w:cs="宋体"/>
                <w:sz w:val="24"/>
              </w:rPr>
              <w:t>上述第</w:t>
            </w:r>
            <w:r>
              <w:rPr>
                <w:rFonts w:hint="eastAsia" w:ascii="宋体" w:hAnsi="宋体" w:cs="宋体"/>
                <w:sz w:val="24"/>
              </w:rPr>
              <w:t>2</w:t>
            </w:r>
            <w:r>
              <w:rPr>
                <w:rFonts w:ascii="宋体" w:hAnsi="宋体" w:cs="宋体"/>
                <w:sz w:val="24"/>
              </w:rPr>
              <w:t>项应退回或更换的货物，由乙方在验收后一周内运离安装地点，所需费用由乙方承担。如乙方在二周内不处理（搬走）的，视为乙方放弃，甲方有权自行处置（包括废物处理）。</w:t>
            </w:r>
          </w:p>
          <w:p w14:paraId="1C25077F">
            <w:pPr>
              <w:keepNext w:val="0"/>
              <w:keepLines w:val="0"/>
              <w:pageBreakBefore w:val="0"/>
              <w:numPr>
                <w:ilvl w:val="0"/>
                <w:numId w:val="12"/>
              </w:numPr>
              <w:kinsoku/>
              <w:wordWrap/>
              <w:overflowPunct/>
              <w:topLinePunct w:val="0"/>
              <w:autoSpaceDE/>
              <w:autoSpaceDN/>
              <w:bidi w:val="0"/>
              <w:spacing w:line="360" w:lineRule="auto"/>
              <w:ind w:firstLine="240" w:firstLineChars="100"/>
              <w:textAlignment w:val="auto"/>
              <w:rPr>
                <w:rFonts w:ascii="宋体" w:hAnsi="宋体" w:cs="宋体"/>
                <w:sz w:val="24"/>
              </w:rPr>
            </w:pPr>
            <w:r>
              <w:rPr>
                <w:rFonts w:ascii="宋体" w:hAnsi="宋体" w:cs="宋体"/>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34D35556">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7FCF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BACCB35">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1.9.1</w:t>
            </w:r>
          </w:p>
        </w:tc>
        <w:tc>
          <w:tcPr>
            <w:tcW w:w="4533" w:type="pct"/>
            <w:vAlign w:val="center"/>
          </w:tcPr>
          <w:p w14:paraId="391EE611">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kern w:val="0"/>
                <w:sz w:val="24"/>
              </w:rPr>
              <w:t>将争议提交杭州市仲裁委员会依申请仲裁时其现行有效的仲裁规则裁决。</w:t>
            </w:r>
          </w:p>
        </w:tc>
      </w:tr>
      <w:tr w14:paraId="465C2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4A2D461">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1.9.2</w:t>
            </w:r>
          </w:p>
        </w:tc>
        <w:tc>
          <w:tcPr>
            <w:tcW w:w="4533" w:type="pct"/>
            <w:vAlign w:val="center"/>
          </w:tcPr>
          <w:p w14:paraId="7549B3BB">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kern w:val="0"/>
                <w:sz w:val="24"/>
              </w:rPr>
              <w:t>向杭州市西湖区人民法院起诉。</w:t>
            </w:r>
          </w:p>
        </w:tc>
      </w:tr>
      <w:tr w14:paraId="4CAAE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1804ACC">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2.12.3</w:t>
            </w:r>
          </w:p>
        </w:tc>
        <w:tc>
          <w:tcPr>
            <w:tcW w:w="4533" w:type="pct"/>
            <w:vAlign w:val="center"/>
          </w:tcPr>
          <w:p w14:paraId="56AF9500">
            <w:pPr>
              <w:keepNext w:val="0"/>
              <w:keepLines w:val="0"/>
              <w:pageBreakBefore w:val="0"/>
              <w:kinsoku/>
              <w:wordWrap/>
              <w:overflowPunct/>
              <w:topLinePunct w:val="0"/>
              <w:autoSpaceDE/>
              <w:autoSpaceDN/>
              <w:bidi w:val="0"/>
              <w:spacing w:line="360" w:lineRule="auto"/>
              <w:textAlignment w:val="auto"/>
              <w:rPr>
                <w:rFonts w:ascii="宋体" w:hAnsi="宋体" w:cs="宋体"/>
                <w:kern w:val="0"/>
                <w:sz w:val="24"/>
              </w:rPr>
            </w:pPr>
            <w:r>
              <w:rPr>
                <w:rFonts w:hint="eastAsia" w:ascii="宋体" w:hAnsi="宋体" w:cs="宋体"/>
                <w:kern w:val="0"/>
                <w:sz w:val="24"/>
              </w:rPr>
              <w:t>因不可抗力致使合同有变更必要的，双方当事人应在</w:t>
            </w:r>
            <w:r>
              <w:rPr>
                <w:rFonts w:hint="eastAsia" w:ascii="宋体" w:hAnsi="宋体" w:cs="宋体"/>
                <w:b/>
                <w:bCs/>
                <w:kern w:val="0"/>
                <w:sz w:val="24"/>
                <w:u w:val="single"/>
              </w:rPr>
              <w:t>7日</w:t>
            </w:r>
            <w:r>
              <w:rPr>
                <w:rFonts w:hint="eastAsia" w:ascii="宋体" w:hAnsi="宋体" w:cs="宋体"/>
                <w:kern w:val="0"/>
                <w:sz w:val="24"/>
              </w:rPr>
              <w:t>约定时间内以书面形式变更合同。</w:t>
            </w:r>
          </w:p>
        </w:tc>
      </w:tr>
      <w:tr w14:paraId="0FCE4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553FC91">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2.12.4</w:t>
            </w:r>
          </w:p>
        </w:tc>
        <w:tc>
          <w:tcPr>
            <w:tcW w:w="4533" w:type="pct"/>
            <w:vAlign w:val="center"/>
          </w:tcPr>
          <w:p w14:paraId="5F4112B3">
            <w:pPr>
              <w:keepNext w:val="0"/>
              <w:keepLines w:val="0"/>
              <w:pageBreakBefore w:val="0"/>
              <w:kinsoku/>
              <w:wordWrap/>
              <w:overflowPunct/>
              <w:topLinePunct w:val="0"/>
              <w:autoSpaceDE/>
              <w:autoSpaceDN/>
              <w:bidi w:val="0"/>
              <w:spacing w:line="360" w:lineRule="auto"/>
              <w:textAlignment w:val="auto"/>
              <w:rPr>
                <w:rFonts w:ascii="宋体" w:hAnsi="宋体" w:cs="宋体"/>
                <w:kern w:val="0"/>
                <w:sz w:val="24"/>
              </w:rPr>
            </w:pPr>
            <w:r>
              <w:rPr>
                <w:rFonts w:hint="eastAsia" w:ascii="宋体" w:hAnsi="宋体" w:cs="宋体"/>
                <w:kern w:val="0"/>
                <w:sz w:val="24"/>
              </w:rPr>
              <w:t>受不可抗力影响的一方在不可抗力发生后，应在</w:t>
            </w:r>
            <w:r>
              <w:rPr>
                <w:rFonts w:hint="eastAsia" w:ascii="宋体" w:hAnsi="宋体" w:cs="宋体"/>
                <w:b/>
                <w:bCs/>
                <w:kern w:val="0"/>
                <w:sz w:val="24"/>
                <w:u w:val="single"/>
              </w:rPr>
              <w:t>7天内</w:t>
            </w:r>
            <w:r>
              <w:rPr>
                <w:rFonts w:hint="eastAsia" w:ascii="宋体" w:hAnsi="宋体" w:cs="宋体"/>
                <w:kern w:val="0"/>
                <w:sz w:val="24"/>
              </w:rPr>
              <w:t>以书面形式通知对方当事人，并在14天内，将有关部门出具的证明文件送达对方当事人。</w:t>
            </w:r>
          </w:p>
        </w:tc>
      </w:tr>
      <w:tr w14:paraId="3F5F9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F5D92C5">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2.16.3</w:t>
            </w:r>
          </w:p>
        </w:tc>
        <w:tc>
          <w:tcPr>
            <w:tcW w:w="4533" w:type="pct"/>
            <w:vAlign w:val="center"/>
          </w:tcPr>
          <w:p w14:paraId="201F9C8D">
            <w:pPr>
              <w:keepNext w:val="0"/>
              <w:keepLines w:val="0"/>
              <w:pageBreakBefore w:val="0"/>
              <w:kinsoku/>
              <w:wordWrap/>
              <w:overflowPunct/>
              <w:topLinePunct w:val="0"/>
              <w:autoSpaceDE/>
              <w:autoSpaceDN/>
              <w:bidi w:val="0"/>
              <w:spacing w:line="360" w:lineRule="auto"/>
              <w:textAlignment w:val="auto"/>
              <w:rPr>
                <w:b/>
                <w:sz w:val="24"/>
              </w:rPr>
            </w:pPr>
            <w:r>
              <w:rPr>
                <w:rFonts w:hint="eastAsia" w:hAnsi="宋体"/>
                <w:b/>
                <w:sz w:val="24"/>
              </w:rPr>
              <w:t>检验和验收标准、程序等具体内容以及前述验收书的效力：</w:t>
            </w:r>
          </w:p>
          <w:p w14:paraId="1255BDAA">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hAnsi="宋体"/>
                <w:sz w:val="24"/>
              </w:rPr>
              <w:t>详见采购需求及投标文件，具体验收流程、程序以甲方要求为准。</w:t>
            </w:r>
          </w:p>
        </w:tc>
      </w:tr>
      <w:tr w14:paraId="43E04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394A7A3A">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2.20</w:t>
            </w:r>
          </w:p>
        </w:tc>
        <w:tc>
          <w:tcPr>
            <w:tcW w:w="4533" w:type="pct"/>
          </w:tcPr>
          <w:p w14:paraId="38E23FB6">
            <w:pPr>
              <w:keepNext w:val="0"/>
              <w:keepLines w:val="0"/>
              <w:pageBreakBefore w:val="0"/>
              <w:kinsoku/>
              <w:wordWrap/>
              <w:overflowPunct/>
              <w:topLinePunct w:val="0"/>
              <w:autoSpaceDE/>
              <w:autoSpaceDN/>
              <w:bidi w:val="0"/>
              <w:spacing w:line="360" w:lineRule="auto"/>
              <w:textAlignment w:val="auto"/>
              <w:rPr>
                <w:b/>
                <w:sz w:val="24"/>
              </w:rPr>
            </w:pPr>
            <w:r>
              <w:rPr>
                <w:rFonts w:hint="eastAsia" w:hAnsi="宋体"/>
                <w:b/>
                <w:sz w:val="24"/>
              </w:rPr>
              <w:t>合同份数：</w:t>
            </w:r>
          </w:p>
          <w:p w14:paraId="730BF8EB">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hAnsi="宋体"/>
                <w:sz w:val="24"/>
              </w:rPr>
              <w:t>一式</w:t>
            </w:r>
            <w:r>
              <w:rPr>
                <w:rFonts w:hint="eastAsia"/>
                <w:sz w:val="24"/>
              </w:rPr>
              <w:t>5</w:t>
            </w:r>
            <w:r>
              <w:rPr>
                <w:rFonts w:hint="eastAsia" w:hAnsi="宋体"/>
                <w:sz w:val="24"/>
              </w:rPr>
              <w:t>份，甲方</w:t>
            </w:r>
            <w:r>
              <w:rPr>
                <w:rFonts w:hint="eastAsia"/>
                <w:sz w:val="24"/>
              </w:rPr>
              <w:t>2</w:t>
            </w:r>
            <w:r>
              <w:rPr>
                <w:rFonts w:hint="eastAsia" w:hAnsi="宋体"/>
                <w:sz w:val="24"/>
              </w:rPr>
              <w:t>份，乙方</w:t>
            </w:r>
            <w:r>
              <w:rPr>
                <w:sz w:val="24"/>
              </w:rPr>
              <w:t>2</w:t>
            </w:r>
            <w:r>
              <w:rPr>
                <w:rFonts w:hint="eastAsia" w:hAnsi="宋体"/>
                <w:sz w:val="24"/>
              </w:rPr>
              <w:t>份，采购中心1份。</w:t>
            </w:r>
          </w:p>
        </w:tc>
      </w:tr>
    </w:tbl>
    <w:p w14:paraId="3A2F10EA">
      <w:pPr>
        <w:rPr>
          <w:rFonts w:hint="eastAsia" w:ascii="宋体" w:hAnsi="宋体" w:cs="宋体"/>
          <w:color w:val="auto"/>
          <w:sz w:val="24"/>
          <w:highlight w:val="none"/>
          <w:lang w:val="en-US" w:eastAsia="zh-CN"/>
        </w:rPr>
      </w:pPr>
    </w:p>
    <w:p w14:paraId="60AC9A79">
      <w:pPr>
        <w:pStyle w:val="23"/>
        <w:rPr>
          <w:rFonts w:hint="eastAsia" w:ascii="宋体" w:hAnsi="宋体" w:cs="宋体"/>
          <w:color w:val="auto"/>
          <w:sz w:val="24"/>
          <w:highlight w:val="none"/>
          <w:lang w:val="en-US" w:eastAsia="zh-CN"/>
        </w:rPr>
      </w:pPr>
    </w:p>
    <w:p w14:paraId="14CB6264">
      <w:pPr>
        <w:rPr>
          <w:rFonts w:hint="eastAsia" w:ascii="宋体" w:hAnsi="宋体" w:cs="宋体"/>
          <w:color w:val="auto"/>
          <w:sz w:val="24"/>
          <w:highlight w:val="none"/>
          <w:lang w:val="en-US" w:eastAsia="zh-CN"/>
        </w:rPr>
      </w:pPr>
    </w:p>
    <w:p w14:paraId="6A8225CE">
      <w:pPr>
        <w:pStyle w:val="2"/>
        <w:rPr>
          <w:rFonts w:hint="eastAsia" w:ascii="宋体" w:hAnsi="宋体" w:cs="宋体"/>
          <w:color w:val="auto"/>
          <w:sz w:val="24"/>
          <w:highlight w:val="none"/>
          <w:lang w:val="en-US" w:eastAsia="zh-CN"/>
        </w:rPr>
      </w:pPr>
    </w:p>
    <w:p w14:paraId="5C1F2B11">
      <w:pPr>
        <w:rPr>
          <w:rFonts w:hint="eastAsia" w:ascii="宋体" w:hAnsi="宋体" w:cs="宋体"/>
          <w:color w:val="auto"/>
          <w:sz w:val="24"/>
          <w:highlight w:val="none"/>
          <w:lang w:val="en-US" w:eastAsia="zh-CN"/>
        </w:rPr>
      </w:pPr>
    </w:p>
    <w:p w14:paraId="11AA9DD4">
      <w:pPr>
        <w:pStyle w:val="2"/>
        <w:rPr>
          <w:rFonts w:hint="eastAsia" w:ascii="宋体" w:hAnsi="宋体" w:cs="宋体"/>
          <w:color w:val="auto"/>
          <w:sz w:val="24"/>
          <w:highlight w:val="none"/>
          <w:lang w:val="en-US" w:eastAsia="zh-CN"/>
        </w:rPr>
      </w:pPr>
    </w:p>
    <w:p w14:paraId="72EAF2DC">
      <w:pPr>
        <w:rPr>
          <w:rFonts w:hint="eastAsia" w:ascii="宋体" w:hAnsi="宋体" w:cs="宋体"/>
          <w:color w:val="auto"/>
          <w:sz w:val="24"/>
          <w:highlight w:val="none"/>
          <w:lang w:val="en-US" w:eastAsia="zh-CN"/>
        </w:rPr>
      </w:pPr>
    </w:p>
    <w:p w14:paraId="74764CE0">
      <w:pPr>
        <w:pStyle w:val="2"/>
        <w:rPr>
          <w:rFonts w:hint="eastAsia" w:ascii="宋体" w:hAnsi="宋体" w:cs="宋体"/>
          <w:color w:val="auto"/>
          <w:sz w:val="24"/>
          <w:highlight w:val="none"/>
          <w:lang w:val="en-US" w:eastAsia="zh-CN"/>
        </w:rPr>
      </w:pPr>
    </w:p>
    <w:p w14:paraId="1BE3A8C4">
      <w:pPr>
        <w:rPr>
          <w:rFonts w:hint="eastAsia" w:ascii="宋体" w:hAnsi="宋体" w:cs="宋体"/>
          <w:color w:val="auto"/>
          <w:sz w:val="24"/>
          <w:highlight w:val="none"/>
          <w:lang w:val="en-US" w:eastAsia="zh-CN"/>
        </w:rPr>
      </w:pPr>
    </w:p>
    <w:p w14:paraId="1919557C">
      <w:pPr>
        <w:pStyle w:val="2"/>
        <w:rPr>
          <w:rFonts w:hint="eastAsia" w:ascii="宋体" w:hAnsi="宋体" w:cs="宋体"/>
          <w:color w:val="auto"/>
          <w:sz w:val="24"/>
          <w:highlight w:val="none"/>
          <w:lang w:val="en-US" w:eastAsia="zh-CN"/>
        </w:rPr>
      </w:pPr>
    </w:p>
    <w:p w14:paraId="4B22A03A">
      <w:pPr>
        <w:rPr>
          <w:rFonts w:hint="eastAsia" w:ascii="宋体" w:hAnsi="宋体" w:cs="宋体"/>
          <w:color w:val="auto"/>
          <w:sz w:val="24"/>
          <w:highlight w:val="none"/>
          <w:lang w:val="en-US" w:eastAsia="zh-CN"/>
        </w:rPr>
      </w:pPr>
    </w:p>
    <w:p w14:paraId="02BA5DFB">
      <w:pPr>
        <w:pStyle w:val="2"/>
        <w:rPr>
          <w:rFonts w:hint="eastAsia" w:ascii="宋体" w:hAnsi="宋体" w:cs="宋体"/>
          <w:color w:val="auto"/>
          <w:sz w:val="24"/>
          <w:highlight w:val="none"/>
          <w:lang w:val="en-US" w:eastAsia="zh-CN"/>
        </w:rPr>
      </w:pPr>
    </w:p>
    <w:p w14:paraId="3F1E0EA5">
      <w:pPr>
        <w:rPr>
          <w:rFonts w:hint="eastAsia" w:ascii="宋体" w:hAnsi="宋体" w:cs="宋体"/>
          <w:color w:val="auto"/>
          <w:sz w:val="24"/>
          <w:highlight w:val="none"/>
          <w:lang w:val="en-US" w:eastAsia="zh-CN"/>
        </w:rPr>
      </w:pPr>
    </w:p>
    <w:p w14:paraId="08AFE1D8">
      <w:pPr>
        <w:pStyle w:val="2"/>
        <w:rPr>
          <w:rFonts w:hint="eastAsia" w:ascii="宋体" w:hAnsi="宋体" w:cs="宋体"/>
          <w:color w:val="auto"/>
          <w:sz w:val="24"/>
          <w:highlight w:val="none"/>
          <w:lang w:val="en-US" w:eastAsia="zh-CN"/>
        </w:rPr>
      </w:pPr>
    </w:p>
    <w:p w14:paraId="6DDD918C">
      <w:pPr>
        <w:rPr>
          <w:rFonts w:hint="eastAsia" w:ascii="宋体" w:hAnsi="宋体" w:cs="宋体"/>
          <w:color w:val="auto"/>
          <w:sz w:val="24"/>
          <w:highlight w:val="none"/>
          <w:lang w:val="en-US" w:eastAsia="zh-CN"/>
        </w:rPr>
      </w:pPr>
    </w:p>
    <w:p w14:paraId="3E44F267">
      <w:pPr>
        <w:pStyle w:val="2"/>
        <w:rPr>
          <w:rFonts w:hint="eastAsia" w:ascii="宋体" w:hAnsi="宋体" w:cs="宋体"/>
          <w:color w:val="auto"/>
          <w:sz w:val="24"/>
          <w:highlight w:val="none"/>
          <w:lang w:val="en-US" w:eastAsia="zh-CN"/>
        </w:rPr>
      </w:pPr>
    </w:p>
    <w:p w14:paraId="28A1C293">
      <w:pPr>
        <w:rPr>
          <w:rFonts w:hint="eastAsia" w:ascii="宋体" w:hAnsi="宋体" w:cs="宋体"/>
          <w:color w:val="auto"/>
          <w:sz w:val="24"/>
          <w:highlight w:val="none"/>
          <w:lang w:val="en-US" w:eastAsia="zh-CN"/>
        </w:rPr>
      </w:pPr>
    </w:p>
    <w:p w14:paraId="3000C77B">
      <w:pPr>
        <w:pStyle w:val="2"/>
        <w:rPr>
          <w:rFonts w:hint="eastAsia" w:ascii="宋体" w:hAnsi="宋体" w:cs="宋体"/>
          <w:color w:val="auto"/>
          <w:sz w:val="24"/>
          <w:highlight w:val="none"/>
          <w:lang w:val="en-US" w:eastAsia="zh-CN"/>
        </w:rPr>
      </w:pPr>
    </w:p>
    <w:p w14:paraId="12E6350C">
      <w:pPr>
        <w:rPr>
          <w:rFonts w:hint="eastAsia" w:ascii="宋体" w:hAnsi="宋体" w:cs="宋体"/>
          <w:color w:val="auto"/>
          <w:sz w:val="24"/>
          <w:highlight w:val="none"/>
          <w:lang w:val="en-US" w:eastAsia="zh-CN"/>
        </w:rPr>
      </w:pPr>
    </w:p>
    <w:p w14:paraId="6E92F84B">
      <w:pPr>
        <w:pStyle w:val="2"/>
        <w:rPr>
          <w:rFonts w:hint="eastAsia" w:ascii="宋体" w:hAnsi="宋体" w:cs="宋体"/>
          <w:color w:val="auto"/>
          <w:sz w:val="24"/>
          <w:highlight w:val="none"/>
          <w:lang w:val="en-US" w:eastAsia="zh-CN"/>
        </w:rPr>
      </w:pPr>
    </w:p>
    <w:p w14:paraId="5C3CC2F0">
      <w:pPr>
        <w:rPr>
          <w:rFonts w:hint="eastAsia" w:ascii="宋体" w:hAnsi="宋体" w:cs="宋体"/>
          <w:color w:val="auto"/>
          <w:sz w:val="24"/>
          <w:highlight w:val="none"/>
          <w:lang w:val="en-US" w:eastAsia="zh-CN"/>
        </w:rPr>
      </w:pPr>
    </w:p>
    <w:p w14:paraId="40A36678">
      <w:pPr>
        <w:pStyle w:val="2"/>
        <w:rPr>
          <w:rFonts w:hint="eastAsia" w:ascii="宋体" w:hAnsi="宋体" w:cs="宋体"/>
          <w:color w:val="auto"/>
          <w:sz w:val="24"/>
          <w:highlight w:val="none"/>
          <w:lang w:val="en-US" w:eastAsia="zh-CN"/>
        </w:rPr>
      </w:pPr>
    </w:p>
    <w:p w14:paraId="770DE102">
      <w:pPr>
        <w:rPr>
          <w:rFonts w:hint="eastAsia" w:ascii="宋体" w:hAnsi="宋体" w:cs="宋体"/>
          <w:color w:val="auto"/>
          <w:sz w:val="24"/>
          <w:highlight w:val="none"/>
          <w:lang w:val="en-US" w:eastAsia="zh-CN"/>
        </w:rPr>
      </w:pPr>
    </w:p>
    <w:p w14:paraId="781F0301">
      <w:pPr>
        <w:pStyle w:val="2"/>
        <w:rPr>
          <w:rFonts w:hint="eastAsia" w:ascii="宋体" w:hAnsi="宋体" w:cs="宋体"/>
          <w:color w:val="auto"/>
          <w:sz w:val="24"/>
          <w:highlight w:val="none"/>
          <w:lang w:val="en-US" w:eastAsia="zh-CN"/>
        </w:rPr>
      </w:pPr>
    </w:p>
    <w:p w14:paraId="3B4192A6">
      <w:pPr>
        <w:rPr>
          <w:rFonts w:hint="eastAsia" w:ascii="宋体" w:hAnsi="宋体" w:cs="宋体"/>
          <w:color w:val="auto"/>
          <w:sz w:val="24"/>
          <w:highlight w:val="none"/>
          <w:lang w:val="en-US" w:eastAsia="zh-CN"/>
        </w:rPr>
      </w:pPr>
    </w:p>
    <w:p w14:paraId="31E02C4A">
      <w:pPr>
        <w:pStyle w:val="2"/>
        <w:rPr>
          <w:rFonts w:hint="eastAsia" w:ascii="宋体" w:hAnsi="宋体" w:cs="宋体"/>
          <w:color w:val="auto"/>
          <w:sz w:val="24"/>
          <w:highlight w:val="none"/>
          <w:lang w:val="en-US" w:eastAsia="zh-CN"/>
        </w:rPr>
      </w:pPr>
    </w:p>
    <w:p w14:paraId="5505D606">
      <w:pPr>
        <w:rPr>
          <w:rFonts w:hint="eastAsia" w:ascii="宋体" w:hAnsi="宋体" w:cs="宋体"/>
          <w:color w:val="auto"/>
          <w:sz w:val="24"/>
          <w:highlight w:val="none"/>
          <w:lang w:val="en-US" w:eastAsia="zh-CN"/>
        </w:rPr>
      </w:pPr>
    </w:p>
    <w:p w14:paraId="79F89CC1">
      <w:pPr>
        <w:pStyle w:val="2"/>
        <w:rPr>
          <w:rFonts w:hint="eastAsia" w:ascii="宋体" w:hAnsi="宋体" w:cs="宋体"/>
          <w:color w:val="auto"/>
          <w:sz w:val="24"/>
          <w:highlight w:val="none"/>
          <w:lang w:val="en-US" w:eastAsia="zh-CN"/>
        </w:rPr>
      </w:pPr>
    </w:p>
    <w:p w14:paraId="35CDA9E9">
      <w:pPr>
        <w:rPr>
          <w:rFonts w:hint="eastAsia" w:ascii="宋体" w:hAnsi="宋体" w:cs="宋体"/>
          <w:color w:val="auto"/>
          <w:sz w:val="24"/>
          <w:highlight w:val="none"/>
          <w:lang w:val="en-US" w:eastAsia="zh-CN"/>
        </w:rPr>
      </w:pPr>
    </w:p>
    <w:p w14:paraId="55271F46">
      <w:pPr>
        <w:pStyle w:val="2"/>
        <w:rPr>
          <w:rFonts w:hint="eastAsia"/>
          <w:lang w:val="en-US" w:eastAsia="zh-CN"/>
        </w:rPr>
      </w:pPr>
    </w:p>
    <w:p w14:paraId="79E53842">
      <w:pPr>
        <w:pStyle w:val="23"/>
        <w:rPr>
          <w:rFonts w:hint="eastAsia"/>
          <w:highlight w:val="none"/>
          <w:lang w:val="en-US" w:eastAsia="zh-CN"/>
        </w:rPr>
      </w:pPr>
    </w:p>
    <w:p w14:paraId="288B52C5">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0"/>
      <w:r>
        <w:rPr>
          <w:rFonts w:hint="eastAsia" w:ascii="宋体" w:hAnsi="宋体" w:cs="宋体"/>
          <w:b/>
          <w:color w:val="auto"/>
          <w:sz w:val="36"/>
          <w:szCs w:val="20"/>
          <w:highlight w:val="none"/>
        </w:rPr>
        <w:t xml:space="preserve"> </w:t>
      </w:r>
      <w:bookmarkEnd w:id="401"/>
      <w:r>
        <w:rPr>
          <w:rFonts w:hint="eastAsia" w:ascii="宋体" w:hAnsi="宋体" w:cs="宋体"/>
          <w:b/>
          <w:color w:val="auto"/>
          <w:sz w:val="36"/>
          <w:szCs w:val="20"/>
          <w:highlight w:val="none"/>
        </w:rPr>
        <w:t>应提交的有关格式范例</w:t>
      </w:r>
    </w:p>
    <w:p w14:paraId="1EE2750D">
      <w:pPr>
        <w:spacing w:line="360" w:lineRule="auto"/>
        <w:jc w:val="center"/>
        <w:outlineLvl w:val="0"/>
        <w:rPr>
          <w:rFonts w:ascii="宋体" w:hAnsi="宋体" w:cs="宋体"/>
          <w:b/>
          <w:color w:val="auto"/>
          <w:kern w:val="0"/>
          <w:sz w:val="36"/>
          <w:szCs w:val="36"/>
          <w:highlight w:val="none"/>
        </w:rPr>
      </w:pPr>
    </w:p>
    <w:p w14:paraId="4F63D2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A0D8EC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88D32E4">
      <w:pPr>
        <w:spacing w:line="360" w:lineRule="auto"/>
        <w:jc w:val="center"/>
        <w:outlineLvl w:val="0"/>
        <w:rPr>
          <w:rFonts w:ascii="宋体" w:hAnsi="宋体" w:cs="宋体"/>
          <w:b/>
          <w:color w:val="auto"/>
          <w:kern w:val="0"/>
          <w:sz w:val="36"/>
          <w:szCs w:val="36"/>
          <w:highlight w:val="none"/>
        </w:rPr>
      </w:pPr>
    </w:p>
    <w:p w14:paraId="3A34EAEE">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符合参加政府采购活动应当具备的一般条件的承诺函……………（页码）</w:t>
      </w:r>
    </w:p>
    <w:p w14:paraId="302F995A">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联合协议</w:t>
      </w:r>
      <w:r>
        <w:rPr>
          <w:rFonts w:hint="eastAsia" w:ascii="宋体" w:hAnsi="宋体" w:cs="宋体"/>
          <w:color w:val="auto"/>
          <w:sz w:val="24"/>
          <w:highlight w:val="none"/>
        </w:rPr>
        <w:t>………………………………………………………………（页码）</w:t>
      </w:r>
    </w:p>
    <w:p w14:paraId="59383A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default" w:ascii="宋体" w:hAnsi="宋体" w:cs="宋体"/>
          <w:color w:val="auto"/>
          <w:sz w:val="24"/>
          <w:highlight w:val="none"/>
          <w:lang w:val="en-US"/>
        </w:rPr>
        <w:t>2</w:t>
      </w:r>
      <w:r>
        <w:rPr>
          <w:rFonts w:hint="eastAsia" w:ascii="宋体" w:hAnsi="宋体" w:cs="宋体"/>
          <w:color w:val="auto"/>
          <w:sz w:val="24"/>
          <w:highlight w:val="none"/>
        </w:rPr>
        <w:t>）落实政府采购政策需满足的资格要求………………………………（页码）</w:t>
      </w:r>
    </w:p>
    <w:p w14:paraId="387597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default" w:ascii="宋体" w:hAnsi="宋体" w:cs="宋体"/>
          <w:color w:val="auto"/>
          <w:sz w:val="24"/>
          <w:highlight w:val="none"/>
          <w:lang w:val="en-US"/>
        </w:rPr>
        <w:t>3</w:t>
      </w:r>
      <w:r>
        <w:rPr>
          <w:rFonts w:hint="eastAsia" w:ascii="宋体" w:hAnsi="宋体" w:cs="宋体"/>
          <w:color w:val="auto"/>
          <w:sz w:val="24"/>
          <w:highlight w:val="none"/>
        </w:rPr>
        <w:t>）本项目的特定资格要求………………………………………………（页码）</w:t>
      </w:r>
    </w:p>
    <w:p w14:paraId="681253EA">
      <w:pPr>
        <w:snapToGrid w:val="0"/>
        <w:spacing w:line="360" w:lineRule="auto"/>
        <w:ind w:firstLine="480" w:firstLineChars="200"/>
        <w:rPr>
          <w:rFonts w:ascii="宋体" w:hAnsi="宋体" w:cs="宋体"/>
          <w:color w:val="auto"/>
          <w:sz w:val="24"/>
          <w:highlight w:val="none"/>
        </w:rPr>
      </w:pPr>
    </w:p>
    <w:p w14:paraId="5EA00CC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14:paraId="666AD2E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杭州市保俶塔实验学校</w:t>
      </w:r>
      <w:r>
        <w:rPr>
          <w:rFonts w:hint="eastAsia" w:ascii="宋体" w:hAnsi="宋体" w:cs="宋体"/>
          <w:color w:val="auto"/>
          <w:sz w:val="24"/>
          <w:highlight w:val="none"/>
        </w:rPr>
        <w:t>、杭州市西湖区政府采购中心：</w:t>
      </w:r>
    </w:p>
    <w:p w14:paraId="4CAF96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杭州市保俶塔实验学校智慧实验室建设项目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XHZFCG-2024-G-77</w:t>
      </w:r>
      <w:r>
        <w:rPr>
          <w:rFonts w:hint="eastAsia" w:ascii="宋体" w:hAnsi="宋体" w:cs="宋体"/>
          <w:color w:val="auto"/>
          <w:sz w:val="24"/>
          <w:highlight w:val="none"/>
        </w:rPr>
        <w:t>】政府采购活动，郑重承诺：</w:t>
      </w:r>
    </w:p>
    <w:p w14:paraId="6B0C099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67FBA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35214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E6CDE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911BB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8BBBA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23F83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60D02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F586F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511BA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58FEB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E9779C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A3AB93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E340B6C">
      <w:pPr>
        <w:snapToGrid w:val="0"/>
        <w:spacing w:line="360" w:lineRule="auto"/>
        <w:ind w:right="480"/>
        <w:jc w:val="left"/>
        <w:rPr>
          <w:rFonts w:ascii="宋体" w:hAnsi="宋体" w:cs="宋体"/>
          <w:b/>
          <w:color w:val="auto"/>
          <w:kern w:val="0"/>
          <w:sz w:val="32"/>
          <w:szCs w:val="32"/>
          <w:highlight w:val="none"/>
        </w:rPr>
      </w:pPr>
      <w:r>
        <w:rPr>
          <w:rFonts w:hint="eastAsia" w:ascii="宋体" w:hAnsi="宋体" w:cs="仿宋_GB2312"/>
          <w:color w:val="auto"/>
          <w:sz w:val="24"/>
          <w:highlight w:val="none"/>
        </w:rPr>
        <w:t>注：根据《</w:t>
      </w:r>
      <w:r>
        <w:rPr>
          <w:rFonts w:ascii="宋体" w:hAnsi="宋体" w:cs="仿宋_GB2312"/>
          <w:color w:val="auto"/>
          <w:sz w:val="24"/>
          <w:highlight w:val="none"/>
        </w:rPr>
        <w:t>关于规范政府采购供应商资格设定及资格审查的通知</w:t>
      </w:r>
      <w:r>
        <w:rPr>
          <w:rFonts w:hint="eastAsia" w:ascii="宋体" w:hAnsi="宋体" w:cs="仿宋_GB2312"/>
          <w:color w:val="auto"/>
          <w:sz w:val="24"/>
          <w:highlight w:val="none"/>
        </w:rPr>
        <w:t>》（</w:t>
      </w:r>
      <w:r>
        <w:rPr>
          <w:rFonts w:ascii="宋体" w:hAnsi="宋体" w:cs="仿宋_GB2312"/>
          <w:color w:val="auto"/>
          <w:sz w:val="24"/>
          <w:highlight w:val="none"/>
        </w:rPr>
        <w:t>浙财采监[2013]24号</w:t>
      </w:r>
      <w:r>
        <w:rPr>
          <w:rFonts w:hint="eastAsia" w:ascii="宋体" w:hAnsi="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2EAF168">
      <w:pPr>
        <w:pStyle w:val="2"/>
        <w:rPr>
          <w:rFonts w:hint="eastAsia"/>
          <w:color w:val="auto"/>
          <w:highlight w:val="none"/>
        </w:rPr>
      </w:pPr>
    </w:p>
    <w:p w14:paraId="405CF5F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8E0369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D50E393">
      <w:pPr>
        <w:snapToGrid w:val="0"/>
        <w:spacing w:line="360" w:lineRule="auto"/>
        <w:ind w:right="480"/>
        <w:jc w:val="center"/>
        <w:rPr>
          <w:rFonts w:ascii="宋体" w:hAnsi="宋体" w:cs="宋体"/>
          <w:b/>
          <w:color w:val="auto"/>
          <w:kern w:val="0"/>
          <w:sz w:val="32"/>
          <w:szCs w:val="32"/>
          <w:highlight w:val="none"/>
        </w:rPr>
      </w:pPr>
    </w:p>
    <w:p w14:paraId="1DA4D097">
      <w:pPr>
        <w:pStyle w:val="2"/>
        <w:rPr>
          <w:color w:val="auto"/>
          <w:highlight w:val="none"/>
        </w:rPr>
      </w:pPr>
    </w:p>
    <w:p w14:paraId="30FDC4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、落实政府采购政策需满足的资格要求</w:t>
      </w:r>
    </w:p>
    <w:p w14:paraId="1BAF43C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A85B65D">
      <w:pPr>
        <w:spacing w:line="360" w:lineRule="auto"/>
        <w:ind w:firstLine="482" w:firstLineChars="200"/>
        <w:rPr>
          <w:rFonts w:ascii="宋体" w:hAnsi="宋体" w:cs="宋体"/>
          <w:color w:val="auto"/>
          <w:sz w:val="24"/>
          <w:highlight w:val="none"/>
          <w:u w:val="single"/>
        </w:rPr>
      </w:pPr>
      <w:r>
        <w:rPr>
          <w:rFonts w:hint="default" w:ascii="宋体" w:hAnsi="宋体" w:cs="宋体"/>
          <w:b/>
          <w:bCs/>
          <w:color w:val="auto"/>
          <w:sz w:val="24"/>
          <w:highlight w:val="none"/>
          <w:lang w:val="en-US" w:eastAsia="zh-CN"/>
        </w:rPr>
        <w:t>A.</w:t>
      </w:r>
      <w:r>
        <w:rPr>
          <w:rFonts w:hint="eastAsia" w:ascii="宋体" w:hAnsi="宋体" w:cs="宋体"/>
          <w:color w:val="auto"/>
          <w:sz w:val="24"/>
          <w:highlight w:val="none"/>
          <w:lang w:eastAsia="zh-CN"/>
        </w:rPr>
        <w:t>项目专门面向中小企业，</w:t>
      </w:r>
      <w:r>
        <w:rPr>
          <w:rFonts w:hint="eastAsia" w:ascii="宋体" w:hAnsi="宋体" w:cs="宋体"/>
          <w:color w:val="auto"/>
          <w:sz w:val="24"/>
          <w:highlight w:val="none"/>
        </w:rPr>
        <w:t>货物全部由符合政策要求的中小企业</w:t>
      </w:r>
      <w:r>
        <w:rPr>
          <w:rFonts w:hint="default" w:ascii="宋体" w:hAnsi="宋体" w:cs="宋体"/>
          <w:color w:val="auto"/>
          <w:sz w:val="24"/>
          <w:highlight w:val="none"/>
          <w:lang w:val="en-US"/>
        </w:rPr>
        <w:t>(</w:t>
      </w:r>
      <w:r>
        <w:rPr>
          <w:rFonts w:hint="eastAsia" w:ascii="宋体" w:hAnsi="宋体" w:cs="宋体"/>
          <w:color w:val="auto"/>
          <w:sz w:val="24"/>
          <w:highlight w:val="none"/>
          <w:lang w:val="en-US" w:eastAsia="zh-CN"/>
        </w:rPr>
        <w:t>或小微企业）</w:t>
      </w:r>
      <w:r>
        <w:rPr>
          <w:rFonts w:hint="eastAsia" w:ascii="宋体" w:hAnsi="宋体" w:cs="宋体"/>
          <w:color w:val="auto"/>
          <w:sz w:val="24"/>
          <w:highlight w:val="none"/>
        </w:rPr>
        <w:t>制造</w:t>
      </w:r>
      <w:r>
        <w:rPr>
          <w:rFonts w:hint="eastAsia" w:ascii="宋体" w:hAnsi="宋体" w:cs="宋体"/>
          <w:color w:val="auto"/>
          <w:sz w:val="24"/>
          <w:highlight w:val="none"/>
          <w:lang w:eastAsia="zh-CN"/>
        </w:rPr>
        <w:t>的</w:t>
      </w:r>
      <w:r>
        <w:rPr>
          <w:rFonts w:hint="eastAsia" w:ascii="宋体" w:hAnsi="宋体" w:cs="宋体"/>
          <w:color w:val="auto"/>
          <w:sz w:val="24"/>
          <w:highlight w:val="none"/>
        </w:rPr>
        <w:t>，提供中小企业声明函</w:t>
      </w:r>
      <w:r>
        <w:rPr>
          <w:rFonts w:hint="eastAsia" w:ascii="宋体" w:hAnsi="宋体" w:cs="宋体"/>
          <w:color w:val="auto"/>
          <w:sz w:val="24"/>
          <w:highlight w:val="none"/>
          <w:lang w:eastAsia="zh-CN"/>
        </w:rPr>
        <w:t>（附件</w:t>
      </w:r>
      <w:r>
        <w:rPr>
          <w:rFonts w:hint="default"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7CCB6C0E">
      <w:pPr>
        <w:widowControl/>
        <w:spacing w:line="360" w:lineRule="auto"/>
        <w:ind w:left="150"/>
        <w:jc w:val="center"/>
        <w:rPr>
          <w:rFonts w:ascii="宋体" w:hAnsi="宋体" w:cs="宋体"/>
          <w:b/>
          <w:color w:val="auto"/>
          <w:kern w:val="0"/>
          <w:sz w:val="32"/>
          <w:szCs w:val="32"/>
          <w:highlight w:val="none"/>
        </w:rPr>
      </w:pPr>
    </w:p>
    <w:p w14:paraId="7B5703B2">
      <w:pPr>
        <w:pStyle w:val="2"/>
      </w:pPr>
    </w:p>
    <w:p w14:paraId="32741FE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、本项目的特定资格要求</w:t>
      </w:r>
    </w:p>
    <w:p w14:paraId="786282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F339B7C">
      <w:pPr>
        <w:rPr>
          <w:rFonts w:ascii="宋体" w:hAnsi="宋体" w:cs="宋体"/>
          <w:color w:val="auto"/>
          <w:highlight w:val="none"/>
        </w:rPr>
      </w:pPr>
    </w:p>
    <w:p w14:paraId="5408AA4D">
      <w:pPr>
        <w:rPr>
          <w:color w:val="auto"/>
          <w:highlight w:val="none"/>
        </w:rPr>
      </w:pPr>
    </w:p>
    <w:p w14:paraId="2A683C9A">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8E8511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C6BAAA0">
      <w:pPr>
        <w:numPr>
          <w:ilvl w:val="0"/>
          <w:numId w:val="14"/>
        </w:num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6F5DA51">
      <w:pPr>
        <w:pStyle w:val="2"/>
        <w:numPr>
          <w:ilvl w:val="0"/>
          <w:numId w:val="0"/>
        </w:numPr>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（3）分包意向协议………………………………………………………………</w:t>
      </w:r>
      <w:r>
        <w:rPr>
          <w:rFonts w:hint="eastAsia" w:ascii="宋体" w:hAnsi="宋体" w:eastAsia="宋体" w:cs="宋体"/>
          <w:b w:val="0"/>
          <w:bCs w:val="0"/>
          <w:color w:val="auto"/>
          <w:kern w:val="2"/>
          <w:sz w:val="21"/>
          <w:szCs w:val="24"/>
          <w:highlight w:val="none"/>
          <w:lang w:val="en-US" w:eastAsia="zh-CN" w:bidi="ar-SA"/>
        </w:rPr>
        <w:t>（页码）</w:t>
      </w:r>
    </w:p>
    <w:p w14:paraId="58C41CB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9C681B1">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highlight w:val="none"/>
          <w:lang w:val="en-US" w:eastAsia="zh-CN"/>
        </w:rPr>
        <w:t xml:space="preserve"> </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14:paraId="11F1507A">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08A58F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default" w:ascii="宋体" w:hAnsi="宋体" w:cs="宋体"/>
          <w:color w:val="auto"/>
          <w:sz w:val="24"/>
          <w:highlight w:val="none"/>
          <w:lang w:val="en-US" w:eastAsia="zh-CN"/>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9DEA040">
      <w:pPr>
        <w:snapToGrid w:val="0"/>
        <w:spacing w:line="360" w:lineRule="auto"/>
        <w:ind w:firstLine="3855" w:firstLineChars="1200"/>
        <w:jc w:val="both"/>
        <w:outlineLvl w:val="0"/>
        <w:rPr>
          <w:rFonts w:hint="eastAsia" w:ascii="宋体" w:hAnsi="宋体" w:cs="宋体"/>
          <w:b/>
          <w:color w:val="auto"/>
          <w:kern w:val="0"/>
          <w:sz w:val="32"/>
          <w:szCs w:val="32"/>
          <w:highlight w:val="none"/>
        </w:rPr>
      </w:pPr>
    </w:p>
    <w:p w14:paraId="54EC382C">
      <w:pPr>
        <w:pStyle w:val="2"/>
        <w:rPr>
          <w:rFonts w:hint="eastAsia" w:ascii="宋体" w:hAnsi="宋体" w:cs="宋体"/>
          <w:b/>
          <w:color w:val="auto"/>
          <w:kern w:val="0"/>
          <w:sz w:val="32"/>
          <w:szCs w:val="32"/>
          <w:highlight w:val="none"/>
        </w:rPr>
      </w:pPr>
    </w:p>
    <w:p w14:paraId="503FFEAC">
      <w:pPr>
        <w:rPr>
          <w:rFonts w:hint="eastAsia" w:ascii="宋体" w:hAnsi="宋体" w:cs="宋体"/>
          <w:b/>
          <w:color w:val="auto"/>
          <w:kern w:val="0"/>
          <w:sz w:val="32"/>
          <w:szCs w:val="32"/>
          <w:highlight w:val="none"/>
        </w:rPr>
      </w:pPr>
    </w:p>
    <w:p w14:paraId="654503E4">
      <w:pPr>
        <w:pStyle w:val="2"/>
        <w:rPr>
          <w:rFonts w:hint="eastAsia" w:ascii="宋体" w:hAnsi="宋体" w:cs="宋体"/>
          <w:b/>
          <w:color w:val="auto"/>
          <w:kern w:val="0"/>
          <w:sz w:val="32"/>
          <w:szCs w:val="32"/>
          <w:highlight w:val="none"/>
        </w:rPr>
      </w:pPr>
    </w:p>
    <w:p w14:paraId="6AD0DF26">
      <w:pPr>
        <w:rPr>
          <w:rFonts w:hint="eastAsia" w:ascii="宋体" w:hAnsi="宋体" w:cs="宋体"/>
          <w:b/>
          <w:color w:val="auto"/>
          <w:kern w:val="0"/>
          <w:sz w:val="32"/>
          <w:szCs w:val="32"/>
          <w:highlight w:val="none"/>
        </w:rPr>
      </w:pPr>
    </w:p>
    <w:p w14:paraId="60DED865">
      <w:pPr>
        <w:pStyle w:val="2"/>
        <w:rPr>
          <w:rFonts w:hint="eastAsia" w:ascii="宋体" w:hAnsi="宋体" w:cs="宋体"/>
          <w:b/>
          <w:color w:val="auto"/>
          <w:kern w:val="0"/>
          <w:sz w:val="32"/>
          <w:szCs w:val="32"/>
          <w:highlight w:val="none"/>
        </w:rPr>
      </w:pPr>
    </w:p>
    <w:p w14:paraId="73588D38">
      <w:pPr>
        <w:rPr>
          <w:rFonts w:hint="eastAsia" w:ascii="宋体" w:hAnsi="宋体" w:cs="宋体"/>
          <w:b/>
          <w:color w:val="auto"/>
          <w:kern w:val="0"/>
          <w:sz w:val="32"/>
          <w:szCs w:val="32"/>
          <w:highlight w:val="none"/>
        </w:rPr>
      </w:pPr>
    </w:p>
    <w:p w14:paraId="50AFC8B2">
      <w:pPr>
        <w:pStyle w:val="2"/>
        <w:rPr>
          <w:rFonts w:hint="eastAsia" w:ascii="宋体" w:hAnsi="宋体" w:cs="宋体"/>
          <w:b/>
          <w:color w:val="auto"/>
          <w:kern w:val="0"/>
          <w:sz w:val="32"/>
          <w:szCs w:val="32"/>
          <w:highlight w:val="none"/>
        </w:rPr>
      </w:pPr>
    </w:p>
    <w:p w14:paraId="23902898">
      <w:pPr>
        <w:rPr>
          <w:rFonts w:hint="eastAsia" w:ascii="宋体" w:hAnsi="宋体" w:cs="宋体"/>
          <w:b/>
          <w:color w:val="auto"/>
          <w:kern w:val="0"/>
          <w:sz w:val="32"/>
          <w:szCs w:val="32"/>
          <w:highlight w:val="none"/>
        </w:rPr>
      </w:pPr>
    </w:p>
    <w:p w14:paraId="61634C6D">
      <w:pPr>
        <w:pStyle w:val="2"/>
        <w:rPr>
          <w:rFonts w:hint="eastAsia" w:ascii="宋体" w:hAnsi="宋体" w:cs="宋体"/>
          <w:b/>
          <w:color w:val="auto"/>
          <w:kern w:val="0"/>
          <w:sz w:val="32"/>
          <w:szCs w:val="32"/>
          <w:highlight w:val="none"/>
        </w:rPr>
      </w:pPr>
    </w:p>
    <w:p w14:paraId="5B529DF9">
      <w:pPr>
        <w:pStyle w:val="2"/>
        <w:ind w:left="0" w:leftChars="0" w:firstLine="0" w:firstLineChars="0"/>
        <w:rPr>
          <w:rFonts w:hint="eastAsia" w:ascii="宋体" w:hAnsi="宋体" w:cs="宋体"/>
          <w:b/>
          <w:color w:val="auto"/>
          <w:kern w:val="0"/>
          <w:sz w:val="32"/>
          <w:szCs w:val="32"/>
          <w:highlight w:val="none"/>
        </w:rPr>
      </w:pPr>
    </w:p>
    <w:p w14:paraId="74CF6653">
      <w:pPr>
        <w:rPr>
          <w:rFonts w:hint="eastAsia" w:ascii="宋体" w:hAnsi="宋体" w:cs="宋体"/>
          <w:b/>
          <w:color w:val="auto"/>
          <w:kern w:val="0"/>
          <w:sz w:val="32"/>
          <w:szCs w:val="32"/>
          <w:highlight w:val="none"/>
        </w:rPr>
      </w:pPr>
    </w:p>
    <w:p w14:paraId="0E044F3F">
      <w:pPr>
        <w:snapToGrid w:val="0"/>
        <w:spacing w:line="360" w:lineRule="auto"/>
        <w:ind w:firstLine="3855" w:firstLineChars="1200"/>
        <w:jc w:val="both"/>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8C8EFA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杭州市保俶塔实验学校</w:t>
      </w:r>
      <w:r>
        <w:rPr>
          <w:rFonts w:hint="eastAsia" w:ascii="宋体" w:hAnsi="宋体" w:cs="宋体"/>
          <w:color w:val="auto"/>
          <w:sz w:val="24"/>
          <w:highlight w:val="none"/>
        </w:rPr>
        <w:t>、杭州市西湖区政府采购中心：</w:t>
      </w:r>
    </w:p>
    <w:p w14:paraId="6E2084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杭州市保俶塔实验学校智慧实验室建设项目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XHZFCG-2024-G-77</w:t>
      </w:r>
      <w:r>
        <w:rPr>
          <w:rFonts w:hint="eastAsia" w:ascii="宋体" w:hAnsi="宋体" w:cs="宋体"/>
          <w:color w:val="auto"/>
          <w:sz w:val="24"/>
          <w:highlight w:val="none"/>
        </w:rPr>
        <w:t>】招标的有关活动，并对此项目进行投标。为此：</w:t>
      </w:r>
    </w:p>
    <w:p w14:paraId="423AAB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4DC54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27CA033">
      <w:pPr>
        <w:snapToGrid w:val="0"/>
        <w:spacing w:line="360" w:lineRule="auto"/>
        <w:ind w:left="210" w:leftChars="100" w:firstLine="482" w:firstLineChars="200"/>
        <w:rPr>
          <w:rFonts w:ascii="宋体" w:hAnsi="宋体" w:cs="宋体"/>
          <w:b/>
          <w:bCs/>
          <w:color w:val="auto"/>
          <w:sz w:val="24"/>
          <w:highlight w:val="none"/>
        </w:rPr>
      </w:pPr>
      <w:r>
        <w:rPr>
          <w:rFonts w:hint="eastAsia" w:ascii="宋体" w:hAnsi="宋体" w:cs="宋体"/>
          <w:b/>
          <w:bCs/>
          <w:color w:val="auto"/>
          <w:sz w:val="24"/>
          <w:highlight w:val="none"/>
        </w:rPr>
        <w:t>2.1资格文件：</w:t>
      </w:r>
    </w:p>
    <w:p w14:paraId="3D9E9DC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0F3AFD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hint="default" w:ascii="宋体" w:hAnsi="宋体" w:cs="宋体"/>
          <w:color w:val="auto"/>
          <w:sz w:val="24"/>
          <w:highlight w:val="none"/>
          <w:lang w:val="en-US"/>
        </w:rPr>
        <w:t>2</w:t>
      </w:r>
      <w:r>
        <w:rPr>
          <w:rFonts w:hint="eastAsia" w:ascii="宋体" w:hAnsi="宋体" w:cs="宋体"/>
          <w:color w:val="auto"/>
          <w:sz w:val="24"/>
          <w:highlight w:val="none"/>
          <w:lang w:val="en-US" w:eastAsia="zh-CN"/>
        </w:rPr>
        <w:t>联合协议（如果有）</w:t>
      </w:r>
      <w:r>
        <w:rPr>
          <w:rFonts w:hint="eastAsia" w:ascii="宋体" w:hAnsi="宋体" w:cs="宋体"/>
          <w:color w:val="auto"/>
          <w:sz w:val="24"/>
          <w:highlight w:val="none"/>
        </w:rPr>
        <w:t>；</w:t>
      </w:r>
    </w:p>
    <w:p w14:paraId="41D8B6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default" w:ascii="宋体" w:hAnsi="宋体" w:cs="宋体"/>
          <w:color w:val="auto"/>
          <w:sz w:val="24"/>
          <w:highlight w:val="none"/>
          <w:lang w:val="en-US"/>
        </w:rPr>
        <w:t>3</w:t>
      </w:r>
      <w:r>
        <w:rPr>
          <w:rFonts w:hint="eastAsia" w:ascii="宋体" w:hAnsi="宋体" w:cs="宋体"/>
          <w:color w:val="auto"/>
          <w:sz w:val="24"/>
          <w:highlight w:val="none"/>
        </w:rPr>
        <w:t>落实政府采购政策需满足的资格要求</w:t>
      </w:r>
      <w:r>
        <w:rPr>
          <w:rFonts w:hint="eastAsia" w:ascii="宋体" w:hAnsi="宋体" w:cs="宋体"/>
          <w:strike w:val="0"/>
          <w:dstrike w:val="0"/>
          <w:color w:val="auto"/>
          <w:sz w:val="24"/>
          <w:highlight w:val="none"/>
        </w:rPr>
        <w:t>（如果有）</w:t>
      </w:r>
      <w:r>
        <w:rPr>
          <w:rFonts w:hint="eastAsia" w:ascii="宋体" w:hAnsi="宋体" w:cs="宋体"/>
          <w:color w:val="auto"/>
          <w:sz w:val="24"/>
          <w:highlight w:val="none"/>
        </w:rPr>
        <w:t>；</w:t>
      </w:r>
    </w:p>
    <w:p w14:paraId="3E500F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default" w:ascii="宋体" w:hAnsi="宋体" w:cs="宋体"/>
          <w:color w:val="auto"/>
          <w:sz w:val="24"/>
          <w:highlight w:val="none"/>
          <w:lang w:val="en-US"/>
        </w:rPr>
        <w:t>4</w:t>
      </w:r>
      <w:r>
        <w:rPr>
          <w:rFonts w:hint="eastAsia" w:ascii="宋体" w:hAnsi="宋体" w:cs="宋体"/>
          <w:color w:val="auto"/>
          <w:sz w:val="24"/>
          <w:highlight w:val="none"/>
        </w:rPr>
        <w:t>本项目的特定资格要求（如果有）。</w:t>
      </w:r>
    </w:p>
    <w:p w14:paraId="2545EFAC">
      <w:pPr>
        <w:snapToGrid w:val="0"/>
        <w:spacing w:line="360" w:lineRule="auto"/>
        <w:ind w:left="210" w:leftChars="100"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480F73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D47EF0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13DC64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hint="default" w:ascii="宋体" w:hAnsi="宋体" w:cs="宋体"/>
          <w:color w:val="auto"/>
          <w:sz w:val="24"/>
          <w:highlight w:val="none"/>
          <w:lang w:val="en-US"/>
        </w:rPr>
        <w:t>3</w:t>
      </w:r>
      <w:r>
        <w:rPr>
          <w:rFonts w:hint="eastAsia" w:ascii="宋体" w:hAnsi="宋体" w:cs="宋体"/>
          <w:color w:val="auto"/>
          <w:sz w:val="24"/>
          <w:highlight w:val="none"/>
          <w:lang w:eastAsia="zh-CN"/>
        </w:rPr>
        <w:t>分包意向协议</w:t>
      </w:r>
      <w:r>
        <w:rPr>
          <w:rFonts w:hint="eastAsia" w:ascii="宋体" w:hAnsi="宋体" w:cs="宋体"/>
          <w:color w:val="auto"/>
          <w:sz w:val="24"/>
          <w:highlight w:val="none"/>
        </w:rPr>
        <w:t>；</w:t>
      </w:r>
    </w:p>
    <w:p w14:paraId="4CF645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default" w:ascii="宋体" w:hAnsi="宋体" w:cs="宋体"/>
          <w:color w:val="auto"/>
          <w:sz w:val="24"/>
          <w:highlight w:val="none"/>
          <w:lang w:val="en-US"/>
        </w:rPr>
        <w:t>4</w:t>
      </w:r>
      <w:r>
        <w:rPr>
          <w:rFonts w:hint="eastAsia" w:ascii="宋体" w:hAnsi="宋体" w:cs="宋体"/>
          <w:color w:val="auto"/>
          <w:sz w:val="24"/>
          <w:highlight w:val="none"/>
        </w:rPr>
        <w:t>符合性审查资料；</w:t>
      </w:r>
    </w:p>
    <w:p w14:paraId="0503AF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default" w:ascii="宋体" w:hAnsi="宋体" w:cs="宋体"/>
          <w:color w:val="auto"/>
          <w:sz w:val="24"/>
          <w:highlight w:val="none"/>
          <w:lang w:val="en-US"/>
        </w:rPr>
        <w:t>5</w:t>
      </w:r>
      <w:r>
        <w:rPr>
          <w:rFonts w:hint="eastAsia" w:ascii="宋体" w:hAnsi="宋体" w:cs="宋体"/>
          <w:color w:val="auto"/>
          <w:sz w:val="24"/>
          <w:highlight w:val="none"/>
        </w:rPr>
        <w:t>评标标准相应的商务技术资料；</w:t>
      </w:r>
    </w:p>
    <w:p w14:paraId="3F3F73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default" w:ascii="宋体" w:hAnsi="宋体" w:cs="宋体"/>
          <w:color w:val="auto"/>
          <w:sz w:val="24"/>
          <w:highlight w:val="none"/>
          <w:lang w:val="en-US"/>
        </w:rPr>
        <w:t>6</w:t>
      </w:r>
      <w:r>
        <w:rPr>
          <w:rFonts w:hint="eastAsia" w:ascii="宋体" w:hAnsi="宋体" w:cs="宋体"/>
          <w:color w:val="auto"/>
          <w:sz w:val="24"/>
          <w:highlight w:val="none"/>
        </w:rPr>
        <w:t>投标标的清单；</w:t>
      </w:r>
    </w:p>
    <w:p w14:paraId="763B45B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hint="default" w:ascii="宋体" w:hAnsi="宋体" w:cs="宋体"/>
          <w:color w:val="auto"/>
          <w:sz w:val="24"/>
          <w:highlight w:val="none"/>
          <w:lang w:val="en-US"/>
        </w:rPr>
        <w:t>7</w:t>
      </w:r>
      <w:r>
        <w:rPr>
          <w:rFonts w:hint="eastAsia" w:ascii="宋体" w:hAnsi="宋体" w:cs="宋体"/>
          <w:color w:val="auto"/>
          <w:sz w:val="24"/>
          <w:highlight w:val="none"/>
        </w:rPr>
        <w:t>商务技术偏离表；</w:t>
      </w:r>
    </w:p>
    <w:p w14:paraId="459B919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default" w:ascii="宋体" w:hAnsi="宋体" w:cs="宋体"/>
          <w:color w:val="auto"/>
          <w:sz w:val="24"/>
          <w:highlight w:val="none"/>
          <w:lang w:val="en-US"/>
        </w:rPr>
        <w:t>8</w:t>
      </w:r>
      <w:r>
        <w:rPr>
          <w:rFonts w:hint="eastAsia" w:ascii="宋体" w:hAnsi="宋体" w:cs="宋体"/>
          <w:color w:val="auto"/>
          <w:sz w:val="24"/>
          <w:highlight w:val="none"/>
          <w:lang w:val="zh-CN"/>
        </w:rPr>
        <w:t>政府采购供应商廉洁自律承诺书。</w:t>
      </w:r>
    </w:p>
    <w:p w14:paraId="46C8E3CB">
      <w:pPr>
        <w:snapToGrid w:val="0"/>
        <w:spacing w:line="360" w:lineRule="auto"/>
        <w:ind w:left="210" w:leftChars="100" w:firstLine="482" w:firstLineChars="20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3报价文件</w:t>
      </w:r>
    </w:p>
    <w:p w14:paraId="291F75E7">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14:paraId="5B69E2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20E9B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4AC40C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B9F5A6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69BBDD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90432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31605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76C0A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EC075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EC711B5">
      <w:pPr>
        <w:snapToGrid w:val="0"/>
        <w:spacing w:line="360" w:lineRule="auto"/>
        <w:ind w:left="420" w:leftChars="200" w:firstLine="4200" w:firstLineChars="1750"/>
        <w:rPr>
          <w:rFonts w:ascii="宋体" w:hAnsi="宋体" w:cs="宋体"/>
          <w:color w:val="auto"/>
          <w:kern w:val="0"/>
          <w:sz w:val="24"/>
          <w:highlight w:val="none"/>
          <w:u w:val="single"/>
        </w:rPr>
      </w:pPr>
    </w:p>
    <w:p w14:paraId="3F2F39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59F02A">
      <w:pPr>
        <w:jc w:val="center"/>
        <w:rPr>
          <w:rFonts w:ascii="宋体" w:hAnsi="宋体" w:cs="宋体"/>
          <w:b/>
          <w:color w:val="auto"/>
          <w:kern w:val="0"/>
          <w:sz w:val="32"/>
          <w:szCs w:val="32"/>
          <w:highlight w:val="none"/>
        </w:rPr>
      </w:pPr>
    </w:p>
    <w:p w14:paraId="233005E5">
      <w:pPr>
        <w:jc w:val="center"/>
        <w:rPr>
          <w:rFonts w:ascii="宋体" w:hAnsi="宋体" w:cs="宋体"/>
          <w:b/>
          <w:color w:val="auto"/>
          <w:kern w:val="0"/>
          <w:sz w:val="32"/>
          <w:szCs w:val="32"/>
          <w:highlight w:val="none"/>
        </w:rPr>
      </w:pPr>
    </w:p>
    <w:p w14:paraId="5203607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05F46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8B752B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5D93A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杭州市保俶塔实验学校</w:t>
      </w:r>
      <w:r>
        <w:rPr>
          <w:rFonts w:hint="eastAsia" w:ascii="宋体" w:hAnsi="宋体" w:cs="宋体"/>
          <w:color w:val="auto"/>
          <w:sz w:val="24"/>
          <w:highlight w:val="none"/>
        </w:rPr>
        <w:t>、杭州市西湖区政府采购中心</w:t>
      </w:r>
      <w:r>
        <w:rPr>
          <w:rFonts w:hint="eastAsia" w:ascii="宋体" w:hAnsi="宋体" w:cs="宋体"/>
          <w:color w:val="auto"/>
          <w:kern w:val="0"/>
          <w:sz w:val="24"/>
          <w:highlight w:val="none"/>
          <w:lang w:val="zh-CN"/>
        </w:rPr>
        <w:t>：</w:t>
      </w:r>
    </w:p>
    <w:p w14:paraId="344D677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杭州市保俶塔实验学校智慧实验室建设项目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XHZFCG-2024-G-77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D90DE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F5455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53C4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1F461F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E5DE5AE">
      <w:pPr>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 xml:space="preserve"> </w:t>
      </w:r>
    </w:p>
    <w:p w14:paraId="3D0B9744">
      <w:pPr>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val="zh-CN"/>
        </w:rPr>
        <w:t>授权委托书（适用于联合体投标）</w:t>
      </w:r>
    </w:p>
    <w:p w14:paraId="0B82E360">
      <w:pPr>
        <w:snapToGrid w:val="0"/>
        <w:spacing w:line="360" w:lineRule="auto"/>
        <w:rPr>
          <w:rFonts w:cs="宋体" w:asciiTheme="minorEastAsia" w:hAnsiTheme="minorEastAsia" w:eastAsiaTheme="minorEastAsia"/>
          <w:color w:val="auto"/>
          <w:kern w:val="0"/>
          <w:sz w:val="24"/>
          <w:highlight w:val="none"/>
        </w:rPr>
      </w:pPr>
      <w:r>
        <w:rPr>
          <w:rFonts w:hint="eastAsia" w:ascii="宋体" w:hAnsi="宋体" w:cs="宋体"/>
          <w:color w:val="auto"/>
          <w:sz w:val="24"/>
          <w:highlight w:val="none"/>
          <w:lang w:eastAsia="zh-CN"/>
        </w:rPr>
        <w:t>杭州市保俶塔实验学校</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杭州市西湖区政府采购中心</w:t>
      </w:r>
      <w:r>
        <w:rPr>
          <w:rFonts w:hint="eastAsia" w:cs="宋体" w:asciiTheme="minorEastAsia" w:hAnsiTheme="minorEastAsia" w:eastAsiaTheme="minorEastAsia"/>
          <w:color w:val="auto"/>
          <w:kern w:val="0"/>
          <w:sz w:val="24"/>
          <w:highlight w:val="none"/>
          <w:lang w:val="zh-CN"/>
        </w:rPr>
        <w:t>：</w:t>
      </w:r>
    </w:p>
    <w:p w14:paraId="79D7B397">
      <w:pPr>
        <w:snapToGrid w:val="0"/>
        <w:spacing w:line="360" w:lineRule="auto"/>
        <w:ind w:firstLine="57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ascii="宋体" w:hAnsi="宋体" w:cs="宋体"/>
          <w:color w:val="auto"/>
          <w:sz w:val="24"/>
          <w:highlight w:val="none"/>
          <w:lang w:eastAsia="zh-CN"/>
        </w:rPr>
        <w:t>杭州市保俶塔实验学校智慧实验室建设项目</w:t>
      </w:r>
      <w:r>
        <w:rPr>
          <w:rFonts w:hint="eastAsia" w:cs="宋体" w:asciiTheme="minorEastAsia" w:hAnsiTheme="minorEastAsia" w:eastAsiaTheme="minorEastAsia"/>
          <w:color w:val="auto"/>
          <w:sz w:val="24"/>
          <w:highlight w:val="none"/>
        </w:rPr>
        <w:t>【招标编号：</w:t>
      </w:r>
      <w:r>
        <w:rPr>
          <w:rFonts w:hint="eastAsia" w:cs="宋体" w:asciiTheme="minorEastAsia" w:hAnsiTheme="minorEastAsia" w:eastAsiaTheme="minorEastAsia"/>
          <w:color w:val="auto"/>
          <w:sz w:val="24"/>
          <w:highlight w:val="none"/>
          <w:lang w:eastAsia="zh-CN"/>
        </w:rPr>
        <w:t>XHZFCG-2024-G-77</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14:paraId="628B248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日起至</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日止。</w:t>
      </w:r>
    </w:p>
    <w:p w14:paraId="1D25B82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特此告知。</w:t>
      </w:r>
    </w:p>
    <w:p w14:paraId="647BCDAE">
      <w:pPr>
        <w:jc w:val="center"/>
        <w:rPr>
          <w:rFonts w:cs="宋体" w:asciiTheme="minorEastAsia" w:hAnsiTheme="minorEastAsia" w:eastAsiaTheme="minorEastAsia"/>
          <w:b/>
          <w:color w:val="auto"/>
          <w:kern w:val="0"/>
          <w:sz w:val="32"/>
          <w:szCs w:val="32"/>
          <w:highlight w:val="none"/>
        </w:rPr>
      </w:pPr>
    </w:p>
    <w:p w14:paraId="15EF57EC">
      <w:pPr>
        <w:rPr>
          <w:rFonts w:cs="宋体" w:asciiTheme="minorEastAsia" w:hAnsiTheme="minorEastAsia" w:eastAsiaTheme="minorEastAsia"/>
          <w:color w:val="auto"/>
          <w:highlight w:val="none"/>
        </w:rPr>
      </w:pPr>
    </w:p>
    <w:p w14:paraId="26EFD393">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EF9FB5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1F702C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4ECB3C4">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B83C95A">
      <w:pPr>
        <w:autoSpaceDE w:val="0"/>
        <w:autoSpaceDN w:val="0"/>
        <w:spacing w:line="360" w:lineRule="auto"/>
        <w:jc w:val="left"/>
        <w:rPr>
          <w:rFonts w:ascii="宋体" w:hAnsi="宋体" w:cs="宋体"/>
          <w:b/>
          <w:color w:val="auto"/>
          <w:kern w:val="0"/>
          <w:sz w:val="32"/>
          <w:szCs w:val="32"/>
          <w:highlight w:val="none"/>
          <w:u w:val="single"/>
          <w:lang w:val="zh-CN"/>
        </w:rPr>
      </w:pPr>
      <w:r>
        <w:rPr>
          <w:rFonts w:hint="eastAsia" w:ascii="宋体" w:hAnsi="宋体" w:cs="宋体"/>
          <w:b/>
          <w:color w:val="auto"/>
          <w:kern w:val="0"/>
          <w:sz w:val="24"/>
          <w:highlight w:val="none"/>
          <w:u w:val="single"/>
          <w:lang w:val="zh-CN"/>
        </w:rPr>
        <w:t>注：▲供应商委派不在本单位缴纳社保的人员作为授权代表（代理人）的，应当在投标（响应）文件中，说明具体原因、授权代表缴纳社保的单位，并附列该授权代表缴纳社保清单。</w:t>
      </w:r>
    </w:p>
    <w:p w14:paraId="38C9B2D3">
      <w:pPr>
        <w:snapToGrid w:val="0"/>
        <w:spacing w:line="360" w:lineRule="auto"/>
        <w:rPr>
          <w:rFonts w:ascii="宋体" w:hAnsi="宋体" w:cs="宋体"/>
          <w:color w:val="auto"/>
          <w:sz w:val="24"/>
          <w:highlight w:val="none"/>
        </w:rPr>
      </w:pPr>
    </w:p>
    <w:p w14:paraId="771FB9E5">
      <w:pPr>
        <w:pStyle w:val="2"/>
        <w:rPr>
          <w:color w:val="auto"/>
          <w:highlight w:val="none"/>
        </w:rPr>
      </w:pPr>
    </w:p>
    <w:p w14:paraId="05E1F61F">
      <w:pPr>
        <w:snapToGrid w:val="0"/>
        <w:spacing w:line="360" w:lineRule="auto"/>
        <w:rPr>
          <w:rFonts w:ascii="宋体" w:hAnsi="宋体" w:cs="宋体"/>
          <w:color w:val="auto"/>
          <w:sz w:val="24"/>
          <w:highlight w:val="none"/>
        </w:rPr>
      </w:pPr>
    </w:p>
    <w:p w14:paraId="65D20369">
      <w:pPr>
        <w:snapToGrid w:val="0"/>
        <w:spacing w:line="360" w:lineRule="auto"/>
        <w:rPr>
          <w:rFonts w:ascii="宋体" w:hAnsi="宋体" w:cs="宋体"/>
          <w:b/>
          <w:color w:val="auto"/>
          <w:sz w:val="24"/>
          <w:highlight w:val="none"/>
        </w:rPr>
      </w:pPr>
      <w:r>
        <w:rPr>
          <w:rFonts w:hint="eastAsia" w:ascii="宋体" w:hAnsi="宋体" w:cs="宋体"/>
          <w:b/>
          <w:color w:val="auto"/>
          <w:kern w:val="0"/>
          <w:sz w:val="32"/>
          <w:szCs w:val="32"/>
          <w:highlight w:val="none"/>
          <w:lang w:val="zh-CN"/>
        </w:rPr>
        <w:t xml:space="preserve">  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676A49E">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D3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28306C">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8680649">
            <w:pPr>
              <w:pStyle w:val="148"/>
              <w:adjustRightInd w:val="0"/>
              <w:spacing w:line="360" w:lineRule="auto"/>
              <w:rPr>
                <w:rFonts w:hAnsi="宋体" w:cs="宋体"/>
                <w:bCs/>
                <w:color w:val="auto"/>
                <w:sz w:val="24"/>
                <w:highlight w:val="none"/>
              </w:rPr>
            </w:pPr>
          </w:p>
        </w:tc>
      </w:tr>
    </w:tbl>
    <w:p w14:paraId="28B9686A">
      <w:pPr>
        <w:snapToGrid w:val="0"/>
        <w:spacing w:line="360" w:lineRule="auto"/>
        <w:jc w:val="both"/>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B9398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F02213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258CC5">
      <w:pPr>
        <w:jc w:val="center"/>
        <w:rPr>
          <w:rFonts w:ascii="宋体" w:hAnsi="宋体" w:cs="宋体"/>
          <w:b/>
          <w:color w:val="auto"/>
          <w:kern w:val="0"/>
          <w:sz w:val="32"/>
          <w:szCs w:val="32"/>
          <w:highlight w:val="none"/>
        </w:rPr>
      </w:pPr>
    </w:p>
    <w:p w14:paraId="285E5DA1">
      <w:pPr>
        <w:pStyle w:val="2"/>
      </w:pPr>
    </w:p>
    <w:p w14:paraId="3776F8BC"/>
    <w:p w14:paraId="45EC49C7">
      <w:pPr>
        <w:pStyle w:val="2"/>
      </w:pPr>
    </w:p>
    <w:p w14:paraId="414D5B52">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p>
    <w:p w14:paraId="0FF50028">
      <w:pPr>
        <w:widowControl/>
        <w:spacing w:line="360" w:lineRule="auto"/>
        <w:ind w:firstLine="120" w:firstLineChars="50"/>
        <w:jc w:val="left"/>
        <w:rPr>
          <w:rFonts w:ascii="宋体" w:hAnsi="宋体" w:cs="宋体"/>
          <w:color w:val="auto"/>
          <w:sz w:val="24"/>
          <w:highlight w:val="none"/>
        </w:rPr>
      </w:pPr>
      <w:bookmarkStart w:id="53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38"/>
    <w:p w14:paraId="71BC0F7A">
      <w:pPr>
        <w:snapToGrid w:val="0"/>
        <w:spacing w:line="360" w:lineRule="auto"/>
        <w:rPr>
          <w:rFonts w:ascii="宋体" w:hAnsi="宋体" w:cs="宋体"/>
          <w:color w:val="auto"/>
          <w:kern w:val="0"/>
          <w:sz w:val="24"/>
          <w:highlight w:val="none"/>
        </w:rPr>
      </w:pPr>
    </w:p>
    <w:p w14:paraId="71427BCF">
      <w:pPr>
        <w:pStyle w:val="2"/>
        <w:rPr>
          <w:rFonts w:ascii="宋体" w:hAnsi="宋体" w:cs="宋体"/>
          <w:color w:val="auto"/>
          <w:kern w:val="0"/>
          <w:sz w:val="24"/>
          <w:highlight w:val="none"/>
        </w:rPr>
      </w:pPr>
    </w:p>
    <w:p w14:paraId="707A80A6"/>
    <w:p w14:paraId="3697A33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、符合性审查资料</w:t>
      </w:r>
    </w:p>
    <w:p w14:paraId="1232C4E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DD2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6D99D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BC7D21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09097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F66A82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468255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89E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1A1211">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373E11CE">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385584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72CC622A">
            <w:pPr>
              <w:jc w:val="left"/>
              <w:rPr>
                <w:rFonts w:ascii="宋体" w:hAnsi="宋体" w:cs="宋体"/>
                <w:color w:val="auto"/>
                <w:sz w:val="24"/>
                <w:highlight w:val="none"/>
              </w:rPr>
            </w:pPr>
            <w:r>
              <w:rPr>
                <w:rFonts w:hint="eastAsia" w:ascii="宋体" w:hAnsi="宋体" w:cs="宋体"/>
                <w:color w:val="auto"/>
                <w:sz w:val="24"/>
                <w:highlight w:val="none"/>
              </w:rPr>
              <w:t>见投标文件</w:t>
            </w:r>
          </w:p>
          <w:p w14:paraId="62F42108">
            <w:pPr>
              <w:jc w:val="left"/>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3E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1A3177">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06BD1A77">
            <w:pPr>
              <w:spacing w:line="360" w:lineRule="auto"/>
              <w:jc w:val="left"/>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D44E3F0">
            <w:pPr>
              <w:rPr>
                <w:rFonts w:ascii="宋体" w:hAnsi="宋体" w:cs="宋体"/>
                <w:color w:val="auto"/>
                <w:sz w:val="24"/>
                <w:highlight w:val="none"/>
              </w:rPr>
            </w:pPr>
            <w:r>
              <w:rPr>
                <w:rFonts w:hint="eastAsia" w:ascii="宋体" w:hAnsi="宋体" w:cs="宋体"/>
                <w:color w:val="auto"/>
                <w:sz w:val="24"/>
                <w:highlight w:val="none"/>
              </w:rPr>
              <w:t>节能产品认证证书</w:t>
            </w:r>
            <w:r>
              <w:rPr>
                <w:rFonts w:hint="eastAsia" w:ascii="宋体" w:hAnsi="宋体" w:cs="宋体"/>
                <w:b/>
                <w:bCs/>
                <w:color w:val="auto"/>
                <w:sz w:val="24"/>
                <w:highlight w:val="none"/>
              </w:rPr>
              <w:t>（本项目拟采购的产品不属于政府强制采购的节能产品品目清单范围的，无需提供）</w:t>
            </w:r>
          </w:p>
        </w:tc>
        <w:tc>
          <w:tcPr>
            <w:tcW w:w="1418" w:type="dxa"/>
            <w:vAlign w:val="center"/>
          </w:tcPr>
          <w:p w14:paraId="1518ABCB">
            <w:pPr>
              <w:jc w:val="left"/>
              <w:rPr>
                <w:rFonts w:ascii="宋体" w:hAnsi="宋体" w:cs="宋体"/>
                <w:color w:val="auto"/>
                <w:sz w:val="24"/>
                <w:highlight w:val="none"/>
              </w:rPr>
            </w:pPr>
            <w:r>
              <w:rPr>
                <w:rFonts w:hint="eastAsia" w:ascii="宋体" w:hAnsi="宋体" w:cs="宋体"/>
                <w:color w:val="auto"/>
                <w:sz w:val="24"/>
                <w:highlight w:val="none"/>
              </w:rPr>
              <w:t>见投标文件</w:t>
            </w:r>
          </w:p>
          <w:p w14:paraId="14E93A58">
            <w:pPr>
              <w:pStyle w:val="2"/>
              <w:jc w:val="left"/>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3295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5A9A49">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519312A0">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F92408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0C6F2742">
            <w:pPr>
              <w:jc w:val="left"/>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49F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230BFA">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7BE747D7">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投标文件满足招标文件的其它</w:t>
            </w:r>
            <w:r>
              <w:rPr>
                <w:rFonts w:hint="eastAsia" w:ascii="宋体" w:hAnsi="宋体" w:cs="宋体"/>
                <w:color w:val="auto"/>
                <w:kern w:val="0"/>
                <w:sz w:val="24"/>
                <w:highlight w:val="none"/>
              </w:rPr>
              <w:t>实质性</w:t>
            </w:r>
            <w:r>
              <w:rPr>
                <w:rFonts w:hint="eastAsia" w:ascii="宋体" w:hAnsi="宋体" w:cs="宋体"/>
                <w:color w:val="auto"/>
                <w:sz w:val="24"/>
                <w:highlight w:val="none"/>
              </w:rPr>
              <w:t>要求。</w:t>
            </w:r>
          </w:p>
        </w:tc>
        <w:tc>
          <w:tcPr>
            <w:tcW w:w="2551" w:type="dxa"/>
            <w:vAlign w:val="center"/>
          </w:tcPr>
          <w:p w14:paraId="62F7380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526BFDE4">
            <w:pPr>
              <w:jc w:val="left"/>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F0250C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9A529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7C4ABDA">
      <w:pPr>
        <w:jc w:val="center"/>
        <w:rPr>
          <w:rFonts w:ascii="宋体" w:hAnsi="宋体" w:cs="宋体"/>
          <w:color w:val="auto"/>
          <w:highlight w:val="none"/>
        </w:rPr>
      </w:pPr>
      <w:r>
        <w:rPr>
          <w:rFonts w:hint="eastAsia" w:ascii="宋体" w:hAnsi="宋体" w:cs="宋体"/>
          <w:b/>
          <w:color w:val="auto"/>
          <w:kern w:val="0"/>
          <w:sz w:val="32"/>
          <w:szCs w:val="32"/>
          <w:highlight w:val="none"/>
          <w:lang w:eastAsia="zh-CN"/>
        </w:rPr>
        <w:t>五</w:t>
      </w:r>
      <w:r>
        <w:rPr>
          <w:rFonts w:hint="eastAsia" w:ascii="宋体" w:hAnsi="宋体" w:cs="宋体"/>
          <w:b/>
          <w:color w:val="auto"/>
          <w:kern w:val="0"/>
          <w:sz w:val="32"/>
          <w:szCs w:val="32"/>
          <w:highlight w:val="none"/>
        </w:rPr>
        <w:t>、评标标准相应的商务技术资料</w:t>
      </w:r>
    </w:p>
    <w:p w14:paraId="2CEAFB1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r>
        <w:rPr>
          <w:rFonts w:hint="eastAsia" w:ascii="宋体" w:hAnsi="宋体" w:eastAsia="宋体" w:cs="宋体"/>
          <w:b/>
          <w:color w:val="auto"/>
          <w:sz w:val="24"/>
          <w:highlight w:val="none"/>
          <w:lang w:val="en-US" w:eastAsia="zh-CN"/>
        </w:rPr>
        <w:t>。</w:t>
      </w:r>
      <w:r>
        <w:rPr>
          <w:rFonts w:hint="eastAsia" w:ascii="宋体" w:hAnsi="宋体" w:cs="宋体"/>
          <w:b/>
          <w:color w:val="auto"/>
          <w:sz w:val="24"/>
          <w:highlight w:val="none"/>
        </w:rPr>
        <w:t>）</w:t>
      </w:r>
    </w:p>
    <w:p w14:paraId="5FC412AE">
      <w:pPr>
        <w:jc w:val="both"/>
        <w:rPr>
          <w:rFonts w:ascii="宋体" w:hAnsi="宋体" w:cs="宋体"/>
          <w:b/>
          <w:color w:val="auto"/>
          <w:kern w:val="0"/>
          <w:sz w:val="32"/>
          <w:szCs w:val="32"/>
          <w:highlight w:val="none"/>
        </w:rPr>
      </w:pPr>
    </w:p>
    <w:p w14:paraId="15E48CD8">
      <w:pPr>
        <w:pStyle w:val="2"/>
        <w:rPr>
          <w:color w:val="auto"/>
          <w:highlight w:val="none"/>
        </w:rPr>
      </w:pPr>
    </w:p>
    <w:p w14:paraId="308E1F8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六</w:t>
      </w: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A85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65996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5CE5B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26DDD1A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9CE2B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型号</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34B47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4DF9EF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4515D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E7F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AC500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20D065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DFBE36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C99B7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663630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3B0364A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DCA4A8A">
            <w:pPr>
              <w:spacing w:line="360" w:lineRule="auto"/>
              <w:jc w:val="center"/>
              <w:rPr>
                <w:rFonts w:ascii="宋体" w:hAnsi="宋体" w:cs="宋体"/>
                <w:color w:val="auto"/>
                <w:sz w:val="24"/>
                <w:highlight w:val="none"/>
              </w:rPr>
            </w:pPr>
          </w:p>
        </w:tc>
      </w:tr>
      <w:tr w14:paraId="56A1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A728A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E4B6FE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4277C0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F30A54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304AF8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79C7479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71819D4">
            <w:pPr>
              <w:spacing w:line="360" w:lineRule="auto"/>
              <w:jc w:val="center"/>
              <w:rPr>
                <w:rFonts w:ascii="宋体" w:hAnsi="宋体" w:cs="宋体"/>
                <w:color w:val="auto"/>
                <w:sz w:val="24"/>
                <w:highlight w:val="none"/>
              </w:rPr>
            </w:pPr>
          </w:p>
        </w:tc>
      </w:tr>
      <w:tr w14:paraId="4DE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0F49F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5D7874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201EC7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845F90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0BFFCBF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46C8BD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81480AE">
            <w:pPr>
              <w:spacing w:line="360" w:lineRule="auto"/>
              <w:jc w:val="center"/>
              <w:rPr>
                <w:rFonts w:ascii="宋体" w:hAnsi="宋体" w:cs="宋体"/>
                <w:color w:val="auto"/>
                <w:sz w:val="24"/>
                <w:highlight w:val="none"/>
              </w:rPr>
            </w:pPr>
          </w:p>
        </w:tc>
      </w:tr>
    </w:tbl>
    <w:p w14:paraId="3AD1E2C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5E9BB8">
      <w:pPr>
        <w:jc w:val="center"/>
        <w:rPr>
          <w:rFonts w:ascii="宋体" w:hAnsi="宋体" w:cs="宋体"/>
          <w:b/>
          <w:color w:val="auto"/>
          <w:kern w:val="0"/>
          <w:sz w:val="32"/>
          <w:szCs w:val="32"/>
          <w:highlight w:val="none"/>
        </w:rPr>
      </w:pPr>
    </w:p>
    <w:p w14:paraId="37780024">
      <w:pPr>
        <w:jc w:val="center"/>
        <w:rPr>
          <w:rFonts w:ascii="宋体" w:hAnsi="宋体" w:cs="宋体"/>
          <w:b/>
          <w:color w:val="auto"/>
          <w:kern w:val="0"/>
          <w:sz w:val="32"/>
          <w:szCs w:val="32"/>
          <w:highlight w:val="none"/>
        </w:rPr>
      </w:pPr>
    </w:p>
    <w:p w14:paraId="62A989B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七</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2C2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111F0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C60DCC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A57DABD">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B1FD17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C6B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03BC1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9AA073D">
            <w:pPr>
              <w:jc w:val="center"/>
              <w:rPr>
                <w:rFonts w:ascii="宋体" w:hAnsi="宋体" w:cs="宋体"/>
                <w:b/>
                <w:color w:val="auto"/>
                <w:kern w:val="0"/>
                <w:sz w:val="32"/>
                <w:szCs w:val="32"/>
                <w:highlight w:val="none"/>
              </w:rPr>
            </w:pPr>
          </w:p>
        </w:tc>
        <w:tc>
          <w:tcPr>
            <w:tcW w:w="3546" w:type="dxa"/>
          </w:tcPr>
          <w:p w14:paraId="3E97F86D">
            <w:pPr>
              <w:jc w:val="center"/>
              <w:rPr>
                <w:rFonts w:ascii="宋体" w:hAnsi="宋体" w:cs="宋体"/>
                <w:b/>
                <w:color w:val="auto"/>
                <w:kern w:val="0"/>
                <w:sz w:val="32"/>
                <w:szCs w:val="32"/>
                <w:highlight w:val="none"/>
              </w:rPr>
            </w:pPr>
          </w:p>
        </w:tc>
        <w:tc>
          <w:tcPr>
            <w:tcW w:w="1276" w:type="dxa"/>
          </w:tcPr>
          <w:p w14:paraId="1B07CFFD">
            <w:pPr>
              <w:jc w:val="center"/>
              <w:rPr>
                <w:rFonts w:ascii="宋体" w:hAnsi="宋体" w:cs="宋体"/>
                <w:b/>
                <w:color w:val="auto"/>
                <w:kern w:val="0"/>
                <w:sz w:val="32"/>
                <w:szCs w:val="32"/>
                <w:highlight w:val="none"/>
              </w:rPr>
            </w:pPr>
          </w:p>
        </w:tc>
      </w:tr>
      <w:tr w14:paraId="060C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7A45B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4BDDBD8">
            <w:pPr>
              <w:jc w:val="center"/>
              <w:rPr>
                <w:rFonts w:ascii="宋体" w:hAnsi="宋体" w:cs="宋体"/>
                <w:b/>
                <w:color w:val="auto"/>
                <w:kern w:val="0"/>
                <w:sz w:val="32"/>
                <w:szCs w:val="32"/>
                <w:highlight w:val="none"/>
              </w:rPr>
            </w:pPr>
          </w:p>
        </w:tc>
        <w:tc>
          <w:tcPr>
            <w:tcW w:w="3546" w:type="dxa"/>
          </w:tcPr>
          <w:p w14:paraId="2FC35C09">
            <w:pPr>
              <w:jc w:val="center"/>
              <w:rPr>
                <w:rFonts w:ascii="宋体" w:hAnsi="宋体" w:cs="宋体"/>
                <w:b/>
                <w:color w:val="auto"/>
                <w:kern w:val="0"/>
                <w:sz w:val="32"/>
                <w:szCs w:val="32"/>
                <w:highlight w:val="none"/>
              </w:rPr>
            </w:pPr>
          </w:p>
        </w:tc>
        <w:tc>
          <w:tcPr>
            <w:tcW w:w="1276" w:type="dxa"/>
          </w:tcPr>
          <w:p w14:paraId="4D5AE752">
            <w:pPr>
              <w:jc w:val="center"/>
              <w:rPr>
                <w:rFonts w:ascii="宋体" w:hAnsi="宋体" w:cs="宋体"/>
                <w:b/>
                <w:color w:val="auto"/>
                <w:kern w:val="0"/>
                <w:sz w:val="32"/>
                <w:szCs w:val="32"/>
                <w:highlight w:val="none"/>
              </w:rPr>
            </w:pPr>
          </w:p>
        </w:tc>
      </w:tr>
      <w:tr w14:paraId="669E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A2826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0A0AB20">
            <w:pPr>
              <w:jc w:val="center"/>
              <w:rPr>
                <w:rFonts w:ascii="宋体" w:hAnsi="宋体" w:cs="宋体"/>
                <w:b/>
                <w:color w:val="auto"/>
                <w:kern w:val="0"/>
                <w:sz w:val="32"/>
                <w:szCs w:val="32"/>
                <w:highlight w:val="none"/>
              </w:rPr>
            </w:pPr>
          </w:p>
        </w:tc>
        <w:tc>
          <w:tcPr>
            <w:tcW w:w="3546" w:type="dxa"/>
          </w:tcPr>
          <w:p w14:paraId="7FF24A64">
            <w:pPr>
              <w:jc w:val="center"/>
              <w:rPr>
                <w:rFonts w:ascii="宋体" w:hAnsi="宋体" w:cs="宋体"/>
                <w:b/>
                <w:color w:val="auto"/>
                <w:kern w:val="0"/>
                <w:sz w:val="32"/>
                <w:szCs w:val="32"/>
                <w:highlight w:val="none"/>
              </w:rPr>
            </w:pPr>
          </w:p>
        </w:tc>
        <w:tc>
          <w:tcPr>
            <w:tcW w:w="1276" w:type="dxa"/>
          </w:tcPr>
          <w:p w14:paraId="6EDBDED3">
            <w:pPr>
              <w:jc w:val="center"/>
              <w:rPr>
                <w:rFonts w:ascii="宋体" w:hAnsi="宋体" w:cs="宋体"/>
                <w:b/>
                <w:color w:val="auto"/>
                <w:kern w:val="0"/>
                <w:sz w:val="32"/>
                <w:szCs w:val="32"/>
                <w:highlight w:val="none"/>
              </w:rPr>
            </w:pPr>
          </w:p>
        </w:tc>
      </w:tr>
    </w:tbl>
    <w:p w14:paraId="5CBD6A2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1FA6BBF">
      <w:pPr>
        <w:jc w:val="center"/>
        <w:rPr>
          <w:rFonts w:ascii="宋体" w:hAnsi="宋体" w:cs="宋体"/>
          <w:b/>
          <w:color w:val="auto"/>
          <w:kern w:val="0"/>
          <w:sz w:val="32"/>
          <w:szCs w:val="32"/>
          <w:highlight w:val="none"/>
        </w:rPr>
      </w:pPr>
    </w:p>
    <w:p w14:paraId="4DD9C25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3DFEDB8">
      <w:pPr>
        <w:pStyle w:val="2"/>
        <w:rPr>
          <w:rFonts w:hint="eastAsia" w:ascii="宋体" w:hAnsi="宋体" w:cs="宋体"/>
          <w:color w:val="auto"/>
          <w:sz w:val="24"/>
          <w:highlight w:val="none"/>
        </w:rPr>
      </w:pPr>
    </w:p>
    <w:p w14:paraId="123DBD0B">
      <w:pPr>
        <w:rPr>
          <w:rFonts w:hint="eastAsia" w:ascii="宋体" w:hAnsi="宋体" w:cs="宋体"/>
          <w:color w:val="auto"/>
          <w:sz w:val="24"/>
          <w:highlight w:val="none"/>
        </w:rPr>
      </w:pPr>
    </w:p>
    <w:p w14:paraId="65712ED0">
      <w:pPr>
        <w:pStyle w:val="2"/>
        <w:rPr>
          <w:rFonts w:hint="eastAsia" w:ascii="宋体" w:hAnsi="宋体" w:cs="宋体"/>
          <w:color w:val="auto"/>
          <w:sz w:val="24"/>
          <w:highlight w:val="none"/>
        </w:rPr>
      </w:pPr>
    </w:p>
    <w:p w14:paraId="0378F0B8">
      <w:pPr>
        <w:rPr>
          <w:rFonts w:hint="eastAsia" w:ascii="宋体" w:hAnsi="宋体" w:cs="宋体"/>
          <w:color w:val="auto"/>
          <w:sz w:val="24"/>
          <w:highlight w:val="none"/>
        </w:rPr>
      </w:pPr>
    </w:p>
    <w:p w14:paraId="6E0151A8">
      <w:pPr>
        <w:pStyle w:val="2"/>
        <w:rPr>
          <w:rFonts w:hint="eastAsia" w:ascii="宋体" w:hAnsi="宋体" w:cs="宋体"/>
          <w:color w:val="auto"/>
          <w:sz w:val="24"/>
          <w:highlight w:val="none"/>
        </w:rPr>
      </w:pPr>
    </w:p>
    <w:p w14:paraId="3A23A29B">
      <w:pPr>
        <w:rPr>
          <w:rFonts w:hint="eastAsia" w:ascii="宋体" w:hAnsi="宋体" w:cs="宋体"/>
          <w:color w:val="auto"/>
          <w:sz w:val="24"/>
          <w:highlight w:val="none"/>
        </w:rPr>
      </w:pPr>
    </w:p>
    <w:p w14:paraId="4F7FD160">
      <w:pPr>
        <w:pStyle w:val="2"/>
        <w:rPr>
          <w:rFonts w:hint="eastAsia" w:ascii="宋体" w:hAnsi="宋体" w:cs="宋体"/>
          <w:color w:val="auto"/>
          <w:sz w:val="24"/>
          <w:highlight w:val="none"/>
        </w:rPr>
      </w:pPr>
    </w:p>
    <w:p w14:paraId="370FDB6D">
      <w:pPr>
        <w:rPr>
          <w:rFonts w:hint="eastAsia" w:ascii="宋体" w:hAnsi="宋体" w:cs="宋体"/>
          <w:color w:val="auto"/>
          <w:sz w:val="24"/>
          <w:highlight w:val="none"/>
        </w:rPr>
      </w:pPr>
    </w:p>
    <w:p w14:paraId="0F4C53EE">
      <w:pPr>
        <w:pStyle w:val="2"/>
        <w:rPr>
          <w:rFonts w:hint="eastAsia" w:ascii="宋体" w:hAnsi="宋体" w:cs="宋体"/>
          <w:color w:val="auto"/>
          <w:sz w:val="24"/>
          <w:highlight w:val="none"/>
        </w:rPr>
      </w:pPr>
    </w:p>
    <w:p w14:paraId="7416CF4B">
      <w:pPr>
        <w:rPr>
          <w:rFonts w:hint="eastAsia" w:ascii="宋体" w:hAnsi="宋体" w:cs="宋体"/>
          <w:color w:val="auto"/>
          <w:sz w:val="24"/>
          <w:highlight w:val="none"/>
        </w:rPr>
      </w:pPr>
    </w:p>
    <w:p w14:paraId="37A3906A">
      <w:pPr>
        <w:pStyle w:val="2"/>
        <w:rPr>
          <w:rFonts w:hint="eastAsia" w:ascii="宋体" w:hAnsi="宋体" w:cs="宋体"/>
          <w:color w:val="auto"/>
          <w:sz w:val="24"/>
          <w:highlight w:val="none"/>
        </w:rPr>
      </w:pPr>
    </w:p>
    <w:p w14:paraId="2BA8CE74">
      <w:pPr>
        <w:rPr>
          <w:rFonts w:hint="eastAsia" w:ascii="宋体" w:hAnsi="宋体" w:cs="宋体"/>
          <w:color w:val="auto"/>
          <w:sz w:val="24"/>
          <w:highlight w:val="none"/>
        </w:rPr>
      </w:pPr>
    </w:p>
    <w:p w14:paraId="3A3DB35A">
      <w:pPr>
        <w:pStyle w:val="2"/>
        <w:rPr>
          <w:rFonts w:hint="eastAsia" w:ascii="宋体" w:hAnsi="宋体" w:cs="宋体"/>
          <w:color w:val="auto"/>
          <w:sz w:val="24"/>
          <w:highlight w:val="none"/>
        </w:rPr>
      </w:pPr>
    </w:p>
    <w:p w14:paraId="1B60D5E6">
      <w:pPr>
        <w:pStyle w:val="2"/>
        <w:ind w:left="0" w:leftChars="0" w:firstLine="0" w:firstLineChars="0"/>
      </w:pPr>
    </w:p>
    <w:p w14:paraId="684B5110">
      <w:pPr>
        <w:ind w:firstLine="1911" w:firstLineChars="595"/>
        <w:rPr>
          <w:rFonts w:hint="eastAsia" w:ascii="宋体" w:hAnsi="宋体" w:cs="宋体"/>
          <w:b/>
          <w:bCs/>
          <w:color w:val="auto"/>
          <w:sz w:val="32"/>
          <w:szCs w:val="32"/>
          <w:highlight w:val="none"/>
        </w:rPr>
      </w:pPr>
    </w:p>
    <w:p w14:paraId="5DCD3509">
      <w:pPr>
        <w:spacing w:line="360" w:lineRule="auto"/>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66E728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杭州市保俶塔实验学校</w:t>
      </w:r>
      <w:r>
        <w:rPr>
          <w:rFonts w:hint="eastAsia" w:ascii="宋体" w:hAnsi="宋体" w:cs="宋体"/>
          <w:color w:val="auto"/>
          <w:sz w:val="24"/>
          <w:highlight w:val="none"/>
        </w:rPr>
        <w:t>、杭州市西湖区政府采购中心</w:t>
      </w:r>
      <w:r>
        <w:rPr>
          <w:rFonts w:hint="eastAsia" w:ascii="宋体" w:hAnsi="宋体" w:cs="宋体"/>
          <w:color w:val="auto"/>
          <w:kern w:val="0"/>
          <w:sz w:val="24"/>
          <w:highlight w:val="none"/>
          <w:lang w:val="zh-CN"/>
        </w:rPr>
        <w:t>：</w:t>
      </w:r>
    </w:p>
    <w:p w14:paraId="67586E8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EF771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A7D9DA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7DE09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F02E2F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E30CA1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A74225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0C0899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B52AB8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F9BD94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0930799">
      <w:pPr>
        <w:autoSpaceDE w:val="0"/>
        <w:autoSpaceDN w:val="0"/>
        <w:spacing w:line="360" w:lineRule="auto"/>
        <w:ind w:left="2"/>
        <w:jc w:val="left"/>
        <w:rPr>
          <w:rFonts w:ascii="宋体" w:hAnsi="宋体" w:cs="宋体"/>
          <w:color w:val="auto"/>
          <w:kern w:val="0"/>
          <w:sz w:val="24"/>
          <w:highlight w:val="none"/>
          <w:lang w:val="zh-CN"/>
        </w:rPr>
      </w:pPr>
    </w:p>
    <w:p w14:paraId="69DED71D">
      <w:pPr>
        <w:autoSpaceDE w:val="0"/>
        <w:autoSpaceDN w:val="0"/>
        <w:spacing w:line="360" w:lineRule="auto"/>
        <w:ind w:left="2"/>
        <w:jc w:val="left"/>
        <w:rPr>
          <w:rFonts w:ascii="宋体" w:hAnsi="宋体" w:cs="宋体"/>
          <w:color w:val="auto"/>
          <w:kern w:val="0"/>
          <w:sz w:val="24"/>
          <w:highlight w:val="none"/>
          <w:lang w:val="zh-CN"/>
        </w:rPr>
      </w:pPr>
    </w:p>
    <w:p w14:paraId="4A58C5F2">
      <w:pPr>
        <w:autoSpaceDE w:val="0"/>
        <w:autoSpaceDN w:val="0"/>
        <w:spacing w:line="360" w:lineRule="auto"/>
        <w:ind w:left="2"/>
        <w:jc w:val="left"/>
        <w:rPr>
          <w:rFonts w:ascii="宋体" w:hAnsi="宋体" w:cs="宋体"/>
          <w:color w:val="auto"/>
          <w:kern w:val="0"/>
          <w:sz w:val="24"/>
          <w:highlight w:val="none"/>
          <w:lang w:val="zh-CN"/>
        </w:rPr>
      </w:pPr>
    </w:p>
    <w:p w14:paraId="6C70837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75F8A4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C1A9D7F">
      <w:pPr>
        <w:spacing w:line="360" w:lineRule="auto"/>
        <w:jc w:val="center"/>
        <w:rPr>
          <w:rFonts w:ascii="宋体" w:hAnsi="宋体" w:cs="宋体"/>
          <w:b/>
          <w:bCs/>
          <w:color w:val="auto"/>
          <w:sz w:val="24"/>
          <w:highlight w:val="none"/>
        </w:rPr>
      </w:pPr>
    </w:p>
    <w:p w14:paraId="604C864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FA2D38">
      <w:pPr>
        <w:spacing w:line="360" w:lineRule="auto"/>
        <w:jc w:val="center"/>
        <w:rPr>
          <w:rFonts w:ascii="宋体" w:hAnsi="宋体" w:cs="宋体"/>
          <w:b/>
          <w:bCs/>
          <w:color w:val="auto"/>
          <w:sz w:val="24"/>
          <w:highlight w:val="none"/>
        </w:rPr>
        <w:sectPr>
          <w:pgSz w:w="11906" w:h="16838"/>
          <w:pgMar w:top="1276" w:right="1418" w:bottom="1247" w:left="1418" w:header="851" w:footer="992" w:gutter="0"/>
          <w:cols w:space="720" w:num="1"/>
          <w:titlePg/>
          <w:docGrid w:linePitch="312" w:charSpace="0"/>
        </w:sectPr>
      </w:pPr>
    </w:p>
    <w:p w14:paraId="6CD9E2F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25003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FE154AD">
      <w:pPr>
        <w:spacing w:line="360" w:lineRule="auto"/>
        <w:jc w:val="center"/>
        <w:outlineLvl w:val="0"/>
        <w:rPr>
          <w:rFonts w:ascii="宋体" w:hAnsi="宋体" w:cs="宋体"/>
          <w:b/>
          <w:color w:val="auto"/>
          <w:kern w:val="0"/>
          <w:sz w:val="36"/>
          <w:szCs w:val="36"/>
          <w:highlight w:val="none"/>
        </w:rPr>
      </w:pPr>
    </w:p>
    <w:p w14:paraId="08BE9B9B">
      <w:pPr>
        <w:numPr>
          <w:ilvl w:val="0"/>
          <w:numId w:val="1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AA1F3EE">
      <w:pPr>
        <w:pStyle w:val="61"/>
        <w:numPr>
          <w:ilvl w:val="0"/>
          <w:numId w:val="0"/>
        </w:numPr>
        <w:rPr>
          <w:color w:val="auto"/>
          <w:highlight w:val="none"/>
        </w:rPr>
      </w:pPr>
    </w:p>
    <w:p w14:paraId="20D25228">
      <w:pPr>
        <w:snapToGrid w:val="0"/>
        <w:spacing w:line="360" w:lineRule="auto"/>
        <w:ind w:right="480"/>
        <w:jc w:val="center"/>
        <w:rPr>
          <w:rFonts w:ascii="宋体" w:hAnsi="宋体" w:cs="宋体"/>
          <w:b/>
          <w:color w:val="auto"/>
          <w:kern w:val="0"/>
          <w:sz w:val="32"/>
          <w:szCs w:val="32"/>
          <w:highlight w:val="none"/>
        </w:rPr>
      </w:pPr>
    </w:p>
    <w:p w14:paraId="1139DA18">
      <w:pPr>
        <w:snapToGrid w:val="0"/>
        <w:spacing w:line="360" w:lineRule="auto"/>
        <w:ind w:right="480"/>
        <w:jc w:val="center"/>
        <w:rPr>
          <w:rFonts w:ascii="宋体" w:hAnsi="宋体" w:cs="宋体"/>
          <w:b/>
          <w:color w:val="auto"/>
          <w:kern w:val="0"/>
          <w:sz w:val="32"/>
          <w:szCs w:val="32"/>
          <w:highlight w:val="none"/>
        </w:rPr>
      </w:pPr>
    </w:p>
    <w:p w14:paraId="38416A42">
      <w:pPr>
        <w:snapToGrid w:val="0"/>
        <w:spacing w:line="360" w:lineRule="auto"/>
        <w:ind w:right="480"/>
        <w:jc w:val="center"/>
        <w:rPr>
          <w:rFonts w:ascii="宋体" w:hAnsi="宋体" w:cs="宋体"/>
          <w:b/>
          <w:color w:val="auto"/>
          <w:kern w:val="0"/>
          <w:sz w:val="32"/>
          <w:szCs w:val="32"/>
          <w:highlight w:val="none"/>
        </w:rPr>
      </w:pPr>
    </w:p>
    <w:p w14:paraId="514839FF">
      <w:pPr>
        <w:snapToGrid w:val="0"/>
        <w:spacing w:line="360" w:lineRule="auto"/>
        <w:ind w:right="480"/>
        <w:jc w:val="center"/>
        <w:rPr>
          <w:rFonts w:ascii="宋体" w:hAnsi="宋体" w:cs="宋体"/>
          <w:b/>
          <w:color w:val="auto"/>
          <w:kern w:val="0"/>
          <w:sz w:val="32"/>
          <w:szCs w:val="32"/>
          <w:highlight w:val="none"/>
        </w:rPr>
      </w:pPr>
    </w:p>
    <w:p w14:paraId="3403159E">
      <w:pPr>
        <w:snapToGrid w:val="0"/>
        <w:spacing w:line="360" w:lineRule="auto"/>
        <w:ind w:right="480"/>
        <w:jc w:val="center"/>
        <w:rPr>
          <w:rFonts w:ascii="宋体" w:hAnsi="宋体" w:cs="宋体"/>
          <w:b/>
          <w:color w:val="auto"/>
          <w:kern w:val="0"/>
          <w:sz w:val="32"/>
          <w:szCs w:val="32"/>
          <w:highlight w:val="none"/>
        </w:rPr>
      </w:pPr>
    </w:p>
    <w:p w14:paraId="2DE39551">
      <w:pPr>
        <w:snapToGrid w:val="0"/>
        <w:spacing w:line="360" w:lineRule="auto"/>
        <w:ind w:right="480"/>
        <w:jc w:val="center"/>
        <w:rPr>
          <w:rFonts w:ascii="宋体" w:hAnsi="宋体" w:cs="宋体"/>
          <w:b/>
          <w:color w:val="auto"/>
          <w:kern w:val="0"/>
          <w:sz w:val="32"/>
          <w:szCs w:val="32"/>
          <w:highlight w:val="none"/>
        </w:rPr>
      </w:pPr>
    </w:p>
    <w:p w14:paraId="23FB4352">
      <w:pPr>
        <w:snapToGrid w:val="0"/>
        <w:spacing w:line="360" w:lineRule="auto"/>
        <w:ind w:right="480"/>
        <w:jc w:val="center"/>
        <w:rPr>
          <w:rFonts w:ascii="宋体" w:hAnsi="宋体" w:cs="宋体"/>
          <w:b/>
          <w:color w:val="auto"/>
          <w:kern w:val="0"/>
          <w:sz w:val="32"/>
          <w:szCs w:val="32"/>
          <w:highlight w:val="none"/>
        </w:rPr>
      </w:pPr>
    </w:p>
    <w:p w14:paraId="49EFE865">
      <w:pPr>
        <w:snapToGrid w:val="0"/>
        <w:spacing w:line="360" w:lineRule="auto"/>
        <w:ind w:right="480"/>
        <w:jc w:val="center"/>
        <w:rPr>
          <w:rFonts w:ascii="宋体" w:hAnsi="宋体" w:cs="宋体"/>
          <w:b/>
          <w:color w:val="auto"/>
          <w:kern w:val="0"/>
          <w:sz w:val="32"/>
          <w:szCs w:val="32"/>
          <w:highlight w:val="none"/>
        </w:rPr>
      </w:pPr>
    </w:p>
    <w:p w14:paraId="0F9EB750">
      <w:pPr>
        <w:snapToGrid w:val="0"/>
        <w:spacing w:line="360" w:lineRule="auto"/>
        <w:ind w:right="480"/>
        <w:jc w:val="center"/>
        <w:rPr>
          <w:rFonts w:ascii="宋体" w:hAnsi="宋体" w:cs="宋体"/>
          <w:b/>
          <w:color w:val="auto"/>
          <w:kern w:val="0"/>
          <w:sz w:val="32"/>
          <w:szCs w:val="32"/>
          <w:highlight w:val="none"/>
        </w:rPr>
      </w:pPr>
    </w:p>
    <w:p w14:paraId="69935E4A">
      <w:pPr>
        <w:snapToGrid w:val="0"/>
        <w:spacing w:line="360" w:lineRule="auto"/>
        <w:ind w:right="480"/>
        <w:jc w:val="center"/>
        <w:rPr>
          <w:rFonts w:ascii="宋体" w:hAnsi="宋体" w:cs="宋体"/>
          <w:b/>
          <w:color w:val="auto"/>
          <w:kern w:val="0"/>
          <w:sz w:val="32"/>
          <w:szCs w:val="32"/>
          <w:highlight w:val="none"/>
        </w:rPr>
      </w:pPr>
    </w:p>
    <w:p w14:paraId="51D96B3B">
      <w:pPr>
        <w:snapToGrid w:val="0"/>
        <w:spacing w:line="360" w:lineRule="auto"/>
        <w:ind w:right="480"/>
        <w:jc w:val="center"/>
        <w:rPr>
          <w:rFonts w:ascii="宋体" w:hAnsi="宋体" w:cs="宋体"/>
          <w:b/>
          <w:color w:val="auto"/>
          <w:kern w:val="0"/>
          <w:sz w:val="32"/>
          <w:szCs w:val="32"/>
          <w:highlight w:val="none"/>
        </w:rPr>
      </w:pPr>
    </w:p>
    <w:p w14:paraId="7F612C08">
      <w:pPr>
        <w:snapToGrid w:val="0"/>
        <w:spacing w:line="360" w:lineRule="auto"/>
        <w:ind w:right="480"/>
        <w:jc w:val="center"/>
        <w:rPr>
          <w:rFonts w:ascii="宋体" w:hAnsi="宋体" w:cs="宋体"/>
          <w:b/>
          <w:color w:val="auto"/>
          <w:kern w:val="0"/>
          <w:sz w:val="32"/>
          <w:szCs w:val="32"/>
          <w:highlight w:val="none"/>
        </w:rPr>
      </w:pPr>
    </w:p>
    <w:p w14:paraId="4BDF9F99">
      <w:pPr>
        <w:snapToGrid w:val="0"/>
        <w:spacing w:line="360" w:lineRule="auto"/>
        <w:ind w:right="480"/>
        <w:jc w:val="center"/>
        <w:rPr>
          <w:rFonts w:ascii="宋体" w:hAnsi="宋体" w:cs="宋体"/>
          <w:b/>
          <w:color w:val="auto"/>
          <w:kern w:val="0"/>
          <w:sz w:val="32"/>
          <w:szCs w:val="32"/>
          <w:highlight w:val="none"/>
        </w:rPr>
      </w:pPr>
    </w:p>
    <w:p w14:paraId="1A8C865B">
      <w:pPr>
        <w:snapToGrid w:val="0"/>
        <w:spacing w:line="360" w:lineRule="auto"/>
        <w:ind w:right="480"/>
        <w:jc w:val="center"/>
        <w:rPr>
          <w:rFonts w:ascii="宋体" w:hAnsi="宋体" w:cs="宋体"/>
          <w:b/>
          <w:color w:val="auto"/>
          <w:kern w:val="0"/>
          <w:sz w:val="32"/>
          <w:szCs w:val="32"/>
          <w:highlight w:val="none"/>
        </w:rPr>
      </w:pPr>
    </w:p>
    <w:p w14:paraId="3EF25A88">
      <w:pPr>
        <w:snapToGrid w:val="0"/>
        <w:spacing w:line="360" w:lineRule="auto"/>
        <w:ind w:right="480"/>
        <w:jc w:val="center"/>
        <w:rPr>
          <w:rFonts w:ascii="宋体" w:hAnsi="宋体" w:cs="宋体"/>
          <w:b/>
          <w:color w:val="auto"/>
          <w:kern w:val="0"/>
          <w:sz w:val="32"/>
          <w:szCs w:val="32"/>
          <w:highlight w:val="none"/>
        </w:rPr>
      </w:pPr>
    </w:p>
    <w:p w14:paraId="1364AAFA">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5EA3DA69">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B49CA4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杭州市保俶塔实验学校</w:t>
      </w:r>
      <w:r>
        <w:rPr>
          <w:rFonts w:hint="eastAsia" w:ascii="宋体" w:hAnsi="宋体" w:cs="宋体"/>
          <w:color w:val="auto"/>
          <w:sz w:val="24"/>
          <w:highlight w:val="none"/>
        </w:rPr>
        <w:t>、杭州市西湖区政府采购中心</w:t>
      </w:r>
      <w:r>
        <w:rPr>
          <w:rFonts w:hint="eastAsia" w:ascii="宋体" w:hAnsi="宋体" w:cs="宋体"/>
          <w:color w:val="auto"/>
          <w:kern w:val="0"/>
          <w:sz w:val="24"/>
          <w:highlight w:val="none"/>
          <w:lang w:val="zh-CN"/>
        </w:rPr>
        <w:t>：</w:t>
      </w:r>
    </w:p>
    <w:p w14:paraId="394419C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杭州市保俶塔实验学校智慧实验室建设项目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XHZFCG-2024-G-77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67AF30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50B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8B0F7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B050C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0AEA1F86">
            <w:pPr>
              <w:spacing w:line="360" w:lineRule="auto"/>
              <w:jc w:val="center"/>
              <w:rPr>
                <w:rFonts w:ascii="宋体" w:hAnsi="宋体" w:cs="宋体"/>
                <w:b/>
                <w:color w:val="auto"/>
                <w:sz w:val="24"/>
                <w:highlight w:val="none"/>
              </w:rPr>
            </w:pPr>
          </w:p>
          <w:p w14:paraId="1CA5BE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3118" w:type="dxa"/>
            <w:vAlign w:val="center"/>
          </w:tcPr>
          <w:p w14:paraId="150321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F6D24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15708F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5E182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D90AA48">
            <w:pPr>
              <w:spacing w:line="360" w:lineRule="auto"/>
              <w:jc w:val="center"/>
              <w:rPr>
                <w:rFonts w:ascii="宋体" w:hAnsi="宋体" w:cs="宋体"/>
                <w:b/>
                <w:color w:val="auto"/>
                <w:sz w:val="24"/>
                <w:highlight w:val="none"/>
              </w:rPr>
            </w:pPr>
          </w:p>
          <w:p w14:paraId="441D08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83FF8F5">
            <w:pPr>
              <w:spacing w:line="360" w:lineRule="auto"/>
              <w:jc w:val="center"/>
              <w:rPr>
                <w:rFonts w:ascii="宋体" w:hAnsi="宋体" w:cs="宋体"/>
                <w:b/>
                <w:color w:val="auto"/>
                <w:sz w:val="24"/>
                <w:highlight w:val="none"/>
              </w:rPr>
            </w:pPr>
          </w:p>
        </w:tc>
      </w:tr>
      <w:tr w14:paraId="57FF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3B6C8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212936F">
            <w:pPr>
              <w:snapToGrid w:val="0"/>
              <w:spacing w:line="360" w:lineRule="auto"/>
              <w:jc w:val="center"/>
              <w:rPr>
                <w:rFonts w:ascii="宋体" w:hAnsi="宋体" w:cs="宋体"/>
                <w:color w:val="auto"/>
                <w:sz w:val="24"/>
                <w:highlight w:val="none"/>
              </w:rPr>
            </w:pPr>
          </w:p>
        </w:tc>
        <w:tc>
          <w:tcPr>
            <w:tcW w:w="1843" w:type="dxa"/>
            <w:vAlign w:val="center"/>
          </w:tcPr>
          <w:p w14:paraId="56B1A38B">
            <w:pPr>
              <w:snapToGrid w:val="0"/>
              <w:spacing w:line="360" w:lineRule="auto"/>
              <w:jc w:val="center"/>
              <w:rPr>
                <w:rFonts w:ascii="宋体" w:hAnsi="宋体" w:cs="宋体"/>
                <w:color w:val="auto"/>
                <w:sz w:val="24"/>
                <w:highlight w:val="none"/>
              </w:rPr>
            </w:pPr>
          </w:p>
        </w:tc>
        <w:tc>
          <w:tcPr>
            <w:tcW w:w="3118" w:type="dxa"/>
            <w:vAlign w:val="center"/>
          </w:tcPr>
          <w:p w14:paraId="60F805EC">
            <w:pPr>
              <w:snapToGrid w:val="0"/>
              <w:spacing w:line="360" w:lineRule="auto"/>
              <w:jc w:val="center"/>
              <w:rPr>
                <w:rFonts w:ascii="宋体" w:hAnsi="宋体" w:cs="宋体"/>
                <w:color w:val="auto"/>
                <w:sz w:val="24"/>
                <w:highlight w:val="none"/>
              </w:rPr>
            </w:pPr>
          </w:p>
        </w:tc>
        <w:tc>
          <w:tcPr>
            <w:tcW w:w="993" w:type="dxa"/>
            <w:vAlign w:val="center"/>
          </w:tcPr>
          <w:p w14:paraId="4979C016">
            <w:pPr>
              <w:snapToGrid w:val="0"/>
              <w:spacing w:line="360" w:lineRule="auto"/>
              <w:jc w:val="center"/>
              <w:rPr>
                <w:rFonts w:ascii="宋体" w:hAnsi="宋体" w:cs="宋体"/>
                <w:color w:val="auto"/>
                <w:sz w:val="24"/>
                <w:highlight w:val="none"/>
              </w:rPr>
            </w:pPr>
          </w:p>
        </w:tc>
        <w:tc>
          <w:tcPr>
            <w:tcW w:w="1559" w:type="dxa"/>
            <w:vAlign w:val="center"/>
          </w:tcPr>
          <w:p w14:paraId="2412F6DF">
            <w:pPr>
              <w:spacing w:line="360" w:lineRule="auto"/>
              <w:jc w:val="center"/>
              <w:rPr>
                <w:rFonts w:ascii="宋体" w:hAnsi="宋体" w:cs="宋体"/>
                <w:color w:val="auto"/>
                <w:sz w:val="24"/>
                <w:highlight w:val="none"/>
              </w:rPr>
            </w:pPr>
          </w:p>
        </w:tc>
        <w:tc>
          <w:tcPr>
            <w:tcW w:w="1984" w:type="dxa"/>
            <w:vAlign w:val="center"/>
          </w:tcPr>
          <w:p w14:paraId="4AC7EB1A">
            <w:pPr>
              <w:spacing w:line="360" w:lineRule="auto"/>
              <w:jc w:val="center"/>
              <w:rPr>
                <w:rFonts w:ascii="宋体" w:hAnsi="宋体" w:cs="宋体"/>
                <w:color w:val="auto"/>
                <w:sz w:val="24"/>
                <w:highlight w:val="none"/>
              </w:rPr>
            </w:pPr>
          </w:p>
        </w:tc>
        <w:tc>
          <w:tcPr>
            <w:tcW w:w="3119" w:type="dxa"/>
            <w:vAlign w:val="center"/>
          </w:tcPr>
          <w:p w14:paraId="28A6FE07">
            <w:pPr>
              <w:spacing w:line="360" w:lineRule="auto"/>
              <w:jc w:val="center"/>
              <w:rPr>
                <w:rFonts w:ascii="宋体" w:hAnsi="宋体" w:cs="宋体"/>
                <w:color w:val="auto"/>
                <w:sz w:val="24"/>
                <w:highlight w:val="none"/>
              </w:rPr>
            </w:pPr>
          </w:p>
        </w:tc>
      </w:tr>
      <w:tr w14:paraId="3D8C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961B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18CDF5B3">
            <w:pPr>
              <w:snapToGrid w:val="0"/>
              <w:spacing w:line="360" w:lineRule="auto"/>
              <w:jc w:val="center"/>
              <w:rPr>
                <w:rFonts w:ascii="宋体" w:hAnsi="宋体" w:cs="宋体"/>
                <w:color w:val="auto"/>
                <w:sz w:val="24"/>
                <w:highlight w:val="none"/>
              </w:rPr>
            </w:pPr>
          </w:p>
        </w:tc>
        <w:tc>
          <w:tcPr>
            <w:tcW w:w="1843" w:type="dxa"/>
            <w:vAlign w:val="center"/>
          </w:tcPr>
          <w:p w14:paraId="3F53C145">
            <w:pPr>
              <w:snapToGrid w:val="0"/>
              <w:spacing w:line="360" w:lineRule="auto"/>
              <w:jc w:val="center"/>
              <w:rPr>
                <w:rFonts w:ascii="宋体" w:hAnsi="宋体" w:cs="宋体"/>
                <w:color w:val="auto"/>
                <w:sz w:val="24"/>
                <w:highlight w:val="none"/>
              </w:rPr>
            </w:pPr>
          </w:p>
        </w:tc>
        <w:tc>
          <w:tcPr>
            <w:tcW w:w="3118" w:type="dxa"/>
            <w:vAlign w:val="center"/>
          </w:tcPr>
          <w:p w14:paraId="068ADFF5">
            <w:pPr>
              <w:snapToGrid w:val="0"/>
              <w:spacing w:line="360" w:lineRule="auto"/>
              <w:jc w:val="center"/>
              <w:rPr>
                <w:rFonts w:ascii="宋体" w:hAnsi="宋体" w:cs="宋体"/>
                <w:color w:val="auto"/>
                <w:sz w:val="24"/>
                <w:highlight w:val="none"/>
              </w:rPr>
            </w:pPr>
          </w:p>
        </w:tc>
        <w:tc>
          <w:tcPr>
            <w:tcW w:w="993" w:type="dxa"/>
            <w:vAlign w:val="center"/>
          </w:tcPr>
          <w:p w14:paraId="6A7D296C">
            <w:pPr>
              <w:snapToGrid w:val="0"/>
              <w:spacing w:line="360" w:lineRule="auto"/>
              <w:jc w:val="center"/>
              <w:rPr>
                <w:rFonts w:ascii="宋体" w:hAnsi="宋体" w:cs="宋体"/>
                <w:color w:val="auto"/>
                <w:sz w:val="24"/>
                <w:highlight w:val="none"/>
              </w:rPr>
            </w:pPr>
          </w:p>
        </w:tc>
        <w:tc>
          <w:tcPr>
            <w:tcW w:w="1559" w:type="dxa"/>
            <w:vAlign w:val="center"/>
          </w:tcPr>
          <w:p w14:paraId="30CE2838">
            <w:pPr>
              <w:spacing w:line="360" w:lineRule="auto"/>
              <w:jc w:val="center"/>
              <w:rPr>
                <w:rFonts w:ascii="宋体" w:hAnsi="宋体" w:cs="宋体"/>
                <w:color w:val="auto"/>
                <w:sz w:val="24"/>
                <w:highlight w:val="none"/>
              </w:rPr>
            </w:pPr>
          </w:p>
        </w:tc>
        <w:tc>
          <w:tcPr>
            <w:tcW w:w="1984" w:type="dxa"/>
            <w:vAlign w:val="center"/>
          </w:tcPr>
          <w:p w14:paraId="7A5FE71D">
            <w:pPr>
              <w:spacing w:line="360" w:lineRule="auto"/>
              <w:jc w:val="center"/>
              <w:rPr>
                <w:rFonts w:ascii="宋体" w:hAnsi="宋体" w:cs="宋体"/>
                <w:color w:val="auto"/>
                <w:sz w:val="24"/>
                <w:highlight w:val="none"/>
              </w:rPr>
            </w:pPr>
          </w:p>
        </w:tc>
        <w:tc>
          <w:tcPr>
            <w:tcW w:w="3119" w:type="dxa"/>
            <w:vAlign w:val="center"/>
          </w:tcPr>
          <w:p w14:paraId="078B558B">
            <w:pPr>
              <w:spacing w:line="360" w:lineRule="auto"/>
              <w:jc w:val="center"/>
              <w:rPr>
                <w:rFonts w:ascii="宋体" w:hAnsi="宋体" w:cs="宋体"/>
                <w:color w:val="auto"/>
                <w:sz w:val="24"/>
                <w:highlight w:val="none"/>
              </w:rPr>
            </w:pPr>
          </w:p>
        </w:tc>
      </w:tr>
      <w:tr w14:paraId="5687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34B2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405243F6">
            <w:pPr>
              <w:snapToGrid w:val="0"/>
              <w:spacing w:line="360" w:lineRule="auto"/>
              <w:jc w:val="center"/>
              <w:rPr>
                <w:rFonts w:ascii="宋体" w:hAnsi="宋体" w:cs="宋体"/>
                <w:color w:val="auto"/>
                <w:sz w:val="24"/>
                <w:highlight w:val="none"/>
              </w:rPr>
            </w:pPr>
          </w:p>
        </w:tc>
        <w:tc>
          <w:tcPr>
            <w:tcW w:w="1843" w:type="dxa"/>
            <w:vAlign w:val="center"/>
          </w:tcPr>
          <w:p w14:paraId="53DA552D">
            <w:pPr>
              <w:snapToGrid w:val="0"/>
              <w:spacing w:line="360" w:lineRule="auto"/>
              <w:jc w:val="center"/>
              <w:rPr>
                <w:rFonts w:ascii="宋体" w:hAnsi="宋体" w:cs="宋体"/>
                <w:color w:val="auto"/>
                <w:sz w:val="24"/>
                <w:highlight w:val="none"/>
              </w:rPr>
            </w:pPr>
          </w:p>
        </w:tc>
        <w:tc>
          <w:tcPr>
            <w:tcW w:w="3118" w:type="dxa"/>
            <w:vAlign w:val="center"/>
          </w:tcPr>
          <w:p w14:paraId="5686406F">
            <w:pPr>
              <w:snapToGrid w:val="0"/>
              <w:spacing w:line="360" w:lineRule="auto"/>
              <w:jc w:val="center"/>
              <w:rPr>
                <w:rFonts w:ascii="宋体" w:hAnsi="宋体" w:cs="宋体"/>
                <w:color w:val="auto"/>
                <w:sz w:val="24"/>
                <w:highlight w:val="none"/>
              </w:rPr>
            </w:pPr>
          </w:p>
        </w:tc>
        <w:tc>
          <w:tcPr>
            <w:tcW w:w="993" w:type="dxa"/>
            <w:vAlign w:val="center"/>
          </w:tcPr>
          <w:p w14:paraId="49E5D67D">
            <w:pPr>
              <w:snapToGrid w:val="0"/>
              <w:spacing w:line="360" w:lineRule="auto"/>
              <w:jc w:val="center"/>
              <w:rPr>
                <w:rFonts w:ascii="宋体" w:hAnsi="宋体" w:cs="宋体"/>
                <w:color w:val="auto"/>
                <w:sz w:val="24"/>
                <w:highlight w:val="none"/>
              </w:rPr>
            </w:pPr>
          </w:p>
        </w:tc>
        <w:tc>
          <w:tcPr>
            <w:tcW w:w="1559" w:type="dxa"/>
            <w:vAlign w:val="center"/>
          </w:tcPr>
          <w:p w14:paraId="05301AA6">
            <w:pPr>
              <w:spacing w:line="360" w:lineRule="auto"/>
              <w:jc w:val="center"/>
              <w:rPr>
                <w:rFonts w:ascii="宋体" w:hAnsi="宋体" w:cs="宋体"/>
                <w:color w:val="auto"/>
                <w:sz w:val="24"/>
                <w:highlight w:val="none"/>
              </w:rPr>
            </w:pPr>
          </w:p>
        </w:tc>
        <w:tc>
          <w:tcPr>
            <w:tcW w:w="1984" w:type="dxa"/>
            <w:vAlign w:val="center"/>
          </w:tcPr>
          <w:p w14:paraId="5BFCFB8D">
            <w:pPr>
              <w:spacing w:line="360" w:lineRule="auto"/>
              <w:jc w:val="center"/>
              <w:rPr>
                <w:rFonts w:ascii="宋体" w:hAnsi="宋体" w:cs="宋体"/>
                <w:color w:val="auto"/>
                <w:sz w:val="24"/>
                <w:highlight w:val="none"/>
              </w:rPr>
            </w:pPr>
          </w:p>
        </w:tc>
        <w:tc>
          <w:tcPr>
            <w:tcW w:w="3119" w:type="dxa"/>
            <w:vAlign w:val="center"/>
          </w:tcPr>
          <w:p w14:paraId="32311A42">
            <w:pPr>
              <w:spacing w:line="360" w:lineRule="auto"/>
              <w:jc w:val="center"/>
              <w:rPr>
                <w:rFonts w:ascii="宋体" w:hAnsi="宋体" w:cs="宋体"/>
                <w:color w:val="auto"/>
                <w:sz w:val="24"/>
                <w:highlight w:val="none"/>
              </w:rPr>
            </w:pPr>
          </w:p>
        </w:tc>
      </w:tr>
      <w:tr w14:paraId="422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041826">
            <w:pPr>
              <w:spacing w:line="360" w:lineRule="auto"/>
              <w:jc w:val="center"/>
              <w:rPr>
                <w:rFonts w:ascii="宋体" w:hAnsi="宋体" w:cs="宋体"/>
                <w:color w:val="auto"/>
                <w:sz w:val="24"/>
                <w:highlight w:val="none"/>
              </w:rPr>
            </w:pPr>
          </w:p>
        </w:tc>
        <w:tc>
          <w:tcPr>
            <w:tcW w:w="1417" w:type="dxa"/>
            <w:vAlign w:val="center"/>
          </w:tcPr>
          <w:p w14:paraId="22CF7C12">
            <w:pPr>
              <w:snapToGrid w:val="0"/>
              <w:spacing w:line="360" w:lineRule="auto"/>
              <w:jc w:val="center"/>
              <w:rPr>
                <w:rFonts w:ascii="宋体" w:hAnsi="宋体" w:cs="宋体"/>
                <w:color w:val="auto"/>
                <w:sz w:val="24"/>
                <w:highlight w:val="none"/>
              </w:rPr>
            </w:pPr>
          </w:p>
        </w:tc>
        <w:tc>
          <w:tcPr>
            <w:tcW w:w="1843" w:type="dxa"/>
            <w:vAlign w:val="center"/>
          </w:tcPr>
          <w:p w14:paraId="79A7CB52">
            <w:pPr>
              <w:snapToGrid w:val="0"/>
              <w:spacing w:line="360" w:lineRule="auto"/>
              <w:jc w:val="center"/>
              <w:rPr>
                <w:rFonts w:ascii="宋体" w:hAnsi="宋体" w:cs="宋体"/>
                <w:color w:val="auto"/>
                <w:sz w:val="24"/>
                <w:highlight w:val="none"/>
              </w:rPr>
            </w:pPr>
          </w:p>
        </w:tc>
        <w:tc>
          <w:tcPr>
            <w:tcW w:w="3118" w:type="dxa"/>
            <w:vAlign w:val="center"/>
          </w:tcPr>
          <w:p w14:paraId="6A2524C5">
            <w:pPr>
              <w:snapToGrid w:val="0"/>
              <w:spacing w:line="360" w:lineRule="auto"/>
              <w:jc w:val="center"/>
              <w:rPr>
                <w:rFonts w:ascii="宋体" w:hAnsi="宋体" w:cs="宋体"/>
                <w:color w:val="auto"/>
                <w:sz w:val="24"/>
                <w:highlight w:val="none"/>
              </w:rPr>
            </w:pPr>
          </w:p>
        </w:tc>
        <w:tc>
          <w:tcPr>
            <w:tcW w:w="993" w:type="dxa"/>
            <w:vAlign w:val="center"/>
          </w:tcPr>
          <w:p w14:paraId="2656DADC">
            <w:pPr>
              <w:snapToGrid w:val="0"/>
              <w:spacing w:line="360" w:lineRule="auto"/>
              <w:jc w:val="center"/>
              <w:rPr>
                <w:rFonts w:ascii="宋体" w:hAnsi="宋体" w:cs="宋体"/>
                <w:color w:val="auto"/>
                <w:sz w:val="24"/>
                <w:highlight w:val="none"/>
              </w:rPr>
            </w:pPr>
          </w:p>
        </w:tc>
        <w:tc>
          <w:tcPr>
            <w:tcW w:w="1559" w:type="dxa"/>
            <w:vAlign w:val="center"/>
          </w:tcPr>
          <w:p w14:paraId="13298F25">
            <w:pPr>
              <w:spacing w:line="360" w:lineRule="auto"/>
              <w:jc w:val="center"/>
              <w:rPr>
                <w:rFonts w:ascii="宋体" w:hAnsi="宋体" w:cs="宋体"/>
                <w:color w:val="auto"/>
                <w:sz w:val="24"/>
                <w:highlight w:val="none"/>
              </w:rPr>
            </w:pPr>
          </w:p>
        </w:tc>
        <w:tc>
          <w:tcPr>
            <w:tcW w:w="1984" w:type="dxa"/>
            <w:vAlign w:val="center"/>
          </w:tcPr>
          <w:p w14:paraId="0A373EBB">
            <w:pPr>
              <w:spacing w:line="360" w:lineRule="auto"/>
              <w:jc w:val="center"/>
              <w:rPr>
                <w:rFonts w:ascii="宋体" w:hAnsi="宋体" w:cs="宋体"/>
                <w:color w:val="auto"/>
                <w:sz w:val="24"/>
                <w:highlight w:val="none"/>
              </w:rPr>
            </w:pPr>
          </w:p>
        </w:tc>
        <w:tc>
          <w:tcPr>
            <w:tcW w:w="3119" w:type="dxa"/>
            <w:vAlign w:val="center"/>
          </w:tcPr>
          <w:p w14:paraId="3D2E125D">
            <w:pPr>
              <w:spacing w:line="360" w:lineRule="auto"/>
              <w:jc w:val="center"/>
              <w:rPr>
                <w:rFonts w:ascii="宋体" w:hAnsi="宋体" w:cs="宋体"/>
                <w:color w:val="auto"/>
                <w:sz w:val="24"/>
                <w:highlight w:val="none"/>
              </w:rPr>
            </w:pPr>
          </w:p>
        </w:tc>
      </w:tr>
      <w:tr w14:paraId="68C3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41B079">
            <w:pPr>
              <w:spacing w:line="360" w:lineRule="auto"/>
              <w:jc w:val="center"/>
              <w:rPr>
                <w:rFonts w:ascii="宋体" w:hAnsi="宋体" w:cs="宋体"/>
                <w:color w:val="auto"/>
                <w:sz w:val="24"/>
                <w:highlight w:val="none"/>
              </w:rPr>
            </w:pPr>
          </w:p>
        </w:tc>
        <w:tc>
          <w:tcPr>
            <w:tcW w:w="1417" w:type="dxa"/>
            <w:vAlign w:val="center"/>
          </w:tcPr>
          <w:p w14:paraId="7E2A11FF">
            <w:pPr>
              <w:snapToGrid w:val="0"/>
              <w:spacing w:line="360" w:lineRule="auto"/>
              <w:jc w:val="center"/>
              <w:rPr>
                <w:rFonts w:ascii="宋体" w:hAnsi="宋体" w:cs="宋体"/>
                <w:color w:val="auto"/>
                <w:sz w:val="24"/>
                <w:highlight w:val="none"/>
              </w:rPr>
            </w:pPr>
          </w:p>
        </w:tc>
        <w:tc>
          <w:tcPr>
            <w:tcW w:w="1843" w:type="dxa"/>
            <w:vAlign w:val="center"/>
          </w:tcPr>
          <w:p w14:paraId="7D695124">
            <w:pPr>
              <w:snapToGrid w:val="0"/>
              <w:spacing w:line="360" w:lineRule="auto"/>
              <w:jc w:val="center"/>
              <w:rPr>
                <w:rFonts w:ascii="宋体" w:hAnsi="宋体" w:cs="宋体"/>
                <w:color w:val="auto"/>
                <w:sz w:val="24"/>
                <w:highlight w:val="none"/>
              </w:rPr>
            </w:pPr>
          </w:p>
        </w:tc>
        <w:tc>
          <w:tcPr>
            <w:tcW w:w="3118" w:type="dxa"/>
            <w:vAlign w:val="center"/>
          </w:tcPr>
          <w:p w14:paraId="38346837">
            <w:pPr>
              <w:snapToGrid w:val="0"/>
              <w:spacing w:line="360" w:lineRule="auto"/>
              <w:jc w:val="center"/>
              <w:rPr>
                <w:rFonts w:ascii="宋体" w:hAnsi="宋体" w:cs="宋体"/>
                <w:color w:val="auto"/>
                <w:sz w:val="24"/>
                <w:highlight w:val="none"/>
              </w:rPr>
            </w:pPr>
          </w:p>
        </w:tc>
        <w:tc>
          <w:tcPr>
            <w:tcW w:w="993" w:type="dxa"/>
            <w:vAlign w:val="center"/>
          </w:tcPr>
          <w:p w14:paraId="4AE5BAFE">
            <w:pPr>
              <w:snapToGrid w:val="0"/>
              <w:spacing w:line="360" w:lineRule="auto"/>
              <w:jc w:val="center"/>
              <w:rPr>
                <w:rFonts w:ascii="宋体" w:hAnsi="宋体" w:cs="宋体"/>
                <w:color w:val="auto"/>
                <w:sz w:val="24"/>
                <w:highlight w:val="none"/>
              </w:rPr>
            </w:pPr>
          </w:p>
        </w:tc>
        <w:tc>
          <w:tcPr>
            <w:tcW w:w="1559" w:type="dxa"/>
            <w:vAlign w:val="center"/>
          </w:tcPr>
          <w:p w14:paraId="292D6F01">
            <w:pPr>
              <w:spacing w:line="360" w:lineRule="auto"/>
              <w:jc w:val="center"/>
              <w:rPr>
                <w:rFonts w:ascii="宋体" w:hAnsi="宋体" w:cs="宋体"/>
                <w:color w:val="auto"/>
                <w:sz w:val="24"/>
                <w:highlight w:val="none"/>
              </w:rPr>
            </w:pPr>
          </w:p>
        </w:tc>
        <w:tc>
          <w:tcPr>
            <w:tcW w:w="1984" w:type="dxa"/>
            <w:vAlign w:val="center"/>
          </w:tcPr>
          <w:p w14:paraId="153AB45D">
            <w:pPr>
              <w:spacing w:line="360" w:lineRule="auto"/>
              <w:jc w:val="center"/>
              <w:rPr>
                <w:rFonts w:ascii="宋体" w:hAnsi="宋体" w:cs="宋体"/>
                <w:color w:val="auto"/>
                <w:sz w:val="24"/>
                <w:highlight w:val="none"/>
              </w:rPr>
            </w:pPr>
          </w:p>
        </w:tc>
        <w:tc>
          <w:tcPr>
            <w:tcW w:w="3119" w:type="dxa"/>
            <w:vAlign w:val="center"/>
          </w:tcPr>
          <w:p w14:paraId="730B4C20">
            <w:pPr>
              <w:spacing w:line="360" w:lineRule="auto"/>
              <w:jc w:val="center"/>
              <w:rPr>
                <w:rFonts w:ascii="宋体" w:hAnsi="宋体" w:cs="宋体"/>
                <w:color w:val="auto"/>
                <w:sz w:val="24"/>
                <w:highlight w:val="none"/>
              </w:rPr>
            </w:pPr>
          </w:p>
        </w:tc>
      </w:tr>
      <w:tr w14:paraId="6AE1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337AD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0CFE7EB">
            <w:pPr>
              <w:spacing w:line="360" w:lineRule="auto"/>
              <w:jc w:val="center"/>
              <w:rPr>
                <w:rFonts w:ascii="宋体" w:hAnsi="宋体" w:cs="宋体"/>
                <w:color w:val="auto"/>
                <w:sz w:val="24"/>
                <w:highlight w:val="none"/>
              </w:rPr>
            </w:pPr>
          </w:p>
        </w:tc>
      </w:tr>
      <w:tr w14:paraId="579F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BA146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44147458">
            <w:pPr>
              <w:spacing w:line="360" w:lineRule="auto"/>
              <w:jc w:val="center"/>
              <w:rPr>
                <w:rFonts w:ascii="宋体" w:hAnsi="宋体" w:cs="宋体"/>
                <w:color w:val="auto"/>
                <w:sz w:val="24"/>
                <w:highlight w:val="none"/>
              </w:rPr>
            </w:pPr>
          </w:p>
        </w:tc>
      </w:tr>
    </w:tbl>
    <w:p w14:paraId="1A9E5AE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A817594">
      <w:pPr>
        <w:spacing w:line="360" w:lineRule="auto"/>
        <w:ind w:left="-2" w:leftChars="-1" w:firstLine="480" w:firstLineChars="200"/>
        <w:rPr>
          <w:rFonts w:ascii="宋体" w:hAnsi="宋体" w:cs="宋体"/>
          <w:color w:val="auto"/>
          <w:kern w:val="0"/>
          <w:sz w:val="24"/>
          <w:highlight w:val="none"/>
          <w:lang w:val="zh-CN"/>
        </w:rPr>
      </w:pPr>
      <w:r>
        <w:rPr>
          <w:rFonts w:hint="default" w:ascii="宋体" w:hAnsi="宋体" w:cs="宋体"/>
          <w:color w:val="auto"/>
          <w:kern w:val="0"/>
          <w:sz w:val="24"/>
          <w:highlight w:val="none"/>
          <w:lang w:val="en-US"/>
        </w:rPr>
        <w:t>1</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p>
    <w:p w14:paraId="7DCCC35D">
      <w:pPr>
        <w:spacing w:line="360" w:lineRule="auto"/>
        <w:ind w:firstLine="480" w:firstLineChars="200"/>
        <w:rPr>
          <w:rFonts w:hint="eastAsia" w:ascii="宋体" w:hAnsi="宋体" w:cs="宋体"/>
          <w:b/>
          <w:color w:val="auto"/>
          <w:kern w:val="0"/>
          <w:sz w:val="24"/>
          <w:highlight w:val="none"/>
          <w:lang w:val="zh-CN"/>
        </w:rPr>
      </w:pPr>
      <w:r>
        <w:rPr>
          <w:rFonts w:hint="default" w:ascii="宋体" w:hAnsi="宋体" w:cs="宋体"/>
          <w:color w:val="auto"/>
          <w:kern w:val="0"/>
          <w:sz w:val="24"/>
          <w:highlight w:val="none"/>
          <w:lang w:val="en-US"/>
        </w:rPr>
        <w:t>2</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607CE739">
      <w:pPr>
        <w:pStyle w:val="2"/>
        <w:rPr>
          <w:rFonts w:hint="eastAsia" w:ascii="宋体" w:hAnsi="宋体" w:eastAsia="宋体" w:cs="宋体"/>
          <w:b/>
          <w:bCs/>
          <w:color w:val="auto"/>
          <w:kern w:val="0"/>
          <w:sz w:val="24"/>
          <w:szCs w:val="24"/>
          <w:highlight w:val="none"/>
          <w:lang w:val="en-US" w:eastAsia="zh-CN" w:bidi="ar-SA"/>
        </w:rPr>
      </w:pPr>
      <w:r>
        <w:rPr>
          <w:rFonts w:hint="default" w:ascii="宋体" w:hAnsi="宋体" w:cs="宋体"/>
          <w:b/>
          <w:color w:val="auto"/>
          <w:sz w:val="24"/>
          <w:highlight w:val="none"/>
          <w:lang w:val="en-US"/>
        </w:rPr>
        <w:t xml:space="preserve">    3</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特别说明</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供应商报价低于项目预算50%的，应当在报价文件中详细阐述不影响产品质量或者诚信履约的具体原因。</w:t>
      </w:r>
    </w:p>
    <w:p w14:paraId="0CD714F7">
      <w:pPr>
        <w:snapToGrid w:val="0"/>
        <w:spacing w:line="360" w:lineRule="auto"/>
        <w:ind w:firstLine="482" w:firstLineChars="200"/>
        <w:jc w:val="left"/>
        <w:rPr>
          <w:rFonts w:hint="default"/>
          <w:color w:val="auto"/>
          <w:highlight w:val="none"/>
          <w:lang w:val="en-US"/>
        </w:rPr>
      </w:pPr>
      <w:r>
        <w:rPr>
          <w:rFonts w:hint="default" w:ascii="宋体" w:hAnsi="宋体" w:cs="宋体"/>
          <w:b/>
          <w:bCs/>
          <w:color w:val="auto"/>
          <w:kern w:val="0"/>
          <w:sz w:val="24"/>
          <w:highlight w:val="none"/>
          <w:lang w:val="en-US"/>
        </w:rPr>
        <w:t>4</w:t>
      </w:r>
      <w:r>
        <w:rPr>
          <w:rFonts w:hint="eastAsia" w:ascii="宋体" w:hAnsi="宋体" w:cs="宋体"/>
          <w:b/>
          <w:bCs/>
          <w:color w:val="auto"/>
          <w:kern w:val="0"/>
          <w:sz w:val="24"/>
          <w:highlight w:val="none"/>
          <w:lang w:val="zh-CN"/>
        </w:rPr>
        <w:t>、特别提示：采购机构将对项目名称和项目编号，中标供应商名称、地址和中标金额，主要中标标的名称、品牌、规格型号、数量、单价等予以公示。</w:t>
      </w:r>
    </w:p>
    <w:p w14:paraId="48D9DEBC">
      <w:pPr>
        <w:snapToGrid w:val="0"/>
        <w:spacing w:line="360" w:lineRule="auto"/>
        <w:ind w:firstLine="480" w:firstLineChars="200"/>
        <w:jc w:val="left"/>
        <w:rPr>
          <w:rFonts w:ascii="宋体" w:hAnsi="宋体" w:cs="宋体"/>
          <w:color w:val="auto"/>
          <w:kern w:val="0"/>
          <w:sz w:val="24"/>
          <w:highlight w:val="none"/>
          <w:lang w:val="zh-CN"/>
        </w:rPr>
      </w:pPr>
      <w:r>
        <w:rPr>
          <w:rFonts w:hint="default" w:ascii="宋体" w:hAnsi="宋体" w:cs="宋体"/>
          <w:color w:val="auto"/>
          <w:kern w:val="0"/>
          <w:sz w:val="24"/>
          <w:szCs w:val="22"/>
          <w:highlight w:val="none"/>
          <w:lang w:val="en-US"/>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A63D683">
      <w:pPr>
        <w:spacing w:line="360" w:lineRule="auto"/>
        <w:ind w:firstLine="482" w:firstLineChars="200"/>
        <w:rPr>
          <w:rFonts w:ascii="宋体" w:hAnsi="宋体" w:cs="宋体"/>
          <w:b/>
          <w:color w:val="auto"/>
          <w:kern w:val="0"/>
          <w:sz w:val="24"/>
          <w:highlight w:val="none"/>
        </w:rPr>
      </w:pPr>
    </w:p>
    <w:p w14:paraId="07930C8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F06891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E7772F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618138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D5DE6D3">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39" w:name="_Toc465665161"/>
      <w:r>
        <w:rPr>
          <w:rFonts w:hint="eastAsia" w:ascii="宋体" w:hAnsi="宋体" w:cs="宋体"/>
          <w:color w:val="auto"/>
          <w:highlight w:val="none"/>
        </w:rPr>
        <w:t>附件</w:t>
      </w:r>
      <w:bookmarkEnd w:id="539"/>
    </w:p>
    <w:p w14:paraId="6368E06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5E52858">
      <w:pPr>
        <w:spacing w:line="360" w:lineRule="auto"/>
        <w:jc w:val="center"/>
        <w:rPr>
          <w:rFonts w:ascii="宋体" w:hAnsi="宋体" w:cs="宋体"/>
          <w:b/>
          <w:color w:val="auto"/>
          <w:spacing w:val="6"/>
          <w:sz w:val="32"/>
          <w:szCs w:val="32"/>
          <w:highlight w:val="none"/>
        </w:rPr>
      </w:pPr>
      <w:bookmarkStart w:id="540" w:name="OLE_LINK14"/>
      <w:bookmarkStart w:id="541" w:name="OLE_LINK13"/>
      <w:r>
        <w:rPr>
          <w:rFonts w:hint="eastAsia" w:ascii="宋体" w:hAnsi="宋体" w:cs="宋体"/>
          <w:b/>
          <w:color w:val="auto"/>
          <w:spacing w:val="6"/>
          <w:sz w:val="32"/>
          <w:szCs w:val="32"/>
          <w:highlight w:val="none"/>
        </w:rPr>
        <w:t>残疾人福利性单位声明函</w:t>
      </w:r>
    </w:p>
    <w:bookmarkEnd w:id="540"/>
    <w:bookmarkEnd w:id="541"/>
    <w:p w14:paraId="22EA1FF1">
      <w:pPr>
        <w:spacing w:line="360" w:lineRule="auto"/>
        <w:rPr>
          <w:rFonts w:ascii="宋体" w:hAnsi="宋体" w:cs="宋体"/>
          <w:b/>
          <w:color w:val="auto"/>
          <w:spacing w:val="6"/>
          <w:sz w:val="30"/>
          <w:szCs w:val="30"/>
          <w:highlight w:val="none"/>
        </w:rPr>
      </w:pPr>
    </w:p>
    <w:p w14:paraId="6CBA3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81DA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88AC046">
      <w:pPr>
        <w:spacing w:line="360" w:lineRule="auto"/>
        <w:ind w:firstLine="480" w:firstLineChars="200"/>
        <w:rPr>
          <w:rFonts w:ascii="宋体" w:hAnsi="宋体" w:cs="宋体"/>
          <w:color w:val="auto"/>
          <w:sz w:val="24"/>
          <w:highlight w:val="none"/>
        </w:rPr>
      </w:pPr>
    </w:p>
    <w:p w14:paraId="7C559FCB">
      <w:pPr>
        <w:spacing w:line="360" w:lineRule="auto"/>
        <w:ind w:firstLine="480" w:firstLineChars="200"/>
        <w:rPr>
          <w:rFonts w:ascii="宋体" w:hAnsi="宋体" w:cs="宋体"/>
          <w:color w:val="auto"/>
          <w:sz w:val="24"/>
          <w:highlight w:val="none"/>
        </w:rPr>
      </w:pPr>
    </w:p>
    <w:p w14:paraId="31EBC43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41FBE3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4E32F34">
      <w:pPr>
        <w:spacing w:line="360" w:lineRule="auto"/>
        <w:ind w:firstLine="480" w:firstLineChars="200"/>
        <w:rPr>
          <w:rFonts w:ascii="宋体" w:hAnsi="宋体" w:cs="宋体"/>
          <w:color w:val="auto"/>
          <w:sz w:val="24"/>
          <w:highlight w:val="none"/>
        </w:rPr>
      </w:pPr>
    </w:p>
    <w:p w14:paraId="7B9E3837">
      <w:pPr>
        <w:spacing w:line="360" w:lineRule="auto"/>
        <w:ind w:firstLine="420" w:firstLineChars="200"/>
        <w:rPr>
          <w:rFonts w:ascii="宋体" w:hAnsi="宋体" w:cs="宋体"/>
          <w:color w:val="auto"/>
          <w:highlight w:val="none"/>
        </w:rPr>
      </w:pPr>
    </w:p>
    <w:p w14:paraId="1D554FC4">
      <w:pPr>
        <w:spacing w:line="360" w:lineRule="auto"/>
        <w:ind w:firstLine="420" w:firstLineChars="200"/>
        <w:rPr>
          <w:rFonts w:ascii="宋体" w:hAnsi="宋体" w:cs="宋体"/>
          <w:color w:val="auto"/>
          <w:highlight w:val="none"/>
        </w:rPr>
      </w:pPr>
    </w:p>
    <w:p w14:paraId="4B6CB815">
      <w:pPr>
        <w:spacing w:line="360" w:lineRule="auto"/>
        <w:ind w:firstLine="420" w:firstLineChars="200"/>
        <w:rPr>
          <w:rFonts w:ascii="宋体" w:hAnsi="宋体" w:cs="宋体"/>
          <w:color w:val="auto"/>
          <w:highlight w:val="none"/>
        </w:rPr>
      </w:pPr>
    </w:p>
    <w:p w14:paraId="4F022A92">
      <w:pPr>
        <w:spacing w:line="360" w:lineRule="auto"/>
        <w:ind w:firstLine="420" w:firstLineChars="200"/>
        <w:rPr>
          <w:rFonts w:ascii="宋体" w:hAnsi="宋体" w:cs="宋体"/>
          <w:color w:val="auto"/>
          <w:highlight w:val="none"/>
        </w:rPr>
      </w:pPr>
    </w:p>
    <w:p w14:paraId="7762453D">
      <w:pPr>
        <w:spacing w:line="360" w:lineRule="auto"/>
        <w:rPr>
          <w:rFonts w:ascii="宋体" w:hAnsi="宋体" w:cs="宋体"/>
          <w:b/>
          <w:color w:val="auto"/>
          <w:sz w:val="24"/>
          <w:highlight w:val="none"/>
        </w:rPr>
      </w:pPr>
    </w:p>
    <w:p w14:paraId="1F0EED67">
      <w:pPr>
        <w:spacing w:line="360" w:lineRule="auto"/>
        <w:rPr>
          <w:rFonts w:ascii="宋体" w:hAnsi="宋体" w:cs="宋体"/>
          <w:b/>
          <w:color w:val="auto"/>
          <w:sz w:val="24"/>
          <w:highlight w:val="none"/>
        </w:rPr>
      </w:pPr>
    </w:p>
    <w:p w14:paraId="6F567242">
      <w:pPr>
        <w:spacing w:line="360" w:lineRule="auto"/>
        <w:rPr>
          <w:rFonts w:ascii="宋体" w:hAnsi="宋体" w:cs="宋体"/>
          <w:b/>
          <w:color w:val="auto"/>
          <w:sz w:val="24"/>
          <w:highlight w:val="none"/>
        </w:rPr>
      </w:pPr>
    </w:p>
    <w:p w14:paraId="4724D73B">
      <w:pPr>
        <w:spacing w:line="360" w:lineRule="auto"/>
        <w:rPr>
          <w:rFonts w:ascii="宋体" w:hAnsi="宋体" w:cs="宋体"/>
          <w:b/>
          <w:color w:val="auto"/>
          <w:sz w:val="24"/>
          <w:highlight w:val="none"/>
        </w:rPr>
      </w:pPr>
    </w:p>
    <w:p w14:paraId="61BD91EC">
      <w:pPr>
        <w:spacing w:line="360" w:lineRule="auto"/>
        <w:rPr>
          <w:rFonts w:ascii="宋体" w:hAnsi="宋体" w:cs="宋体"/>
          <w:b/>
          <w:color w:val="auto"/>
          <w:sz w:val="24"/>
          <w:highlight w:val="none"/>
        </w:rPr>
      </w:pPr>
    </w:p>
    <w:p w14:paraId="062E0D20">
      <w:pPr>
        <w:spacing w:line="360" w:lineRule="auto"/>
        <w:rPr>
          <w:rFonts w:ascii="宋体" w:hAnsi="宋体" w:cs="宋体"/>
          <w:b/>
          <w:color w:val="auto"/>
          <w:sz w:val="24"/>
          <w:highlight w:val="none"/>
        </w:rPr>
      </w:pPr>
    </w:p>
    <w:p w14:paraId="353D04B4">
      <w:pPr>
        <w:spacing w:line="360" w:lineRule="auto"/>
        <w:rPr>
          <w:rFonts w:ascii="宋体" w:hAnsi="宋体" w:cs="宋体"/>
          <w:b/>
          <w:color w:val="auto"/>
          <w:sz w:val="24"/>
          <w:highlight w:val="none"/>
        </w:rPr>
      </w:pPr>
    </w:p>
    <w:p w14:paraId="5F8C16AE">
      <w:pPr>
        <w:spacing w:line="360" w:lineRule="auto"/>
        <w:rPr>
          <w:rFonts w:ascii="宋体" w:hAnsi="宋体" w:cs="宋体"/>
          <w:b/>
          <w:color w:val="auto"/>
          <w:sz w:val="24"/>
          <w:highlight w:val="none"/>
        </w:rPr>
      </w:pPr>
    </w:p>
    <w:p w14:paraId="2F535C5A">
      <w:pPr>
        <w:spacing w:line="360" w:lineRule="auto"/>
        <w:rPr>
          <w:rFonts w:ascii="宋体" w:hAnsi="宋体" w:cs="宋体"/>
          <w:b/>
          <w:color w:val="auto"/>
          <w:sz w:val="24"/>
          <w:highlight w:val="none"/>
        </w:rPr>
      </w:pPr>
    </w:p>
    <w:p w14:paraId="6BBA961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FDC61B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DD74AA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D4B42A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53C92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27B88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D89A73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45B0E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2490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944A06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5F41E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CA01D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85877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9C189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0266E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8913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0F371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96125F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009C7C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764B2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EF85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130A1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B50704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E7B34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BAD02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60C39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68C6349">
      <w:pPr>
        <w:spacing w:line="360" w:lineRule="auto"/>
        <w:jc w:val="center"/>
        <w:rPr>
          <w:rFonts w:ascii="宋体" w:hAnsi="宋体" w:cs="宋体"/>
          <w:b/>
          <w:bCs/>
          <w:color w:val="auto"/>
          <w:sz w:val="24"/>
          <w:highlight w:val="none"/>
        </w:rPr>
      </w:pPr>
    </w:p>
    <w:p w14:paraId="305FF591">
      <w:pPr>
        <w:spacing w:line="360" w:lineRule="auto"/>
        <w:rPr>
          <w:rFonts w:ascii="宋体" w:hAnsi="宋体" w:cs="宋体"/>
          <w:b/>
          <w:color w:val="auto"/>
          <w:sz w:val="24"/>
          <w:highlight w:val="none"/>
        </w:rPr>
      </w:pPr>
    </w:p>
    <w:p w14:paraId="195D3EF4">
      <w:pPr>
        <w:spacing w:line="360" w:lineRule="auto"/>
        <w:rPr>
          <w:rFonts w:ascii="宋体" w:hAnsi="宋体" w:cs="宋体"/>
          <w:b/>
          <w:color w:val="auto"/>
          <w:sz w:val="24"/>
          <w:highlight w:val="none"/>
        </w:rPr>
      </w:pPr>
    </w:p>
    <w:p w14:paraId="0E70132D">
      <w:pPr>
        <w:spacing w:line="360" w:lineRule="auto"/>
        <w:rPr>
          <w:rFonts w:ascii="宋体" w:hAnsi="宋体" w:cs="宋体"/>
          <w:b/>
          <w:color w:val="auto"/>
          <w:sz w:val="24"/>
          <w:highlight w:val="none"/>
        </w:rPr>
      </w:pPr>
    </w:p>
    <w:p w14:paraId="07D5393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6B37B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329A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34998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94E7A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CBA5A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0A59B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A93271A">
      <w:pPr>
        <w:widowControl/>
        <w:spacing w:line="360" w:lineRule="auto"/>
        <w:ind w:firstLine="600" w:firstLineChars="200"/>
        <w:jc w:val="left"/>
        <w:rPr>
          <w:rFonts w:ascii="宋体" w:hAnsi="宋体" w:cs="宋体"/>
          <w:color w:val="auto"/>
          <w:sz w:val="30"/>
          <w:szCs w:val="30"/>
          <w:highlight w:val="none"/>
        </w:rPr>
      </w:pPr>
    </w:p>
    <w:p w14:paraId="4D408CA8">
      <w:pPr>
        <w:spacing w:line="360" w:lineRule="auto"/>
        <w:jc w:val="center"/>
        <w:rPr>
          <w:rFonts w:ascii="宋体" w:hAnsi="宋体" w:cs="宋体"/>
          <w:b/>
          <w:color w:val="auto"/>
          <w:spacing w:val="6"/>
          <w:sz w:val="32"/>
          <w:szCs w:val="32"/>
          <w:highlight w:val="none"/>
        </w:rPr>
      </w:pPr>
    </w:p>
    <w:p w14:paraId="2BCAB96C">
      <w:pPr>
        <w:spacing w:line="360" w:lineRule="auto"/>
        <w:jc w:val="center"/>
        <w:rPr>
          <w:rFonts w:ascii="宋体" w:hAnsi="宋体" w:cs="宋体"/>
          <w:b/>
          <w:color w:val="auto"/>
          <w:spacing w:val="6"/>
          <w:sz w:val="32"/>
          <w:szCs w:val="32"/>
          <w:highlight w:val="none"/>
        </w:rPr>
      </w:pPr>
    </w:p>
    <w:p w14:paraId="255992DA">
      <w:pPr>
        <w:spacing w:line="360" w:lineRule="auto"/>
        <w:jc w:val="center"/>
        <w:rPr>
          <w:rFonts w:ascii="宋体" w:hAnsi="宋体" w:cs="宋体"/>
          <w:b/>
          <w:color w:val="auto"/>
          <w:spacing w:val="6"/>
          <w:sz w:val="32"/>
          <w:szCs w:val="32"/>
          <w:highlight w:val="none"/>
        </w:rPr>
      </w:pPr>
    </w:p>
    <w:p w14:paraId="72D9A44A">
      <w:pPr>
        <w:spacing w:line="360" w:lineRule="auto"/>
        <w:jc w:val="center"/>
        <w:rPr>
          <w:rFonts w:ascii="宋体" w:hAnsi="宋体" w:cs="宋体"/>
          <w:b/>
          <w:color w:val="auto"/>
          <w:spacing w:val="6"/>
          <w:sz w:val="32"/>
          <w:szCs w:val="32"/>
          <w:highlight w:val="none"/>
        </w:rPr>
      </w:pPr>
    </w:p>
    <w:p w14:paraId="18059F73">
      <w:pPr>
        <w:spacing w:line="360" w:lineRule="auto"/>
        <w:jc w:val="center"/>
        <w:rPr>
          <w:rFonts w:ascii="宋体" w:hAnsi="宋体" w:cs="宋体"/>
          <w:b/>
          <w:color w:val="auto"/>
          <w:spacing w:val="6"/>
          <w:sz w:val="32"/>
          <w:szCs w:val="32"/>
          <w:highlight w:val="none"/>
        </w:rPr>
      </w:pPr>
    </w:p>
    <w:p w14:paraId="0750E89C">
      <w:pPr>
        <w:spacing w:line="360" w:lineRule="auto"/>
        <w:jc w:val="center"/>
        <w:rPr>
          <w:rFonts w:ascii="宋体" w:hAnsi="宋体" w:cs="宋体"/>
          <w:b/>
          <w:color w:val="auto"/>
          <w:spacing w:val="6"/>
          <w:sz w:val="32"/>
          <w:szCs w:val="32"/>
          <w:highlight w:val="none"/>
        </w:rPr>
      </w:pPr>
    </w:p>
    <w:p w14:paraId="5D18854D">
      <w:pPr>
        <w:spacing w:line="360" w:lineRule="auto"/>
        <w:jc w:val="center"/>
        <w:rPr>
          <w:rFonts w:ascii="宋体" w:hAnsi="宋体" w:cs="宋体"/>
          <w:b/>
          <w:color w:val="auto"/>
          <w:spacing w:val="6"/>
          <w:sz w:val="32"/>
          <w:szCs w:val="32"/>
          <w:highlight w:val="none"/>
        </w:rPr>
      </w:pPr>
    </w:p>
    <w:p w14:paraId="025CF319">
      <w:pPr>
        <w:spacing w:line="360" w:lineRule="auto"/>
        <w:jc w:val="center"/>
        <w:rPr>
          <w:rFonts w:ascii="宋体" w:hAnsi="宋体" w:cs="宋体"/>
          <w:b/>
          <w:color w:val="auto"/>
          <w:spacing w:val="6"/>
          <w:sz w:val="32"/>
          <w:szCs w:val="32"/>
          <w:highlight w:val="none"/>
        </w:rPr>
      </w:pPr>
    </w:p>
    <w:p w14:paraId="121514FD">
      <w:pPr>
        <w:spacing w:line="360" w:lineRule="auto"/>
        <w:jc w:val="center"/>
        <w:rPr>
          <w:rFonts w:ascii="宋体" w:hAnsi="宋体" w:cs="宋体"/>
          <w:b/>
          <w:color w:val="auto"/>
          <w:spacing w:val="6"/>
          <w:sz w:val="32"/>
          <w:szCs w:val="32"/>
          <w:highlight w:val="none"/>
        </w:rPr>
      </w:pPr>
    </w:p>
    <w:p w14:paraId="4D6EF575">
      <w:pPr>
        <w:spacing w:line="360" w:lineRule="auto"/>
        <w:jc w:val="center"/>
        <w:rPr>
          <w:rFonts w:ascii="宋体" w:hAnsi="宋体" w:cs="宋体"/>
          <w:b/>
          <w:color w:val="auto"/>
          <w:spacing w:val="6"/>
          <w:sz w:val="32"/>
          <w:szCs w:val="32"/>
          <w:highlight w:val="none"/>
        </w:rPr>
      </w:pPr>
    </w:p>
    <w:p w14:paraId="13E08CCB">
      <w:pPr>
        <w:spacing w:line="360" w:lineRule="auto"/>
        <w:jc w:val="center"/>
        <w:rPr>
          <w:rFonts w:ascii="宋体" w:hAnsi="宋体" w:cs="宋体"/>
          <w:b/>
          <w:color w:val="auto"/>
          <w:spacing w:val="6"/>
          <w:sz w:val="32"/>
          <w:szCs w:val="32"/>
          <w:highlight w:val="none"/>
        </w:rPr>
      </w:pPr>
    </w:p>
    <w:p w14:paraId="3722852B">
      <w:pPr>
        <w:spacing w:line="360" w:lineRule="auto"/>
        <w:jc w:val="center"/>
        <w:rPr>
          <w:rFonts w:ascii="宋体" w:hAnsi="宋体" w:cs="宋体"/>
          <w:b/>
          <w:color w:val="auto"/>
          <w:spacing w:val="6"/>
          <w:sz w:val="32"/>
          <w:szCs w:val="32"/>
          <w:highlight w:val="none"/>
        </w:rPr>
      </w:pPr>
    </w:p>
    <w:p w14:paraId="6E535E24">
      <w:pPr>
        <w:spacing w:line="360" w:lineRule="auto"/>
        <w:jc w:val="left"/>
        <w:rPr>
          <w:rFonts w:ascii="宋体" w:hAnsi="宋体" w:cs="宋体"/>
          <w:b/>
          <w:color w:val="auto"/>
          <w:spacing w:val="6"/>
          <w:sz w:val="32"/>
          <w:szCs w:val="32"/>
          <w:highlight w:val="none"/>
        </w:rPr>
      </w:pPr>
    </w:p>
    <w:p w14:paraId="74249CB7">
      <w:pPr>
        <w:spacing w:line="360" w:lineRule="auto"/>
        <w:jc w:val="left"/>
        <w:rPr>
          <w:rFonts w:ascii="宋体" w:hAnsi="宋体" w:cs="宋体"/>
          <w:b/>
          <w:color w:val="auto"/>
          <w:spacing w:val="6"/>
          <w:sz w:val="32"/>
          <w:szCs w:val="32"/>
          <w:highlight w:val="none"/>
        </w:rPr>
      </w:pPr>
    </w:p>
    <w:p w14:paraId="291EEDD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9B2D448">
      <w:pPr>
        <w:spacing w:line="360" w:lineRule="auto"/>
        <w:jc w:val="center"/>
        <w:rPr>
          <w:rFonts w:ascii="宋体" w:hAnsi="宋体" w:cs="宋体"/>
          <w:b/>
          <w:color w:val="auto"/>
          <w:sz w:val="24"/>
          <w:highlight w:val="none"/>
        </w:rPr>
      </w:pPr>
    </w:p>
    <w:p w14:paraId="27DE61D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0087F4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D143B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0940B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57326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D1132A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F5E71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3BD5D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DC5FB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8242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B01D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F91AB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66998C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117FD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4F41B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2111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C4C1B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6723D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1FF19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FAF84D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7DCD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E16251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E0DB4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14F385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FAEE16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6FEE38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37C97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4620C3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52A8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897962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C0F4F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6064F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773D2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997BF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8974F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B2D90F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D24183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E6778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601D3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8999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5C92616">
      <w:pPr>
        <w:spacing w:line="360" w:lineRule="auto"/>
        <w:rPr>
          <w:rFonts w:ascii="宋体" w:hAnsi="宋体" w:cs="宋体"/>
          <w:b/>
          <w:color w:val="auto"/>
          <w:sz w:val="24"/>
          <w:highlight w:val="none"/>
        </w:rPr>
      </w:pPr>
    </w:p>
    <w:p w14:paraId="0CB46FC4">
      <w:pPr>
        <w:spacing w:line="360" w:lineRule="auto"/>
        <w:rPr>
          <w:rFonts w:ascii="宋体" w:hAnsi="宋体" w:cs="宋体"/>
          <w:b/>
          <w:color w:val="auto"/>
          <w:sz w:val="24"/>
          <w:highlight w:val="none"/>
        </w:rPr>
      </w:pPr>
    </w:p>
    <w:p w14:paraId="51FEB22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BE9CF5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EE6214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8990FA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C0973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69710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7A4F4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74512D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60A5AC6">
      <w:pPr>
        <w:spacing w:line="360" w:lineRule="auto"/>
        <w:rPr>
          <w:rFonts w:ascii="宋体" w:hAnsi="宋体" w:cs="宋体"/>
          <w:b/>
          <w:color w:val="auto"/>
          <w:sz w:val="24"/>
          <w:highlight w:val="none"/>
        </w:rPr>
      </w:pPr>
    </w:p>
    <w:p w14:paraId="34AB2C6C">
      <w:pPr>
        <w:autoSpaceDE w:val="0"/>
        <w:autoSpaceDN w:val="0"/>
        <w:jc w:val="center"/>
        <w:rPr>
          <w:rFonts w:ascii="宋体" w:hAnsi="宋体" w:cs="宋体"/>
          <w:b/>
          <w:color w:val="auto"/>
          <w:spacing w:val="6"/>
          <w:sz w:val="32"/>
          <w:szCs w:val="32"/>
          <w:highlight w:val="none"/>
        </w:rPr>
      </w:pPr>
    </w:p>
    <w:p w14:paraId="7FDE9617">
      <w:pPr>
        <w:autoSpaceDE w:val="0"/>
        <w:autoSpaceDN w:val="0"/>
        <w:jc w:val="center"/>
        <w:rPr>
          <w:rFonts w:ascii="宋体" w:hAnsi="宋体" w:cs="宋体"/>
          <w:b/>
          <w:color w:val="auto"/>
          <w:spacing w:val="6"/>
          <w:sz w:val="32"/>
          <w:szCs w:val="32"/>
          <w:highlight w:val="none"/>
        </w:rPr>
      </w:pPr>
    </w:p>
    <w:p w14:paraId="179EEE4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EA3FB88">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杭州市保俶塔实验学校</w:t>
      </w:r>
      <w:r>
        <w:rPr>
          <w:rFonts w:hint="eastAsia" w:ascii="宋体" w:hAnsi="宋体" w:cs="宋体"/>
          <w:color w:val="auto"/>
          <w:sz w:val="24"/>
          <w:highlight w:val="none"/>
          <w:u w:val="single"/>
        </w:rPr>
        <w:t>、杭州市西湖区政府采购中心</w:t>
      </w:r>
    </w:p>
    <w:p w14:paraId="2FA8082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杭州市保俶塔实验学校智慧实验室建设项目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XHZFCG-2024-G-77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2D9ED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8B27FFC">
      <w:pPr>
        <w:spacing w:line="360" w:lineRule="auto"/>
        <w:ind w:firstLine="494"/>
        <w:rPr>
          <w:rFonts w:ascii="宋体" w:hAnsi="宋体" w:cs="宋体"/>
          <w:color w:val="auto"/>
          <w:sz w:val="24"/>
          <w:highlight w:val="none"/>
        </w:rPr>
      </w:pPr>
    </w:p>
    <w:p w14:paraId="135400D6">
      <w:pPr>
        <w:spacing w:line="360" w:lineRule="auto"/>
        <w:ind w:firstLine="494"/>
        <w:rPr>
          <w:rFonts w:ascii="宋体" w:hAnsi="宋体" w:cs="宋体"/>
          <w:color w:val="auto"/>
          <w:sz w:val="24"/>
          <w:highlight w:val="none"/>
        </w:rPr>
      </w:pPr>
    </w:p>
    <w:p w14:paraId="7E743E74">
      <w:pPr>
        <w:spacing w:line="360" w:lineRule="auto"/>
        <w:ind w:firstLine="494"/>
        <w:rPr>
          <w:rFonts w:ascii="宋体" w:hAnsi="宋体" w:cs="宋体"/>
          <w:color w:val="auto"/>
          <w:sz w:val="24"/>
          <w:highlight w:val="none"/>
        </w:rPr>
      </w:pPr>
    </w:p>
    <w:p w14:paraId="73F48C11">
      <w:pPr>
        <w:spacing w:line="360" w:lineRule="auto"/>
        <w:ind w:firstLine="494"/>
        <w:rPr>
          <w:rFonts w:ascii="宋体" w:hAnsi="宋体" w:cs="宋体"/>
          <w:color w:val="auto"/>
          <w:sz w:val="24"/>
          <w:highlight w:val="none"/>
        </w:rPr>
      </w:pPr>
    </w:p>
    <w:p w14:paraId="65A13B4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20072C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D51798">
      <w:pPr>
        <w:rPr>
          <w:rFonts w:ascii="宋体" w:hAnsi="宋体" w:cs="宋体"/>
          <w:color w:val="auto"/>
          <w:sz w:val="24"/>
          <w:highlight w:val="none"/>
        </w:rPr>
      </w:pPr>
      <w:r>
        <w:rPr>
          <w:rFonts w:hint="eastAsia" w:ascii="宋体" w:hAnsi="宋体" w:cs="宋体"/>
          <w:b/>
          <w:bCs/>
          <w:color w:val="auto"/>
          <w:sz w:val="24"/>
          <w:highlight w:val="none"/>
        </w:rPr>
        <w:t>附：</w:t>
      </w:r>
    </w:p>
    <w:p w14:paraId="4F03DB1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C4B26F">
      <w:pPr>
        <w:autoSpaceDE w:val="0"/>
        <w:autoSpaceDN w:val="0"/>
        <w:jc w:val="center"/>
        <w:rPr>
          <w:rFonts w:ascii="宋体" w:hAnsi="宋体" w:cs="宋体"/>
          <w:b/>
          <w:color w:val="auto"/>
          <w:spacing w:val="6"/>
          <w:sz w:val="32"/>
          <w:szCs w:val="32"/>
          <w:highlight w:val="none"/>
        </w:rPr>
      </w:pPr>
    </w:p>
    <w:p w14:paraId="717A5C2A">
      <w:pPr>
        <w:autoSpaceDE w:val="0"/>
        <w:autoSpaceDN w:val="0"/>
        <w:jc w:val="center"/>
        <w:rPr>
          <w:rFonts w:ascii="宋体" w:hAnsi="宋体" w:cs="宋体"/>
          <w:b/>
          <w:color w:val="auto"/>
          <w:spacing w:val="6"/>
          <w:sz w:val="32"/>
          <w:szCs w:val="32"/>
          <w:highlight w:val="none"/>
        </w:rPr>
      </w:pPr>
    </w:p>
    <w:p w14:paraId="399B4B2B">
      <w:pPr>
        <w:autoSpaceDE w:val="0"/>
        <w:autoSpaceDN w:val="0"/>
        <w:jc w:val="center"/>
        <w:rPr>
          <w:rFonts w:ascii="宋体" w:hAnsi="宋体" w:cs="宋体"/>
          <w:b/>
          <w:color w:val="auto"/>
          <w:spacing w:val="6"/>
          <w:sz w:val="32"/>
          <w:szCs w:val="32"/>
          <w:highlight w:val="none"/>
        </w:rPr>
      </w:pPr>
    </w:p>
    <w:p w14:paraId="02592972">
      <w:pPr>
        <w:autoSpaceDE w:val="0"/>
        <w:autoSpaceDN w:val="0"/>
        <w:jc w:val="center"/>
        <w:rPr>
          <w:rFonts w:ascii="宋体" w:hAnsi="宋体" w:cs="宋体"/>
          <w:b/>
          <w:color w:val="auto"/>
          <w:spacing w:val="6"/>
          <w:sz w:val="32"/>
          <w:szCs w:val="32"/>
          <w:highlight w:val="none"/>
        </w:rPr>
      </w:pPr>
    </w:p>
    <w:p w14:paraId="18F37C9F">
      <w:pPr>
        <w:autoSpaceDE w:val="0"/>
        <w:autoSpaceDN w:val="0"/>
        <w:jc w:val="center"/>
        <w:rPr>
          <w:rFonts w:ascii="宋体" w:hAnsi="宋体" w:cs="宋体"/>
          <w:b/>
          <w:color w:val="auto"/>
          <w:spacing w:val="6"/>
          <w:sz w:val="32"/>
          <w:szCs w:val="32"/>
          <w:highlight w:val="none"/>
        </w:rPr>
      </w:pPr>
    </w:p>
    <w:p w14:paraId="62C55B09">
      <w:pPr>
        <w:autoSpaceDE w:val="0"/>
        <w:autoSpaceDN w:val="0"/>
        <w:jc w:val="center"/>
        <w:rPr>
          <w:rFonts w:ascii="宋体" w:hAnsi="宋体" w:cs="宋体"/>
          <w:b/>
          <w:color w:val="auto"/>
          <w:spacing w:val="6"/>
          <w:sz w:val="32"/>
          <w:szCs w:val="32"/>
          <w:highlight w:val="none"/>
        </w:rPr>
      </w:pPr>
    </w:p>
    <w:p w14:paraId="50CEB881">
      <w:pPr>
        <w:autoSpaceDE w:val="0"/>
        <w:autoSpaceDN w:val="0"/>
        <w:jc w:val="center"/>
        <w:rPr>
          <w:rFonts w:ascii="宋体" w:hAnsi="宋体" w:cs="宋体"/>
          <w:b/>
          <w:color w:val="auto"/>
          <w:spacing w:val="6"/>
          <w:sz w:val="32"/>
          <w:szCs w:val="32"/>
          <w:highlight w:val="none"/>
        </w:rPr>
      </w:pPr>
    </w:p>
    <w:p w14:paraId="301C8852">
      <w:pPr>
        <w:autoSpaceDE w:val="0"/>
        <w:autoSpaceDN w:val="0"/>
        <w:jc w:val="center"/>
        <w:rPr>
          <w:rFonts w:ascii="宋体" w:hAnsi="宋体" w:cs="宋体"/>
          <w:b/>
          <w:color w:val="auto"/>
          <w:spacing w:val="6"/>
          <w:sz w:val="32"/>
          <w:szCs w:val="32"/>
          <w:highlight w:val="none"/>
        </w:rPr>
      </w:pPr>
    </w:p>
    <w:p w14:paraId="331E6979">
      <w:pPr>
        <w:autoSpaceDE w:val="0"/>
        <w:autoSpaceDN w:val="0"/>
        <w:jc w:val="center"/>
        <w:rPr>
          <w:rFonts w:ascii="宋体" w:hAnsi="宋体" w:cs="宋体"/>
          <w:b/>
          <w:color w:val="auto"/>
          <w:spacing w:val="6"/>
          <w:sz w:val="32"/>
          <w:szCs w:val="32"/>
          <w:highlight w:val="none"/>
        </w:rPr>
      </w:pPr>
    </w:p>
    <w:p w14:paraId="4DC283B9">
      <w:pPr>
        <w:autoSpaceDE w:val="0"/>
        <w:autoSpaceDN w:val="0"/>
        <w:jc w:val="center"/>
        <w:rPr>
          <w:rFonts w:ascii="宋体" w:hAnsi="宋体" w:cs="宋体"/>
          <w:b/>
          <w:color w:val="auto"/>
          <w:spacing w:val="6"/>
          <w:sz w:val="32"/>
          <w:szCs w:val="32"/>
          <w:highlight w:val="none"/>
        </w:rPr>
      </w:pPr>
    </w:p>
    <w:p w14:paraId="76EC3F8B">
      <w:pPr>
        <w:autoSpaceDE w:val="0"/>
        <w:autoSpaceDN w:val="0"/>
        <w:jc w:val="center"/>
        <w:rPr>
          <w:rFonts w:ascii="宋体" w:hAnsi="宋体" w:cs="宋体"/>
          <w:b/>
          <w:color w:val="auto"/>
          <w:spacing w:val="6"/>
          <w:sz w:val="32"/>
          <w:szCs w:val="32"/>
          <w:highlight w:val="none"/>
        </w:rPr>
      </w:pPr>
    </w:p>
    <w:p w14:paraId="1BD1E54C">
      <w:pPr>
        <w:pStyle w:val="2"/>
        <w:rPr>
          <w:rFonts w:ascii="宋体" w:hAnsi="宋体" w:cs="宋体"/>
          <w:b/>
          <w:color w:val="auto"/>
          <w:spacing w:val="6"/>
          <w:sz w:val="32"/>
          <w:szCs w:val="32"/>
          <w:highlight w:val="none"/>
        </w:rPr>
      </w:pPr>
    </w:p>
    <w:p w14:paraId="6737A706">
      <w:pPr>
        <w:rPr>
          <w:rFonts w:ascii="宋体" w:hAnsi="宋体" w:cs="宋体"/>
          <w:b/>
          <w:color w:val="auto"/>
          <w:spacing w:val="6"/>
          <w:sz w:val="32"/>
          <w:szCs w:val="32"/>
          <w:highlight w:val="none"/>
        </w:rPr>
      </w:pPr>
    </w:p>
    <w:p w14:paraId="635A060B">
      <w:pPr>
        <w:pStyle w:val="2"/>
        <w:rPr>
          <w:rFonts w:ascii="宋体" w:hAnsi="宋体" w:cs="宋体"/>
          <w:b/>
          <w:color w:val="auto"/>
          <w:spacing w:val="6"/>
          <w:sz w:val="32"/>
          <w:szCs w:val="32"/>
          <w:highlight w:val="none"/>
        </w:rPr>
      </w:pPr>
    </w:p>
    <w:p w14:paraId="05C388C5">
      <w:pPr>
        <w:rPr>
          <w:rFonts w:ascii="宋体" w:hAnsi="宋体" w:cs="宋体"/>
          <w:b/>
          <w:color w:val="auto"/>
          <w:spacing w:val="6"/>
          <w:sz w:val="32"/>
          <w:szCs w:val="32"/>
          <w:highlight w:val="none"/>
        </w:rPr>
      </w:pPr>
    </w:p>
    <w:p w14:paraId="434B5B9A">
      <w:pPr>
        <w:pStyle w:val="2"/>
        <w:rPr>
          <w:rFonts w:ascii="宋体" w:hAnsi="宋体" w:cs="宋体"/>
          <w:b/>
          <w:color w:val="auto"/>
          <w:spacing w:val="6"/>
          <w:sz w:val="32"/>
          <w:szCs w:val="32"/>
          <w:highlight w:val="none"/>
        </w:rPr>
      </w:pPr>
    </w:p>
    <w:p w14:paraId="0C7EBA9F"/>
    <w:p w14:paraId="616B801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DD2D2E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BF9F0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杭州市保俶塔实验学校智慧实验室建设项目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XHZFCG-2024-G-77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9C2D4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131165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7894AB7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2FA22A8">
      <w:pPr>
        <w:snapToGrid w:val="0"/>
        <w:spacing w:line="360" w:lineRule="auto"/>
        <w:ind w:firstLine="576"/>
        <w:rPr>
          <w:rFonts w:ascii="宋体" w:hAnsi="宋体" w:cs="宋体"/>
          <w:color w:val="auto"/>
          <w:kern w:val="0"/>
          <w:sz w:val="24"/>
          <w:highlight w:val="none"/>
          <w:lang w:val="zh-CN"/>
        </w:rPr>
      </w:pPr>
      <w:bookmarkStart w:id="542" w:name="_Hlk101134295"/>
      <w:r>
        <w:rPr>
          <w:rFonts w:hint="eastAsia" w:ascii="宋体" w:hAnsi="宋体" w:cs="宋体"/>
          <w:color w:val="auto"/>
          <w:kern w:val="0"/>
          <w:sz w:val="24"/>
          <w:highlight w:val="none"/>
          <w:lang w:val="zh-CN"/>
        </w:rPr>
        <w:t>（联合体成员1）承担的工作和义务为：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4B611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92B9E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2"/>
    <w:p w14:paraId="1ED3FA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E42A84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（未预留份额专门面向中小企业采购的采购项目，以及预留份额中的非预留部分采购包，接受联合体投标的，联合协议约定小微企业的合同份额占到合同总金额30%以上的，对联合体报价给予</w:t>
      </w:r>
      <w:r>
        <w:rPr>
          <w:rFonts w:hint="default" w:ascii="宋体" w:hAnsi="宋体" w:cs="宋体"/>
          <w:b/>
          <w:color w:val="auto"/>
          <w:kern w:val="0"/>
          <w:sz w:val="24"/>
          <w:highlight w:val="none"/>
          <w:lang w:val="en-US"/>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28410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721CB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5E178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E2124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9C32B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139E4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3AEF524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92F58C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B0956C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B944EBB">
      <w:pPr>
        <w:pStyle w:val="2"/>
        <w:rPr>
          <w:rFonts w:hint="eastAsia" w:ascii="宋体" w:hAnsi="宋体" w:cs="宋体"/>
          <w:color w:val="auto"/>
          <w:sz w:val="24"/>
          <w:highlight w:val="none"/>
        </w:rPr>
      </w:pPr>
    </w:p>
    <w:p w14:paraId="10BAC848">
      <w:pPr>
        <w:rPr>
          <w:rFonts w:hint="eastAsia" w:ascii="宋体" w:hAnsi="宋体" w:cs="宋体"/>
          <w:color w:val="auto"/>
          <w:sz w:val="24"/>
          <w:highlight w:val="none"/>
        </w:rPr>
      </w:pPr>
    </w:p>
    <w:p w14:paraId="0275D6F1">
      <w:pPr>
        <w:pStyle w:val="2"/>
        <w:rPr>
          <w:rFonts w:hint="eastAsia" w:ascii="宋体" w:hAnsi="宋体" w:cs="宋体"/>
          <w:color w:val="auto"/>
          <w:sz w:val="24"/>
          <w:highlight w:val="none"/>
        </w:rPr>
      </w:pPr>
    </w:p>
    <w:p w14:paraId="2EDDC723">
      <w:pPr>
        <w:rPr>
          <w:rFonts w:hint="eastAsia" w:ascii="宋体" w:hAnsi="宋体" w:cs="宋体"/>
          <w:color w:val="auto"/>
          <w:sz w:val="24"/>
          <w:highlight w:val="none"/>
        </w:rPr>
      </w:pPr>
    </w:p>
    <w:p w14:paraId="5002766A">
      <w:pPr>
        <w:pStyle w:val="2"/>
        <w:rPr>
          <w:rFonts w:hint="eastAsia" w:ascii="宋体" w:hAnsi="宋体" w:cs="宋体"/>
          <w:color w:val="auto"/>
          <w:sz w:val="24"/>
          <w:highlight w:val="none"/>
        </w:rPr>
      </w:pPr>
    </w:p>
    <w:p w14:paraId="0EC4B6B8">
      <w:pPr>
        <w:rPr>
          <w:rFonts w:hint="eastAsia" w:ascii="宋体" w:hAnsi="宋体" w:cs="宋体"/>
          <w:color w:val="auto"/>
          <w:sz w:val="24"/>
          <w:highlight w:val="none"/>
        </w:rPr>
      </w:pPr>
    </w:p>
    <w:p w14:paraId="3DC3C914">
      <w:pPr>
        <w:pStyle w:val="2"/>
        <w:rPr>
          <w:rFonts w:hint="eastAsia" w:ascii="宋体" w:hAnsi="宋体" w:cs="宋体"/>
          <w:color w:val="auto"/>
          <w:sz w:val="24"/>
          <w:highlight w:val="none"/>
        </w:rPr>
      </w:pPr>
    </w:p>
    <w:p w14:paraId="3C9FE73C">
      <w:pPr>
        <w:rPr>
          <w:rFonts w:hint="eastAsia" w:ascii="宋体" w:hAnsi="宋体" w:cs="宋体"/>
          <w:color w:val="auto"/>
          <w:sz w:val="24"/>
          <w:highlight w:val="none"/>
        </w:rPr>
      </w:pPr>
    </w:p>
    <w:p w14:paraId="15AB4B52">
      <w:pPr>
        <w:pStyle w:val="2"/>
        <w:rPr>
          <w:rFonts w:hint="eastAsia" w:ascii="宋体" w:hAnsi="宋体" w:cs="宋体"/>
          <w:color w:val="auto"/>
          <w:sz w:val="24"/>
          <w:highlight w:val="none"/>
        </w:rPr>
      </w:pPr>
    </w:p>
    <w:p w14:paraId="728CE12D">
      <w:pPr>
        <w:rPr>
          <w:rFonts w:hint="eastAsia" w:ascii="宋体" w:hAnsi="宋体" w:cs="宋体"/>
          <w:color w:val="auto"/>
          <w:sz w:val="24"/>
          <w:highlight w:val="none"/>
        </w:rPr>
      </w:pPr>
    </w:p>
    <w:p w14:paraId="060921E3">
      <w:pPr>
        <w:pStyle w:val="2"/>
        <w:rPr>
          <w:rFonts w:hint="eastAsia" w:ascii="宋体" w:hAnsi="宋体" w:cs="宋体"/>
          <w:color w:val="auto"/>
          <w:sz w:val="24"/>
          <w:highlight w:val="none"/>
        </w:rPr>
      </w:pPr>
    </w:p>
    <w:p w14:paraId="6C9B1A6E">
      <w:pPr>
        <w:rPr>
          <w:rFonts w:hint="eastAsia" w:ascii="宋体" w:hAnsi="宋体" w:cs="宋体"/>
          <w:color w:val="auto"/>
          <w:sz w:val="24"/>
          <w:highlight w:val="none"/>
        </w:rPr>
      </w:pPr>
    </w:p>
    <w:p w14:paraId="3519A156">
      <w:pPr>
        <w:pStyle w:val="2"/>
        <w:rPr>
          <w:rFonts w:hint="eastAsia" w:ascii="宋体" w:hAnsi="宋体" w:cs="宋体"/>
          <w:color w:val="auto"/>
          <w:sz w:val="24"/>
          <w:highlight w:val="none"/>
        </w:rPr>
      </w:pPr>
    </w:p>
    <w:p w14:paraId="2CDA412E">
      <w:pPr>
        <w:rPr>
          <w:rFonts w:hint="eastAsia" w:ascii="宋体" w:hAnsi="宋体" w:cs="宋体"/>
          <w:color w:val="auto"/>
          <w:sz w:val="24"/>
          <w:highlight w:val="none"/>
        </w:rPr>
      </w:pPr>
    </w:p>
    <w:p w14:paraId="4D50278A">
      <w:pPr>
        <w:pStyle w:val="2"/>
        <w:rPr>
          <w:rFonts w:hint="eastAsia" w:ascii="宋体" w:hAnsi="宋体" w:cs="宋体"/>
          <w:color w:val="auto"/>
          <w:sz w:val="24"/>
          <w:highlight w:val="none"/>
        </w:rPr>
      </w:pPr>
    </w:p>
    <w:p w14:paraId="11492EB1">
      <w:pPr>
        <w:rPr>
          <w:rFonts w:hint="eastAsia" w:ascii="宋体" w:hAnsi="宋体" w:cs="宋体"/>
          <w:color w:val="auto"/>
          <w:sz w:val="24"/>
          <w:highlight w:val="none"/>
        </w:rPr>
      </w:pPr>
    </w:p>
    <w:p w14:paraId="0B30CE0B">
      <w:pPr>
        <w:pStyle w:val="2"/>
        <w:rPr>
          <w:rFonts w:hint="eastAsia" w:ascii="宋体" w:hAnsi="宋体" w:cs="宋体"/>
          <w:color w:val="auto"/>
          <w:sz w:val="24"/>
          <w:highlight w:val="none"/>
        </w:rPr>
      </w:pPr>
    </w:p>
    <w:p w14:paraId="2BB96E05">
      <w:pPr>
        <w:rPr>
          <w:rFonts w:hint="eastAsia" w:ascii="宋体" w:hAnsi="宋体" w:cs="宋体"/>
          <w:color w:val="auto"/>
          <w:sz w:val="24"/>
          <w:highlight w:val="none"/>
        </w:rPr>
      </w:pPr>
    </w:p>
    <w:p w14:paraId="422EE319">
      <w:pPr>
        <w:pStyle w:val="2"/>
        <w:rPr>
          <w:rFonts w:hint="eastAsia" w:ascii="宋体" w:hAnsi="宋体" w:cs="宋体"/>
          <w:color w:val="auto"/>
          <w:sz w:val="24"/>
          <w:highlight w:val="none"/>
        </w:rPr>
      </w:pPr>
    </w:p>
    <w:p w14:paraId="28B803F3">
      <w:pPr>
        <w:rPr>
          <w:rFonts w:hint="eastAsia" w:ascii="宋体" w:hAnsi="宋体" w:cs="宋体"/>
          <w:color w:val="auto"/>
          <w:sz w:val="24"/>
          <w:highlight w:val="none"/>
        </w:rPr>
      </w:pPr>
    </w:p>
    <w:p w14:paraId="41A7AA9B">
      <w:pPr>
        <w:pStyle w:val="2"/>
        <w:rPr>
          <w:rFonts w:hint="eastAsia" w:ascii="宋体" w:hAnsi="宋体" w:cs="宋体"/>
          <w:color w:val="auto"/>
          <w:sz w:val="24"/>
          <w:highlight w:val="none"/>
        </w:rPr>
      </w:pPr>
    </w:p>
    <w:p w14:paraId="1BF95056">
      <w:pPr>
        <w:rPr>
          <w:rFonts w:hint="eastAsia" w:ascii="宋体" w:hAnsi="宋体" w:cs="宋体"/>
          <w:color w:val="auto"/>
          <w:sz w:val="24"/>
          <w:highlight w:val="none"/>
        </w:rPr>
      </w:pPr>
    </w:p>
    <w:p w14:paraId="36B3179A">
      <w:pPr>
        <w:pStyle w:val="2"/>
        <w:rPr>
          <w:rFonts w:hint="eastAsia" w:ascii="宋体" w:hAnsi="宋体" w:cs="宋体"/>
          <w:color w:val="auto"/>
          <w:sz w:val="24"/>
          <w:highlight w:val="none"/>
        </w:rPr>
      </w:pPr>
    </w:p>
    <w:p w14:paraId="2589C69B">
      <w:pPr>
        <w:rPr>
          <w:rFonts w:hint="eastAsia" w:ascii="宋体" w:hAnsi="宋体" w:cs="宋体"/>
          <w:color w:val="auto"/>
          <w:sz w:val="24"/>
          <w:highlight w:val="none"/>
        </w:rPr>
      </w:pPr>
    </w:p>
    <w:p w14:paraId="5930FD51">
      <w:pPr>
        <w:pStyle w:val="2"/>
        <w:rPr>
          <w:rFonts w:hint="eastAsia" w:ascii="宋体" w:hAnsi="宋体" w:cs="宋体"/>
          <w:color w:val="auto"/>
          <w:sz w:val="24"/>
          <w:highlight w:val="none"/>
        </w:rPr>
      </w:pPr>
    </w:p>
    <w:p w14:paraId="30FC8818">
      <w:pPr>
        <w:rPr>
          <w:rFonts w:hint="eastAsia" w:ascii="宋体" w:hAnsi="宋体" w:cs="宋体"/>
          <w:color w:val="auto"/>
          <w:sz w:val="24"/>
          <w:highlight w:val="none"/>
        </w:rPr>
      </w:pPr>
    </w:p>
    <w:p w14:paraId="7EEB01C1">
      <w:pPr>
        <w:pStyle w:val="2"/>
        <w:rPr>
          <w:rFonts w:hint="eastAsia" w:ascii="宋体" w:hAnsi="宋体" w:cs="宋体"/>
          <w:color w:val="auto"/>
          <w:sz w:val="24"/>
          <w:highlight w:val="none"/>
        </w:rPr>
      </w:pPr>
    </w:p>
    <w:p w14:paraId="44CBC1A7">
      <w:pPr>
        <w:rPr>
          <w:rFonts w:hint="eastAsia" w:ascii="宋体" w:hAnsi="宋体" w:cs="宋体"/>
          <w:color w:val="auto"/>
          <w:sz w:val="24"/>
          <w:highlight w:val="none"/>
        </w:rPr>
      </w:pPr>
    </w:p>
    <w:p w14:paraId="4217F99B">
      <w:pPr>
        <w:rPr>
          <w:rFonts w:hint="eastAsia"/>
        </w:rPr>
      </w:pPr>
    </w:p>
    <w:p w14:paraId="127B3A37">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00BF6C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B2D82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杭州市保俶塔实验学校智慧实验室建设项目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XHZFCG-2024-G-77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F4F9C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45942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319C18F">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BAD11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BA3F08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u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default" w:ascii="宋体" w:hAnsi="宋体" w:cs="宋体"/>
          <w:b/>
          <w:color w:val="auto"/>
          <w:kern w:val="0"/>
          <w:sz w:val="24"/>
          <w:highlight w:val="none"/>
          <w:lang w:val="en-US"/>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ED8089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43"/>
    </w:p>
    <w:p w14:paraId="29B526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AD1792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D59FC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4331F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3CD9A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EE46D0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六、违约责任</w:t>
      </w:r>
    </w:p>
    <w:p w14:paraId="0EBEB4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9BE6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C851B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9E2800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03F899D">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53F199A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ABCCD8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CB2F2A">
      <w:pPr>
        <w:autoSpaceDE w:val="0"/>
        <w:autoSpaceDN w:val="0"/>
        <w:jc w:val="center"/>
        <w:rPr>
          <w:rFonts w:hint="eastAsia" w:ascii="宋体" w:hAnsi="宋体" w:cs="宋体"/>
          <w:b/>
          <w:color w:val="auto"/>
          <w:spacing w:val="6"/>
          <w:sz w:val="32"/>
          <w:szCs w:val="32"/>
          <w:highlight w:val="none"/>
        </w:rPr>
      </w:pPr>
    </w:p>
    <w:p w14:paraId="5C771486">
      <w:pPr>
        <w:autoSpaceDE w:val="0"/>
        <w:autoSpaceDN w:val="0"/>
        <w:jc w:val="center"/>
        <w:rPr>
          <w:rFonts w:hint="eastAsia" w:ascii="宋体" w:hAnsi="宋体" w:cs="宋体"/>
          <w:b/>
          <w:color w:val="auto"/>
          <w:spacing w:val="6"/>
          <w:sz w:val="32"/>
          <w:szCs w:val="32"/>
          <w:highlight w:val="none"/>
        </w:rPr>
      </w:pPr>
    </w:p>
    <w:p w14:paraId="04FA6957">
      <w:pPr>
        <w:pStyle w:val="2"/>
        <w:rPr>
          <w:rFonts w:hint="eastAsia" w:ascii="宋体" w:hAnsi="宋体" w:cs="宋体"/>
          <w:b/>
          <w:color w:val="auto"/>
          <w:spacing w:val="6"/>
          <w:sz w:val="32"/>
          <w:szCs w:val="32"/>
          <w:highlight w:val="none"/>
        </w:rPr>
      </w:pPr>
    </w:p>
    <w:p w14:paraId="56EA3E12">
      <w:pPr>
        <w:rPr>
          <w:rFonts w:hint="eastAsia" w:ascii="宋体" w:hAnsi="宋体" w:cs="宋体"/>
          <w:b/>
          <w:color w:val="auto"/>
          <w:spacing w:val="6"/>
          <w:sz w:val="32"/>
          <w:szCs w:val="32"/>
          <w:highlight w:val="none"/>
        </w:rPr>
      </w:pPr>
    </w:p>
    <w:p w14:paraId="6628D29C">
      <w:pPr>
        <w:pStyle w:val="2"/>
        <w:rPr>
          <w:rFonts w:hint="eastAsia" w:ascii="宋体" w:hAnsi="宋体" w:cs="宋体"/>
          <w:b/>
          <w:color w:val="auto"/>
          <w:spacing w:val="6"/>
          <w:sz w:val="32"/>
          <w:szCs w:val="32"/>
          <w:highlight w:val="none"/>
        </w:rPr>
      </w:pPr>
    </w:p>
    <w:p w14:paraId="07F7DEC1">
      <w:pPr>
        <w:rPr>
          <w:rFonts w:hint="eastAsia" w:ascii="宋体" w:hAnsi="宋体" w:cs="宋体"/>
          <w:b/>
          <w:color w:val="auto"/>
          <w:spacing w:val="6"/>
          <w:sz w:val="32"/>
          <w:szCs w:val="32"/>
          <w:highlight w:val="none"/>
        </w:rPr>
      </w:pPr>
    </w:p>
    <w:p w14:paraId="62BD9AAB">
      <w:pPr>
        <w:pStyle w:val="2"/>
        <w:rPr>
          <w:rFonts w:hint="eastAsia" w:ascii="宋体" w:hAnsi="宋体" w:cs="宋体"/>
          <w:b/>
          <w:color w:val="auto"/>
          <w:spacing w:val="6"/>
          <w:sz w:val="32"/>
          <w:szCs w:val="32"/>
          <w:highlight w:val="none"/>
        </w:rPr>
      </w:pPr>
    </w:p>
    <w:p w14:paraId="7ECA30EB">
      <w:pPr>
        <w:rPr>
          <w:rFonts w:hint="eastAsia" w:ascii="宋体" w:hAnsi="宋体" w:cs="宋体"/>
          <w:b/>
          <w:color w:val="auto"/>
          <w:spacing w:val="6"/>
          <w:sz w:val="32"/>
          <w:szCs w:val="32"/>
          <w:highlight w:val="none"/>
        </w:rPr>
      </w:pPr>
    </w:p>
    <w:p w14:paraId="47EBE064">
      <w:pPr>
        <w:pStyle w:val="2"/>
        <w:rPr>
          <w:rFonts w:hint="eastAsia" w:ascii="宋体" w:hAnsi="宋体" w:cs="宋体"/>
          <w:b/>
          <w:color w:val="auto"/>
          <w:spacing w:val="6"/>
          <w:sz w:val="32"/>
          <w:szCs w:val="32"/>
          <w:highlight w:val="none"/>
        </w:rPr>
      </w:pPr>
    </w:p>
    <w:p w14:paraId="5D902BD7">
      <w:pPr>
        <w:rPr>
          <w:rFonts w:hint="eastAsia" w:ascii="宋体" w:hAnsi="宋体" w:cs="宋体"/>
          <w:b/>
          <w:color w:val="auto"/>
          <w:spacing w:val="6"/>
          <w:sz w:val="32"/>
          <w:szCs w:val="32"/>
          <w:highlight w:val="none"/>
        </w:rPr>
      </w:pPr>
    </w:p>
    <w:p w14:paraId="643C3C03">
      <w:pPr>
        <w:pStyle w:val="2"/>
        <w:rPr>
          <w:rFonts w:hint="eastAsia" w:ascii="宋体" w:hAnsi="宋体" w:cs="宋体"/>
          <w:b/>
          <w:color w:val="auto"/>
          <w:spacing w:val="6"/>
          <w:sz w:val="32"/>
          <w:szCs w:val="32"/>
          <w:highlight w:val="none"/>
        </w:rPr>
      </w:pPr>
    </w:p>
    <w:p w14:paraId="0C720F7B">
      <w:pPr>
        <w:rPr>
          <w:rFonts w:hint="eastAsia" w:ascii="宋体" w:hAnsi="宋体" w:cs="宋体"/>
          <w:b/>
          <w:color w:val="auto"/>
          <w:spacing w:val="6"/>
          <w:sz w:val="32"/>
          <w:szCs w:val="32"/>
          <w:highlight w:val="none"/>
        </w:rPr>
      </w:pPr>
    </w:p>
    <w:p w14:paraId="799962BA">
      <w:pPr>
        <w:pStyle w:val="2"/>
        <w:rPr>
          <w:rFonts w:hint="eastAsia" w:ascii="宋体" w:hAnsi="宋体" w:cs="宋体"/>
          <w:b/>
          <w:color w:val="auto"/>
          <w:spacing w:val="6"/>
          <w:sz w:val="32"/>
          <w:szCs w:val="32"/>
          <w:highlight w:val="none"/>
        </w:rPr>
      </w:pPr>
    </w:p>
    <w:p w14:paraId="06BD35C5">
      <w:pPr>
        <w:rPr>
          <w:rFonts w:hint="eastAsia" w:ascii="宋体" w:hAnsi="宋体" w:cs="宋体"/>
          <w:b/>
          <w:color w:val="auto"/>
          <w:spacing w:val="6"/>
          <w:sz w:val="32"/>
          <w:szCs w:val="32"/>
          <w:highlight w:val="none"/>
        </w:rPr>
      </w:pPr>
    </w:p>
    <w:p w14:paraId="2EE87C2E">
      <w:pPr>
        <w:pStyle w:val="2"/>
        <w:rPr>
          <w:rFonts w:hint="eastAsia" w:ascii="宋体" w:hAnsi="宋体" w:cs="宋体"/>
          <w:b/>
          <w:color w:val="auto"/>
          <w:spacing w:val="6"/>
          <w:sz w:val="32"/>
          <w:szCs w:val="32"/>
          <w:highlight w:val="none"/>
        </w:rPr>
      </w:pPr>
    </w:p>
    <w:p w14:paraId="2262170C">
      <w:pPr>
        <w:rPr>
          <w:rFonts w:hint="eastAsia" w:ascii="宋体" w:hAnsi="宋体" w:cs="宋体"/>
          <w:b/>
          <w:color w:val="auto"/>
          <w:spacing w:val="6"/>
          <w:sz w:val="32"/>
          <w:szCs w:val="32"/>
          <w:highlight w:val="none"/>
        </w:rPr>
      </w:pPr>
    </w:p>
    <w:p w14:paraId="09FCCAE9">
      <w:pPr>
        <w:pStyle w:val="2"/>
        <w:rPr>
          <w:rFonts w:hint="eastAsia" w:ascii="宋体" w:hAnsi="宋体" w:cs="宋体"/>
          <w:b/>
          <w:color w:val="auto"/>
          <w:spacing w:val="6"/>
          <w:sz w:val="32"/>
          <w:szCs w:val="32"/>
          <w:highlight w:val="none"/>
        </w:rPr>
      </w:pPr>
    </w:p>
    <w:p w14:paraId="595B1C1D">
      <w:pPr>
        <w:rPr>
          <w:rFonts w:hint="eastAsia" w:ascii="宋体" w:hAnsi="宋体" w:cs="宋体"/>
          <w:b/>
          <w:color w:val="auto"/>
          <w:spacing w:val="6"/>
          <w:sz w:val="32"/>
          <w:szCs w:val="32"/>
          <w:highlight w:val="none"/>
        </w:rPr>
      </w:pPr>
    </w:p>
    <w:p w14:paraId="399D731E">
      <w:pPr>
        <w:pStyle w:val="2"/>
        <w:rPr>
          <w:rFonts w:hint="eastAsia" w:ascii="宋体" w:hAnsi="宋体" w:cs="宋体"/>
          <w:b/>
          <w:color w:val="auto"/>
          <w:spacing w:val="6"/>
          <w:sz w:val="32"/>
          <w:szCs w:val="32"/>
          <w:highlight w:val="none"/>
        </w:rPr>
      </w:pPr>
    </w:p>
    <w:p w14:paraId="558CD4A8">
      <w:pPr>
        <w:rPr>
          <w:rFonts w:hint="eastAsia" w:ascii="宋体" w:hAnsi="宋体" w:cs="宋体"/>
          <w:b/>
          <w:color w:val="auto"/>
          <w:spacing w:val="6"/>
          <w:sz w:val="32"/>
          <w:szCs w:val="32"/>
          <w:highlight w:val="none"/>
        </w:rPr>
      </w:pPr>
    </w:p>
    <w:p w14:paraId="47A75265">
      <w:pPr>
        <w:pStyle w:val="2"/>
        <w:ind w:left="0" w:leftChars="0" w:firstLine="0" w:firstLineChars="0"/>
        <w:rPr>
          <w:rFonts w:hint="eastAsia" w:ascii="宋体" w:hAnsi="宋体" w:cs="宋体"/>
          <w:b/>
          <w:color w:val="auto"/>
          <w:spacing w:val="6"/>
          <w:sz w:val="32"/>
          <w:szCs w:val="32"/>
          <w:highlight w:val="none"/>
        </w:rPr>
      </w:pPr>
    </w:p>
    <w:p w14:paraId="7298E1A0">
      <w:pPr>
        <w:rPr>
          <w:rFonts w:hint="eastAsia" w:ascii="宋体" w:hAnsi="宋体" w:cs="宋体"/>
          <w:b/>
          <w:color w:val="auto"/>
          <w:spacing w:val="6"/>
          <w:sz w:val="32"/>
          <w:szCs w:val="32"/>
          <w:highlight w:val="none"/>
        </w:rPr>
      </w:pPr>
    </w:p>
    <w:p w14:paraId="1331F98C">
      <w:pPr>
        <w:pStyle w:val="2"/>
        <w:rPr>
          <w:rFonts w:hint="eastAsia"/>
        </w:rPr>
      </w:pPr>
    </w:p>
    <w:p w14:paraId="219D9040">
      <w:pPr>
        <w:rPr>
          <w:rFonts w:hint="eastAsia"/>
        </w:rPr>
      </w:pPr>
    </w:p>
    <w:p w14:paraId="76F6A130">
      <w:pPr>
        <w:pStyle w:val="2"/>
        <w:rPr>
          <w:rFonts w:hint="eastAsia"/>
        </w:rPr>
      </w:pPr>
    </w:p>
    <w:p w14:paraId="35FCBE01">
      <w:pPr>
        <w:pStyle w:val="2"/>
        <w:ind w:left="0" w:leftChars="0" w:firstLine="0" w:firstLineChars="0"/>
        <w:rPr>
          <w:rFonts w:hint="eastAsia"/>
        </w:rPr>
      </w:pPr>
    </w:p>
    <w:p w14:paraId="36C9D244">
      <w:pPr>
        <w:rPr>
          <w:rFonts w:hint="eastAsia"/>
        </w:rPr>
      </w:pPr>
    </w:p>
    <w:p w14:paraId="75ADE38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343FF36A">
      <w:pPr>
        <w:spacing w:line="360" w:lineRule="auto"/>
        <w:jc w:val="center"/>
        <w:rPr>
          <w:rFonts w:ascii="宋体" w:hAnsi="宋体" w:cs="宋体"/>
          <w:color w:val="auto"/>
          <w:sz w:val="24"/>
          <w:highlight w:val="none"/>
          <w:u w:val="single"/>
        </w:rPr>
      </w:pPr>
    </w:p>
    <w:p w14:paraId="068231C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3AF38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杭州市保俶塔实验学校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杭州市保俶塔实验学校智慧实验室建设项目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DCC6D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序号1教师演示台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47D8F84">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序号2教师演示电源</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67CD7B5">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序号3★物理学生实验桌</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CCE16AB">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序号4实验凳</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1A8D2B1">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序号5顶部多模块电源供应装置</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16EBD48">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序号6模块储藏装置</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2636A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序号7低压电源模块</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A1BEE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序号9高压电源模块</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E08BC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序号10智能升降系统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2E817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highlight w:val="none"/>
          <w:u w:val="singl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序号14全木仪器柜</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F7ABB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序号15实验用防护用品</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5FF6E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序号16教师演示台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EA211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序号17教师演示电源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3B083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序号18物理学生实验桌</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6C7B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序号19实验凳</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8971D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rPr>
        <w:t>6</w:t>
      </w:r>
      <w:r>
        <w:rPr>
          <w:rFonts w:hint="eastAsia" w:ascii="宋体" w:hAnsi="宋体" w:cs="宋体"/>
          <w:color w:val="auto"/>
          <w:sz w:val="24"/>
          <w:highlight w:val="none"/>
        </w:rPr>
        <w:t>.</w:t>
      </w:r>
      <w:r>
        <w:rPr>
          <w:rFonts w:hint="eastAsia" w:ascii="宋体" w:hAnsi="宋体" w:eastAsia="宋体" w:cs="宋体"/>
          <w:color w:val="000000" w:themeColor="text1"/>
          <w:sz w:val="24"/>
          <w:szCs w:val="24"/>
          <w:highlight w:val="none"/>
          <w:u w:val="single"/>
          <w14:textFill>
            <w14:solidFill>
              <w14:schemeClr w14:val="tx1"/>
            </w14:solidFill>
          </w14:textFill>
        </w:rPr>
        <w:t>序号20顶部多模块电源供应装置</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2165E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序号21模块储藏装置</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2D9E3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序号22低压电源模块</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1521E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序号24高压电源模块</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15FFE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序号25智能升降系统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80B2A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序号29全木仪器柜</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DF101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序号30实验用防护用品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F1BFA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序号36智能实验终端设备</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1D7F8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24</w:t>
      </w:r>
      <w:r>
        <w:rPr>
          <w:rFonts w:hint="eastAsia" w:ascii="宋体" w:hAnsi="宋体" w:cs="宋体"/>
          <w:color w:val="auto"/>
          <w:sz w:val="24"/>
          <w:highlight w:val="none"/>
        </w:rPr>
        <w:t>.</w:t>
      </w:r>
      <w:r>
        <w:rPr>
          <w:rFonts w:hint="eastAsia" w:ascii="宋体" w:hAnsi="宋体" w:cs="宋体"/>
          <w:color w:val="auto"/>
          <w:highlight w:val="none"/>
          <w:u w:val="singl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序号37智能仪器管理车</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DF543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序号38智取终端</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CFF8C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序号39超高频仪器扫描枪</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41D7A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序号40定制化射频标签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C288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序号41柔性抗金属射频标签</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45D24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序号42翻转梯形桌</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88EC0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30</w:t>
      </w:r>
      <w:r>
        <w:rPr>
          <w:rFonts w:hint="eastAsia" w:ascii="宋体" w:hAnsi="宋体" w:cs="宋体"/>
          <w:color w:val="auto"/>
          <w:sz w:val="24"/>
          <w:highlight w:val="none"/>
        </w:rPr>
        <w:t>.</w:t>
      </w:r>
      <w:r>
        <w:rPr>
          <w:rFonts w:hint="eastAsia" w:ascii="宋体" w:hAnsi="宋体" w:cs="宋体"/>
          <w:color w:val="auto"/>
          <w:highlight w:val="none"/>
          <w:u w:val="singl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序号43矮背椅</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2B3EA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序号44中央台（带电）</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DC447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序号45矮背椅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C8DE9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序号46试剂架</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D440D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序号47全木仪器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ACE99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序号49★教师</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461C3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default" w:ascii="宋体" w:hAnsi="宋体" w:cs="宋体"/>
          <w:color w:val="auto"/>
          <w:sz w:val="24"/>
          <w:highlight w:val="none"/>
          <w:lang w:val="en-US"/>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序号50落地式紧急冲淋</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E7093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序号51教室环境警示系统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304F5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序号52生化实验桌</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AC313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序号53多功能防溅水槽柜</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CE191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序号54实验凳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D6728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序号55教师演示电源</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0A2E9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序号56顶装智能控制平台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8B99B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序号57摇臂升降动力系统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947C1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序号58自动控制系统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D4ED4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ascii="宋体" w:hAnsi="宋体" w:cs="宋体"/>
          <w:color w:val="auto"/>
          <w:sz w:val="24"/>
          <w:highlight w:val="none"/>
        </w:rPr>
        <w:t>.</w:t>
      </w:r>
      <w:r>
        <w:rPr>
          <w:rFonts w:hint="eastAsia" w:ascii="宋体" w:hAnsi="宋体" w:cs="宋体"/>
          <w:color w:val="auto"/>
          <w:highlight w:val="none"/>
          <w:u w:val="singl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序号59主体结构系统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15196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序号60多功能伸缩摇臂集成功能模块舱体</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97FE7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序号61智能摇臂升降系统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61BEB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序号62学生电源系统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CE5DF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序号63供应端口</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65F27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序号64故障显示系统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DBB91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序号65废水存储过滤系统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6C158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序号71仪器柜</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8B352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序号72实验室酸碱中和池</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4D629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序号73墙面排风系统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5AD70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序号74实验用防护用品</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E7B5B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default" w:ascii="宋体" w:hAnsi="宋体" w:cs="宋体"/>
          <w:color w:val="auto"/>
          <w:sz w:val="24"/>
          <w:highlight w:val="none"/>
          <w:lang w:val="en-US"/>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序号75教师演示台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3B5B6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序号76落地式紧急冲淋</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58ED7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序号77教室环境警示系统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C0362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序号78生化实验桌</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EAFDD62">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6</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序号79多功能防溅水槽柜</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EA82143">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6</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序号80实验凳</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9E8FF69">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6</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序号81教师演示电源</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07E2843">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6</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序号82顶装智能控制平台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B08296F">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6</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序号83摇臂升降动力系统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A55F88B">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6</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序号84自动控制系统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D630587">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6</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序号85主体结构系统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8E8FC1F">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6</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序号86多功能伸缩摇臂集成功能模块舱体</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50AAC7B">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6</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序号87智能摇臂升降系统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27DDBB2">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lang w:val="en-US"/>
        </w:rPr>
        <w:t>6</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序号88学生电源系统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370EA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序号89供应端口</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67DD8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序号90故障显示系统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6BFF0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序号91废水存储过滤系统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061F7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序号97仪器柜</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39F1A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序号98墙面排风系统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E2905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序号99实验用防护用品</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E8663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default" w:ascii="宋体" w:hAnsi="宋体" w:cs="宋体"/>
          <w:color w:val="auto"/>
          <w:sz w:val="24"/>
          <w:highlight w:val="none"/>
          <w:lang w:val="en-US"/>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序号100教师演示台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2C972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序号101生化实验桌</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9C12F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序号102多功能防溅水槽柜</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3681C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序号103实验凳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4F66E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序号104教师演示电源</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7A98D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序号105顶装智能控制平台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E6881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序号106摇臂升降动力系统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48CC5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序号107自动控制系统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27AA6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序号108主体结构系统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F259E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序号109多功能伸缩摇臂集成功能模块舱体</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8975B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default" w:ascii="宋体" w:hAnsi="宋体" w:cs="宋体"/>
          <w:color w:val="auto"/>
          <w:sz w:val="24"/>
          <w:highlight w:val="none"/>
          <w:lang w:val="en-US"/>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序号110智能摇臂升降系统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D7B9B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序号111学生电源系统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6F032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序号112供应端口</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67337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序号113故障显示系统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FB80A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序号114废水存储过滤系统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8FE7F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序号120仪器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E8831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序号121实验用防护用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1604B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序号122仪器柜</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85427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序号123定制边台（带水电）</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42D9B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序号124通风柜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6C67C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96</w:t>
      </w:r>
      <w:r>
        <w:rPr>
          <w:rFonts w:hint="eastAsia" w:ascii="宋体" w:hAnsi="宋体" w:cs="宋体"/>
          <w:color w:val="auto"/>
          <w:sz w:val="24"/>
          <w:highlight w:val="none"/>
        </w:rPr>
        <w:t>.</w:t>
      </w:r>
      <w:r>
        <w:rPr>
          <w:rFonts w:hint="eastAsia" w:ascii="宋体" w:hAnsi="宋体" w:cs="宋体"/>
          <w:color w:val="auto"/>
          <w:highlight w:val="none"/>
          <w:u w:val="singl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序号126实验室小推车</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E7B22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序号124通风柜</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338B8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98</w:t>
      </w:r>
      <w:r>
        <w:rPr>
          <w:rFonts w:hint="eastAsia" w:ascii="宋体" w:hAnsi="宋体" w:cs="宋体"/>
          <w:color w:val="auto"/>
          <w:sz w:val="24"/>
          <w:highlight w:val="none"/>
        </w:rPr>
        <w:t>.</w:t>
      </w:r>
      <w:r>
        <w:rPr>
          <w:rFonts w:hint="eastAsia" w:ascii="宋体" w:hAnsi="宋体" w:eastAsia="宋体" w:cs="宋体"/>
          <w:color w:val="000000" w:themeColor="text1"/>
          <w:sz w:val="24"/>
          <w:szCs w:val="24"/>
          <w:highlight w:val="none"/>
          <w:u w:val="single"/>
          <w14:textFill>
            <w14:solidFill>
              <w14:schemeClr w14:val="tx1"/>
            </w14:solidFill>
          </w14:textFill>
        </w:rPr>
        <w:t>序号126实验室小推车</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070C8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序号127通风药品柜</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A792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序号128危化品柜</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83B1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序号129边台（带电）</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743FD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序号130实验室小推车</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92522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序号132危化品仓库围挡</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635F0F2">
      <w:pPr>
        <w:spacing w:line="360" w:lineRule="auto"/>
        <w:ind w:firstLine="480" w:firstLineChars="200"/>
        <w:rPr>
          <w:rFonts w:hint="eastAsia" w:ascii="宋体" w:hAnsi="宋体" w:cs="宋体"/>
          <w:color w:val="auto"/>
          <w:sz w:val="24"/>
          <w:highlight w:val="none"/>
        </w:rPr>
      </w:pPr>
    </w:p>
    <w:p w14:paraId="04420A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55794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7EB7F6B">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126C7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DC61B1E">
      <w:pPr>
        <w:spacing w:line="360" w:lineRule="auto"/>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从业人员、营业收入、资产总额填报上一年度数据，无上一年度数据的新成立企业可不填报。</w:t>
      </w:r>
    </w:p>
    <w:p w14:paraId="607B5EC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501AD52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w:t>
      </w:r>
      <w:r>
        <w:rPr>
          <w:rFonts w:hint="eastAsia" w:ascii="宋体" w:hAnsi="宋体" w:cs="宋体"/>
          <w:b/>
          <w:bCs/>
          <w:color w:val="auto"/>
          <w:sz w:val="24"/>
          <w:highlight w:val="none"/>
        </w:rPr>
        <w:t>逐一填写，不得缺漏</w:t>
      </w:r>
      <w:r>
        <w:rPr>
          <w:rFonts w:hint="eastAsia" w:ascii="宋体" w:hAnsi="宋体" w:cs="宋体"/>
          <w:color w:val="auto"/>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C883F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24CE93">
      <w:pPr>
        <w:spacing w:line="360" w:lineRule="auto"/>
        <w:rPr>
          <w:rFonts w:ascii="宋体" w:hAnsi="宋体" w:cs="宋体"/>
          <w:bCs/>
          <w:color w:val="auto"/>
          <w:sz w:val="24"/>
          <w:highlight w:val="none"/>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方正仿宋简体">
    <w:altName w:val="微软雅黑"/>
    <w:panose1 w:val="02000000000000000000"/>
    <w:charset w:val="00"/>
    <w:family w:val="auto"/>
    <w:pitch w:val="default"/>
    <w:sig w:usb0="00000000" w:usb1="00000000" w:usb2="00000012"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AC97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F67E">
    <w:pPr>
      <w:pStyle w:val="39"/>
      <w:framePr w:wrap="around" w:vAnchor="text" w:hAnchor="margin" w:xAlign="right" w:y="1"/>
      <w:rPr>
        <w:rStyle w:val="72"/>
      </w:rPr>
    </w:pPr>
    <w:r>
      <w:fldChar w:fldCharType="begin"/>
    </w:r>
    <w:r>
      <w:rPr>
        <w:rStyle w:val="72"/>
      </w:rPr>
      <w:instrText xml:space="preserve">PAGE  </w:instrText>
    </w:r>
    <w:r>
      <w:fldChar w:fldCharType="end"/>
    </w:r>
  </w:p>
  <w:p w14:paraId="52FD69B0">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E857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44" w:name="_Toc131845147"/>
    <w:bookmarkStart w:id="545" w:name="_Toc91899912"/>
    <w:bookmarkStart w:id="546" w:name="_Toc36110187"/>
    <w:bookmarkStart w:id="547" w:name="_Toc164085800"/>
    <w:r>
      <w:rPr>
        <w:rFonts w:hint="eastAsia" w:ascii="仿宋_GB2312" w:eastAsia="仿宋_GB2312"/>
        <w:kern w:val="0"/>
        <w:szCs w:val="21"/>
      </w:rPr>
      <w:t xml:space="preserve"> 页</w:t>
    </w:r>
    <w:bookmarkEnd w:id="544"/>
    <w:bookmarkEnd w:id="545"/>
    <w:bookmarkEnd w:id="546"/>
    <w:bookmarkEnd w:id="5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16D0B">
    <w:pPr>
      <w:pStyle w:val="39"/>
      <w:framePr w:wrap="around" w:vAnchor="text" w:hAnchor="margin" w:xAlign="right" w:y="1"/>
      <w:rPr>
        <w:rStyle w:val="72"/>
      </w:rPr>
    </w:pPr>
    <w:r>
      <w:fldChar w:fldCharType="begin"/>
    </w:r>
    <w:r>
      <w:rPr>
        <w:rStyle w:val="72"/>
      </w:rPr>
      <w:instrText xml:space="preserve">PAGE  </w:instrText>
    </w:r>
    <w:r>
      <w:fldChar w:fldCharType="end"/>
    </w:r>
  </w:p>
  <w:p w14:paraId="4A198BD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18ED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4707C">
    <w:pPr>
      <w:pStyle w:val="39"/>
      <w:jc w:val="center"/>
      <w:rPr>
        <w:rFonts w:ascii="宋体" w:hAnsi="宋体" w:eastAsia="方正仿宋简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128EA8">
                          <w:pPr>
                            <w:pStyle w:val="39"/>
                          </w:pPr>
                          <w:r>
                            <w:t xml:space="preserve">第 </w:t>
                          </w:r>
                          <w:r>
                            <w:fldChar w:fldCharType="begin"/>
                          </w:r>
                          <w:r>
                            <w:instrText xml:space="preserve"> PAGE  \* MERGEFORMAT </w:instrText>
                          </w:r>
                          <w:r>
                            <w:fldChar w:fldCharType="separate"/>
                          </w:r>
                          <w:r>
                            <w:rPr>
                              <w:rFonts w:hint="default"/>
                            </w:rPr>
                            <w:t>64</w:t>
                          </w:r>
                          <w:r>
                            <w:fldChar w:fldCharType="end"/>
                          </w:r>
                          <w:r>
                            <w:t xml:space="preserve"> 页 共 </w:t>
                          </w:r>
                          <w:r>
                            <w:fldChar w:fldCharType="begin"/>
                          </w:r>
                          <w:r>
                            <w:instrText xml:space="preserve"> NUMPAGES  \* MERGEFORMAT </w:instrText>
                          </w:r>
                          <w:r>
                            <w:fldChar w:fldCharType="separate"/>
                          </w:r>
                          <w:r>
                            <w:rPr>
                              <w:rFonts w:hint="default"/>
                            </w:rPr>
                            <w:t>130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37128EA8">
                    <w:pPr>
                      <w:pStyle w:val="39"/>
                    </w:pPr>
                    <w:r>
                      <w:t xml:space="preserve">第 </w:t>
                    </w:r>
                    <w:r>
                      <w:fldChar w:fldCharType="begin"/>
                    </w:r>
                    <w:r>
                      <w:instrText xml:space="preserve"> PAGE  \* MERGEFORMAT </w:instrText>
                    </w:r>
                    <w:r>
                      <w:fldChar w:fldCharType="separate"/>
                    </w:r>
                    <w:r>
                      <w:rPr>
                        <w:rFonts w:hint="default"/>
                      </w:rPr>
                      <w:t>64</w:t>
                    </w:r>
                    <w:r>
                      <w:fldChar w:fldCharType="end"/>
                    </w:r>
                    <w:r>
                      <w:t xml:space="preserve"> 页 共 </w:t>
                    </w:r>
                    <w:r>
                      <w:fldChar w:fldCharType="begin"/>
                    </w:r>
                    <w:r>
                      <w:instrText xml:space="preserve"> NUMPAGES  \* MERGEFORMAT </w:instrText>
                    </w:r>
                    <w:r>
                      <w:fldChar w:fldCharType="separate"/>
                    </w:r>
                    <w:r>
                      <w:rPr>
                        <w:rFonts w:hint="default"/>
                      </w:rPr>
                      <w:t>130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3844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2CA02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9F2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D9CCC0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A5A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37B017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CBA2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05588B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EED0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58544">
    <w:pPr>
      <w:pStyle w:val="40"/>
      <w:pBdr>
        <w:bottom w:val="single" w:color="auto" w:sz="4" w:space="4"/>
      </w:pBdr>
      <w:jc w:val="right"/>
      <w:rPr>
        <w:rFonts w:ascii="仿宋_GB2312" w:eastAsia="仿宋_GB2312"/>
        <w:b w:val="0"/>
        <w:i/>
        <w:sz w:val="18"/>
        <w:u w:val="single"/>
        <w:lang w:val="en-US"/>
      </w:rPr>
    </w:pPr>
    <w:r>
      <w:t></w:t>
    </w:r>
    <w:r>
      <w:rPr>
        <w:rFonts w:hint="eastAsia"/>
      </w:rPr>
      <w:t xml:space="preserve">             </w:t>
    </w:r>
    <w:r>
      <w:rPr>
        <w:rFonts w:hint="eastAsia" w:ascii="宋体" w:hAnsi="宋体" w:eastAsia="宋体" w:cs="宋体"/>
        <w:sz w:val="21"/>
        <w:szCs w:val="21"/>
        <w:lang w:val="en-US" w:eastAsia="zh-CN"/>
      </w:rPr>
      <w:t>西湖区</w:t>
    </w:r>
    <w:r>
      <w:rPr>
        <w:rFonts w:hint="eastAsia" w:ascii="宋体" w:hAnsi="宋体" w:eastAsia="宋体" w:cs="宋体"/>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AC9B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8A853">
    <w:pPr>
      <w:pStyle w:val="40"/>
      <w:jc w:val="right"/>
      <w:rPr>
        <w:rFonts w:hint="eastAsia" w:ascii="仿宋_GB2312" w:eastAsia="宋体"/>
        <w:b/>
        <w:i/>
        <w:u w:val="single"/>
        <w:lang w:eastAsia="zh-CN"/>
      </w:rPr>
    </w:pPr>
    <w:r>
      <w:t></w:t>
    </w:r>
    <w:r>
      <w:rPr>
        <w:rFonts w:hint="eastAsia"/>
      </w:rPr>
      <w:t xml:space="preserve">                                               </w:t>
    </w:r>
    <w:r>
      <w:rPr>
        <w:rFonts w:hint="eastAsia"/>
        <w:lang w:eastAsia="zh-CN"/>
      </w:rPr>
      <w:t>西湖区政府采购公开招标文件</w:t>
    </w:r>
  </w:p>
  <w:p w14:paraId="76EA3E7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E1C36">
    <w:pPr>
      <w:pStyle w:val="40"/>
      <w:jc w:val="both"/>
    </w:pPr>
    <w:r>
      <w:rPr>
        <w:rFonts w:hint="eastAsia"/>
      </w:rPr>
      <w:t xml:space="preserve">       </w:t>
    </w:r>
  </w:p>
  <w:p w14:paraId="7EF33F16">
    <w:pPr>
      <w:pStyle w:val="40"/>
      <w:rPr>
        <w:rFonts w:hint="eastAsia" w:eastAsia="宋体"/>
        <w:lang w:eastAsia="zh-CN"/>
      </w:rPr>
    </w:pPr>
    <w:r>
      <w:rPr>
        <w:rFonts w:hint="eastAsia"/>
      </w:rPr>
      <w:t xml:space="preserve">                                                                  </w:t>
    </w:r>
    <w:r>
      <w:rPr>
        <w:rFonts w:hint="eastAsia"/>
        <w:lang w:eastAsia="zh-CN"/>
      </w:rPr>
      <w:t>西湖区政府采购公开招标文件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558B7">
    <w:pPr>
      <w:pStyle w:val="40"/>
      <w:jc w:val="right"/>
      <w:rPr>
        <w:rFonts w:hint="eastAsia" w:ascii="仿宋_GB2312" w:eastAsia="宋体"/>
        <w:b/>
        <w:i/>
        <w:u w:val="single"/>
        <w:lang w:eastAsia="zh-CN"/>
      </w:rPr>
    </w:pPr>
    <w:r>
      <w:rPr>
        <w:rFonts w:hint="eastAsia"/>
      </w:rPr>
      <w:t xml:space="preserve">                                  </w:t>
    </w:r>
    <w:r>
      <w:rPr>
        <w:rFonts w:hint="eastAsia"/>
        <w:lang w:eastAsia="zh-CN"/>
      </w:rPr>
      <w:t>西湖区政府采购公开招标文件</w:t>
    </w:r>
  </w:p>
  <w:p w14:paraId="47809E8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F9B3">
    <w:pPr>
      <w:pStyle w:val="40"/>
      <w:jc w:val="right"/>
      <w:rPr>
        <w:rFonts w:hint="eastAsia" w:eastAsia="宋体"/>
        <w:lang w:eastAsia="zh-CN"/>
      </w:rPr>
    </w:pPr>
    <w:r>
      <w:rPr>
        <w:rFonts w:hint="eastAsia"/>
      </w:rPr>
      <w:t xml:space="preserve">                                                                                                        </w:t>
    </w:r>
    <w:r>
      <w:rPr>
        <w:rFonts w:hint="eastAsia"/>
        <w:lang w:eastAsia="zh-CN"/>
      </w:rPr>
      <w:t>西湖区政府采购公开招标文件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4B56A">
    <w:pPr>
      <w:pStyle w:val="40"/>
      <w:jc w:val="right"/>
      <w:rPr>
        <w:rFonts w:hint="eastAsia" w:ascii="仿宋_GB2312" w:eastAsia="宋体"/>
        <w:b/>
        <w:i/>
        <w:iCs/>
        <w:u w:val="single"/>
        <w:lang w:eastAsia="zh-CN"/>
      </w:rPr>
    </w:pPr>
    <w:r>
      <w:t></w:t>
    </w:r>
    <w:r>
      <w:rPr>
        <w:rFonts w:hint="eastAsia"/>
        <w:lang w:eastAsia="zh-CN"/>
      </w:rPr>
      <w:t>西湖区政府采购公开招标文件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53B92">
    <w:pPr>
      <w:pStyle w:val="40"/>
      <w:rPr>
        <w:rFonts w:hint="eastAsia" w:eastAsia="宋体"/>
        <w:lang w:eastAsia="zh-CN"/>
      </w:rPr>
    </w:pPr>
    <w:r>
      <w:t></w:t>
    </w:r>
    <w:r>
      <w:rPr>
        <w:rFonts w:hint="eastAsia"/>
      </w:rPr>
      <w:t xml:space="preserve">                                             </w:t>
    </w:r>
    <w:r>
      <w:rPr>
        <w:rFonts w:hint="eastAsia"/>
        <w:lang w:eastAsia="zh-CN"/>
      </w:rPr>
      <w:t>西湖区政府采购公开招标文件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77CA2"/>
    <w:multiLevelType w:val="singleLevel"/>
    <w:tmpl w:val="90577CA2"/>
    <w:lvl w:ilvl="0" w:tentative="0">
      <w:start w:val="1"/>
      <w:numFmt w:val="decimal"/>
      <w:suff w:val="nothing"/>
      <w:lvlText w:val="%1、"/>
      <w:lvlJc w:val="left"/>
    </w:lvl>
  </w:abstractNum>
  <w:abstractNum w:abstractNumId="1">
    <w:nsid w:val="A6175DB6"/>
    <w:multiLevelType w:val="singleLevel"/>
    <w:tmpl w:val="A6175DB6"/>
    <w:lvl w:ilvl="0" w:tentative="0">
      <w:start w:val="1"/>
      <w:numFmt w:val="decimal"/>
      <w:lvlText w:val="%1."/>
      <w:lvlJc w:val="left"/>
      <w:pPr>
        <w:ind w:left="425" w:hanging="425"/>
      </w:pPr>
      <w:rPr>
        <w:rFonts w:hint="default"/>
      </w:rPr>
    </w:lvl>
  </w:abstractNum>
  <w:abstractNum w:abstractNumId="2">
    <w:nsid w:val="BD111C18"/>
    <w:multiLevelType w:val="singleLevel"/>
    <w:tmpl w:val="BD111C18"/>
    <w:lvl w:ilvl="0" w:tentative="0">
      <w:start w:val="1"/>
      <w:numFmt w:val="decimal"/>
      <w:suff w:val="nothing"/>
      <w:lvlText w:val="%1、"/>
      <w:lvlJc w:val="left"/>
    </w:lvl>
  </w:abstractNum>
  <w:abstractNum w:abstractNumId="3">
    <w:nsid w:val="CD71965E"/>
    <w:multiLevelType w:val="singleLevel"/>
    <w:tmpl w:val="CD71965E"/>
    <w:lvl w:ilvl="0" w:tentative="0">
      <w:start w:val="1"/>
      <w:numFmt w:val="chineseCounting"/>
      <w:suff w:val="nothing"/>
      <w:lvlText w:val="（%1）"/>
      <w:lvlJc w:val="left"/>
      <w:rPr>
        <w:rFonts w:hint="eastAsia"/>
      </w:rPr>
    </w:lvl>
  </w:abstractNum>
  <w:abstractNum w:abstractNumId="4">
    <w:nsid w:val="DDC2964E"/>
    <w:multiLevelType w:val="singleLevel"/>
    <w:tmpl w:val="DDC2964E"/>
    <w:lvl w:ilvl="0" w:tentative="0">
      <w:start w:val="2"/>
      <w:numFmt w:val="decimal"/>
      <w:lvlText w:val="%1."/>
      <w:lvlJc w:val="left"/>
      <w:pPr>
        <w:tabs>
          <w:tab w:val="left" w:pos="312"/>
        </w:tabs>
      </w:pPr>
    </w:lvl>
  </w:abstractNum>
  <w:abstractNum w:abstractNumId="5">
    <w:nsid w:val="E7BB9D71"/>
    <w:multiLevelType w:val="singleLevel"/>
    <w:tmpl w:val="E7BB9D71"/>
    <w:lvl w:ilvl="0" w:tentative="0">
      <w:start w:val="1"/>
      <w:numFmt w:val="decimal"/>
      <w:suff w:val="nothing"/>
      <w:lvlText w:val="（%1）"/>
      <w:lvlJc w:val="left"/>
    </w:lvl>
  </w:abstractNum>
  <w:abstractNum w:abstractNumId="6">
    <w:nsid w:val="F42C3866"/>
    <w:multiLevelType w:val="singleLevel"/>
    <w:tmpl w:val="F42C3866"/>
    <w:lvl w:ilvl="0" w:tentative="0">
      <w:start w:val="3"/>
      <w:numFmt w:val="chineseCounting"/>
      <w:suff w:val="space"/>
      <w:lvlText w:val="第%1部分"/>
      <w:lvlJc w:val="left"/>
      <w:rPr>
        <w:rFonts w:hint="eastAsia"/>
      </w:rPr>
    </w:lvl>
  </w:abstractNum>
  <w:abstractNum w:abstractNumId="7">
    <w:nsid w:val="00000004"/>
    <w:multiLevelType w:val="singleLevel"/>
    <w:tmpl w:val="00000004"/>
    <w:lvl w:ilvl="0" w:tentative="0">
      <w:start w:val="1"/>
      <w:numFmt w:val="decimal"/>
      <w:suff w:val="nothing"/>
      <w:lvlText w:val="%1）"/>
      <w:lvlJc w:val="left"/>
    </w:lvl>
  </w:abstractNum>
  <w:abstractNum w:abstractNumId="8">
    <w:nsid w:val="0FB687AB"/>
    <w:multiLevelType w:val="singleLevel"/>
    <w:tmpl w:val="0FB687AB"/>
    <w:lvl w:ilvl="0" w:tentative="0">
      <w:start w:val="1"/>
      <w:numFmt w:val="decimal"/>
      <w:suff w:val="nothing"/>
      <w:lvlText w:val="%1、"/>
      <w:lvlJc w:val="left"/>
    </w:lvl>
  </w:abstractNum>
  <w:abstractNum w:abstractNumId="9">
    <w:nsid w:val="218E8B89"/>
    <w:multiLevelType w:val="singleLevel"/>
    <w:tmpl w:val="218E8B89"/>
    <w:lvl w:ilvl="0" w:tentative="0">
      <w:start w:val="1"/>
      <w:numFmt w:val="decimal"/>
      <w:suff w:val="nothing"/>
      <w:lvlText w:val="%1、"/>
      <w:lvlJc w:val="left"/>
    </w:lvl>
  </w:abstractNum>
  <w:abstractNum w:abstractNumId="10">
    <w:nsid w:val="33321CA3"/>
    <w:multiLevelType w:val="singleLevel"/>
    <w:tmpl w:val="33321CA3"/>
    <w:lvl w:ilvl="0" w:tentative="0">
      <w:start w:val="1"/>
      <w:numFmt w:val="decimal"/>
      <w:suff w:val="nothing"/>
      <w:lvlText w:val="%1、"/>
      <w:lvlJc w:val="left"/>
    </w:lvl>
  </w:abstractNum>
  <w:abstractNum w:abstractNumId="11">
    <w:nsid w:val="40AE30C0"/>
    <w:multiLevelType w:val="singleLevel"/>
    <w:tmpl w:val="40AE30C0"/>
    <w:lvl w:ilvl="0" w:tentative="0">
      <w:start w:val="1"/>
      <w:numFmt w:val="decimal"/>
      <w:suff w:val="nothing"/>
      <w:lvlText w:val="（%1）"/>
      <w:lvlJc w:val="left"/>
    </w:lvl>
  </w:abstractNum>
  <w:abstractNum w:abstractNumId="12">
    <w:nsid w:val="41D6C0DA"/>
    <w:multiLevelType w:val="singleLevel"/>
    <w:tmpl w:val="41D6C0DA"/>
    <w:lvl w:ilvl="0" w:tentative="0">
      <w:start w:val="3"/>
      <w:numFmt w:val="chineseCounting"/>
      <w:suff w:val="space"/>
      <w:lvlText w:val="第%1部分"/>
      <w:lvlJc w:val="left"/>
      <w:rPr>
        <w:rFonts w:hint="eastAsia"/>
      </w:rPr>
    </w:lvl>
  </w:abstractNum>
  <w:abstractNum w:abstractNumId="13">
    <w:nsid w:val="7655A73E"/>
    <w:multiLevelType w:val="singleLevel"/>
    <w:tmpl w:val="7655A73E"/>
    <w:lvl w:ilvl="0" w:tentative="0">
      <w:start w:val="1"/>
      <w:numFmt w:val="decimal"/>
      <w:suff w:val="nothing"/>
      <w:lvlText w:val="（%1）"/>
      <w:lvlJc w:val="left"/>
    </w:lvl>
  </w:abstractNum>
  <w:abstractNum w:abstractNumId="14">
    <w:nsid w:val="7E40C05B"/>
    <w:multiLevelType w:val="singleLevel"/>
    <w:tmpl w:val="7E40C05B"/>
    <w:lvl w:ilvl="0" w:tentative="0">
      <w:start w:val="1"/>
      <w:numFmt w:val="decimal"/>
      <w:lvlText w:val="%1."/>
      <w:lvlJc w:val="left"/>
      <w:pPr>
        <w:tabs>
          <w:tab w:val="left" w:pos="312"/>
        </w:tabs>
      </w:pPr>
    </w:lvl>
  </w:abstractNum>
  <w:num w:numId="1">
    <w:abstractNumId w:val="8"/>
  </w:num>
  <w:num w:numId="2">
    <w:abstractNumId w:val="6"/>
  </w:num>
  <w:num w:numId="3">
    <w:abstractNumId w:val="12"/>
  </w:num>
  <w:num w:numId="4">
    <w:abstractNumId w:val="9"/>
  </w:num>
  <w:num w:numId="5">
    <w:abstractNumId w:val="14"/>
  </w:num>
  <w:num w:numId="6">
    <w:abstractNumId w:val="4"/>
  </w:num>
  <w:num w:numId="7">
    <w:abstractNumId w:val="3"/>
  </w:num>
  <w:num w:numId="8">
    <w:abstractNumId w:val="10"/>
  </w:num>
  <w:num w:numId="9">
    <w:abstractNumId w:val="2"/>
  </w:num>
  <w:num w:numId="10">
    <w:abstractNumId w:val="0"/>
  </w:num>
  <w:num w:numId="11">
    <w:abstractNumId w:val="1"/>
  </w:num>
  <w:num w:numId="12">
    <w:abstractNumId w:val="7"/>
  </w:num>
  <w:num w:numId="13">
    <w:abstractNumId w:val="5"/>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OTNlYmFjNWEwY2VhYzNhNGMzYmMyYWI1YTRkO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414"/>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9CA"/>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639"/>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6B9"/>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B48B5"/>
    <w:rsid w:val="019F7441"/>
    <w:rsid w:val="01B37585"/>
    <w:rsid w:val="01BF774F"/>
    <w:rsid w:val="01D55165"/>
    <w:rsid w:val="01DF6BF8"/>
    <w:rsid w:val="01EC2C57"/>
    <w:rsid w:val="020C26B0"/>
    <w:rsid w:val="020D7CF1"/>
    <w:rsid w:val="025F0711"/>
    <w:rsid w:val="026B2E25"/>
    <w:rsid w:val="02824D4D"/>
    <w:rsid w:val="02D86D25"/>
    <w:rsid w:val="02DC4B10"/>
    <w:rsid w:val="02DD76CE"/>
    <w:rsid w:val="02F36323"/>
    <w:rsid w:val="02F5619C"/>
    <w:rsid w:val="0326446A"/>
    <w:rsid w:val="032D5555"/>
    <w:rsid w:val="036634D2"/>
    <w:rsid w:val="03DD35E4"/>
    <w:rsid w:val="04076900"/>
    <w:rsid w:val="041A5A3B"/>
    <w:rsid w:val="042311BA"/>
    <w:rsid w:val="0426603B"/>
    <w:rsid w:val="042B157A"/>
    <w:rsid w:val="048F763B"/>
    <w:rsid w:val="049F330E"/>
    <w:rsid w:val="04AA775C"/>
    <w:rsid w:val="04AF1889"/>
    <w:rsid w:val="04AF1A7E"/>
    <w:rsid w:val="04F66F48"/>
    <w:rsid w:val="05251E14"/>
    <w:rsid w:val="05A16594"/>
    <w:rsid w:val="05A7762D"/>
    <w:rsid w:val="060E5941"/>
    <w:rsid w:val="06110FAF"/>
    <w:rsid w:val="06493CA7"/>
    <w:rsid w:val="065A6178"/>
    <w:rsid w:val="066F1CF3"/>
    <w:rsid w:val="06930BB8"/>
    <w:rsid w:val="07245D42"/>
    <w:rsid w:val="07264C62"/>
    <w:rsid w:val="0779354C"/>
    <w:rsid w:val="07C17B95"/>
    <w:rsid w:val="08061376"/>
    <w:rsid w:val="08452D77"/>
    <w:rsid w:val="086401F8"/>
    <w:rsid w:val="08751CAA"/>
    <w:rsid w:val="087E4C40"/>
    <w:rsid w:val="08A871D0"/>
    <w:rsid w:val="08B85747"/>
    <w:rsid w:val="08BB18F5"/>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0676"/>
    <w:rsid w:val="0A9E015E"/>
    <w:rsid w:val="0AA374A5"/>
    <w:rsid w:val="0AAB7649"/>
    <w:rsid w:val="0ABC5606"/>
    <w:rsid w:val="0AED608E"/>
    <w:rsid w:val="0B1D4CBD"/>
    <w:rsid w:val="0B30404E"/>
    <w:rsid w:val="0B4C6C14"/>
    <w:rsid w:val="0B547599"/>
    <w:rsid w:val="0B631A88"/>
    <w:rsid w:val="0B683D45"/>
    <w:rsid w:val="0B7F3F11"/>
    <w:rsid w:val="0B884417"/>
    <w:rsid w:val="0BF6188C"/>
    <w:rsid w:val="0BF7188B"/>
    <w:rsid w:val="0BF73C91"/>
    <w:rsid w:val="0C170175"/>
    <w:rsid w:val="0C571A41"/>
    <w:rsid w:val="0C5C1171"/>
    <w:rsid w:val="0C5E1CBC"/>
    <w:rsid w:val="0C615B50"/>
    <w:rsid w:val="0C8445DA"/>
    <w:rsid w:val="0C87121B"/>
    <w:rsid w:val="0CAA22B7"/>
    <w:rsid w:val="0CC007F7"/>
    <w:rsid w:val="0CC617AC"/>
    <w:rsid w:val="0CE618DF"/>
    <w:rsid w:val="0CFE707A"/>
    <w:rsid w:val="0D063BDA"/>
    <w:rsid w:val="0D08375F"/>
    <w:rsid w:val="0D184CFB"/>
    <w:rsid w:val="0D2568F7"/>
    <w:rsid w:val="0D4A7419"/>
    <w:rsid w:val="0D827401"/>
    <w:rsid w:val="0D84094E"/>
    <w:rsid w:val="0D8A00E9"/>
    <w:rsid w:val="0D8D589E"/>
    <w:rsid w:val="0DA01C73"/>
    <w:rsid w:val="0DD63300"/>
    <w:rsid w:val="0DF50604"/>
    <w:rsid w:val="0DF702FE"/>
    <w:rsid w:val="0E060E51"/>
    <w:rsid w:val="0E143FCA"/>
    <w:rsid w:val="0E5604B2"/>
    <w:rsid w:val="0E6A0AA4"/>
    <w:rsid w:val="0E6D5D79"/>
    <w:rsid w:val="0E9D0089"/>
    <w:rsid w:val="0EB803EE"/>
    <w:rsid w:val="0EDD59EC"/>
    <w:rsid w:val="0EF94D4B"/>
    <w:rsid w:val="0F4958DC"/>
    <w:rsid w:val="0F515DF7"/>
    <w:rsid w:val="0F596BA8"/>
    <w:rsid w:val="0F6248D2"/>
    <w:rsid w:val="0F693536"/>
    <w:rsid w:val="0F7B0511"/>
    <w:rsid w:val="0F7B76D9"/>
    <w:rsid w:val="0F816ACD"/>
    <w:rsid w:val="0F841BAC"/>
    <w:rsid w:val="0F9832DB"/>
    <w:rsid w:val="0F9B693F"/>
    <w:rsid w:val="0FB7537C"/>
    <w:rsid w:val="0FBF3FD2"/>
    <w:rsid w:val="0FBF7FF3"/>
    <w:rsid w:val="101C21C7"/>
    <w:rsid w:val="10646583"/>
    <w:rsid w:val="107D4B15"/>
    <w:rsid w:val="108A3C80"/>
    <w:rsid w:val="10C26171"/>
    <w:rsid w:val="10F33360"/>
    <w:rsid w:val="10FC16EA"/>
    <w:rsid w:val="110F1D40"/>
    <w:rsid w:val="11266F33"/>
    <w:rsid w:val="11345598"/>
    <w:rsid w:val="118963A1"/>
    <w:rsid w:val="11C6522A"/>
    <w:rsid w:val="11E104CC"/>
    <w:rsid w:val="11E20309"/>
    <w:rsid w:val="12255233"/>
    <w:rsid w:val="122856C3"/>
    <w:rsid w:val="12530213"/>
    <w:rsid w:val="127723A9"/>
    <w:rsid w:val="12862074"/>
    <w:rsid w:val="12883966"/>
    <w:rsid w:val="129E45B4"/>
    <w:rsid w:val="12D81596"/>
    <w:rsid w:val="13072A44"/>
    <w:rsid w:val="135F4BE2"/>
    <w:rsid w:val="138370D3"/>
    <w:rsid w:val="139B1A0A"/>
    <w:rsid w:val="139D25C7"/>
    <w:rsid w:val="13A618EF"/>
    <w:rsid w:val="13B55FE6"/>
    <w:rsid w:val="13BF3CE4"/>
    <w:rsid w:val="13CD08FA"/>
    <w:rsid w:val="141008D8"/>
    <w:rsid w:val="14125FE6"/>
    <w:rsid w:val="146D271E"/>
    <w:rsid w:val="14982588"/>
    <w:rsid w:val="149A5AD9"/>
    <w:rsid w:val="14A7619D"/>
    <w:rsid w:val="14C1523D"/>
    <w:rsid w:val="150536C3"/>
    <w:rsid w:val="150C1963"/>
    <w:rsid w:val="151447A0"/>
    <w:rsid w:val="154A6454"/>
    <w:rsid w:val="15762120"/>
    <w:rsid w:val="16380DF1"/>
    <w:rsid w:val="16A8729C"/>
    <w:rsid w:val="16B33777"/>
    <w:rsid w:val="16BC70A7"/>
    <w:rsid w:val="16C6339E"/>
    <w:rsid w:val="16D51151"/>
    <w:rsid w:val="172F2D79"/>
    <w:rsid w:val="17557BEF"/>
    <w:rsid w:val="176B2636"/>
    <w:rsid w:val="17CA0378"/>
    <w:rsid w:val="17D349C1"/>
    <w:rsid w:val="1830729E"/>
    <w:rsid w:val="1870062C"/>
    <w:rsid w:val="18817102"/>
    <w:rsid w:val="18830A15"/>
    <w:rsid w:val="18852B28"/>
    <w:rsid w:val="188B5321"/>
    <w:rsid w:val="18E246D1"/>
    <w:rsid w:val="190330EF"/>
    <w:rsid w:val="19932372"/>
    <w:rsid w:val="19A20DD5"/>
    <w:rsid w:val="19A40DA3"/>
    <w:rsid w:val="19AE03F1"/>
    <w:rsid w:val="1A071A03"/>
    <w:rsid w:val="1A1F16AE"/>
    <w:rsid w:val="1A3B5C77"/>
    <w:rsid w:val="1A984BAD"/>
    <w:rsid w:val="1A991646"/>
    <w:rsid w:val="1AB8220E"/>
    <w:rsid w:val="1AE4166C"/>
    <w:rsid w:val="1AF06CFB"/>
    <w:rsid w:val="1AF11B8D"/>
    <w:rsid w:val="1B11359C"/>
    <w:rsid w:val="1B2A271F"/>
    <w:rsid w:val="1B530544"/>
    <w:rsid w:val="1B713184"/>
    <w:rsid w:val="1BA209CF"/>
    <w:rsid w:val="1BB4777D"/>
    <w:rsid w:val="1BD75AB8"/>
    <w:rsid w:val="1C0459C2"/>
    <w:rsid w:val="1C1B3B4A"/>
    <w:rsid w:val="1C2E18DB"/>
    <w:rsid w:val="1C69609F"/>
    <w:rsid w:val="1C88086E"/>
    <w:rsid w:val="1D266CE1"/>
    <w:rsid w:val="1D3963AF"/>
    <w:rsid w:val="1D6A673C"/>
    <w:rsid w:val="1D8375B1"/>
    <w:rsid w:val="1D9247AE"/>
    <w:rsid w:val="1DB567EC"/>
    <w:rsid w:val="1DF51A98"/>
    <w:rsid w:val="1E0C7EA5"/>
    <w:rsid w:val="1E113C34"/>
    <w:rsid w:val="1E3D060F"/>
    <w:rsid w:val="1E3F7D2E"/>
    <w:rsid w:val="1E4134E4"/>
    <w:rsid w:val="1E5062B3"/>
    <w:rsid w:val="1E523514"/>
    <w:rsid w:val="1E714A66"/>
    <w:rsid w:val="1E802593"/>
    <w:rsid w:val="1E8B6156"/>
    <w:rsid w:val="1EA703CC"/>
    <w:rsid w:val="1EB7330C"/>
    <w:rsid w:val="1EBE4409"/>
    <w:rsid w:val="1F0A0FF3"/>
    <w:rsid w:val="1F20479D"/>
    <w:rsid w:val="1F5771FF"/>
    <w:rsid w:val="1F6D15F4"/>
    <w:rsid w:val="1FE868A9"/>
    <w:rsid w:val="20034907"/>
    <w:rsid w:val="20173E4B"/>
    <w:rsid w:val="204E48BC"/>
    <w:rsid w:val="208921B3"/>
    <w:rsid w:val="208C394F"/>
    <w:rsid w:val="20973DEB"/>
    <w:rsid w:val="20B26522"/>
    <w:rsid w:val="20B44310"/>
    <w:rsid w:val="20C2357E"/>
    <w:rsid w:val="211116EB"/>
    <w:rsid w:val="216133FC"/>
    <w:rsid w:val="21D56769"/>
    <w:rsid w:val="21E52EF3"/>
    <w:rsid w:val="21FB5D7B"/>
    <w:rsid w:val="22015E94"/>
    <w:rsid w:val="220B1C3D"/>
    <w:rsid w:val="221D1D20"/>
    <w:rsid w:val="2224077E"/>
    <w:rsid w:val="22334A87"/>
    <w:rsid w:val="22BE6801"/>
    <w:rsid w:val="232A6913"/>
    <w:rsid w:val="233500BF"/>
    <w:rsid w:val="23377FF7"/>
    <w:rsid w:val="23526439"/>
    <w:rsid w:val="236B425F"/>
    <w:rsid w:val="23836192"/>
    <w:rsid w:val="23901F29"/>
    <w:rsid w:val="239C0061"/>
    <w:rsid w:val="23B908A4"/>
    <w:rsid w:val="23E95BEF"/>
    <w:rsid w:val="23FD0064"/>
    <w:rsid w:val="24226C6B"/>
    <w:rsid w:val="2437337B"/>
    <w:rsid w:val="245375B0"/>
    <w:rsid w:val="24642C0A"/>
    <w:rsid w:val="24910391"/>
    <w:rsid w:val="24B22173"/>
    <w:rsid w:val="24B95AD9"/>
    <w:rsid w:val="24BE24DA"/>
    <w:rsid w:val="24CF5825"/>
    <w:rsid w:val="24D663E6"/>
    <w:rsid w:val="24D77F2B"/>
    <w:rsid w:val="24E63C8B"/>
    <w:rsid w:val="258B00E2"/>
    <w:rsid w:val="258D3BD5"/>
    <w:rsid w:val="25A917A6"/>
    <w:rsid w:val="25BE27CC"/>
    <w:rsid w:val="25EB7B6E"/>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35BF1"/>
    <w:rsid w:val="289F7086"/>
    <w:rsid w:val="28C32028"/>
    <w:rsid w:val="28CC490F"/>
    <w:rsid w:val="28DE40AA"/>
    <w:rsid w:val="29345E77"/>
    <w:rsid w:val="293E6C34"/>
    <w:rsid w:val="294C65AD"/>
    <w:rsid w:val="295C48D4"/>
    <w:rsid w:val="29806583"/>
    <w:rsid w:val="298B3C4C"/>
    <w:rsid w:val="299203EC"/>
    <w:rsid w:val="29CA2B72"/>
    <w:rsid w:val="29CE3AB1"/>
    <w:rsid w:val="29DC225D"/>
    <w:rsid w:val="29F26D24"/>
    <w:rsid w:val="2A15033F"/>
    <w:rsid w:val="2A1662C1"/>
    <w:rsid w:val="2A1C7367"/>
    <w:rsid w:val="2A1F6415"/>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ED26D4"/>
    <w:rsid w:val="2DF72DE4"/>
    <w:rsid w:val="2E0220AF"/>
    <w:rsid w:val="2E4B082A"/>
    <w:rsid w:val="2E5D4E86"/>
    <w:rsid w:val="2E5D790B"/>
    <w:rsid w:val="2E9A3C18"/>
    <w:rsid w:val="2EBB0FEE"/>
    <w:rsid w:val="2EC63002"/>
    <w:rsid w:val="2EE00777"/>
    <w:rsid w:val="2F0A6B38"/>
    <w:rsid w:val="2F5A6E7B"/>
    <w:rsid w:val="2F946CCB"/>
    <w:rsid w:val="2FD25781"/>
    <w:rsid w:val="2FDC745C"/>
    <w:rsid w:val="2FFD7934"/>
    <w:rsid w:val="30733ACD"/>
    <w:rsid w:val="308C3862"/>
    <w:rsid w:val="309379D8"/>
    <w:rsid w:val="30A270F7"/>
    <w:rsid w:val="30CF4393"/>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647963"/>
    <w:rsid w:val="34950E68"/>
    <w:rsid w:val="34986E94"/>
    <w:rsid w:val="34AF62C9"/>
    <w:rsid w:val="34CB4388"/>
    <w:rsid w:val="34F463BD"/>
    <w:rsid w:val="34FA6E12"/>
    <w:rsid w:val="3539483F"/>
    <w:rsid w:val="354D7158"/>
    <w:rsid w:val="358D5588"/>
    <w:rsid w:val="363A3B40"/>
    <w:rsid w:val="365302AE"/>
    <w:rsid w:val="36607A0A"/>
    <w:rsid w:val="366E227C"/>
    <w:rsid w:val="366F2E0D"/>
    <w:rsid w:val="367B6A5C"/>
    <w:rsid w:val="36A74ADA"/>
    <w:rsid w:val="36AD60D5"/>
    <w:rsid w:val="36B224F9"/>
    <w:rsid w:val="36EC0CC9"/>
    <w:rsid w:val="373F410B"/>
    <w:rsid w:val="374D4ACB"/>
    <w:rsid w:val="37EE7094"/>
    <w:rsid w:val="38296C89"/>
    <w:rsid w:val="383002EB"/>
    <w:rsid w:val="38586797"/>
    <w:rsid w:val="389D0FEB"/>
    <w:rsid w:val="38BC0149"/>
    <w:rsid w:val="38D87D1C"/>
    <w:rsid w:val="39636459"/>
    <w:rsid w:val="39647AD1"/>
    <w:rsid w:val="396B7F6C"/>
    <w:rsid w:val="39B417A9"/>
    <w:rsid w:val="39FC5695"/>
    <w:rsid w:val="3A006D8E"/>
    <w:rsid w:val="3A3651E5"/>
    <w:rsid w:val="3A744481"/>
    <w:rsid w:val="3A8C7BEF"/>
    <w:rsid w:val="3A906246"/>
    <w:rsid w:val="3B2349B7"/>
    <w:rsid w:val="3B616CFF"/>
    <w:rsid w:val="3B6259F6"/>
    <w:rsid w:val="3B8E39EE"/>
    <w:rsid w:val="3B976654"/>
    <w:rsid w:val="3BC01EFC"/>
    <w:rsid w:val="3BCA786A"/>
    <w:rsid w:val="3BD31E2F"/>
    <w:rsid w:val="3BF15831"/>
    <w:rsid w:val="3C105946"/>
    <w:rsid w:val="3C471448"/>
    <w:rsid w:val="3C5F759A"/>
    <w:rsid w:val="3C6C525A"/>
    <w:rsid w:val="3C984118"/>
    <w:rsid w:val="3CB855DE"/>
    <w:rsid w:val="3CCE23CB"/>
    <w:rsid w:val="3CD17D17"/>
    <w:rsid w:val="3D3C47C7"/>
    <w:rsid w:val="3D3C7F39"/>
    <w:rsid w:val="3D440F09"/>
    <w:rsid w:val="3D4504A0"/>
    <w:rsid w:val="3D8734BB"/>
    <w:rsid w:val="3D9A11D4"/>
    <w:rsid w:val="3DA16D89"/>
    <w:rsid w:val="3DA364BE"/>
    <w:rsid w:val="3DB22A0E"/>
    <w:rsid w:val="3DE041CB"/>
    <w:rsid w:val="3E0D48F6"/>
    <w:rsid w:val="3E1868B4"/>
    <w:rsid w:val="3E377251"/>
    <w:rsid w:val="3E42664B"/>
    <w:rsid w:val="3E5210C3"/>
    <w:rsid w:val="3E5A7334"/>
    <w:rsid w:val="3E7B5D6B"/>
    <w:rsid w:val="3E843E66"/>
    <w:rsid w:val="3E8F51FE"/>
    <w:rsid w:val="3E926F87"/>
    <w:rsid w:val="3E9A59DE"/>
    <w:rsid w:val="3EAF4836"/>
    <w:rsid w:val="3EC33DFA"/>
    <w:rsid w:val="3F060E16"/>
    <w:rsid w:val="3F1D1096"/>
    <w:rsid w:val="3F2F0234"/>
    <w:rsid w:val="3F6363FE"/>
    <w:rsid w:val="3F756B8F"/>
    <w:rsid w:val="3F77438E"/>
    <w:rsid w:val="3F95482B"/>
    <w:rsid w:val="3FE61701"/>
    <w:rsid w:val="400105B3"/>
    <w:rsid w:val="4019356B"/>
    <w:rsid w:val="40592157"/>
    <w:rsid w:val="406E1CAE"/>
    <w:rsid w:val="40A0133A"/>
    <w:rsid w:val="40C31A53"/>
    <w:rsid w:val="40FF545D"/>
    <w:rsid w:val="410067C8"/>
    <w:rsid w:val="418F0D2A"/>
    <w:rsid w:val="41D01505"/>
    <w:rsid w:val="421F55A1"/>
    <w:rsid w:val="42474939"/>
    <w:rsid w:val="424C3C57"/>
    <w:rsid w:val="42613FF3"/>
    <w:rsid w:val="42660D96"/>
    <w:rsid w:val="428558F8"/>
    <w:rsid w:val="428667D2"/>
    <w:rsid w:val="42881693"/>
    <w:rsid w:val="42CD1CE0"/>
    <w:rsid w:val="42E1381E"/>
    <w:rsid w:val="42ED6459"/>
    <w:rsid w:val="42FE58DD"/>
    <w:rsid w:val="43174B3D"/>
    <w:rsid w:val="434B790E"/>
    <w:rsid w:val="4360274F"/>
    <w:rsid w:val="43977AB6"/>
    <w:rsid w:val="43A3342B"/>
    <w:rsid w:val="43C77C27"/>
    <w:rsid w:val="43DE09EE"/>
    <w:rsid w:val="43E2665A"/>
    <w:rsid w:val="44002FAD"/>
    <w:rsid w:val="445525C3"/>
    <w:rsid w:val="448E2866"/>
    <w:rsid w:val="449101DD"/>
    <w:rsid w:val="44A27E42"/>
    <w:rsid w:val="44DE1391"/>
    <w:rsid w:val="451B225C"/>
    <w:rsid w:val="452410C9"/>
    <w:rsid w:val="45317DFB"/>
    <w:rsid w:val="454930C5"/>
    <w:rsid w:val="456D3CE4"/>
    <w:rsid w:val="4579042C"/>
    <w:rsid w:val="457F0571"/>
    <w:rsid w:val="45851176"/>
    <w:rsid w:val="45C63B94"/>
    <w:rsid w:val="460E7DA5"/>
    <w:rsid w:val="46422483"/>
    <w:rsid w:val="4659254A"/>
    <w:rsid w:val="465B0637"/>
    <w:rsid w:val="465E3F0D"/>
    <w:rsid w:val="466235E9"/>
    <w:rsid w:val="46677EBA"/>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BA536E"/>
    <w:rsid w:val="49F6167F"/>
    <w:rsid w:val="4A064FA0"/>
    <w:rsid w:val="4A121A7F"/>
    <w:rsid w:val="4A16615C"/>
    <w:rsid w:val="4A4424D7"/>
    <w:rsid w:val="4A4825D5"/>
    <w:rsid w:val="4AB82D0F"/>
    <w:rsid w:val="4AD37D5C"/>
    <w:rsid w:val="4AEB7664"/>
    <w:rsid w:val="4AFD7C19"/>
    <w:rsid w:val="4B0567D1"/>
    <w:rsid w:val="4B236AAE"/>
    <w:rsid w:val="4B707271"/>
    <w:rsid w:val="4B9739F7"/>
    <w:rsid w:val="4BEE2503"/>
    <w:rsid w:val="4C245A30"/>
    <w:rsid w:val="4CB6685F"/>
    <w:rsid w:val="4CC3342D"/>
    <w:rsid w:val="4CC367FE"/>
    <w:rsid w:val="4CF174F3"/>
    <w:rsid w:val="4D077F3C"/>
    <w:rsid w:val="4D123355"/>
    <w:rsid w:val="4D2A3B31"/>
    <w:rsid w:val="4D312C52"/>
    <w:rsid w:val="4D325D16"/>
    <w:rsid w:val="4D905305"/>
    <w:rsid w:val="4D964A72"/>
    <w:rsid w:val="4D9C1254"/>
    <w:rsid w:val="4E0A77A2"/>
    <w:rsid w:val="4E793892"/>
    <w:rsid w:val="4E796648"/>
    <w:rsid w:val="4E800872"/>
    <w:rsid w:val="4EA8717C"/>
    <w:rsid w:val="4EC569ED"/>
    <w:rsid w:val="4EC71E9A"/>
    <w:rsid w:val="4ED50EA1"/>
    <w:rsid w:val="4EEC050C"/>
    <w:rsid w:val="4F0022F6"/>
    <w:rsid w:val="4F104EC3"/>
    <w:rsid w:val="4F47354A"/>
    <w:rsid w:val="4F911C54"/>
    <w:rsid w:val="4FA15C1D"/>
    <w:rsid w:val="4FE625E0"/>
    <w:rsid w:val="50110D44"/>
    <w:rsid w:val="5021480F"/>
    <w:rsid w:val="5051660E"/>
    <w:rsid w:val="50630F2B"/>
    <w:rsid w:val="50962ECB"/>
    <w:rsid w:val="50A42E38"/>
    <w:rsid w:val="50A4577F"/>
    <w:rsid w:val="50B73D1F"/>
    <w:rsid w:val="50BD5BC9"/>
    <w:rsid w:val="50C11EEE"/>
    <w:rsid w:val="50E97CFC"/>
    <w:rsid w:val="50FA4028"/>
    <w:rsid w:val="510D65B7"/>
    <w:rsid w:val="511157AB"/>
    <w:rsid w:val="5142540C"/>
    <w:rsid w:val="51641D40"/>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B1022"/>
    <w:rsid w:val="53097272"/>
    <w:rsid w:val="534306B9"/>
    <w:rsid w:val="53544462"/>
    <w:rsid w:val="5397158E"/>
    <w:rsid w:val="53D6654F"/>
    <w:rsid w:val="53DF3E7E"/>
    <w:rsid w:val="54013861"/>
    <w:rsid w:val="54136627"/>
    <w:rsid w:val="54487265"/>
    <w:rsid w:val="544D6070"/>
    <w:rsid w:val="54605E1E"/>
    <w:rsid w:val="54B3506A"/>
    <w:rsid w:val="54B41724"/>
    <w:rsid w:val="54CA0D16"/>
    <w:rsid w:val="54DD4057"/>
    <w:rsid w:val="54E7490F"/>
    <w:rsid w:val="54EB580C"/>
    <w:rsid w:val="550764A4"/>
    <w:rsid w:val="550B2BF6"/>
    <w:rsid w:val="55214EB5"/>
    <w:rsid w:val="55364EFD"/>
    <w:rsid w:val="555D4828"/>
    <w:rsid w:val="557A4C8B"/>
    <w:rsid w:val="558931E1"/>
    <w:rsid w:val="55923347"/>
    <w:rsid w:val="55925180"/>
    <w:rsid w:val="55983B1B"/>
    <w:rsid w:val="55A8376B"/>
    <w:rsid w:val="55D91EFD"/>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472E3"/>
    <w:rsid w:val="57B63F04"/>
    <w:rsid w:val="57CD20C2"/>
    <w:rsid w:val="57D675AB"/>
    <w:rsid w:val="57D95FDD"/>
    <w:rsid w:val="5880340A"/>
    <w:rsid w:val="58917D2F"/>
    <w:rsid w:val="5894085C"/>
    <w:rsid w:val="58AE4F0C"/>
    <w:rsid w:val="58B85899"/>
    <w:rsid w:val="58BF6871"/>
    <w:rsid w:val="58E363A9"/>
    <w:rsid w:val="595E1678"/>
    <w:rsid w:val="596D5BD4"/>
    <w:rsid w:val="597E3DD8"/>
    <w:rsid w:val="598B7C59"/>
    <w:rsid w:val="59F13F3A"/>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E5FBA"/>
    <w:rsid w:val="5B843A1C"/>
    <w:rsid w:val="5B873E3F"/>
    <w:rsid w:val="5BDD2AAD"/>
    <w:rsid w:val="5C02690E"/>
    <w:rsid w:val="5C196DA7"/>
    <w:rsid w:val="5C2A048C"/>
    <w:rsid w:val="5C80234E"/>
    <w:rsid w:val="5C8A680C"/>
    <w:rsid w:val="5C991D82"/>
    <w:rsid w:val="5D0C4701"/>
    <w:rsid w:val="5D0F0395"/>
    <w:rsid w:val="5D221076"/>
    <w:rsid w:val="5D397964"/>
    <w:rsid w:val="5D5A391C"/>
    <w:rsid w:val="5D5F10C0"/>
    <w:rsid w:val="5D891B7B"/>
    <w:rsid w:val="5D91253D"/>
    <w:rsid w:val="5DAD38EE"/>
    <w:rsid w:val="5DFE6352"/>
    <w:rsid w:val="5E006862"/>
    <w:rsid w:val="5E0207B9"/>
    <w:rsid w:val="5E10565B"/>
    <w:rsid w:val="5E1834A1"/>
    <w:rsid w:val="5E261785"/>
    <w:rsid w:val="5E4A7017"/>
    <w:rsid w:val="5E552BBA"/>
    <w:rsid w:val="5E611C10"/>
    <w:rsid w:val="5E7A0F3F"/>
    <w:rsid w:val="5EEF6479"/>
    <w:rsid w:val="5EFC7377"/>
    <w:rsid w:val="5F06174D"/>
    <w:rsid w:val="5F3A3602"/>
    <w:rsid w:val="5F45733B"/>
    <w:rsid w:val="5F6277C6"/>
    <w:rsid w:val="5F6D0B1D"/>
    <w:rsid w:val="5F8D0B82"/>
    <w:rsid w:val="5FCC5339"/>
    <w:rsid w:val="5FE34A5B"/>
    <w:rsid w:val="5FFE1E36"/>
    <w:rsid w:val="60232584"/>
    <w:rsid w:val="602D33A7"/>
    <w:rsid w:val="605B2C53"/>
    <w:rsid w:val="607330CE"/>
    <w:rsid w:val="60825176"/>
    <w:rsid w:val="609F2AC4"/>
    <w:rsid w:val="60FA2EE8"/>
    <w:rsid w:val="61054A27"/>
    <w:rsid w:val="6109644E"/>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27AD5"/>
    <w:rsid w:val="635600A5"/>
    <w:rsid w:val="635B1DB5"/>
    <w:rsid w:val="63711FED"/>
    <w:rsid w:val="63880DDC"/>
    <w:rsid w:val="638D750D"/>
    <w:rsid w:val="63A268B7"/>
    <w:rsid w:val="63AC6CC0"/>
    <w:rsid w:val="63E7680F"/>
    <w:rsid w:val="64055776"/>
    <w:rsid w:val="64240056"/>
    <w:rsid w:val="643E143A"/>
    <w:rsid w:val="64491666"/>
    <w:rsid w:val="648B6EEF"/>
    <w:rsid w:val="64C158BF"/>
    <w:rsid w:val="64CA0774"/>
    <w:rsid w:val="64CE2EAA"/>
    <w:rsid w:val="653C3090"/>
    <w:rsid w:val="65854376"/>
    <w:rsid w:val="658767BE"/>
    <w:rsid w:val="65892531"/>
    <w:rsid w:val="65E52CED"/>
    <w:rsid w:val="66195831"/>
    <w:rsid w:val="662E75B1"/>
    <w:rsid w:val="66342C2E"/>
    <w:rsid w:val="663E784C"/>
    <w:rsid w:val="668A32D0"/>
    <w:rsid w:val="668B6A45"/>
    <w:rsid w:val="66E75458"/>
    <w:rsid w:val="672F3F24"/>
    <w:rsid w:val="673E055F"/>
    <w:rsid w:val="67551CE3"/>
    <w:rsid w:val="6761458E"/>
    <w:rsid w:val="67A22552"/>
    <w:rsid w:val="67B22DCC"/>
    <w:rsid w:val="67BE71AA"/>
    <w:rsid w:val="67D90273"/>
    <w:rsid w:val="67DE5875"/>
    <w:rsid w:val="67E55852"/>
    <w:rsid w:val="67EB1AB4"/>
    <w:rsid w:val="67FA1285"/>
    <w:rsid w:val="6832302E"/>
    <w:rsid w:val="68551F4F"/>
    <w:rsid w:val="687C10C9"/>
    <w:rsid w:val="68840C16"/>
    <w:rsid w:val="68876EFB"/>
    <w:rsid w:val="68884654"/>
    <w:rsid w:val="689F444F"/>
    <w:rsid w:val="68B96DBB"/>
    <w:rsid w:val="68CA2805"/>
    <w:rsid w:val="68E937A3"/>
    <w:rsid w:val="693E15D3"/>
    <w:rsid w:val="69627681"/>
    <w:rsid w:val="6977531D"/>
    <w:rsid w:val="69AF4A04"/>
    <w:rsid w:val="69BE66B5"/>
    <w:rsid w:val="69CC2BFF"/>
    <w:rsid w:val="69E51685"/>
    <w:rsid w:val="69FD55B8"/>
    <w:rsid w:val="6A0B1C62"/>
    <w:rsid w:val="6A2406C8"/>
    <w:rsid w:val="6A6E0137"/>
    <w:rsid w:val="6A846349"/>
    <w:rsid w:val="6ADB0C22"/>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C1FCB"/>
    <w:rsid w:val="6DF43C2E"/>
    <w:rsid w:val="6DF51CA3"/>
    <w:rsid w:val="6E8335BD"/>
    <w:rsid w:val="6E8E12EF"/>
    <w:rsid w:val="6E972936"/>
    <w:rsid w:val="6ED446C5"/>
    <w:rsid w:val="6EF83FBF"/>
    <w:rsid w:val="6F2A7D94"/>
    <w:rsid w:val="6F8331F1"/>
    <w:rsid w:val="6FAE1A09"/>
    <w:rsid w:val="6FD75BF8"/>
    <w:rsid w:val="707723D0"/>
    <w:rsid w:val="70DC3F26"/>
    <w:rsid w:val="70F5661B"/>
    <w:rsid w:val="710A4D84"/>
    <w:rsid w:val="71185312"/>
    <w:rsid w:val="71360107"/>
    <w:rsid w:val="713B688E"/>
    <w:rsid w:val="7182771C"/>
    <w:rsid w:val="71D43752"/>
    <w:rsid w:val="71F1796A"/>
    <w:rsid w:val="72154626"/>
    <w:rsid w:val="72262B5D"/>
    <w:rsid w:val="72283FF7"/>
    <w:rsid w:val="722E7212"/>
    <w:rsid w:val="723A0474"/>
    <w:rsid w:val="725923E4"/>
    <w:rsid w:val="72864BF7"/>
    <w:rsid w:val="729023FC"/>
    <w:rsid w:val="73713C11"/>
    <w:rsid w:val="73C0646E"/>
    <w:rsid w:val="74015EEB"/>
    <w:rsid w:val="742222F5"/>
    <w:rsid w:val="743F2553"/>
    <w:rsid w:val="74476126"/>
    <w:rsid w:val="745C27A1"/>
    <w:rsid w:val="74706664"/>
    <w:rsid w:val="747F3682"/>
    <w:rsid w:val="74980BF6"/>
    <w:rsid w:val="749C4185"/>
    <w:rsid w:val="75067759"/>
    <w:rsid w:val="752E6DCD"/>
    <w:rsid w:val="7546339A"/>
    <w:rsid w:val="7551380D"/>
    <w:rsid w:val="75600BE5"/>
    <w:rsid w:val="7564475C"/>
    <w:rsid w:val="7583797F"/>
    <w:rsid w:val="75D20F1D"/>
    <w:rsid w:val="75DA2C18"/>
    <w:rsid w:val="75F54412"/>
    <w:rsid w:val="761D08E0"/>
    <w:rsid w:val="765D347C"/>
    <w:rsid w:val="7664729D"/>
    <w:rsid w:val="76826699"/>
    <w:rsid w:val="76C87133"/>
    <w:rsid w:val="76CD08D5"/>
    <w:rsid w:val="76DB4B92"/>
    <w:rsid w:val="77052AA4"/>
    <w:rsid w:val="77136511"/>
    <w:rsid w:val="77340A39"/>
    <w:rsid w:val="77351FD0"/>
    <w:rsid w:val="77472422"/>
    <w:rsid w:val="777F31F2"/>
    <w:rsid w:val="77D1700D"/>
    <w:rsid w:val="77D622A3"/>
    <w:rsid w:val="77EC04CC"/>
    <w:rsid w:val="78775729"/>
    <w:rsid w:val="788078FA"/>
    <w:rsid w:val="78A42DB0"/>
    <w:rsid w:val="78A656AB"/>
    <w:rsid w:val="78B2245C"/>
    <w:rsid w:val="78E172CC"/>
    <w:rsid w:val="78EA1D1F"/>
    <w:rsid w:val="7904172F"/>
    <w:rsid w:val="790F7E27"/>
    <w:rsid w:val="792A231A"/>
    <w:rsid w:val="79316829"/>
    <w:rsid w:val="797E66A9"/>
    <w:rsid w:val="798518A4"/>
    <w:rsid w:val="799F781A"/>
    <w:rsid w:val="79A97383"/>
    <w:rsid w:val="79E27E8B"/>
    <w:rsid w:val="79F850CE"/>
    <w:rsid w:val="79FD443C"/>
    <w:rsid w:val="7A1D1975"/>
    <w:rsid w:val="7A33702A"/>
    <w:rsid w:val="7A3E5150"/>
    <w:rsid w:val="7A4670D6"/>
    <w:rsid w:val="7A534B63"/>
    <w:rsid w:val="7A611232"/>
    <w:rsid w:val="7A615382"/>
    <w:rsid w:val="7A67303B"/>
    <w:rsid w:val="7AAB1D04"/>
    <w:rsid w:val="7ABA4368"/>
    <w:rsid w:val="7AD05746"/>
    <w:rsid w:val="7B257FFD"/>
    <w:rsid w:val="7B343476"/>
    <w:rsid w:val="7B5A2978"/>
    <w:rsid w:val="7B5A7E4C"/>
    <w:rsid w:val="7B667AF9"/>
    <w:rsid w:val="7B7468F8"/>
    <w:rsid w:val="7BEE0103"/>
    <w:rsid w:val="7BFA2E42"/>
    <w:rsid w:val="7C0A0FE4"/>
    <w:rsid w:val="7C254906"/>
    <w:rsid w:val="7C271095"/>
    <w:rsid w:val="7C590818"/>
    <w:rsid w:val="7C7C10F6"/>
    <w:rsid w:val="7C853BEA"/>
    <w:rsid w:val="7C881368"/>
    <w:rsid w:val="7CE27788"/>
    <w:rsid w:val="7CF46400"/>
    <w:rsid w:val="7D0C32F1"/>
    <w:rsid w:val="7D0F408D"/>
    <w:rsid w:val="7D10013D"/>
    <w:rsid w:val="7D491C6C"/>
    <w:rsid w:val="7D5429C0"/>
    <w:rsid w:val="7D6E6D43"/>
    <w:rsid w:val="7DB57A34"/>
    <w:rsid w:val="7DD213BC"/>
    <w:rsid w:val="7DE60973"/>
    <w:rsid w:val="7DEF0916"/>
    <w:rsid w:val="7E1E5218"/>
    <w:rsid w:val="7E9A4E1F"/>
    <w:rsid w:val="7EA7723A"/>
    <w:rsid w:val="7ECD4D1C"/>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next w:val="1"/>
    <w:link w:val="319"/>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正文文本首行缩进1"/>
    <w:basedOn w:val="23"/>
    <w:qFormat/>
    <w:uiPriority w:val="0"/>
    <w:pPr>
      <w:autoSpaceDE w:val="0"/>
      <w:autoSpaceDN w:val="0"/>
      <w:adjustRightInd w:val="0"/>
      <w:spacing w:after="0" w:line="360" w:lineRule="auto"/>
      <w:ind w:firstLine="420"/>
    </w:pPr>
    <w:rPr>
      <w:rFonts w:ascii="宋体" w:hAnsi="Calibri" w:eastAsia="宋体" w:cs="Times New Roman"/>
      <w:sz w:val="24"/>
      <w:lang w:val="zh-CN"/>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basedOn w:val="69"/>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basedOn w:val="69"/>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md-end-block"/>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963">
    <w:name w:val="md-plain"/>
    <w:basedOn w:val="69"/>
    <w:qFormat/>
    <w:uiPriority w:val="0"/>
  </w:style>
  <w:style w:type="character" w:customStyle="1" w:styleId="964">
    <w:name w:val="font101"/>
    <w:basedOn w:val="69"/>
    <w:qFormat/>
    <w:uiPriority w:val="0"/>
    <w:rPr>
      <w:rFonts w:hint="default" w:ascii="Calibri" w:hAnsi="Calibri" w:cs="Calibri"/>
      <w:color w:val="000000"/>
      <w:sz w:val="22"/>
      <w:szCs w:val="22"/>
      <w:u w:val="none"/>
    </w:rPr>
  </w:style>
  <w:style w:type="character" w:customStyle="1" w:styleId="965">
    <w:name w:val="font121"/>
    <w:basedOn w:val="69"/>
    <w:qFormat/>
    <w:uiPriority w:val="0"/>
    <w:rPr>
      <w:rFonts w:hint="default" w:ascii="Calibri" w:hAnsi="Calibri" w:cs="Calibri"/>
      <w:b/>
      <w:bCs/>
      <w:color w:val="000000"/>
      <w:sz w:val="22"/>
      <w:szCs w:val="22"/>
      <w:u w:val="none"/>
    </w:rPr>
  </w:style>
  <w:style w:type="character" w:customStyle="1" w:styleId="966">
    <w:name w:val="font131"/>
    <w:basedOn w:val="69"/>
    <w:qFormat/>
    <w:uiPriority w:val="0"/>
    <w:rPr>
      <w:rFonts w:hint="eastAsia" w:ascii="宋体" w:hAnsi="宋体" w:eastAsia="宋体" w:cs="宋体"/>
      <w:b/>
      <w:bCs/>
      <w:color w:val="000000"/>
      <w:sz w:val="22"/>
      <w:szCs w:val="22"/>
      <w:u w:val="none"/>
    </w:rPr>
  </w:style>
  <w:style w:type="character" w:customStyle="1" w:styleId="967">
    <w:name w:val="font112"/>
    <w:basedOn w:val="69"/>
    <w:qFormat/>
    <w:uiPriority w:val="0"/>
    <w:rPr>
      <w:rFonts w:hint="default" w:ascii="Calibri" w:hAnsi="Calibri" w:cs="Calibri"/>
      <w:b/>
      <w:bCs/>
      <w:color w:val="000000"/>
      <w:sz w:val="22"/>
      <w:szCs w:val="22"/>
      <w:u w:val="none"/>
    </w:rPr>
  </w:style>
  <w:style w:type="character" w:customStyle="1" w:styleId="968">
    <w:name w:val="font212"/>
    <w:qFormat/>
    <w:uiPriority w:val="0"/>
    <w:rPr>
      <w:rFonts w:hint="default" w:ascii="Calibri" w:hAnsi="Calibri" w:cs="Calibri"/>
      <w:color w:val="000000"/>
      <w:sz w:val="18"/>
      <w:szCs w:val="18"/>
      <w:u w:val="none"/>
    </w:rPr>
  </w:style>
  <w:style w:type="character" w:customStyle="1" w:styleId="969">
    <w:name w:val="font241"/>
    <w:qFormat/>
    <w:uiPriority w:val="0"/>
    <w:rPr>
      <w:rFonts w:hint="eastAsia" w:ascii="宋体" w:hAnsi="宋体" w:eastAsia="宋体" w:cs="宋体"/>
      <w:color w:val="000000"/>
      <w:sz w:val="18"/>
      <w:szCs w:val="18"/>
      <w:u w:val="none"/>
    </w:rPr>
  </w:style>
  <w:style w:type="character" w:customStyle="1" w:styleId="970">
    <w:name w:val="font141"/>
    <w:basedOn w:val="69"/>
    <w:qFormat/>
    <w:uiPriority w:val="0"/>
    <w:rPr>
      <w:rFonts w:hint="default" w:ascii="Times New Roman" w:hAnsi="Times New Roman" w:cs="Times New Roman"/>
      <w:color w:val="000000"/>
      <w:sz w:val="18"/>
      <w:szCs w:val="18"/>
      <w:u w:val="none"/>
    </w:rPr>
  </w:style>
  <w:style w:type="character" w:customStyle="1" w:styleId="971">
    <w:name w:val="font151"/>
    <w:basedOn w:val="69"/>
    <w:qFormat/>
    <w:uiPriority w:val="0"/>
    <w:rPr>
      <w:rFonts w:ascii="Wingdings 2" w:hAnsi="Wingdings 2" w:eastAsia="Wingdings 2" w:cs="Wingdings 2"/>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164</Pages>
  <Words>88107</Words>
  <Characters>95889</Characters>
  <Lines>306</Lines>
  <Paragraphs>86</Paragraphs>
  <TotalTime>37</TotalTime>
  <ScaleCrop>false</ScaleCrop>
  <LinksUpToDate>false</LinksUpToDate>
  <CharactersWithSpaces>103091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邵一成</cp:lastModifiedBy>
  <cp:lastPrinted>2024-10-31T07:10:00Z</cp:lastPrinted>
  <dcterms:modified xsi:type="dcterms:W3CDTF">2024-11-01T07:31:27Z</dcterms:modified>
  <dc:title>杭州市市民卡扩大发卡工程</dc:title>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3286D6A6E05A478CB40D82C2946F5654_13</vt:lpwstr>
  </property>
</Properties>
</file>